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AF137" w14:textId="4004B1D7" w:rsidR="00A33E35" w:rsidRPr="00987DDC" w:rsidRDefault="006D4C9E" w:rsidP="006D4C9E">
      <w:pPr>
        <w:pStyle w:val="Pagedecouverture"/>
        <w:rPr>
          <w:noProof/>
        </w:rPr>
      </w:pPr>
      <w:bookmarkStart w:id="0" w:name="LW_BM_COVERPAGE"/>
      <w:r>
        <w:rPr>
          <w:noProof/>
        </w:rPr>
        <w:pict w14:anchorId="4DBC8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19348CB-FCC9-45D0-8BA3-3B2D35A3AE9C" style="width:455.25pt;height:365.25pt">
            <v:imagedata r:id="rId15" o:title=""/>
          </v:shape>
        </w:pict>
      </w:r>
    </w:p>
    <w:bookmarkEnd w:id="0"/>
    <w:p w14:paraId="5904C39D" w14:textId="3B3EDF86" w:rsidR="00A33E35" w:rsidRPr="00987DDC" w:rsidRDefault="00A33E35">
      <w:pPr>
        <w:rPr>
          <w:noProof/>
        </w:rPr>
        <w:sectPr w:rsidR="00A33E35" w:rsidRPr="00987DDC" w:rsidSect="006D4C9E">
          <w:headerReference w:type="even" r:id="rId16"/>
          <w:headerReference w:type="default" r:id="rId17"/>
          <w:footerReference w:type="even" r:id="rId18"/>
          <w:footerReference w:type="default" r:id="rId19"/>
          <w:headerReference w:type="first" r:id="rId20"/>
          <w:footerReference w:type="first" r:id="rId21"/>
          <w:endnotePr>
            <w:numFmt w:val="lowerLetter"/>
          </w:endnotePr>
          <w:pgSz w:w="11906" w:h="16838"/>
          <w:pgMar w:top="1134" w:right="1417" w:bottom="1134" w:left="1417" w:header="709" w:footer="709" w:gutter="0"/>
          <w:pgNumType w:start="0"/>
          <w:cols w:space="720"/>
          <w:docGrid w:linePitch="326"/>
        </w:sectPr>
      </w:pPr>
    </w:p>
    <w:p w14:paraId="68C509C2" w14:textId="170984FD" w:rsidR="00673C8F" w:rsidRPr="00987DDC" w:rsidRDefault="00673C8F" w:rsidP="00900E5A">
      <w:pPr>
        <w:pStyle w:val="TOCHeading"/>
        <w:rPr>
          <w:noProof/>
        </w:rPr>
      </w:pPr>
      <w:bookmarkStart w:id="1" w:name="_Hlk158121428"/>
      <w:bookmarkStart w:id="2" w:name="_GoBack"/>
      <w:bookmarkEnd w:id="2"/>
    </w:p>
    <w:p w14:paraId="3A8F5787" w14:textId="08F57DDC" w:rsidR="000D0175" w:rsidRPr="00987DDC" w:rsidRDefault="000D0175" w:rsidP="00547296">
      <w:pPr>
        <w:pStyle w:val="Heading1"/>
        <w:rPr>
          <w:noProof/>
        </w:rPr>
      </w:pPr>
      <w:bookmarkStart w:id="3" w:name="_Toc165303738"/>
      <w:r w:rsidRPr="00987DDC">
        <w:rPr>
          <w:noProof/>
        </w:rPr>
        <w:t>Wprowadzenie</w:t>
      </w:r>
      <w:bookmarkEnd w:id="3"/>
    </w:p>
    <w:p w14:paraId="5B226AB4" w14:textId="2E3B5D1E" w:rsidR="00504A0C" w:rsidRPr="00987DDC" w:rsidRDefault="00504A0C" w:rsidP="4EB025D0">
      <w:pPr>
        <w:rPr>
          <w:noProof/>
        </w:rPr>
      </w:pPr>
      <w:r w:rsidRPr="00987DDC">
        <w:rPr>
          <w:noProof/>
        </w:rPr>
        <w:t>Niniejszy dokument jest drugim sprawozdaniem Komisji dotyczącym stosowania ogólnego rozporządzenia</w:t>
      </w:r>
      <w:r w:rsidR="00987DDC" w:rsidRPr="00987DDC">
        <w:rPr>
          <w:noProof/>
        </w:rPr>
        <w:t xml:space="preserve"> o</w:t>
      </w:r>
      <w:r w:rsidR="00987DDC">
        <w:rPr>
          <w:noProof/>
        </w:rPr>
        <w:t> </w:t>
      </w:r>
      <w:r w:rsidR="00987DDC" w:rsidRPr="00987DDC">
        <w:rPr>
          <w:noProof/>
        </w:rPr>
        <w:t>och</w:t>
      </w:r>
      <w:r w:rsidRPr="00987DDC">
        <w:rPr>
          <w:noProof/>
        </w:rPr>
        <w:t>ronie danych (RODO), przyjętym zgodnie</w:t>
      </w:r>
      <w:r w:rsidR="00987DDC" w:rsidRPr="00987DDC">
        <w:rPr>
          <w:noProof/>
        </w:rPr>
        <w:t xml:space="preserve"> z</w:t>
      </w:r>
      <w:r w:rsidR="00987DDC">
        <w:rPr>
          <w:noProof/>
        </w:rPr>
        <w:t> </w:t>
      </w:r>
      <w:r w:rsidR="00987DDC" w:rsidRPr="00987DDC">
        <w:rPr>
          <w:noProof/>
        </w:rPr>
        <w:t>art</w:t>
      </w:r>
      <w:r w:rsidRPr="00987DDC">
        <w:rPr>
          <w:noProof/>
        </w:rPr>
        <w:t>.</w:t>
      </w:r>
      <w:r w:rsidR="00987DDC" w:rsidRPr="00987DDC">
        <w:rPr>
          <w:noProof/>
        </w:rPr>
        <w:t> </w:t>
      </w:r>
      <w:r w:rsidRPr="00987DDC">
        <w:rPr>
          <w:noProof/>
        </w:rPr>
        <w:t>97 RODO. Pierwsze sprawozdanie przyjęto</w:t>
      </w:r>
      <w:r w:rsidR="00987DDC" w:rsidRPr="00987DDC">
        <w:rPr>
          <w:noProof/>
        </w:rPr>
        <w:t xml:space="preserve"> w</w:t>
      </w:r>
      <w:r w:rsidR="00987DDC">
        <w:rPr>
          <w:noProof/>
        </w:rPr>
        <w:t> </w:t>
      </w:r>
      <w:r w:rsidR="00987DDC" w:rsidRPr="00987DDC">
        <w:rPr>
          <w:noProof/>
        </w:rPr>
        <w:t>dni</w:t>
      </w:r>
      <w:r w:rsidRPr="00987DDC">
        <w:rPr>
          <w:noProof/>
        </w:rPr>
        <w:t>u 24 czerwca 2020</w:t>
      </w:r>
      <w:r w:rsidR="00987DDC" w:rsidRPr="00987DDC">
        <w:rPr>
          <w:noProof/>
        </w:rPr>
        <w:t> </w:t>
      </w:r>
      <w:r w:rsidRPr="00987DDC">
        <w:rPr>
          <w:noProof/>
        </w:rPr>
        <w:t>r. („sprawozdanie</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w:t>
      </w:r>
      <w:r w:rsidRPr="00987DDC">
        <w:rPr>
          <w:rStyle w:val="FootnoteReference"/>
          <w:noProof/>
        </w:rPr>
        <w:t>(</w:t>
      </w:r>
      <w:r w:rsidRPr="00987DDC">
        <w:rPr>
          <w:rStyle w:val="FootnoteReference"/>
          <w:noProof/>
        </w:rPr>
        <w:footnoteReference w:id="2"/>
      </w:r>
      <w:r w:rsidRPr="00987DDC">
        <w:rPr>
          <w:rStyle w:val="FootnoteReference"/>
          <w:noProof/>
        </w:rPr>
        <w:t>))</w:t>
      </w:r>
      <w:r w:rsidRPr="00987DDC">
        <w:rPr>
          <w:noProof/>
        </w:rPr>
        <w:t>.</w:t>
      </w:r>
    </w:p>
    <w:p w14:paraId="2434B704" w14:textId="43770AE5" w:rsidR="00062E49" w:rsidRPr="00987DDC" w:rsidRDefault="002D3D4F" w:rsidP="4EB025D0">
      <w:pPr>
        <w:rPr>
          <w:noProof/>
        </w:rPr>
      </w:pPr>
      <w:r w:rsidRPr="00987DDC">
        <w:rPr>
          <w:noProof/>
        </w:rPr>
        <w:t>RODO stanowi jeden</w:t>
      </w:r>
      <w:r w:rsidR="00987DDC" w:rsidRPr="00987DDC">
        <w:rPr>
          <w:noProof/>
        </w:rPr>
        <w:t xml:space="preserve"> z</w:t>
      </w:r>
      <w:r w:rsidR="00987DDC">
        <w:rPr>
          <w:noProof/>
        </w:rPr>
        <w:t> </w:t>
      </w:r>
      <w:r w:rsidR="00987DDC" w:rsidRPr="00987DDC">
        <w:rPr>
          <w:noProof/>
        </w:rPr>
        <w:t>fun</w:t>
      </w:r>
      <w:r w:rsidRPr="00987DDC">
        <w:rPr>
          <w:noProof/>
        </w:rPr>
        <w:t>damentów podejścia UE do transformacji cyfrowej. Jego podstawowe zasady – rzetelne, bezpieczne</w:t>
      </w:r>
      <w:r w:rsidR="00987DDC" w:rsidRPr="00987DDC">
        <w:rPr>
          <w:noProof/>
        </w:rPr>
        <w:t xml:space="preserve"> i</w:t>
      </w:r>
      <w:r w:rsidR="00987DDC">
        <w:rPr>
          <w:noProof/>
        </w:rPr>
        <w:t> </w:t>
      </w:r>
      <w:r w:rsidR="00987DDC" w:rsidRPr="00987DDC">
        <w:rPr>
          <w:noProof/>
        </w:rPr>
        <w:t>prz</w:t>
      </w:r>
      <w:r w:rsidRPr="00987DDC">
        <w:rPr>
          <w:noProof/>
        </w:rPr>
        <w:t>ejrzyste przetwarzanie danych osobowych, gwarantujące zachowanie kontroli przez osoby fizyczne – leżą</w:t>
      </w:r>
      <w:r w:rsidR="00987DDC" w:rsidRPr="00987DDC">
        <w:rPr>
          <w:noProof/>
        </w:rPr>
        <w:t xml:space="preserve"> u</w:t>
      </w:r>
      <w:r w:rsidR="00987DDC">
        <w:rPr>
          <w:noProof/>
        </w:rPr>
        <w:t> </w:t>
      </w:r>
      <w:r w:rsidR="00987DDC" w:rsidRPr="00987DDC">
        <w:rPr>
          <w:noProof/>
        </w:rPr>
        <w:t>pod</w:t>
      </w:r>
      <w:r w:rsidRPr="00987DDC">
        <w:rPr>
          <w:noProof/>
        </w:rPr>
        <w:t>staw wszystkich polityk UE obejmujących przetwarzanie danych osobowych.</w:t>
      </w:r>
    </w:p>
    <w:p w14:paraId="1F5EC67F" w14:textId="610EE608" w:rsidR="006258DA" w:rsidRPr="00987DDC" w:rsidRDefault="00BC33B9" w:rsidP="006258DA">
      <w:pPr>
        <w:rPr>
          <w:noProof/>
        </w:rPr>
      </w:pPr>
      <w:r w:rsidRPr="00987DDC">
        <w:rPr>
          <w:noProof/>
        </w:rPr>
        <w:t>Od czasu sprawozdania</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UE przyjęła szereg inicjatyw służących postawieniu obywateli</w:t>
      </w:r>
      <w:r w:rsidR="00987DDC" w:rsidRPr="00987DDC">
        <w:rPr>
          <w:noProof/>
        </w:rPr>
        <w:t xml:space="preserve"> w</w:t>
      </w:r>
      <w:r w:rsidR="00987DDC">
        <w:rPr>
          <w:noProof/>
        </w:rPr>
        <w:t> </w:t>
      </w:r>
      <w:r w:rsidR="00987DDC" w:rsidRPr="00987DDC">
        <w:rPr>
          <w:noProof/>
        </w:rPr>
        <w:t>cen</w:t>
      </w:r>
      <w:r w:rsidRPr="00987DDC">
        <w:rPr>
          <w:noProof/>
        </w:rPr>
        <w:t>trum transformacji cyfrowej. Każda inicjatywa ma konkretny cel, np. stworzenie bezpieczniejszego środowiska online, uczynienie gospodarki cyfrowej sprawiedliwszą</w:t>
      </w:r>
      <w:r w:rsidR="00987DDC" w:rsidRPr="00987DDC">
        <w:rPr>
          <w:noProof/>
        </w:rPr>
        <w:t xml:space="preserve"> i</w:t>
      </w:r>
      <w:r w:rsidR="00987DDC">
        <w:rPr>
          <w:noProof/>
        </w:rPr>
        <w:t> </w:t>
      </w:r>
      <w:r w:rsidR="00987DDC" w:rsidRPr="00987DDC">
        <w:rPr>
          <w:noProof/>
        </w:rPr>
        <w:t>bar</w:t>
      </w:r>
      <w:r w:rsidRPr="00987DDC">
        <w:rPr>
          <w:noProof/>
        </w:rPr>
        <w:t>dziej konkurencyjną, ułatwianie przełomowych badań naukowych, zapewnienie rozwoju bezpiecznej</w:t>
      </w:r>
      <w:r w:rsidR="00987DDC" w:rsidRPr="00987DDC">
        <w:rPr>
          <w:noProof/>
        </w:rPr>
        <w:t xml:space="preserve"> i</w:t>
      </w:r>
      <w:r w:rsidR="00987DDC">
        <w:rPr>
          <w:noProof/>
        </w:rPr>
        <w:t> </w:t>
      </w:r>
      <w:r w:rsidR="00987DDC" w:rsidRPr="00987DDC">
        <w:rPr>
          <w:noProof/>
        </w:rPr>
        <w:t>god</w:t>
      </w:r>
      <w:r w:rsidRPr="00987DDC">
        <w:rPr>
          <w:noProof/>
        </w:rPr>
        <w:t>nej zaufania sztucznej inteligencji (AI) czy stworzenie prawdziwego jednolitego rynku danych. Ilekroć inicjatywy te dotyczą danych osobowych, ich podstawią jest RODO. RODO stanowi również podstawę dla inicjatyw sektorowych mających wpływ na przetwarzanie danych osobowych, np.</w:t>
      </w:r>
      <w:r w:rsidR="00987DDC" w:rsidRPr="00987DDC">
        <w:rPr>
          <w:noProof/>
        </w:rPr>
        <w:t xml:space="preserve"> w</w:t>
      </w:r>
      <w:r w:rsidR="00987DDC">
        <w:rPr>
          <w:noProof/>
        </w:rPr>
        <w:t> </w:t>
      </w:r>
      <w:r w:rsidR="00987DDC" w:rsidRPr="00987DDC">
        <w:rPr>
          <w:noProof/>
        </w:rPr>
        <w:t>obs</w:t>
      </w:r>
      <w:r w:rsidRPr="00987DDC">
        <w:rPr>
          <w:noProof/>
        </w:rPr>
        <w:t>zarach usług finansowych, ochrony zdrowia, zatrudnienia, mobilności</w:t>
      </w:r>
      <w:r w:rsidR="00987DDC" w:rsidRPr="00987DDC">
        <w:rPr>
          <w:noProof/>
        </w:rPr>
        <w:t xml:space="preserve"> i</w:t>
      </w:r>
      <w:r w:rsidR="00987DDC">
        <w:rPr>
          <w:noProof/>
        </w:rPr>
        <w:t> </w:t>
      </w:r>
      <w:r w:rsidR="00987DDC" w:rsidRPr="00987DDC">
        <w:rPr>
          <w:noProof/>
        </w:rPr>
        <w:t>egz</w:t>
      </w:r>
      <w:r w:rsidRPr="00987DDC">
        <w:rPr>
          <w:noProof/>
        </w:rPr>
        <w:t>ekwowania prawa.</w:t>
      </w:r>
    </w:p>
    <w:p w14:paraId="00F4C030" w14:textId="00E35125" w:rsidR="00C7599F" w:rsidRPr="00987DDC" w:rsidRDefault="273FBBB4" w:rsidP="4EB025D0">
      <w:pPr>
        <w:rPr>
          <w:noProof/>
        </w:rPr>
      </w:pPr>
      <w:r w:rsidRPr="00987DDC">
        <w:rPr>
          <w:noProof/>
        </w:rPr>
        <w:t>Wśród zainteresowanych stron, organów ochrony danych</w:t>
      </w:r>
      <w:r w:rsidR="00987DDC" w:rsidRPr="00987DDC">
        <w:rPr>
          <w:noProof/>
        </w:rPr>
        <w:t xml:space="preserve"> i</w:t>
      </w:r>
      <w:r w:rsidR="00987DDC">
        <w:rPr>
          <w:noProof/>
        </w:rPr>
        <w:t> </w:t>
      </w:r>
      <w:r w:rsidR="00987DDC" w:rsidRPr="00987DDC">
        <w:rPr>
          <w:noProof/>
        </w:rPr>
        <w:t>pań</w:t>
      </w:r>
      <w:r w:rsidRPr="00987DDC">
        <w:rPr>
          <w:noProof/>
        </w:rPr>
        <w:t>stw członkowskich panuje powszechna zgoda co do tego, że pomimo pewnych trudności RODO dostarczyło istotnych rezultatów dla osób fizycznych</w:t>
      </w:r>
      <w:r w:rsidR="00987DDC" w:rsidRPr="00987DDC">
        <w:rPr>
          <w:noProof/>
        </w:rPr>
        <w:t xml:space="preserve"> i</w:t>
      </w:r>
      <w:r w:rsidR="00987DDC">
        <w:rPr>
          <w:noProof/>
        </w:rPr>
        <w:t> </w:t>
      </w:r>
      <w:r w:rsidR="00987DDC" w:rsidRPr="00987DDC">
        <w:rPr>
          <w:noProof/>
        </w:rPr>
        <w:t>prz</w:t>
      </w:r>
      <w:r w:rsidRPr="00987DDC">
        <w:rPr>
          <w:noProof/>
        </w:rPr>
        <w:t>edsiębiorstw. Podejście oparte na analizie ryzyka</w:t>
      </w:r>
      <w:r w:rsidR="00987DDC" w:rsidRPr="00987DDC">
        <w:rPr>
          <w:noProof/>
        </w:rPr>
        <w:t xml:space="preserve"> i</w:t>
      </w:r>
      <w:r w:rsidR="00987DDC">
        <w:rPr>
          <w:noProof/>
        </w:rPr>
        <w:t> </w:t>
      </w:r>
      <w:r w:rsidR="00987DDC" w:rsidRPr="00987DDC">
        <w:rPr>
          <w:noProof/>
        </w:rPr>
        <w:t>neu</w:t>
      </w:r>
      <w:r w:rsidRPr="00987DDC">
        <w:rPr>
          <w:noProof/>
        </w:rPr>
        <w:t>tralne pod względem technologicznym zapewnia solidną ochronę osób, których dane dotyczą, oraz proporcjonalne obowiązki administratorów danych</w:t>
      </w:r>
      <w:r w:rsidR="00987DDC" w:rsidRPr="00987DDC">
        <w:rPr>
          <w:noProof/>
        </w:rPr>
        <w:t xml:space="preserve"> i</w:t>
      </w:r>
      <w:r w:rsidR="00987DDC">
        <w:rPr>
          <w:noProof/>
        </w:rPr>
        <w:t> </w:t>
      </w:r>
      <w:r w:rsidR="00987DDC" w:rsidRPr="00987DDC">
        <w:rPr>
          <w:noProof/>
        </w:rPr>
        <w:t>pod</w:t>
      </w:r>
      <w:r w:rsidRPr="00987DDC">
        <w:rPr>
          <w:noProof/>
        </w:rPr>
        <w:t>miotów przetwarzających. Jednocześnie należy poczynić dalsze postępy</w:t>
      </w:r>
      <w:r w:rsidR="00987DDC" w:rsidRPr="00987DDC">
        <w:rPr>
          <w:noProof/>
        </w:rPr>
        <w:t xml:space="preserve"> w</w:t>
      </w:r>
      <w:r w:rsidR="00987DDC">
        <w:rPr>
          <w:noProof/>
        </w:rPr>
        <w:t> </w:t>
      </w:r>
      <w:r w:rsidR="00987DDC" w:rsidRPr="00987DDC">
        <w:rPr>
          <w:noProof/>
        </w:rPr>
        <w:t>wie</w:t>
      </w:r>
      <w:r w:rsidRPr="00987DDC">
        <w:rPr>
          <w:noProof/>
        </w:rPr>
        <w:t>lu dziedzinach</w:t>
      </w:r>
      <w:r w:rsidR="00987DDC" w:rsidRPr="00987DDC">
        <w:rPr>
          <w:noProof/>
        </w:rPr>
        <w:t>. W</w:t>
      </w:r>
      <w:r w:rsidR="00987DDC">
        <w:rPr>
          <w:noProof/>
        </w:rPr>
        <w:t> </w:t>
      </w:r>
      <w:r w:rsidR="00987DDC" w:rsidRPr="00987DDC">
        <w:rPr>
          <w:noProof/>
        </w:rPr>
        <w:t>nad</w:t>
      </w:r>
      <w:r w:rsidRPr="00987DDC">
        <w:rPr>
          <w:noProof/>
        </w:rPr>
        <w:t>chodzących latach należy</w:t>
      </w:r>
      <w:r w:rsidR="00987DDC" w:rsidRPr="00987DDC">
        <w:rPr>
          <w:noProof/>
        </w:rPr>
        <w:t xml:space="preserve"> w</w:t>
      </w:r>
      <w:r w:rsidR="00987DDC">
        <w:rPr>
          <w:noProof/>
        </w:rPr>
        <w:t> </w:t>
      </w:r>
      <w:r w:rsidR="00987DDC" w:rsidRPr="00987DDC">
        <w:rPr>
          <w:noProof/>
        </w:rPr>
        <w:t>szc</w:t>
      </w:r>
      <w:r w:rsidRPr="00987DDC">
        <w:rPr>
          <w:noProof/>
        </w:rPr>
        <w:t>zególności skupić się na wspieraniu wysiłków zainteresowanych stron – zwłaszcza małych</w:t>
      </w:r>
      <w:r w:rsidR="00987DDC" w:rsidRPr="00987DDC">
        <w:rPr>
          <w:noProof/>
        </w:rPr>
        <w:t xml:space="preserve"> i</w:t>
      </w:r>
      <w:r w:rsidR="00987DDC">
        <w:rPr>
          <w:noProof/>
        </w:rPr>
        <w:t> </w:t>
      </w:r>
      <w:r w:rsidR="00987DDC" w:rsidRPr="00987DDC">
        <w:rPr>
          <w:noProof/>
        </w:rPr>
        <w:t>śre</w:t>
      </w:r>
      <w:r w:rsidRPr="00987DDC">
        <w:rPr>
          <w:noProof/>
        </w:rPr>
        <w:t>dnich przedsiębiorstw (MŚP), małych podmiotów oraz naukowców</w:t>
      </w:r>
      <w:r w:rsidR="00987DDC" w:rsidRPr="00987DDC">
        <w:rPr>
          <w:noProof/>
        </w:rPr>
        <w:t xml:space="preserve"> i</w:t>
      </w:r>
      <w:r w:rsidR="00987DDC">
        <w:rPr>
          <w:noProof/>
        </w:rPr>
        <w:t> </w:t>
      </w:r>
      <w:r w:rsidR="00987DDC" w:rsidRPr="00987DDC">
        <w:rPr>
          <w:noProof/>
        </w:rPr>
        <w:t>org</w:t>
      </w:r>
      <w:r w:rsidRPr="00987DDC">
        <w:rPr>
          <w:noProof/>
        </w:rPr>
        <w:t>anizacji badawczych – podejmowanych</w:t>
      </w:r>
      <w:r w:rsidR="00987DDC" w:rsidRPr="00987DDC">
        <w:rPr>
          <w:noProof/>
        </w:rPr>
        <w:t xml:space="preserve"> w</w:t>
      </w:r>
      <w:r w:rsidR="00987DDC">
        <w:rPr>
          <w:noProof/>
        </w:rPr>
        <w:t> </w:t>
      </w:r>
      <w:r w:rsidR="00987DDC" w:rsidRPr="00987DDC">
        <w:rPr>
          <w:noProof/>
        </w:rPr>
        <w:t>cel</w:t>
      </w:r>
      <w:r w:rsidRPr="00987DDC">
        <w:rPr>
          <w:noProof/>
        </w:rPr>
        <w:t>u przestrzegania przepisów, na zapewnianiu jaśniejszych</w:t>
      </w:r>
      <w:r w:rsidR="00987DDC" w:rsidRPr="00987DDC">
        <w:rPr>
          <w:noProof/>
        </w:rPr>
        <w:t xml:space="preserve"> i</w:t>
      </w:r>
      <w:r w:rsidR="00987DDC">
        <w:rPr>
          <w:noProof/>
        </w:rPr>
        <w:t> </w:t>
      </w:r>
      <w:r w:rsidR="00987DDC" w:rsidRPr="00987DDC">
        <w:rPr>
          <w:noProof/>
        </w:rPr>
        <w:t>bar</w:t>
      </w:r>
      <w:r w:rsidRPr="00987DDC">
        <w:rPr>
          <w:noProof/>
        </w:rPr>
        <w:t>dziej użytecznych wytycznych przez organy ochrony danych oraz na poprawie spójności interpretacji</w:t>
      </w:r>
      <w:r w:rsidR="00987DDC" w:rsidRPr="00987DDC">
        <w:rPr>
          <w:noProof/>
        </w:rPr>
        <w:t xml:space="preserve"> i</w:t>
      </w:r>
      <w:r w:rsidR="00987DDC">
        <w:rPr>
          <w:noProof/>
        </w:rPr>
        <w:t> </w:t>
      </w:r>
      <w:r w:rsidR="00987DDC" w:rsidRPr="00987DDC">
        <w:rPr>
          <w:noProof/>
        </w:rPr>
        <w:t>egz</w:t>
      </w:r>
      <w:r w:rsidRPr="00987DDC">
        <w:rPr>
          <w:noProof/>
        </w:rPr>
        <w:t>ekwowania przepisów RODO</w:t>
      </w:r>
      <w:r w:rsidR="00987DDC" w:rsidRPr="00987DDC">
        <w:rPr>
          <w:noProof/>
        </w:rPr>
        <w:t xml:space="preserve"> w</w:t>
      </w:r>
      <w:r w:rsidR="00987DDC">
        <w:rPr>
          <w:noProof/>
        </w:rPr>
        <w:t> </w:t>
      </w:r>
      <w:r w:rsidR="00987DDC" w:rsidRPr="00987DDC">
        <w:rPr>
          <w:noProof/>
        </w:rPr>
        <w:t>cał</w:t>
      </w:r>
      <w:r w:rsidRPr="00987DDC">
        <w:rPr>
          <w:noProof/>
        </w:rPr>
        <w:t xml:space="preserve">ej UE. </w:t>
      </w:r>
    </w:p>
    <w:p w14:paraId="5264608B" w14:textId="0F9DE3D3" w:rsidR="00504A0C" w:rsidRPr="00987DDC" w:rsidRDefault="00B12EE9" w:rsidP="00504A0C">
      <w:pPr>
        <w:rPr>
          <w:noProof/>
        </w:rPr>
      </w:pPr>
      <w:r w:rsidRPr="00987DDC">
        <w:rPr>
          <w:noProof/>
        </w:rPr>
        <w:t>Zgodnie</w:t>
      </w:r>
      <w:r w:rsidR="00987DDC" w:rsidRPr="00987DDC">
        <w:rPr>
          <w:noProof/>
        </w:rPr>
        <w:t xml:space="preserve"> z</w:t>
      </w:r>
      <w:r w:rsidR="00987DDC">
        <w:rPr>
          <w:noProof/>
        </w:rPr>
        <w:t> </w:t>
      </w:r>
      <w:r w:rsidR="00987DDC" w:rsidRPr="00987DDC">
        <w:rPr>
          <w:noProof/>
        </w:rPr>
        <w:t>art</w:t>
      </w:r>
      <w:r w:rsidRPr="00987DDC">
        <w:rPr>
          <w:noProof/>
        </w:rPr>
        <w:t>.</w:t>
      </w:r>
      <w:r w:rsidR="00987DDC" w:rsidRPr="00987DDC">
        <w:rPr>
          <w:noProof/>
        </w:rPr>
        <w:t> </w:t>
      </w:r>
      <w:r w:rsidRPr="00987DDC">
        <w:rPr>
          <w:noProof/>
        </w:rPr>
        <w:t>97 RODO Komisja analizuje</w:t>
      </w:r>
      <w:r w:rsidR="00987DDC" w:rsidRPr="00987DDC">
        <w:rPr>
          <w:noProof/>
        </w:rPr>
        <w:t xml:space="preserve"> w</w:t>
      </w:r>
      <w:r w:rsidR="00987DDC">
        <w:rPr>
          <w:noProof/>
        </w:rPr>
        <w:t> </w:t>
      </w:r>
      <w:r w:rsidR="00987DDC" w:rsidRPr="00987DDC">
        <w:rPr>
          <w:noProof/>
        </w:rPr>
        <w:t>szc</w:t>
      </w:r>
      <w:r w:rsidRPr="00987DDC">
        <w:rPr>
          <w:noProof/>
        </w:rPr>
        <w:t>zególności stosowanie</w:t>
      </w:r>
      <w:r w:rsidR="00987DDC" w:rsidRPr="00987DDC">
        <w:rPr>
          <w:noProof/>
        </w:rPr>
        <w:t xml:space="preserve"> i</w:t>
      </w:r>
      <w:r w:rsidR="00987DDC">
        <w:rPr>
          <w:noProof/>
        </w:rPr>
        <w:t> </w:t>
      </w:r>
      <w:r w:rsidR="00987DDC" w:rsidRPr="00987DDC">
        <w:rPr>
          <w:noProof/>
        </w:rPr>
        <w:t>fun</w:t>
      </w:r>
      <w:r w:rsidRPr="00987DDC">
        <w:rPr>
          <w:noProof/>
        </w:rPr>
        <w:t>kcjonowanie przepisów dotyczących międzynarodowego przekazywania danych osobowych do państw trzecich (tj. państw spoza UE/EOG) (rozdział V RODO) oraz dotyczących mechanizmów współpracy</w:t>
      </w:r>
      <w:r w:rsidR="00987DDC" w:rsidRPr="00987DDC">
        <w:rPr>
          <w:noProof/>
        </w:rPr>
        <w:t xml:space="preserve"> i</w:t>
      </w:r>
      <w:r w:rsidR="00987DDC">
        <w:rPr>
          <w:noProof/>
        </w:rPr>
        <w:t> </w:t>
      </w:r>
      <w:r w:rsidR="00987DDC" w:rsidRPr="00987DDC">
        <w:rPr>
          <w:noProof/>
        </w:rPr>
        <w:t>spó</w:t>
      </w:r>
      <w:r w:rsidRPr="00987DDC">
        <w:rPr>
          <w:noProof/>
        </w:rPr>
        <w:t>jności między krajowymi organami ochrony danych (rozdział VII RODO). Podobnie jak sprawozdanie</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niniejsze sprawozdanie zawiera jednak ogólną ocenę stosowania RODO, która wykracza poza te dwa elementy: przedstawiono</w:t>
      </w:r>
      <w:r w:rsidR="00987DDC" w:rsidRPr="00987DDC">
        <w:rPr>
          <w:noProof/>
        </w:rPr>
        <w:t xml:space="preserve"> w</w:t>
      </w:r>
      <w:r w:rsidR="00987DDC">
        <w:rPr>
          <w:noProof/>
        </w:rPr>
        <w:t> </w:t>
      </w:r>
      <w:r w:rsidR="00987DDC" w:rsidRPr="00987DDC">
        <w:rPr>
          <w:noProof/>
        </w:rPr>
        <w:t>nim</w:t>
      </w:r>
      <w:r w:rsidRPr="00987DDC">
        <w:rPr>
          <w:noProof/>
        </w:rPr>
        <w:t xml:space="preserve"> również szereg działań niezbędnych do wspierania stosowania RODO</w:t>
      </w:r>
      <w:r w:rsidR="00987DDC" w:rsidRPr="00987DDC">
        <w:rPr>
          <w:noProof/>
        </w:rPr>
        <w:t xml:space="preserve"> w</w:t>
      </w:r>
      <w:r w:rsidR="00987DDC">
        <w:rPr>
          <w:noProof/>
        </w:rPr>
        <w:t> </w:t>
      </w:r>
      <w:r w:rsidR="00987DDC" w:rsidRPr="00987DDC">
        <w:rPr>
          <w:noProof/>
        </w:rPr>
        <w:t>klu</w:t>
      </w:r>
      <w:r w:rsidRPr="00987DDC">
        <w:rPr>
          <w:noProof/>
        </w:rPr>
        <w:t>czowych obszarach priorytetowych.</w:t>
      </w:r>
    </w:p>
    <w:p w14:paraId="63157CB0" w14:textId="4C663519" w:rsidR="00504A0C" w:rsidRPr="00987DDC" w:rsidRDefault="00504A0C" w:rsidP="00504A0C">
      <w:pPr>
        <w:rPr>
          <w:noProof/>
        </w:rPr>
      </w:pPr>
      <w:r w:rsidRPr="00987DDC">
        <w:rPr>
          <w:noProof/>
        </w:rPr>
        <w:t>W niniejszym sprawozdaniu wykorzystano następujące źródła: (i) stanowisko</w:t>
      </w:r>
      <w:r w:rsidR="00987DDC" w:rsidRPr="00987DDC">
        <w:rPr>
          <w:noProof/>
        </w:rPr>
        <w:t xml:space="preserve"> i</w:t>
      </w:r>
      <w:r w:rsidR="00987DDC">
        <w:rPr>
          <w:noProof/>
        </w:rPr>
        <w:t> </w:t>
      </w:r>
      <w:r w:rsidR="00987DDC" w:rsidRPr="00987DDC">
        <w:rPr>
          <w:noProof/>
        </w:rPr>
        <w:t>ust</w:t>
      </w:r>
      <w:r w:rsidRPr="00987DDC">
        <w:rPr>
          <w:noProof/>
        </w:rPr>
        <w:t>alenia Rady przyjęte</w:t>
      </w:r>
      <w:r w:rsidR="00987DDC" w:rsidRPr="00987DDC">
        <w:rPr>
          <w:noProof/>
        </w:rPr>
        <w:t xml:space="preserve"> w</w:t>
      </w:r>
      <w:r w:rsidR="00987DDC">
        <w:rPr>
          <w:noProof/>
        </w:rPr>
        <w:t> </w:t>
      </w:r>
      <w:r w:rsidR="00987DDC" w:rsidRPr="00987DDC">
        <w:rPr>
          <w:noProof/>
        </w:rPr>
        <w:t>gru</w:t>
      </w:r>
      <w:r w:rsidRPr="00987DDC">
        <w:rPr>
          <w:noProof/>
        </w:rPr>
        <w:t>dniu 2023</w:t>
      </w:r>
      <w:r w:rsidR="00987DDC" w:rsidRPr="00987DDC">
        <w:rPr>
          <w:noProof/>
        </w:rPr>
        <w:t> </w:t>
      </w:r>
      <w:r w:rsidRPr="00987DDC">
        <w:rPr>
          <w:noProof/>
        </w:rPr>
        <w:t>r. (</w:t>
      </w:r>
      <w:r w:rsidRPr="00987DDC">
        <w:rPr>
          <w:rStyle w:val="FootnoteReference"/>
          <w:noProof/>
        </w:rPr>
        <w:footnoteReference w:id="3"/>
      </w:r>
      <w:r w:rsidRPr="00987DDC">
        <w:rPr>
          <w:noProof/>
        </w:rPr>
        <w:t>); (ii) informacje zebrane od zainteresowanych stron,</w:t>
      </w:r>
      <w:r w:rsidR="00987DDC" w:rsidRPr="00987DDC">
        <w:rPr>
          <w:noProof/>
        </w:rPr>
        <w:t xml:space="preserve"> w</w:t>
      </w:r>
      <w:r w:rsidR="00987DDC">
        <w:rPr>
          <w:noProof/>
        </w:rPr>
        <w:t> </w:t>
      </w:r>
      <w:r w:rsidR="00987DDC" w:rsidRPr="00987DDC">
        <w:rPr>
          <w:noProof/>
        </w:rPr>
        <w:t>szc</w:t>
      </w:r>
      <w:r w:rsidRPr="00987DDC">
        <w:rPr>
          <w:noProof/>
        </w:rPr>
        <w:t>zególności za pośrednictwem grupy ekspertów ds. RODO</w:t>
      </w:r>
      <w:r w:rsidR="00987DDC" w:rsidRPr="00987DDC">
        <w:rPr>
          <w:noProof/>
        </w:rPr>
        <w:t xml:space="preserve"> z</w:t>
      </w:r>
      <w:r w:rsidR="00987DDC">
        <w:rPr>
          <w:noProof/>
        </w:rPr>
        <w:t> </w:t>
      </w:r>
      <w:r w:rsidR="00987DDC" w:rsidRPr="00987DDC">
        <w:rPr>
          <w:noProof/>
        </w:rPr>
        <w:t>udz</w:t>
      </w:r>
      <w:r w:rsidRPr="00987DDC">
        <w:rPr>
          <w:noProof/>
        </w:rPr>
        <w:t>iałem wielu zainteresowanych stron (</w:t>
      </w:r>
      <w:r w:rsidRPr="00987DDC">
        <w:rPr>
          <w:rStyle w:val="FootnoteReference"/>
          <w:noProof/>
        </w:rPr>
        <w:footnoteReference w:id="4"/>
      </w:r>
      <w:r w:rsidRPr="00987DDC">
        <w:rPr>
          <w:noProof/>
        </w:rPr>
        <w:t>) oraz</w:t>
      </w:r>
      <w:r w:rsidR="00987DDC" w:rsidRPr="00987DDC">
        <w:rPr>
          <w:noProof/>
        </w:rPr>
        <w:t xml:space="preserve"> w</w:t>
      </w:r>
      <w:r w:rsidR="00987DDC">
        <w:rPr>
          <w:noProof/>
        </w:rPr>
        <w:t> </w:t>
      </w:r>
      <w:r w:rsidR="00987DDC" w:rsidRPr="00987DDC">
        <w:rPr>
          <w:noProof/>
        </w:rPr>
        <w:t>dro</w:t>
      </w:r>
      <w:r w:rsidRPr="00987DDC">
        <w:rPr>
          <w:noProof/>
        </w:rPr>
        <w:t>dze publicznego zaproszenia do zgłaszania uwag (</w:t>
      </w:r>
      <w:r w:rsidRPr="00987DDC">
        <w:rPr>
          <w:rStyle w:val="FootnoteReference"/>
          <w:noProof/>
        </w:rPr>
        <w:footnoteReference w:id="5"/>
      </w:r>
      <w:r w:rsidRPr="00987DDC">
        <w:rPr>
          <w:noProof/>
        </w:rPr>
        <w:t>); oraz (iii) informacje otrzymane od organów ochrony danych (wkład Europejskiej Rady Ochrony Danych (</w:t>
      </w:r>
      <w:r w:rsidRPr="00987DDC">
        <w:rPr>
          <w:rStyle w:val="FootnoteReference"/>
          <w:noProof/>
        </w:rPr>
        <w:footnoteReference w:id="6"/>
      </w:r>
      <w:r w:rsidRPr="00987DDC">
        <w:rPr>
          <w:noProof/>
        </w:rPr>
        <w:t>) (EROD) oraz sprawozdanie przygotowane przez Agencję Praw Podstawowych (FRA) na podstawie rozmów</w:t>
      </w:r>
      <w:r w:rsidR="00987DDC" w:rsidRPr="00987DDC">
        <w:rPr>
          <w:noProof/>
        </w:rPr>
        <w:t xml:space="preserve"> z</w:t>
      </w:r>
      <w:r w:rsidR="00987DDC">
        <w:rPr>
          <w:noProof/>
        </w:rPr>
        <w:t> </w:t>
      </w:r>
      <w:r w:rsidR="00987DDC" w:rsidRPr="00987DDC">
        <w:rPr>
          <w:noProof/>
        </w:rPr>
        <w:t>pos</w:t>
      </w:r>
      <w:r w:rsidRPr="00987DDC">
        <w:rPr>
          <w:noProof/>
        </w:rPr>
        <w:t>zczególnymi organami ochrony danych (</w:t>
      </w:r>
      <w:r w:rsidRPr="00987DDC">
        <w:rPr>
          <w:rStyle w:val="FootnoteReference"/>
          <w:noProof/>
        </w:rPr>
        <w:footnoteReference w:id="7"/>
      </w:r>
      <w:r w:rsidRPr="00987DDC">
        <w:rPr>
          <w:noProof/>
        </w:rPr>
        <w:t>) („sprawozdanie FRA”). Sprawozdanie opiera się również na wnioskach</w:t>
      </w:r>
      <w:r w:rsidR="00987DDC" w:rsidRPr="00987DDC">
        <w:rPr>
          <w:noProof/>
        </w:rPr>
        <w:t xml:space="preserve"> z</w:t>
      </w:r>
      <w:r w:rsidR="00987DDC">
        <w:rPr>
          <w:noProof/>
        </w:rPr>
        <w:t> </w:t>
      </w:r>
      <w:r w:rsidR="00987DDC" w:rsidRPr="00987DDC">
        <w:rPr>
          <w:noProof/>
        </w:rPr>
        <w:t>bie</w:t>
      </w:r>
      <w:r w:rsidRPr="00987DDC">
        <w:rPr>
          <w:noProof/>
        </w:rPr>
        <w:t>żącego monitorowania przez Komisję stosowania RODO,</w:t>
      </w:r>
      <w:r w:rsidR="00987DDC" w:rsidRPr="00987DDC">
        <w:rPr>
          <w:noProof/>
        </w:rPr>
        <w:t xml:space="preserve"> w</w:t>
      </w:r>
      <w:r w:rsidR="00987DDC">
        <w:rPr>
          <w:noProof/>
        </w:rPr>
        <w:t> </w:t>
      </w:r>
      <w:r w:rsidR="00987DDC" w:rsidRPr="00987DDC">
        <w:rPr>
          <w:noProof/>
        </w:rPr>
        <w:t>tym</w:t>
      </w:r>
      <w:r w:rsidRPr="00987DDC">
        <w:rPr>
          <w:noProof/>
        </w:rPr>
        <w:t xml:space="preserve"> dwustronnych dialogach</w:t>
      </w:r>
      <w:r w:rsidR="00987DDC" w:rsidRPr="00987DDC">
        <w:rPr>
          <w:noProof/>
        </w:rPr>
        <w:t xml:space="preserve"> z</w:t>
      </w:r>
      <w:r w:rsidR="00987DDC">
        <w:rPr>
          <w:noProof/>
        </w:rPr>
        <w:t> </w:t>
      </w:r>
      <w:r w:rsidR="00987DDC" w:rsidRPr="00987DDC">
        <w:rPr>
          <w:noProof/>
        </w:rPr>
        <w:t>pań</w:t>
      </w:r>
      <w:r w:rsidRPr="00987DDC">
        <w:rPr>
          <w:noProof/>
        </w:rPr>
        <w:t>stwami członkowskimi na temat zgodności przepisów krajowych, oraz na doświadczeniach</w:t>
      </w:r>
      <w:r w:rsidR="00987DDC" w:rsidRPr="00987DDC">
        <w:rPr>
          <w:noProof/>
        </w:rPr>
        <w:t xml:space="preserve"> z</w:t>
      </w:r>
      <w:r w:rsidR="00987DDC">
        <w:rPr>
          <w:noProof/>
        </w:rPr>
        <w:t> </w:t>
      </w:r>
      <w:r w:rsidR="00987DDC" w:rsidRPr="00987DDC">
        <w:rPr>
          <w:noProof/>
        </w:rPr>
        <w:t>czy</w:t>
      </w:r>
      <w:r w:rsidRPr="00987DDC">
        <w:rPr>
          <w:noProof/>
        </w:rPr>
        <w:t>nnego udziału</w:t>
      </w:r>
      <w:r w:rsidR="00987DDC" w:rsidRPr="00987DDC">
        <w:rPr>
          <w:noProof/>
        </w:rPr>
        <w:t xml:space="preserve"> w</w:t>
      </w:r>
      <w:r w:rsidR="00987DDC">
        <w:rPr>
          <w:noProof/>
        </w:rPr>
        <w:t> </w:t>
      </w:r>
      <w:r w:rsidR="00987DDC" w:rsidRPr="00987DDC">
        <w:rPr>
          <w:noProof/>
        </w:rPr>
        <w:t>pra</w:t>
      </w:r>
      <w:r w:rsidRPr="00987DDC">
        <w:rPr>
          <w:noProof/>
        </w:rPr>
        <w:t>cach EROD</w:t>
      </w:r>
      <w:r w:rsidR="00987DDC" w:rsidRPr="00987DDC">
        <w:rPr>
          <w:noProof/>
        </w:rPr>
        <w:t xml:space="preserve"> i</w:t>
      </w:r>
      <w:r w:rsidR="00987DDC">
        <w:rPr>
          <w:noProof/>
        </w:rPr>
        <w:t> </w:t>
      </w:r>
      <w:r w:rsidR="00987DDC" w:rsidRPr="00987DDC">
        <w:rPr>
          <w:noProof/>
        </w:rPr>
        <w:t>z</w:t>
      </w:r>
      <w:r w:rsidR="00987DDC">
        <w:rPr>
          <w:noProof/>
        </w:rPr>
        <w:t> </w:t>
      </w:r>
      <w:r w:rsidR="00987DDC" w:rsidRPr="00987DDC">
        <w:rPr>
          <w:noProof/>
        </w:rPr>
        <w:t>bli</w:t>
      </w:r>
      <w:r w:rsidRPr="00987DDC">
        <w:rPr>
          <w:noProof/>
        </w:rPr>
        <w:t>skich kontaktów</w:t>
      </w:r>
      <w:r w:rsidR="00987DDC" w:rsidRPr="00987DDC">
        <w:rPr>
          <w:noProof/>
        </w:rPr>
        <w:t xml:space="preserve"> z</w:t>
      </w:r>
      <w:r w:rsidR="00987DDC">
        <w:rPr>
          <w:noProof/>
        </w:rPr>
        <w:t> </w:t>
      </w:r>
      <w:r w:rsidR="00987DDC" w:rsidRPr="00987DDC">
        <w:rPr>
          <w:noProof/>
        </w:rPr>
        <w:t>sze</w:t>
      </w:r>
      <w:r w:rsidRPr="00987DDC">
        <w:rPr>
          <w:noProof/>
        </w:rPr>
        <w:t>rokim gronem zainteresowanych stron</w:t>
      </w:r>
      <w:r w:rsidR="00987DDC" w:rsidRPr="00987DDC">
        <w:rPr>
          <w:noProof/>
        </w:rPr>
        <w:t xml:space="preserve"> w</w:t>
      </w:r>
      <w:r w:rsidR="00987DDC">
        <w:rPr>
          <w:noProof/>
        </w:rPr>
        <w:t> </w:t>
      </w:r>
      <w:r w:rsidR="00987DDC" w:rsidRPr="00987DDC">
        <w:rPr>
          <w:noProof/>
        </w:rPr>
        <w:t>spr</w:t>
      </w:r>
      <w:r w:rsidRPr="00987DDC">
        <w:rPr>
          <w:noProof/>
        </w:rPr>
        <w:t>awie praktycznego stosowania rozporządzenia.</w:t>
      </w:r>
    </w:p>
    <w:p w14:paraId="2C545240" w14:textId="359EA437" w:rsidR="0083492D" w:rsidRPr="00987DDC" w:rsidRDefault="42FB9256" w:rsidP="0003154B">
      <w:pPr>
        <w:pStyle w:val="Heading1"/>
        <w:rPr>
          <w:noProof/>
        </w:rPr>
      </w:pPr>
      <w:bookmarkStart w:id="4" w:name="_Toc165303739"/>
      <w:r w:rsidRPr="00987DDC">
        <w:rPr>
          <w:noProof/>
        </w:rPr>
        <w:t>Egzekwowanie RODO oraz funkcjonowanie mechanizmu współpracy</w:t>
      </w:r>
      <w:r w:rsidR="00987DDC" w:rsidRPr="00987DDC">
        <w:rPr>
          <w:noProof/>
        </w:rPr>
        <w:t xml:space="preserve"> i</w:t>
      </w:r>
      <w:r w:rsidR="00987DDC">
        <w:rPr>
          <w:noProof/>
        </w:rPr>
        <w:t> </w:t>
      </w:r>
      <w:r w:rsidR="00987DDC" w:rsidRPr="00987DDC">
        <w:rPr>
          <w:noProof/>
        </w:rPr>
        <w:t>spó</w:t>
      </w:r>
      <w:r w:rsidRPr="00987DDC">
        <w:rPr>
          <w:noProof/>
        </w:rPr>
        <w:t>jności</w:t>
      </w:r>
      <w:bookmarkEnd w:id="4"/>
      <w:r w:rsidRPr="00987DDC">
        <w:rPr>
          <w:noProof/>
        </w:rPr>
        <w:t xml:space="preserve"> </w:t>
      </w:r>
    </w:p>
    <w:p w14:paraId="7A4F3804" w14:textId="5C9B0723" w:rsidR="00514C01" w:rsidRPr="00987DDC" w:rsidRDefault="0083492D" w:rsidP="005E704C">
      <w:pPr>
        <w:rPr>
          <w:noProof/>
        </w:rPr>
      </w:pPr>
      <w:r w:rsidRPr="00987DDC">
        <w:rPr>
          <w:noProof/>
        </w:rPr>
        <w:t>Kompleksowy system egzekwowania RODO ma na celu zapewnienie zharmonizowanej interpretacji</w:t>
      </w:r>
      <w:r w:rsidR="00987DDC" w:rsidRPr="00987DDC">
        <w:rPr>
          <w:noProof/>
        </w:rPr>
        <w:t xml:space="preserve"> i</w:t>
      </w:r>
      <w:r w:rsidR="00987DDC">
        <w:rPr>
          <w:noProof/>
        </w:rPr>
        <w:t> </w:t>
      </w:r>
      <w:r w:rsidR="00987DDC" w:rsidRPr="00987DDC">
        <w:rPr>
          <w:noProof/>
        </w:rPr>
        <w:t>egz</w:t>
      </w:r>
      <w:r w:rsidRPr="00987DDC">
        <w:rPr>
          <w:noProof/>
        </w:rPr>
        <w:t>ekwowania przepisów przez niezależne organy ochrony danych. Wymaga on współpracy między organami ochrony danych</w:t>
      </w:r>
      <w:r w:rsidR="00987DDC" w:rsidRPr="00987DDC">
        <w:rPr>
          <w:noProof/>
        </w:rPr>
        <w:t xml:space="preserve"> w</w:t>
      </w:r>
      <w:r w:rsidR="00987DDC">
        <w:rPr>
          <w:noProof/>
        </w:rPr>
        <w:t> </w:t>
      </w:r>
      <w:r w:rsidR="00987DDC" w:rsidRPr="00987DDC">
        <w:rPr>
          <w:noProof/>
        </w:rPr>
        <w:t>prz</w:t>
      </w:r>
      <w:r w:rsidRPr="00987DDC">
        <w:rPr>
          <w:noProof/>
        </w:rPr>
        <w:t>ypadkach transgranicznego przetwarzania danych, kiedy takie operacje</w:t>
      </w:r>
      <w:r w:rsidR="00987DDC" w:rsidRPr="00987DDC">
        <w:rPr>
          <w:noProof/>
        </w:rPr>
        <w:t xml:space="preserve"> w</w:t>
      </w:r>
      <w:r w:rsidR="00987DDC">
        <w:rPr>
          <w:noProof/>
        </w:rPr>
        <w:t> </w:t>
      </w:r>
      <w:r w:rsidR="00987DDC" w:rsidRPr="00987DDC">
        <w:rPr>
          <w:noProof/>
        </w:rPr>
        <w:t>ist</w:t>
      </w:r>
      <w:r w:rsidRPr="00987DDC">
        <w:rPr>
          <w:noProof/>
        </w:rPr>
        <w:t>otny sposób wpływają na osoby, których dane dotyczą,</w:t>
      </w:r>
      <w:r w:rsidR="00987DDC" w:rsidRPr="00987DDC">
        <w:rPr>
          <w:noProof/>
        </w:rPr>
        <w:t xml:space="preserve"> w</w:t>
      </w:r>
      <w:r w:rsidR="00987DDC">
        <w:rPr>
          <w:noProof/>
        </w:rPr>
        <w:t> </w:t>
      </w:r>
      <w:r w:rsidR="00987DDC" w:rsidRPr="00987DDC">
        <w:rPr>
          <w:noProof/>
        </w:rPr>
        <w:t>wie</w:t>
      </w:r>
      <w:r w:rsidRPr="00987DDC">
        <w:rPr>
          <w:noProof/>
        </w:rPr>
        <w:t>lu państwach członkowskich. Spory między organami rozstrzyga EROD</w:t>
      </w:r>
      <w:r w:rsidR="00987DDC" w:rsidRPr="00987DDC">
        <w:rPr>
          <w:noProof/>
        </w:rPr>
        <w:t xml:space="preserve"> w</w:t>
      </w:r>
      <w:r w:rsidR="00987DDC">
        <w:rPr>
          <w:noProof/>
        </w:rPr>
        <w:t> </w:t>
      </w:r>
      <w:r w:rsidR="00987DDC" w:rsidRPr="00987DDC">
        <w:rPr>
          <w:noProof/>
        </w:rPr>
        <w:t>ram</w:t>
      </w:r>
      <w:r w:rsidRPr="00987DDC">
        <w:rPr>
          <w:noProof/>
        </w:rPr>
        <w:t>ach mechanizmu spójności RODO.</w:t>
      </w:r>
    </w:p>
    <w:p w14:paraId="0B87362F" w14:textId="423084BB" w:rsidR="000D528D" w:rsidRPr="00987DDC" w:rsidRDefault="00611F8C" w:rsidP="0003154B">
      <w:pPr>
        <w:pStyle w:val="Heading2"/>
        <w:rPr>
          <w:noProof/>
        </w:rPr>
      </w:pPr>
      <w:bookmarkStart w:id="5" w:name="_Toc165303740"/>
      <w:r w:rsidRPr="00987DDC">
        <w:rPr>
          <w:noProof/>
        </w:rPr>
        <w:t>Usprawnienie rozpatrywania spraw transgranicznych: wniosek dotyczący przepisów proceduralnych</w:t>
      </w:r>
      <w:bookmarkEnd w:id="5"/>
    </w:p>
    <w:p w14:paraId="3F159A43" w14:textId="2C43D2D7" w:rsidR="00514C01" w:rsidRPr="00987DDC" w:rsidRDefault="00514C01" w:rsidP="00673436">
      <w:pPr>
        <w:rPr>
          <w:noProof/>
        </w:rPr>
      </w:pPr>
      <w:r w:rsidRPr="00987DDC">
        <w:rPr>
          <w:noProof/>
        </w:rPr>
        <w:t>W sprawozdaniu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zwrócono uwagę na potrzebę dalszego usprawnienia</w:t>
      </w:r>
      <w:r w:rsidR="00987DDC" w:rsidRPr="00987DDC">
        <w:rPr>
          <w:noProof/>
        </w:rPr>
        <w:t xml:space="preserve"> i</w:t>
      </w:r>
      <w:r w:rsidR="00987DDC">
        <w:rPr>
          <w:noProof/>
        </w:rPr>
        <w:t> </w:t>
      </w:r>
      <w:r w:rsidR="00987DDC" w:rsidRPr="00987DDC">
        <w:rPr>
          <w:noProof/>
        </w:rPr>
        <w:t>uje</w:t>
      </w:r>
      <w:r w:rsidRPr="00987DDC">
        <w:rPr>
          <w:noProof/>
        </w:rPr>
        <w:t>dnolicenia postępowania</w:t>
      </w:r>
      <w:r w:rsidR="00987DDC" w:rsidRPr="00987DDC">
        <w:rPr>
          <w:noProof/>
        </w:rPr>
        <w:t xml:space="preserve"> w</w:t>
      </w:r>
      <w:r w:rsidR="00987DDC">
        <w:rPr>
          <w:noProof/>
        </w:rPr>
        <w:t> </w:t>
      </w:r>
      <w:r w:rsidR="00987DDC" w:rsidRPr="00987DDC">
        <w:rPr>
          <w:noProof/>
        </w:rPr>
        <w:t>spr</w:t>
      </w:r>
      <w:r w:rsidRPr="00987DDC">
        <w:rPr>
          <w:noProof/>
        </w:rPr>
        <w:t>awach transgranicznych</w:t>
      </w:r>
      <w:r w:rsidR="00987DDC" w:rsidRPr="00987DDC">
        <w:rPr>
          <w:noProof/>
        </w:rPr>
        <w:t xml:space="preserve"> w</w:t>
      </w:r>
      <w:r w:rsidR="00987DDC">
        <w:rPr>
          <w:noProof/>
        </w:rPr>
        <w:t> </w:t>
      </w:r>
      <w:r w:rsidR="00987DDC" w:rsidRPr="00987DDC">
        <w:rPr>
          <w:noProof/>
        </w:rPr>
        <w:t>cał</w:t>
      </w:r>
      <w:r w:rsidRPr="00987DDC">
        <w:rPr>
          <w:noProof/>
        </w:rPr>
        <w:t>ej UE, zwłaszcza ze względu na znaczne różnice</w:t>
      </w:r>
      <w:r w:rsidR="00987DDC" w:rsidRPr="00987DDC">
        <w:rPr>
          <w:noProof/>
        </w:rPr>
        <w:t xml:space="preserve"> w</w:t>
      </w:r>
      <w:r w:rsidR="00987DDC">
        <w:rPr>
          <w:noProof/>
        </w:rPr>
        <w:t> </w:t>
      </w:r>
      <w:r w:rsidR="00987DDC" w:rsidRPr="00987DDC">
        <w:rPr>
          <w:noProof/>
        </w:rPr>
        <w:t>kra</w:t>
      </w:r>
      <w:r w:rsidRPr="00987DDC">
        <w:rPr>
          <w:noProof/>
        </w:rPr>
        <w:t>jowych postępowaniach administracyjnych oraz</w:t>
      </w:r>
      <w:r w:rsidR="00987DDC" w:rsidRPr="00987DDC">
        <w:rPr>
          <w:noProof/>
        </w:rPr>
        <w:t xml:space="preserve"> w</w:t>
      </w:r>
      <w:r w:rsidR="00987DDC">
        <w:rPr>
          <w:noProof/>
        </w:rPr>
        <w:t> </w:t>
      </w:r>
      <w:r w:rsidR="00987DDC" w:rsidRPr="00987DDC">
        <w:rPr>
          <w:noProof/>
        </w:rPr>
        <w:t>int</w:t>
      </w:r>
      <w:r w:rsidRPr="00987DDC">
        <w:rPr>
          <w:noProof/>
        </w:rPr>
        <w:t>erpretacji pojęć związanych</w:t>
      </w:r>
      <w:r w:rsidR="00987DDC" w:rsidRPr="00987DDC">
        <w:rPr>
          <w:noProof/>
        </w:rPr>
        <w:t xml:space="preserve"> z</w:t>
      </w:r>
      <w:r w:rsidR="00987DDC">
        <w:rPr>
          <w:noProof/>
        </w:rPr>
        <w:t> </w:t>
      </w:r>
      <w:r w:rsidR="00987DDC" w:rsidRPr="00987DDC">
        <w:rPr>
          <w:noProof/>
        </w:rPr>
        <w:t>mec</w:t>
      </w:r>
      <w:r w:rsidRPr="00987DDC">
        <w:rPr>
          <w:noProof/>
        </w:rPr>
        <w:t>hanizmem współpracy</w:t>
      </w:r>
      <w:r w:rsidR="00987DDC" w:rsidRPr="00987DDC">
        <w:rPr>
          <w:noProof/>
        </w:rPr>
        <w:t xml:space="preserve"> w</w:t>
      </w:r>
      <w:r w:rsidR="00987DDC">
        <w:rPr>
          <w:noProof/>
        </w:rPr>
        <w:t> </w:t>
      </w:r>
      <w:r w:rsidR="00987DDC" w:rsidRPr="00987DDC">
        <w:rPr>
          <w:noProof/>
        </w:rPr>
        <w:t>ram</w:t>
      </w:r>
      <w:r w:rsidRPr="00987DDC">
        <w:rPr>
          <w:noProof/>
        </w:rPr>
        <w:t>ach RODO</w:t>
      </w:r>
      <w:r w:rsidR="00987DDC" w:rsidRPr="00987DDC">
        <w:rPr>
          <w:noProof/>
        </w:rPr>
        <w:t>. W</w:t>
      </w:r>
      <w:r w:rsidR="00987DDC">
        <w:rPr>
          <w:noProof/>
        </w:rPr>
        <w:t> </w:t>
      </w:r>
      <w:r w:rsidR="00987DDC" w:rsidRPr="00987DDC">
        <w:rPr>
          <w:noProof/>
        </w:rPr>
        <w:t>zwi</w:t>
      </w:r>
      <w:r w:rsidRPr="00987DDC">
        <w:rPr>
          <w:noProof/>
        </w:rPr>
        <w:t>ązku</w:t>
      </w:r>
      <w:r w:rsidR="00987DDC" w:rsidRPr="00987DDC">
        <w:rPr>
          <w:noProof/>
        </w:rPr>
        <w:t xml:space="preserve"> z</w:t>
      </w:r>
      <w:r w:rsidR="00987DDC">
        <w:rPr>
          <w:noProof/>
        </w:rPr>
        <w:t> </w:t>
      </w:r>
      <w:r w:rsidR="00987DDC" w:rsidRPr="00987DDC">
        <w:rPr>
          <w:noProof/>
        </w:rPr>
        <w:t>tym w</w:t>
      </w:r>
      <w:r w:rsidR="00987DDC">
        <w:rPr>
          <w:noProof/>
        </w:rPr>
        <w:t> </w:t>
      </w:r>
      <w:r w:rsidR="00987DDC" w:rsidRPr="00987DDC">
        <w:rPr>
          <w:noProof/>
        </w:rPr>
        <w:t>lip</w:t>
      </w:r>
      <w:r w:rsidRPr="00987DDC">
        <w:rPr>
          <w:noProof/>
        </w:rPr>
        <w:t>cu 2023</w:t>
      </w:r>
      <w:r w:rsidR="00987DDC" w:rsidRPr="00987DDC">
        <w:rPr>
          <w:noProof/>
        </w:rPr>
        <w:t> </w:t>
      </w:r>
      <w:r w:rsidRPr="00987DDC">
        <w:rPr>
          <w:noProof/>
        </w:rPr>
        <w:t>r. Komisja przyjęła wniosek dotyczący rozporządzenia</w:t>
      </w:r>
      <w:r w:rsidR="00987DDC" w:rsidRPr="00987DDC">
        <w:rPr>
          <w:noProof/>
        </w:rPr>
        <w:t xml:space="preserve"> w</w:t>
      </w:r>
      <w:r w:rsidR="00987DDC">
        <w:rPr>
          <w:noProof/>
        </w:rPr>
        <w:t> </w:t>
      </w:r>
      <w:r w:rsidR="00987DDC" w:rsidRPr="00987DDC">
        <w:rPr>
          <w:noProof/>
        </w:rPr>
        <w:t>spr</w:t>
      </w:r>
      <w:r w:rsidRPr="00987DDC">
        <w:rPr>
          <w:noProof/>
        </w:rPr>
        <w:t>awie przepisów proceduralnych (</w:t>
      </w:r>
      <w:r w:rsidRPr="00987DDC">
        <w:rPr>
          <w:rStyle w:val="FootnoteReference"/>
          <w:noProof/>
        </w:rPr>
        <w:footnoteReference w:id="8"/>
      </w:r>
      <w:r w:rsidRPr="00987DDC">
        <w:rPr>
          <w:noProof/>
        </w:rPr>
        <w:t>), opierając się również na wykazie problemów przedłożonym Komisji przez EROD</w:t>
      </w:r>
      <w:r w:rsidR="00987DDC" w:rsidRPr="00987DDC">
        <w:rPr>
          <w:noProof/>
        </w:rPr>
        <w:t xml:space="preserve"> w</w:t>
      </w:r>
      <w:r w:rsidR="00987DDC">
        <w:rPr>
          <w:noProof/>
        </w:rPr>
        <w:t> </w:t>
      </w:r>
      <w:r w:rsidR="00987DDC" w:rsidRPr="00987DDC">
        <w:rPr>
          <w:noProof/>
        </w:rPr>
        <w:t>paź</w:t>
      </w:r>
      <w:r w:rsidRPr="00987DDC">
        <w:rPr>
          <w:noProof/>
        </w:rPr>
        <w:t>dzierniku 2022</w:t>
      </w:r>
      <w:r w:rsidR="00987DDC" w:rsidRPr="00987DDC">
        <w:rPr>
          <w:noProof/>
        </w:rPr>
        <w:t> </w:t>
      </w:r>
      <w:r w:rsidRPr="00987DDC">
        <w:rPr>
          <w:noProof/>
        </w:rPr>
        <w:t>r. (</w:t>
      </w:r>
      <w:r w:rsidRPr="00987DDC">
        <w:rPr>
          <w:rStyle w:val="FootnoteReference"/>
          <w:noProof/>
        </w:rPr>
        <w:footnoteReference w:id="9"/>
      </w:r>
      <w:r w:rsidRPr="00987DDC">
        <w:rPr>
          <w:noProof/>
        </w:rPr>
        <w:t>) oraz na wkładzie zainteresowanych stron (</w:t>
      </w:r>
      <w:r w:rsidRPr="00987DDC">
        <w:rPr>
          <w:rStyle w:val="FootnoteReference"/>
          <w:noProof/>
        </w:rPr>
        <w:footnoteReference w:id="10"/>
      </w:r>
      <w:r w:rsidRPr="00987DDC">
        <w:rPr>
          <w:noProof/>
        </w:rPr>
        <w:t>)</w:t>
      </w:r>
      <w:r w:rsidR="00987DDC" w:rsidRPr="00987DDC">
        <w:rPr>
          <w:noProof/>
        </w:rPr>
        <w:t xml:space="preserve"> i</w:t>
      </w:r>
      <w:r w:rsidR="00987DDC">
        <w:rPr>
          <w:noProof/>
        </w:rPr>
        <w:t> </w:t>
      </w:r>
      <w:bookmarkStart w:id="6" w:name="_Hlk158391334"/>
      <w:r w:rsidR="00987DDC" w:rsidRPr="00987DDC">
        <w:rPr>
          <w:noProof/>
        </w:rPr>
        <w:t>pań</w:t>
      </w:r>
      <w:r w:rsidRPr="00987DDC">
        <w:rPr>
          <w:noProof/>
        </w:rPr>
        <w:t>stw członkowskich (</w:t>
      </w:r>
      <w:r w:rsidRPr="00987DDC">
        <w:rPr>
          <w:noProof/>
          <w:vertAlign w:val="superscript"/>
        </w:rPr>
        <w:footnoteReference w:id="11"/>
      </w:r>
      <w:r w:rsidRPr="00987DDC">
        <w:rPr>
          <w:noProof/>
        </w:rPr>
        <w:t>)</w:t>
      </w:r>
      <w:bookmarkEnd w:id="6"/>
      <w:r w:rsidRPr="00987DDC">
        <w:rPr>
          <w:noProof/>
        </w:rPr>
        <w:t xml:space="preserve">. </w:t>
      </w:r>
      <w:bookmarkStart w:id="7" w:name="_Hlk170131181"/>
      <w:r w:rsidRPr="00987DDC">
        <w:rPr>
          <w:noProof/>
        </w:rPr>
        <w:t>Wniosek uzupełnia RODO</w:t>
      </w:r>
      <w:r w:rsidR="00987DDC" w:rsidRPr="00987DDC">
        <w:rPr>
          <w:noProof/>
        </w:rPr>
        <w:t xml:space="preserve"> o</w:t>
      </w:r>
      <w:r w:rsidR="00987DDC">
        <w:rPr>
          <w:noProof/>
        </w:rPr>
        <w:t> </w:t>
      </w:r>
      <w:r w:rsidR="00987DDC" w:rsidRPr="00987DDC">
        <w:rPr>
          <w:noProof/>
        </w:rPr>
        <w:t>szc</w:t>
      </w:r>
      <w:r w:rsidRPr="00987DDC">
        <w:rPr>
          <w:noProof/>
        </w:rPr>
        <w:t>zegółowe przepisy dotyczące skarg transgranicznych, udziału skarżącego, praw procesowych stron objętych postępowaniem (administratorów</w:t>
      </w:r>
      <w:r w:rsidR="00987DDC" w:rsidRPr="00987DDC">
        <w:rPr>
          <w:noProof/>
        </w:rPr>
        <w:t xml:space="preserve"> i</w:t>
      </w:r>
      <w:r w:rsidR="00987DDC">
        <w:rPr>
          <w:noProof/>
        </w:rPr>
        <w:t> </w:t>
      </w:r>
      <w:r w:rsidR="00987DDC" w:rsidRPr="00987DDC">
        <w:rPr>
          <w:noProof/>
        </w:rPr>
        <w:t>pod</w:t>
      </w:r>
      <w:r w:rsidRPr="00987DDC">
        <w:rPr>
          <w:noProof/>
        </w:rPr>
        <w:t>miotów przetwarzających) oraz współpracy między organami ochrony danych. Harmonizacja tych aspektów proceduralnych przyczyni się do terminowego kończenia postępowań oraz zapewnienia sprawnego środka ochrony prawnej dla osób fizycznych.</w:t>
      </w:r>
      <w:bookmarkEnd w:id="7"/>
      <w:r w:rsidRPr="00987DDC">
        <w:rPr>
          <w:noProof/>
        </w:rPr>
        <w:t xml:space="preserve"> Wniosek jest obecnie przedmiotem negocjacji na forum Parlamentu Europejskiego</w:t>
      </w:r>
      <w:r w:rsidR="00987DDC" w:rsidRPr="00987DDC">
        <w:rPr>
          <w:noProof/>
        </w:rPr>
        <w:t xml:space="preserve"> i</w:t>
      </w:r>
      <w:r w:rsidR="00987DDC">
        <w:rPr>
          <w:noProof/>
        </w:rPr>
        <w:t> </w:t>
      </w:r>
      <w:r w:rsidR="00987DDC" w:rsidRPr="00987DDC">
        <w:rPr>
          <w:noProof/>
        </w:rPr>
        <w:t>Rad</w:t>
      </w:r>
      <w:r w:rsidRPr="00987DDC">
        <w:rPr>
          <w:noProof/>
        </w:rPr>
        <w:t xml:space="preserve">y. </w:t>
      </w:r>
    </w:p>
    <w:p w14:paraId="7F19BC52" w14:textId="62B5C240" w:rsidR="0076470C" w:rsidRPr="00987DDC" w:rsidRDefault="00D94C33" w:rsidP="0003154B">
      <w:pPr>
        <w:pStyle w:val="Heading2"/>
        <w:rPr>
          <w:noProof/>
        </w:rPr>
      </w:pPr>
      <w:bookmarkStart w:id="8" w:name="_Toc165303741"/>
      <w:r w:rsidRPr="00987DDC">
        <w:rPr>
          <w:noProof/>
        </w:rPr>
        <w:t>Ściślejsza współpraca między organami ochrony danych</w:t>
      </w:r>
      <w:r w:rsidR="00987DDC" w:rsidRPr="00987DDC">
        <w:rPr>
          <w:noProof/>
        </w:rPr>
        <w:t xml:space="preserve"> i</w:t>
      </w:r>
      <w:r w:rsidR="00987DDC">
        <w:rPr>
          <w:noProof/>
        </w:rPr>
        <w:t> </w:t>
      </w:r>
      <w:r w:rsidR="00987DDC" w:rsidRPr="00987DDC">
        <w:rPr>
          <w:noProof/>
        </w:rPr>
        <w:t>wyk</w:t>
      </w:r>
      <w:r w:rsidRPr="00987DDC">
        <w:rPr>
          <w:noProof/>
        </w:rPr>
        <w:t>orzystanie mechanizmu spójności</w:t>
      </w:r>
      <w:bookmarkEnd w:id="8"/>
    </w:p>
    <w:p w14:paraId="4E08D37A" w14:textId="26E7EFC4" w:rsidR="005E33E5" w:rsidRPr="00987DDC" w:rsidRDefault="00372E95" w:rsidP="00987DDC">
      <w:pPr>
        <w:rPr>
          <w:noProof/>
        </w:rPr>
      </w:pPr>
      <w:bookmarkStart w:id="9" w:name="_Hlk164328264"/>
      <w:r w:rsidRPr="00987DDC">
        <w:rPr>
          <w:noProof/>
        </w:rPr>
        <w:t>W ostatnich latach znacznie wzrosła liczba spraw transgranicznych. Organy ochrony danych wykazały większą chęć korzystania</w:t>
      </w:r>
      <w:r w:rsidR="00987DDC" w:rsidRPr="00987DDC">
        <w:rPr>
          <w:noProof/>
        </w:rPr>
        <w:t xml:space="preserve"> z</w:t>
      </w:r>
      <w:r w:rsidR="00987DDC">
        <w:rPr>
          <w:noProof/>
        </w:rPr>
        <w:t> </w:t>
      </w:r>
      <w:r w:rsidR="00987DDC" w:rsidRPr="00987DDC">
        <w:rPr>
          <w:noProof/>
        </w:rPr>
        <w:t>nar</w:t>
      </w:r>
      <w:r w:rsidRPr="00987DDC">
        <w:rPr>
          <w:noProof/>
        </w:rPr>
        <w:t>zędzi współpracy przewidzianych w RODO. Wszystkie organy ochrony danych korzystały</w:t>
      </w:r>
      <w:r w:rsidR="00987DDC" w:rsidRPr="00987DDC">
        <w:rPr>
          <w:noProof/>
        </w:rPr>
        <w:t xml:space="preserve"> z</w:t>
      </w:r>
      <w:r w:rsidR="00987DDC">
        <w:rPr>
          <w:noProof/>
        </w:rPr>
        <w:t> </w:t>
      </w:r>
      <w:r w:rsidR="00987DDC" w:rsidRPr="00987DDC">
        <w:rPr>
          <w:noProof/>
        </w:rPr>
        <w:t>nar</w:t>
      </w:r>
      <w:r w:rsidRPr="00987DDC">
        <w:rPr>
          <w:noProof/>
        </w:rPr>
        <w:t>zędzia wzajemnej pomocy (</w:t>
      </w:r>
      <w:r w:rsidRPr="001D54C7">
        <w:rPr>
          <w:noProof/>
        </w:rPr>
        <w:footnoteReference w:id="12"/>
      </w:r>
      <w:r w:rsidRPr="00987DDC">
        <w:rPr>
          <w:noProof/>
        </w:rPr>
        <w:t>) oraz z „nieformalnych” wniosków</w:t>
      </w:r>
      <w:r w:rsidR="00987DDC" w:rsidRPr="00987DDC">
        <w:rPr>
          <w:noProof/>
        </w:rPr>
        <w:t xml:space="preserve"> o</w:t>
      </w:r>
      <w:r w:rsidR="00987DDC">
        <w:rPr>
          <w:noProof/>
        </w:rPr>
        <w:t> </w:t>
      </w:r>
      <w:r w:rsidR="00987DDC" w:rsidRPr="00987DDC">
        <w:rPr>
          <w:noProof/>
        </w:rPr>
        <w:t>wza</w:t>
      </w:r>
      <w:r w:rsidRPr="00987DDC">
        <w:rPr>
          <w:noProof/>
        </w:rPr>
        <w:t>jemną pomoc na zasadzie dobrowolności. Organy ochrony danych preferują nieformalne wnioski,</w:t>
      </w:r>
      <w:r w:rsidR="00987DDC" w:rsidRPr="00987DDC">
        <w:rPr>
          <w:noProof/>
        </w:rPr>
        <w:t xml:space="preserve"> w</w:t>
      </w:r>
      <w:r w:rsidR="00987DDC">
        <w:rPr>
          <w:noProof/>
        </w:rPr>
        <w:t> </w:t>
      </w:r>
      <w:r w:rsidR="00987DDC" w:rsidRPr="00987DDC">
        <w:rPr>
          <w:noProof/>
        </w:rPr>
        <w:t>prz</w:t>
      </w:r>
      <w:r w:rsidRPr="00987DDC">
        <w:rPr>
          <w:noProof/>
        </w:rPr>
        <w:t>ypadku których nie ma zastosowania termin ani ścisły obowiązek udzielenia odpowiedzi. Chociaż</w:t>
      </w:r>
      <w:r w:rsidR="00987DDC" w:rsidRPr="00987DDC">
        <w:rPr>
          <w:noProof/>
        </w:rPr>
        <w:t xml:space="preserve"> w</w:t>
      </w:r>
      <w:r w:rsidR="00987DDC">
        <w:rPr>
          <w:noProof/>
        </w:rPr>
        <w:t> </w:t>
      </w:r>
      <w:r w:rsidR="00987DDC" w:rsidRPr="00987DDC">
        <w:rPr>
          <w:noProof/>
        </w:rPr>
        <w:t>2</w:t>
      </w:r>
      <w:r w:rsidRPr="00987DDC">
        <w:rPr>
          <w:noProof/>
        </w:rPr>
        <w:t>021</w:t>
      </w:r>
      <w:r w:rsidR="00987DDC" w:rsidRPr="00987DDC">
        <w:rPr>
          <w:noProof/>
        </w:rPr>
        <w:t> </w:t>
      </w:r>
      <w:r w:rsidRPr="00987DDC">
        <w:rPr>
          <w:noProof/>
        </w:rPr>
        <w:t>r. EROD przyjęła wytyczne dotyczące wspólnych operacji (</w:t>
      </w:r>
      <w:r w:rsidRPr="001D54C7">
        <w:rPr>
          <w:noProof/>
        </w:rPr>
        <w:footnoteReference w:id="13"/>
      </w:r>
      <w:r w:rsidRPr="00987DDC">
        <w:rPr>
          <w:noProof/>
        </w:rPr>
        <w:t>), organy póki co nie korzystały</w:t>
      </w:r>
      <w:r w:rsidR="00987DDC" w:rsidRPr="00987DDC">
        <w:rPr>
          <w:noProof/>
        </w:rPr>
        <w:t xml:space="preserve"> w</w:t>
      </w:r>
      <w:r w:rsidR="00987DDC">
        <w:rPr>
          <w:noProof/>
        </w:rPr>
        <w:t> </w:t>
      </w:r>
      <w:r w:rsidR="00987DDC" w:rsidRPr="00987DDC">
        <w:rPr>
          <w:noProof/>
        </w:rPr>
        <w:t>zna</w:t>
      </w:r>
      <w:r w:rsidRPr="00987DDC">
        <w:rPr>
          <w:noProof/>
        </w:rPr>
        <w:t>cznym stopniu</w:t>
      </w:r>
      <w:r w:rsidR="00987DDC" w:rsidRPr="00987DDC">
        <w:rPr>
          <w:noProof/>
        </w:rPr>
        <w:t xml:space="preserve"> z</w:t>
      </w:r>
      <w:r w:rsidR="00987DDC">
        <w:rPr>
          <w:noProof/>
        </w:rPr>
        <w:t> </w:t>
      </w:r>
      <w:r w:rsidR="00987DDC" w:rsidRPr="00987DDC">
        <w:rPr>
          <w:noProof/>
        </w:rPr>
        <w:t>teg</w:t>
      </w:r>
      <w:r w:rsidRPr="00987DDC">
        <w:rPr>
          <w:noProof/>
        </w:rPr>
        <w:t>o narzędzia (</w:t>
      </w:r>
      <w:r w:rsidRPr="001D54C7">
        <w:rPr>
          <w:noProof/>
        </w:rPr>
        <w:footnoteReference w:id="14"/>
      </w:r>
      <w:r w:rsidRPr="00987DDC">
        <w:rPr>
          <w:noProof/>
        </w:rPr>
        <w:t>),</w:t>
      </w:r>
      <w:r w:rsidR="00987DDC" w:rsidRPr="00987DDC">
        <w:rPr>
          <w:noProof/>
        </w:rPr>
        <w:t xml:space="preserve"> a</w:t>
      </w:r>
      <w:r w:rsidR="00987DDC">
        <w:rPr>
          <w:noProof/>
        </w:rPr>
        <w:t> </w:t>
      </w:r>
      <w:r w:rsidR="00987DDC" w:rsidRPr="00987DDC">
        <w:rPr>
          <w:noProof/>
        </w:rPr>
        <w:t>jak</w:t>
      </w:r>
      <w:r w:rsidRPr="00987DDC">
        <w:rPr>
          <w:noProof/>
        </w:rPr>
        <w:t>o główne przyczyny ograniczonego stosowania tej procedury podają różnice</w:t>
      </w:r>
      <w:r w:rsidR="00987DDC" w:rsidRPr="00987DDC">
        <w:rPr>
          <w:noProof/>
        </w:rPr>
        <w:t xml:space="preserve"> w</w:t>
      </w:r>
      <w:r w:rsidR="00987DDC">
        <w:rPr>
          <w:noProof/>
        </w:rPr>
        <w:t> </w:t>
      </w:r>
      <w:r w:rsidR="00987DDC" w:rsidRPr="00987DDC">
        <w:rPr>
          <w:noProof/>
        </w:rPr>
        <w:t>pro</w:t>
      </w:r>
      <w:r w:rsidRPr="00987DDC">
        <w:rPr>
          <w:noProof/>
        </w:rPr>
        <w:t>cedurach krajowych oraz niejasności co do tej procedury.</w:t>
      </w:r>
    </w:p>
    <w:p w14:paraId="6A082B17" w14:textId="6F6BFDA0" w:rsidR="00372E95" w:rsidRPr="00987DDC" w:rsidRDefault="00372E95" w:rsidP="00372E95">
      <w:pPr>
        <w:rPr>
          <w:noProof/>
        </w:rPr>
      </w:pPr>
      <w:r w:rsidRPr="00987DDC">
        <w:rPr>
          <w:noProof/>
        </w:rPr>
        <w:t>RODO daje zainteresowanym organom ochrony danych możliwość zgłoszenia mającego znaczenie dla sprawy</w:t>
      </w:r>
      <w:r w:rsidR="00987DDC" w:rsidRPr="00987DDC">
        <w:rPr>
          <w:noProof/>
        </w:rPr>
        <w:t xml:space="preserve"> i</w:t>
      </w:r>
      <w:r w:rsidR="00987DDC">
        <w:rPr>
          <w:noProof/>
        </w:rPr>
        <w:t> </w:t>
      </w:r>
      <w:r w:rsidR="00987DDC" w:rsidRPr="00987DDC">
        <w:rPr>
          <w:noProof/>
        </w:rPr>
        <w:t>uza</w:t>
      </w:r>
      <w:r w:rsidRPr="00987DDC">
        <w:rPr>
          <w:noProof/>
        </w:rPr>
        <w:t>sadnionego sprzeciwu, jeżeli nie zgadzają się one</w:t>
      </w:r>
      <w:r w:rsidR="00987DDC" w:rsidRPr="00987DDC">
        <w:rPr>
          <w:noProof/>
        </w:rPr>
        <w:t xml:space="preserve"> z</w:t>
      </w:r>
      <w:r w:rsidR="00987DDC">
        <w:rPr>
          <w:noProof/>
        </w:rPr>
        <w:t> </w:t>
      </w:r>
      <w:r w:rsidR="00987DDC" w:rsidRPr="00987DDC">
        <w:rPr>
          <w:noProof/>
        </w:rPr>
        <w:t>pro</w:t>
      </w:r>
      <w:r w:rsidRPr="00987DDC">
        <w:rPr>
          <w:noProof/>
        </w:rPr>
        <w:t>jektem decyzji wiodącego organu ochrony danych</w:t>
      </w:r>
      <w:r w:rsidR="00987DDC" w:rsidRPr="00987DDC">
        <w:rPr>
          <w:noProof/>
        </w:rPr>
        <w:t xml:space="preserve"> w</w:t>
      </w:r>
      <w:r w:rsidR="00987DDC">
        <w:rPr>
          <w:noProof/>
        </w:rPr>
        <w:t> </w:t>
      </w:r>
      <w:r w:rsidR="00987DDC" w:rsidRPr="00987DDC">
        <w:rPr>
          <w:noProof/>
        </w:rPr>
        <w:t>spr</w:t>
      </w:r>
      <w:r w:rsidRPr="00987DDC">
        <w:rPr>
          <w:noProof/>
        </w:rPr>
        <w:t>awie transgranicznej</w:t>
      </w:r>
      <w:r w:rsidR="00987DDC" w:rsidRPr="00987DDC">
        <w:rPr>
          <w:noProof/>
        </w:rPr>
        <w:t>. W</w:t>
      </w:r>
      <w:r w:rsidR="00987DDC">
        <w:rPr>
          <w:noProof/>
        </w:rPr>
        <w:t> </w:t>
      </w:r>
      <w:r w:rsidR="00987DDC" w:rsidRPr="00987DDC">
        <w:rPr>
          <w:noProof/>
        </w:rPr>
        <w:t>prz</w:t>
      </w:r>
      <w:r w:rsidRPr="00987DDC">
        <w:rPr>
          <w:noProof/>
        </w:rPr>
        <w:t>ypadku gdy organy ochrony danych nie są</w:t>
      </w:r>
      <w:r w:rsidR="00987DDC" w:rsidRPr="00987DDC">
        <w:rPr>
          <w:noProof/>
        </w:rPr>
        <w:t xml:space="preserve"> w</w:t>
      </w:r>
      <w:r w:rsidR="00987DDC">
        <w:rPr>
          <w:noProof/>
        </w:rPr>
        <w:t> </w:t>
      </w:r>
      <w:r w:rsidR="00987DDC" w:rsidRPr="00987DDC">
        <w:rPr>
          <w:noProof/>
        </w:rPr>
        <w:t>sta</w:t>
      </w:r>
      <w:r w:rsidRPr="00987DDC">
        <w:rPr>
          <w:noProof/>
        </w:rPr>
        <w:t>nie porozumieć się</w:t>
      </w:r>
      <w:r w:rsidR="00987DDC" w:rsidRPr="00987DDC">
        <w:rPr>
          <w:noProof/>
        </w:rPr>
        <w:t xml:space="preserve"> w</w:t>
      </w:r>
      <w:r w:rsidR="00987DDC">
        <w:rPr>
          <w:noProof/>
        </w:rPr>
        <w:t> </w:t>
      </w:r>
      <w:r w:rsidR="00987DDC" w:rsidRPr="00987DDC">
        <w:rPr>
          <w:noProof/>
        </w:rPr>
        <w:t>kwe</w:t>
      </w:r>
      <w:r w:rsidRPr="00987DDC">
        <w:rPr>
          <w:noProof/>
        </w:rPr>
        <w:t>stiach wskazanych</w:t>
      </w:r>
      <w:r w:rsidR="00987DDC" w:rsidRPr="00987DDC">
        <w:rPr>
          <w:noProof/>
        </w:rPr>
        <w:t xml:space="preserve"> w</w:t>
      </w:r>
      <w:r w:rsidR="00987DDC">
        <w:rPr>
          <w:noProof/>
        </w:rPr>
        <w:t> </w:t>
      </w:r>
      <w:r w:rsidR="00987DDC" w:rsidRPr="00987DDC">
        <w:rPr>
          <w:noProof/>
        </w:rPr>
        <w:t>maj</w:t>
      </w:r>
      <w:r w:rsidRPr="00987DDC">
        <w:rPr>
          <w:noProof/>
        </w:rPr>
        <w:t>ącym znaczenie dla sprawy</w:t>
      </w:r>
      <w:r w:rsidR="00987DDC" w:rsidRPr="00987DDC">
        <w:rPr>
          <w:noProof/>
        </w:rPr>
        <w:t xml:space="preserve"> i</w:t>
      </w:r>
      <w:r w:rsidR="00987DDC">
        <w:rPr>
          <w:noProof/>
        </w:rPr>
        <w:t> </w:t>
      </w:r>
      <w:r w:rsidR="00987DDC" w:rsidRPr="00987DDC">
        <w:rPr>
          <w:noProof/>
        </w:rPr>
        <w:t>uza</w:t>
      </w:r>
      <w:r w:rsidRPr="00987DDC">
        <w:rPr>
          <w:noProof/>
        </w:rPr>
        <w:t>sadnionym sprzeciwie, RODO przewiduje rozstrzygnięcie sporu przez EROD (</w:t>
      </w:r>
      <w:r w:rsidRPr="00987DDC">
        <w:rPr>
          <w:rStyle w:val="FootnoteReference"/>
          <w:noProof/>
        </w:rPr>
        <w:footnoteReference w:id="15"/>
      </w:r>
      <w:r w:rsidRPr="00987DDC">
        <w:rPr>
          <w:noProof/>
        </w:rPr>
        <w:t>). Najczęściej poruszane kwestie</w:t>
      </w:r>
      <w:r w:rsidR="00987DDC" w:rsidRPr="00987DDC">
        <w:rPr>
          <w:noProof/>
        </w:rPr>
        <w:t xml:space="preserve"> w</w:t>
      </w:r>
      <w:r w:rsidR="00987DDC">
        <w:rPr>
          <w:noProof/>
        </w:rPr>
        <w:t> </w:t>
      </w:r>
      <w:r w:rsidR="00987DDC" w:rsidRPr="00987DDC">
        <w:rPr>
          <w:noProof/>
        </w:rPr>
        <w:t>maj</w:t>
      </w:r>
      <w:r w:rsidRPr="00987DDC">
        <w:rPr>
          <w:noProof/>
        </w:rPr>
        <w:t>ących znaczenie dla sprawy</w:t>
      </w:r>
      <w:r w:rsidR="00987DDC" w:rsidRPr="00987DDC">
        <w:rPr>
          <w:noProof/>
        </w:rPr>
        <w:t xml:space="preserve"> i</w:t>
      </w:r>
      <w:r w:rsidR="00987DDC">
        <w:rPr>
          <w:noProof/>
        </w:rPr>
        <w:t> </w:t>
      </w:r>
      <w:r w:rsidR="00987DDC" w:rsidRPr="00987DDC">
        <w:rPr>
          <w:noProof/>
        </w:rPr>
        <w:t>uza</w:t>
      </w:r>
      <w:r w:rsidRPr="00987DDC">
        <w:rPr>
          <w:noProof/>
        </w:rPr>
        <w:t>sadnionych sprzeciwach to: (i) podstawa prawna przetwarzania; (ii) obowiązki</w:t>
      </w:r>
      <w:r w:rsidR="00987DDC" w:rsidRPr="00987DDC">
        <w:rPr>
          <w:noProof/>
        </w:rPr>
        <w:t xml:space="preserve"> w</w:t>
      </w:r>
      <w:r w:rsidR="00987DDC">
        <w:rPr>
          <w:noProof/>
        </w:rPr>
        <w:t> </w:t>
      </w:r>
      <w:r w:rsidR="00987DDC" w:rsidRPr="00987DDC">
        <w:rPr>
          <w:noProof/>
        </w:rPr>
        <w:t>zak</w:t>
      </w:r>
      <w:r w:rsidRPr="00987DDC">
        <w:rPr>
          <w:noProof/>
        </w:rPr>
        <w:t>resie informacji</w:t>
      </w:r>
      <w:r w:rsidR="00987DDC" w:rsidRPr="00987DDC">
        <w:rPr>
          <w:noProof/>
        </w:rPr>
        <w:t xml:space="preserve"> i</w:t>
      </w:r>
      <w:r w:rsidR="00987DDC">
        <w:rPr>
          <w:noProof/>
        </w:rPr>
        <w:t> </w:t>
      </w:r>
      <w:r w:rsidR="00987DDC" w:rsidRPr="00987DDC">
        <w:rPr>
          <w:noProof/>
        </w:rPr>
        <w:t>prz</w:t>
      </w:r>
      <w:r w:rsidRPr="00987DDC">
        <w:rPr>
          <w:noProof/>
        </w:rPr>
        <w:t>ejrzystości; (iii) powiadamianie</w:t>
      </w:r>
      <w:r w:rsidR="00987DDC" w:rsidRPr="00987DDC">
        <w:rPr>
          <w:noProof/>
        </w:rPr>
        <w:t xml:space="preserve"> o</w:t>
      </w:r>
      <w:r w:rsidR="00987DDC">
        <w:rPr>
          <w:noProof/>
        </w:rPr>
        <w:t> </w:t>
      </w:r>
      <w:r w:rsidR="00987DDC" w:rsidRPr="00987DDC">
        <w:rPr>
          <w:noProof/>
        </w:rPr>
        <w:t>nar</w:t>
      </w:r>
      <w:r w:rsidRPr="00987DDC">
        <w:rPr>
          <w:noProof/>
        </w:rPr>
        <w:t>uszeniach ochrony danych; (iv) prawa osób, których dane dotyczą; (v) odstępstwa od międzynarodowego przekazywania danych; (vi) stosowanie środków naprawczych; oraz (vii) wysokość administracyjnej kary pieniężnej.</w:t>
      </w:r>
    </w:p>
    <w:p w14:paraId="7A452AF0" w14:textId="7124B1FF" w:rsidR="00281131" w:rsidRPr="00987DDC" w:rsidRDefault="00372E95" w:rsidP="00514C01">
      <w:pPr>
        <w:rPr>
          <w:noProof/>
        </w:rPr>
      </w:pPr>
      <w:r w:rsidRPr="00987DDC">
        <w:rPr>
          <w:noProof/>
        </w:rPr>
        <w:t>System egzekwowania przepisów RODO opiera się na lojalnej</w:t>
      </w:r>
      <w:r w:rsidR="00987DDC" w:rsidRPr="00987DDC">
        <w:rPr>
          <w:noProof/>
        </w:rPr>
        <w:t xml:space="preserve"> i</w:t>
      </w:r>
      <w:r w:rsidR="00987DDC">
        <w:rPr>
          <w:noProof/>
        </w:rPr>
        <w:t> </w:t>
      </w:r>
      <w:r w:rsidR="00987DDC" w:rsidRPr="00987DDC">
        <w:rPr>
          <w:noProof/>
        </w:rPr>
        <w:t>sku</w:t>
      </w:r>
      <w:r w:rsidRPr="00987DDC">
        <w:rPr>
          <w:noProof/>
        </w:rPr>
        <w:t>tecznej współpracy między organami ochrony danych. Chociaż procedura rozstrzygania sporów odgrywa ważną rolę</w:t>
      </w:r>
      <w:r w:rsidR="00987DDC" w:rsidRPr="00987DDC">
        <w:rPr>
          <w:noProof/>
        </w:rPr>
        <w:t xml:space="preserve"> w</w:t>
      </w:r>
      <w:r w:rsidR="00987DDC">
        <w:rPr>
          <w:noProof/>
        </w:rPr>
        <w:t> </w:t>
      </w:r>
      <w:r w:rsidR="00987DDC" w:rsidRPr="00987DDC">
        <w:rPr>
          <w:noProof/>
        </w:rPr>
        <w:t>tej</w:t>
      </w:r>
      <w:r w:rsidRPr="00987DDC">
        <w:rPr>
          <w:noProof/>
        </w:rPr>
        <w:t xml:space="preserve"> strukturze egzekwowania prawa, powinna być stosowana</w:t>
      </w:r>
      <w:r w:rsidR="00987DDC" w:rsidRPr="00987DDC">
        <w:rPr>
          <w:noProof/>
        </w:rPr>
        <w:t xml:space="preserve"> w</w:t>
      </w:r>
      <w:r w:rsidR="00987DDC">
        <w:rPr>
          <w:noProof/>
        </w:rPr>
        <w:t> </w:t>
      </w:r>
      <w:r w:rsidR="00987DDC" w:rsidRPr="00987DDC">
        <w:rPr>
          <w:noProof/>
        </w:rPr>
        <w:t>duc</w:t>
      </w:r>
      <w:r w:rsidRPr="00987DDC">
        <w:rPr>
          <w:noProof/>
        </w:rPr>
        <w:t>hu,</w:t>
      </w:r>
      <w:r w:rsidR="00987DDC" w:rsidRPr="00987DDC">
        <w:rPr>
          <w:noProof/>
        </w:rPr>
        <w:t xml:space="preserve"> w</w:t>
      </w:r>
      <w:r w:rsidR="00987DDC">
        <w:rPr>
          <w:noProof/>
        </w:rPr>
        <w:t> </w:t>
      </w:r>
      <w:r w:rsidR="00987DDC" w:rsidRPr="00987DDC">
        <w:rPr>
          <w:noProof/>
        </w:rPr>
        <w:t>jak</w:t>
      </w:r>
      <w:r w:rsidRPr="00987DDC">
        <w:rPr>
          <w:noProof/>
        </w:rPr>
        <w:t>im została opracowana,</w:t>
      </w:r>
      <w:r w:rsidR="00987DDC" w:rsidRPr="00987DDC">
        <w:rPr>
          <w:noProof/>
        </w:rPr>
        <w:t xml:space="preserve"> a</w:t>
      </w:r>
      <w:r w:rsidR="00987DDC">
        <w:rPr>
          <w:noProof/>
        </w:rPr>
        <w:t> </w:t>
      </w:r>
      <w:r w:rsidR="00987DDC" w:rsidRPr="00987DDC">
        <w:rPr>
          <w:noProof/>
        </w:rPr>
        <w:t>mia</w:t>
      </w:r>
      <w:r w:rsidRPr="00987DDC">
        <w:rPr>
          <w:noProof/>
        </w:rPr>
        <w:t>nowicie</w:t>
      </w:r>
      <w:r w:rsidR="00987DDC" w:rsidRPr="00987DDC">
        <w:rPr>
          <w:noProof/>
        </w:rPr>
        <w:t xml:space="preserve"> z</w:t>
      </w:r>
      <w:r w:rsidR="00987DDC">
        <w:rPr>
          <w:noProof/>
        </w:rPr>
        <w:t> </w:t>
      </w:r>
      <w:r w:rsidR="00987DDC" w:rsidRPr="00987DDC">
        <w:rPr>
          <w:noProof/>
        </w:rPr>
        <w:t>nal</w:t>
      </w:r>
      <w:r w:rsidRPr="00987DDC">
        <w:rPr>
          <w:noProof/>
        </w:rPr>
        <w:t>eżytym uwzględnieniem podziału kompetencji między organami ochrony danych, wymogu poszanowania praw procesowych oraz interesu osób, których dane dotyczą,</w:t>
      </w:r>
      <w:r w:rsidR="00987DDC" w:rsidRPr="00987DDC">
        <w:rPr>
          <w:noProof/>
        </w:rPr>
        <w:t xml:space="preserve"> w</w:t>
      </w:r>
      <w:r w:rsidR="00987DDC">
        <w:rPr>
          <w:noProof/>
        </w:rPr>
        <w:t> </w:t>
      </w:r>
      <w:r w:rsidR="00987DDC" w:rsidRPr="00987DDC">
        <w:rPr>
          <w:noProof/>
        </w:rPr>
        <w:t>ter</w:t>
      </w:r>
      <w:r w:rsidRPr="00987DDC">
        <w:rPr>
          <w:noProof/>
        </w:rPr>
        <w:t>minowym rozwiązaniu sprawy. Każda procedura rozstrzygania sporów wymaga znacznych zasobów od organu wiodącego, zainteresowanych organów</w:t>
      </w:r>
      <w:r w:rsidR="00987DDC" w:rsidRPr="00987DDC">
        <w:rPr>
          <w:noProof/>
        </w:rPr>
        <w:t xml:space="preserve"> i</w:t>
      </w:r>
      <w:r w:rsidR="00987DDC">
        <w:rPr>
          <w:noProof/>
        </w:rPr>
        <w:t> </w:t>
      </w:r>
      <w:r w:rsidR="00987DDC" w:rsidRPr="00987DDC">
        <w:rPr>
          <w:noProof/>
        </w:rPr>
        <w:t>sek</w:t>
      </w:r>
      <w:r w:rsidRPr="00987DDC">
        <w:rPr>
          <w:noProof/>
        </w:rPr>
        <w:t xml:space="preserve">retariatu EROD oraz opóźnia zapewnienie środka ochrony prawnej osobom, których dane dotyczą. </w:t>
      </w:r>
    </w:p>
    <w:tbl>
      <w:tblPr>
        <w:tblStyle w:val="TableGrid"/>
        <w:tblpPr w:leftFromText="180" w:rightFromText="180" w:vertAnchor="text" w:tblpY="1"/>
        <w:tblOverlap w:val="never"/>
        <w:tblW w:w="0" w:type="auto"/>
        <w:tblLook w:val="04A0" w:firstRow="1" w:lastRow="0" w:firstColumn="1" w:lastColumn="0" w:noHBand="0" w:noVBand="1"/>
      </w:tblPr>
      <w:tblGrid>
        <w:gridCol w:w="8602"/>
      </w:tblGrid>
      <w:tr w:rsidR="00205504" w:rsidRPr="00987DDC" w14:paraId="10ED3401" w14:textId="77777777" w:rsidTr="0068751C">
        <w:trPr>
          <w:trHeight w:val="1545"/>
        </w:trPr>
        <w:tc>
          <w:tcPr>
            <w:tcW w:w="8602" w:type="dxa"/>
          </w:tcPr>
          <w:bookmarkEnd w:id="9"/>
          <w:p w14:paraId="12FE1BC3" w14:textId="41321935" w:rsidR="00DA4DD5" w:rsidRPr="00987DDC" w:rsidRDefault="00DA4DD5" w:rsidP="00C4769E">
            <w:pPr>
              <w:rPr>
                <w:i/>
                <w:iCs/>
                <w:noProof/>
              </w:rPr>
            </w:pPr>
            <w:r w:rsidRPr="00987DDC">
              <w:rPr>
                <w:i/>
                <w:noProof/>
              </w:rPr>
              <w:t>Szersze korzystanie</w:t>
            </w:r>
            <w:r w:rsidR="00987DDC" w:rsidRPr="00987DDC">
              <w:rPr>
                <w:i/>
                <w:noProof/>
              </w:rPr>
              <w:t xml:space="preserve"> z</w:t>
            </w:r>
            <w:r w:rsidR="00987DDC">
              <w:rPr>
                <w:i/>
                <w:noProof/>
              </w:rPr>
              <w:t> </w:t>
            </w:r>
            <w:r w:rsidR="00987DDC" w:rsidRPr="00987DDC">
              <w:rPr>
                <w:i/>
                <w:noProof/>
              </w:rPr>
              <w:t>nar</w:t>
            </w:r>
            <w:r w:rsidRPr="00987DDC">
              <w:rPr>
                <w:i/>
                <w:noProof/>
              </w:rPr>
              <w:t>zędzi współpracy przez organy ochrony danych</w:t>
            </w:r>
          </w:p>
          <w:p w14:paraId="46199BD4" w14:textId="48E6A977" w:rsidR="00ED3FC0" w:rsidRPr="00987DDC" w:rsidRDefault="5F58E5C3" w:rsidP="4EB025D0">
            <w:pPr>
              <w:pStyle w:val="ListBullet3"/>
              <w:numPr>
                <w:ilvl w:val="0"/>
                <w:numId w:val="1"/>
              </w:numPr>
              <w:rPr>
                <w:noProof/>
              </w:rPr>
            </w:pPr>
            <w:r w:rsidRPr="00987DDC">
              <w:rPr>
                <w:noProof/>
              </w:rPr>
              <w:t>W systemie wymiany informacji EROD zarejestrowano prawie 2 400 wpisów dotyczących spraw (</w:t>
            </w:r>
            <w:r w:rsidRPr="00987DDC">
              <w:rPr>
                <w:noProof/>
                <w:vertAlign w:val="superscript"/>
              </w:rPr>
              <w:footnoteReference w:id="16"/>
            </w:r>
            <w:r w:rsidRPr="00987DDC">
              <w:rPr>
                <w:noProof/>
              </w:rPr>
              <w:t>). </w:t>
            </w:r>
          </w:p>
          <w:p w14:paraId="32C30A68" w14:textId="45F75195" w:rsidR="001B7ED9" w:rsidRPr="00987DDC" w:rsidRDefault="0AC11DA3" w:rsidP="4EB025D0">
            <w:pPr>
              <w:pStyle w:val="ListBullet3"/>
              <w:numPr>
                <w:ilvl w:val="0"/>
                <w:numId w:val="1"/>
              </w:numPr>
              <w:rPr>
                <w:noProof/>
              </w:rPr>
            </w:pPr>
            <w:r w:rsidRPr="00987DDC">
              <w:rPr>
                <w:noProof/>
              </w:rPr>
              <w:t>Wiodące organy ochrony danych wydały około 1 500 projektów decyzji (</w:t>
            </w:r>
            <w:r w:rsidRPr="00987DDC">
              <w:rPr>
                <w:rStyle w:val="FootnoteReference"/>
                <w:noProof/>
              </w:rPr>
              <w:footnoteReference w:id="17"/>
            </w:r>
            <w:r w:rsidRPr="00987DDC">
              <w:rPr>
                <w:noProof/>
              </w:rPr>
              <w:t>),</w:t>
            </w:r>
            <w:r w:rsidR="00987DDC" w:rsidRPr="00987DDC">
              <w:rPr>
                <w:noProof/>
              </w:rPr>
              <w:t xml:space="preserve"> z</w:t>
            </w:r>
            <w:r w:rsidR="00987DDC">
              <w:rPr>
                <w:noProof/>
              </w:rPr>
              <w:t> </w:t>
            </w:r>
            <w:r w:rsidR="00987DDC" w:rsidRPr="00987DDC">
              <w:rPr>
                <w:noProof/>
              </w:rPr>
              <w:t>cze</w:t>
            </w:r>
            <w:r w:rsidRPr="00987DDC">
              <w:rPr>
                <w:noProof/>
              </w:rPr>
              <w:t>go</w:t>
            </w:r>
            <w:r w:rsidR="00987DDC" w:rsidRPr="00987DDC">
              <w:rPr>
                <w:noProof/>
              </w:rPr>
              <w:t xml:space="preserve"> w</w:t>
            </w:r>
            <w:r w:rsidR="00987DDC">
              <w:rPr>
                <w:noProof/>
              </w:rPr>
              <w:t> </w:t>
            </w:r>
            <w:r w:rsidR="00987DDC" w:rsidRPr="00987DDC">
              <w:rPr>
                <w:noProof/>
              </w:rPr>
              <w:t>prz</w:t>
            </w:r>
            <w:r w:rsidRPr="00987DDC">
              <w:rPr>
                <w:noProof/>
              </w:rPr>
              <w:t>ypadku 990 wydano ostateczne decyzje stwierdzające naruszenie RODO (</w:t>
            </w:r>
            <w:r w:rsidRPr="00987DDC">
              <w:rPr>
                <w:noProof/>
                <w:vertAlign w:val="superscript"/>
              </w:rPr>
              <w:footnoteReference w:id="18"/>
            </w:r>
            <w:r w:rsidRPr="00987DDC">
              <w:rPr>
                <w:noProof/>
              </w:rPr>
              <w:t>).</w:t>
            </w:r>
          </w:p>
          <w:p w14:paraId="4F20BC6C" w14:textId="2D2CD29D" w:rsidR="001B7ED9" w:rsidRPr="00987DDC" w:rsidRDefault="438162D5" w:rsidP="4EB025D0">
            <w:pPr>
              <w:pStyle w:val="ListBullet3"/>
              <w:numPr>
                <w:ilvl w:val="0"/>
                <w:numId w:val="1"/>
              </w:numPr>
              <w:rPr>
                <w:noProof/>
              </w:rPr>
            </w:pPr>
            <w:r w:rsidRPr="00987DDC">
              <w:rPr>
                <w:noProof/>
              </w:rPr>
              <w:t>Organy ochrony danych złożyły prawie 1 000 „formalnych” wniosków</w:t>
            </w:r>
            <w:r w:rsidR="00987DDC" w:rsidRPr="00987DDC">
              <w:rPr>
                <w:noProof/>
              </w:rPr>
              <w:t xml:space="preserve"> o</w:t>
            </w:r>
            <w:r w:rsidR="00987DDC">
              <w:rPr>
                <w:noProof/>
              </w:rPr>
              <w:t> </w:t>
            </w:r>
            <w:r w:rsidR="00987DDC" w:rsidRPr="00987DDC">
              <w:rPr>
                <w:noProof/>
              </w:rPr>
              <w:t>wza</w:t>
            </w:r>
            <w:r w:rsidRPr="00987DDC">
              <w:rPr>
                <w:noProof/>
              </w:rPr>
              <w:t>jemną pomoc (</w:t>
            </w:r>
            <w:r w:rsidRPr="00987DDC">
              <w:rPr>
                <w:noProof/>
                <w:vertAlign w:val="superscript"/>
              </w:rPr>
              <w:footnoteReference w:id="19"/>
            </w:r>
            <w:r w:rsidRPr="00987DDC">
              <w:rPr>
                <w:noProof/>
              </w:rPr>
              <w:t>)</w:t>
            </w:r>
            <w:r w:rsidR="00987DDC" w:rsidRPr="00987DDC">
              <w:rPr>
                <w:noProof/>
              </w:rPr>
              <w:t xml:space="preserve"> i</w:t>
            </w:r>
            <w:r w:rsidR="00987DDC">
              <w:rPr>
                <w:noProof/>
              </w:rPr>
              <w:t> </w:t>
            </w:r>
            <w:r w:rsidR="00987DDC" w:rsidRPr="00987DDC">
              <w:rPr>
                <w:noProof/>
              </w:rPr>
              <w:t>oko</w:t>
            </w:r>
            <w:r w:rsidRPr="00987DDC">
              <w:rPr>
                <w:noProof/>
              </w:rPr>
              <w:t>ło 12 300 wniosków „nieformalnych” (</w:t>
            </w:r>
            <w:r w:rsidRPr="00987DDC">
              <w:rPr>
                <w:noProof/>
                <w:vertAlign w:val="superscript"/>
              </w:rPr>
              <w:footnoteReference w:id="20"/>
            </w:r>
            <w:r w:rsidRPr="00987DDC">
              <w:rPr>
                <w:noProof/>
              </w:rPr>
              <w:t>).</w:t>
            </w:r>
          </w:p>
          <w:p w14:paraId="350EC065" w14:textId="3D8CE937" w:rsidR="001B7ED9" w:rsidRPr="00987DDC" w:rsidRDefault="0AC11DA3" w:rsidP="4EB025D0">
            <w:pPr>
              <w:pStyle w:val="ListBullet3"/>
              <w:numPr>
                <w:ilvl w:val="0"/>
                <w:numId w:val="1"/>
              </w:numPr>
              <w:rPr>
                <w:noProof/>
              </w:rPr>
            </w:pPr>
            <w:r w:rsidRPr="00987DDC">
              <w:rPr>
                <w:noProof/>
              </w:rPr>
              <w:t>Rozpoczęto pięć wspólnych operacji,</w:t>
            </w:r>
            <w:r w:rsidR="00987DDC" w:rsidRPr="00987DDC">
              <w:rPr>
                <w:noProof/>
              </w:rPr>
              <w:t xml:space="preserve"> w</w:t>
            </w:r>
            <w:r w:rsidR="00987DDC">
              <w:rPr>
                <w:noProof/>
              </w:rPr>
              <w:t> </w:t>
            </w:r>
            <w:r w:rsidR="00987DDC" w:rsidRPr="00987DDC">
              <w:rPr>
                <w:noProof/>
              </w:rPr>
              <w:t>któ</w:t>
            </w:r>
            <w:r w:rsidRPr="00987DDC">
              <w:rPr>
                <w:noProof/>
              </w:rPr>
              <w:t>rych uczestniczyły organy ochrony danych</w:t>
            </w:r>
            <w:r w:rsidR="00987DDC" w:rsidRPr="00987DDC">
              <w:rPr>
                <w:noProof/>
              </w:rPr>
              <w:t xml:space="preserve"> z</w:t>
            </w:r>
            <w:r w:rsidR="00987DDC">
              <w:rPr>
                <w:noProof/>
              </w:rPr>
              <w:t> </w:t>
            </w:r>
            <w:r w:rsidR="00987DDC" w:rsidRPr="00987DDC">
              <w:rPr>
                <w:noProof/>
              </w:rPr>
              <w:t>sie</w:t>
            </w:r>
            <w:r w:rsidRPr="00987DDC">
              <w:rPr>
                <w:noProof/>
              </w:rPr>
              <w:t>dmiu państw członkowskich.</w:t>
            </w:r>
          </w:p>
          <w:p w14:paraId="72C88041" w14:textId="7EE21C1C" w:rsidR="001B7ED9" w:rsidRPr="00987DDC" w:rsidRDefault="438162D5" w:rsidP="4EB025D0">
            <w:pPr>
              <w:pStyle w:val="ListBullet3"/>
              <w:numPr>
                <w:ilvl w:val="0"/>
                <w:numId w:val="1"/>
              </w:numPr>
              <w:rPr>
                <w:noProof/>
              </w:rPr>
            </w:pPr>
            <w:r w:rsidRPr="00987DDC">
              <w:rPr>
                <w:noProof/>
              </w:rPr>
              <w:t>Organy ochrony danych</w:t>
            </w:r>
            <w:r w:rsidR="00987DDC" w:rsidRPr="00987DDC">
              <w:rPr>
                <w:noProof/>
              </w:rPr>
              <w:t xml:space="preserve"> z</w:t>
            </w:r>
            <w:r w:rsidR="00987DDC">
              <w:rPr>
                <w:noProof/>
              </w:rPr>
              <w:t> </w:t>
            </w:r>
            <w:r w:rsidR="00987DDC" w:rsidRPr="00987DDC">
              <w:rPr>
                <w:noProof/>
              </w:rPr>
              <w:t>1</w:t>
            </w:r>
            <w:r w:rsidRPr="00987DDC">
              <w:rPr>
                <w:noProof/>
              </w:rPr>
              <w:t>8 państw członkowskich zgłosiły mające znaczenie dla sprawy</w:t>
            </w:r>
            <w:r w:rsidR="00987DDC" w:rsidRPr="00987DDC">
              <w:rPr>
                <w:noProof/>
              </w:rPr>
              <w:t xml:space="preserve"> i</w:t>
            </w:r>
            <w:r w:rsidR="00987DDC">
              <w:rPr>
                <w:noProof/>
              </w:rPr>
              <w:t> </w:t>
            </w:r>
            <w:r w:rsidR="00987DDC" w:rsidRPr="00987DDC">
              <w:rPr>
                <w:noProof/>
              </w:rPr>
              <w:t>uza</w:t>
            </w:r>
            <w:r w:rsidRPr="00987DDC">
              <w:rPr>
                <w:noProof/>
              </w:rPr>
              <w:t>sadnione sprzeciwy (</w:t>
            </w:r>
            <w:r w:rsidRPr="00987DDC">
              <w:rPr>
                <w:rStyle w:val="FootnoteReference"/>
                <w:noProof/>
              </w:rPr>
              <w:footnoteReference w:id="21"/>
            </w:r>
            <w:r w:rsidRPr="00987DDC">
              <w:rPr>
                <w:noProof/>
              </w:rPr>
              <w:t>).</w:t>
            </w:r>
          </w:p>
        </w:tc>
      </w:tr>
    </w:tbl>
    <w:p w14:paraId="42A807A6" w14:textId="77777777" w:rsidR="009F6B5E" w:rsidRPr="00987DDC" w:rsidRDefault="009F6B5E" w:rsidP="4EB025D0">
      <w:pPr>
        <w:pStyle w:val="Text3"/>
        <w:ind w:left="0"/>
        <w:rPr>
          <w:noProof/>
        </w:rPr>
      </w:pPr>
    </w:p>
    <w:p w14:paraId="1028306F" w14:textId="6889AC22" w:rsidR="00C62B15" w:rsidRPr="00987DDC" w:rsidRDefault="00C62B15" w:rsidP="4EB025D0">
      <w:pPr>
        <w:pStyle w:val="Text3"/>
        <w:ind w:left="0"/>
        <w:rPr>
          <w:noProof/>
        </w:rPr>
      </w:pPr>
      <w:r w:rsidRPr="00987DDC">
        <w:rPr>
          <w:noProof/>
        </w:rPr>
        <w:t>Organy ochrony danych coraz częściej korzystają</w:t>
      </w:r>
      <w:r w:rsidR="00987DDC" w:rsidRPr="00987DDC">
        <w:rPr>
          <w:noProof/>
        </w:rPr>
        <w:t xml:space="preserve"> z</w:t>
      </w:r>
      <w:r w:rsidR="00987DDC">
        <w:rPr>
          <w:noProof/>
        </w:rPr>
        <w:t> </w:t>
      </w:r>
      <w:r w:rsidR="00987DDC" w:rsidRPr="00987DDC">
        <w:rPr>
          <w:noProof/>
        </w:rPr>
        <w:t>mec</w:t>
      </w:r>
      <w:r w:rsidRPr="00987DDC">
        <w:rPr>
          <w:noProof/>
        </w:rPr>
        <w:t>hanizmu spójności RODO. Obejmuje on trzy elementy: (i) opinie EROD; (ii) rozstrzyganie sporów przez EROD; oraz (iii) tryb pilny (</w:t>
      </w:r>
      <w:r w:rsidRPr="00987DDC">
        <w:rPr>
          <w:rStyle w:val="FootnoteReference"/>
          <w:noProof/>
        </w:rPr>
        <w:footnoteReference w:id="22"/>
      </w:r>
      <w:r w:rsidRPr="00987DDC">
        <w:rPr>
          <w:noProof/>
        </w:rPr>
        <w:t>).</w:t>
      </w:r>
    </w:p>
    <w:p w14:paraId="278FDB3D" w14:textId="425D9096" w:rsidR="00407C7E" w:rsidRPr="00987DDC" w:rsidRDefault="00607B10" w:rsidP="003912C7">
      <w:pPr>
        <w:rPr>
          <w:noProof/>
        </w:rPr>
      </w:pPr>
      <w:r w:rsidRPr="00987DDC">
        <w:rPr>
          <w:noProof/>
        </w:rPr>
        <w:t>EROD coraz częściej porusza</w:t>
      </w:r>
      <w:r w:rsidR="00987DDC" w:rsidRPr="00987DDC">
        <w:rPr>
          <w:noProof/>
        </w:rPr>
        <w:t xml:space="preserve"> w</w:t>
      </w:r>
      <w:r w:rsidR="00987DDC">
        <w:rPr>
          <w:noProof/>
        </w:rPr>
        <w:t> </w:t>
      </w:r>
      <w:r w:rsidR="00987DDC" w:rsidRPr="00987DDC">
        <w:rPr>
          <w:noProof/>
        </w:rPr>
        <w:t>swo</w:t>
      </w:r>
      <w:r w:rsidRPr="00987DDC">
        <w:rPr>
          <w:noProof/>
        </w:rPr>
        <w:t>ich opiniach ważne sprawy mające charakter ogólny (</w:t>
      </w:r>
      <w:r w:rsidRPr="00987DDC">
        <w:rPr>
          <w:rStyle w:val="FootnoteReference"/>
          <w:noProof/>
        </w:rPr>
        <w:footnoteReference w:id="23"/>
      </w:r>
      <w:r w:rsidRPr="00987DDC">
        <w:rPr>
          <w:noProof/>
        </w:rPr>
        <w:t>). EROD powinna zapewnić terminowe</w:t>
      </w:r>
      <w:r w:rsidR="00987DDC" w:rsidRPr="00987DDC">
        <w:rPr>
          <w:noProof/>
        </w:rPr>
        <w:t xml:space="preserve"> i</w:t>
      </w:r>
      <w:r w:rsidR="00987DDC">
        <w:rPr>
          <w:noProof/>
        </w:rPr>
        <w:t> </w:t>
      </w:r>
      <w:r w:rsidR="00987DDC" w:rsidRPr="00987DDC">
        <w:rPr>
          <w:noProof/>
        </w:rPr>
        <w:t>kon</w:t>
      </w:r>
      <w:r w:rsidRPr="00987DDC">
        <w:rPr>
          <w:noProof/>
        </w:rPr>
        <w:t>struktywne konsultacje przed przyjęciem opinii. Sprawy sporne poddane pod rozstrzygnięcie dotyczyły takich kwestii, jak podstawa prawna przetwarzania danych do celów reklamy behawioralnej</w:t>
      </w:r>
      <w:r w:rsidR="00987DDC" w:rsidRPr="00987DDC">
        <w:rPr>
          <w:noProof/>
        </w:rPr>
        <w:t xml:space="preserve"> w</w:t>
      </w:r>
      <w:r w:rsidR="00987DDC">
        <w:rPr>
          <w:noProof/>
        </w:rPr>
        <w:t> </w:t>
      </w:r>
      <w:r w:rsidR="00987DDC" w:rsidRPr="00987DDC">
        <w:rPr>
          <w:noProof/>
        </w:rPr>
        <w:t>med</w:t>
      </w:r>
      <w:r w:rsidRPr="00987DDC">
        <w:rPr>
          <w:noProof/>
        </w:rPr>
        <w:t>iach społecznościowych oraz przetwarzania danych dzieci</w:t>
      </w:r>
      <w:r w:rsidR="00987DDC" w:rsidRPr="00987DDC">
        <w:rPr>
          <w:noProof/>
        </w:rPr>
        <w:t xml:space="preserve"> w</w:t>
      </w:r>
      <w:r w:rsidR="00987DDC">
        <w:rPr>
          <w:noProof/>
        </w:rPr>
        <w:t> </w:t>
      </w:r>
      <w:r w:rsidR="00987DDC" w:rsidRPr="00987DDC">
        <w:rPr>
          <w:noProof/>
        </w:rPr>
        <w:t>int</w:t>
      </w:r>
      <w:r w:rsidRPr="00987DDC">
        <w:rPr>
          <w:noProof/>
        </w:rPr>
        <w:t xml:space="preserve">ernecie. Większość późniejszych wiążących decyzji została zaskarżona do Sądu. </w:t>
      </w:r>
    </w:p>
    <w:p w14:paraId="47BA1586" w14:textId="7FC76897" w:rsidR="00514C01" w:rsidRPr="00987DDC" w:rsidRDefault="00DC62C1" w:rsidP="003912C7">
      <w:pPr>
        <w:rPr>
          <w:noProof/>
        </w:rPr>
      </w:pPr>
      <w:r w:rsidRPr="00987DDC">
        <w:rPr>
          <w:noProof/>
        </w:rPr>
        <w:t>Przejrzystość procesu decyzyjnego EROD ma kluczowe znaczenie dla zapewnienia poszanowania prawa do dobrej administracji zgodnie</w:t>
      </w:r>
      <w:r w:rsidR="00987DDC" w:rsidRPr="00987DDC">
        <w:rPr>
          <w:noProof/>
        </w:rPr>
        <w:t xml:space="preserve"> z</w:t>
      </w:r>
      <w:r w:rsidR="00987DDC">
        <w:rPr>
          <w:noProof/>
        </w:rPr>
        <w:t> </w:t>
      </w:r>
      <w:r w:rsidR="00987DDC" w:rsidRPr="00987DDC">
        <w:rPr>
          <w:noProof/>
        </w:rPr>
        <w:t>Kar</w:t>
      </w:r>
      <w:r w:rsidRPr="00987DDC">
        <w:rPr>
          <w:noProof/>
        </w:rPr>
        <w:t>tą praw podstawowych UE. Tryb pilny na podstawie RODO umożliwia organom ochrony danych odstąpienie od mechanizmu współpracy</w:t>
      </w:r>
      <w:r w:rsidR="00987DDC" w:rsidRPr="00987DDC">
        <w:rPr>
          <w:noProof/>
        </w:rPr>
        <w:t xml:space="preserve"> i</w:t>
      </w:r>
      <w:r w:rsidR="00987DDC">
        <w:rPr>
          <w:noProof/>
        </w:rPr>
        <w:t> </w:t>
      </w:r>
      <w:r w:rsidR="00987DDC" w:rsidRPr="00987DDC">
        <w:rPr>
          <w:noProof/>
        </w:rPr>
        <w:t>spó</w:t>
      </w:r>
      <w:r w:rsidRPr="00987DDC">
        <w:rPr>
          <w:noProof/>
        </w:rPr>
        <w:t>jności, gdy jest to konieczne do ochrony praw</w:t>
      </w:r>
      <w:r w:rsidR="00987DDC" w:rsidRPr="00987DDC">
        <w:rPr>
          <w:noProof/>
        </w:rPr>
        <w:t xml:space="preserve"> i</w:t>
      </w:r>
      <w:r w:rsidR="00987DDC">
        <w:rPr>
          <w:noProof/>
        </w:rPr>
        <w:t> </w:t>
      </w:r>
      <w:r w:rsidR="00987DDC" w:rsidRPr="00987DDC">
        <w:rPr>
          <w:noProof/>
        </w:rPr>
        <w:t>wol</w:t>
      </w:r>
      <w:r w:rsidRPr="00987DDC">
        <w:rPr>
          <w:noProof/>
        </w:rPr>
        <w:t>ności osób, których dane dotyczą. Narzędzia takie jak tryb pilny, będące odstępstwem od zwykłej procedury współpracy przewidzianej w RODO, można stosować wyłącznie</w:t>
      </w:r>
      <w:r w:rsidR="00987DDC" w:rsidRPr="00987DDC">
        <w:rPr>
          <w:noProof/>
        </w:rPr>
        <w:t xml:space="preserve"> w</w:t>
      </w:r>
      <w:r w:rsidR="00987DDC">
        <w:rPr>
          <w:noProof/>
        </w:rPr>
        <w:t> </w:t>
      </w:r>
      <w:r w:rsidR="00987DDC" w:rsidRPr="00987DDC">
        <w:rPr>
          <w:noProof/>
        </w:rPr>
        <w:t>wyj</w:t>
      </w:r>
      <w:r w:rsidRPr="00987DDC">
        <w:rPr>
          <w:noProof/>
        </w:rPr>
        <w:t>ątkowych okolicznościach, kiedy zwykła procedura współpracy nie zdoła zapewnić ochrony praw</w:t>
      </w:r>
      <w:r w:rsidR="00987DDC" w:rsidRPr="00987DDC">
        <w:rPr>
          <w:noProof/>
        </w:rPr>
        <w:t xml:space="preserve"> i</w:t>
      </w:r>
      <w:r w:rsidR="00987DDC">
        <w:rPr>
          <w:noProof/>
        </w:rPr>
        <w:t> </w:t>
      </w:r>
      <w:r w:rsidR="00987DDC" w:rsidRPr="00987DDC">
        <w:rPr>
          <w:noProof/>
        </w:rPr>
        <w:t>wol</w:t>
      </w:r>
      <w:r w:rsidRPr="00987DDC">
        <w:rPr>
          <w:noProof/>
        </w:rPr>
        <w:t xml:space="preserve">ności osób, których dane dotyczą. </w:t>
      </w:r>
    </w:p>
    <w:tbl>
      <w:tblPr>
        <w:tblStyle w:val="TableGrid"/>
        <w:tblW w:w="0" w:type="auto"/>
        <w:tblLook w:val="04A0" w:firstRow="1" w:lastRow="0" w:firstColumn="1" w:lastColumn="0" w:noHBand="0" w:noVBand="1"/>
      </w:tblPr>
      <w:tblGrid>
        <w:gridCol w:w="8602"/>
      </w:tblGrid>
      <w:tr w:rsidR="000A0E67" w:rsidRPr="00987DDC" w14:paraId="163530E0" w14:textId="77777777" w:rsidTr="55E7C498">
        <w:tc>
          <w:tcPr>
            <w:tcW w:w="8602" w:type="dxa"/>
          </w:tcPr>
          <w:p w14:paraId="24FA3456" w14:textId="77777777" w:rsidR="000A0E67" w:rsidRPr="00987DDC" w:rsidRDefault="4193A71C" w:rsidP="4EB025D0">
            <w:pPr>
              <w:rPr>
                <w:i/>
                <w:iCs/>
                <w:noProof/>
              </w:rPr>
            </w:pPr>
            <w:r w:rsidRPr="00987DDC">
              <w:rPr>
                <w:i/>
                <w:noProof/>
              </w:rPr>
              <w:t>Mechanizm spójności</w:t>
            </w:r>
          </w:p>
          <w:p w14:paraId="1544AC3C" w14:textId="5006EADD" w:rsidR="005801DE" w:rsidRPr="00987DDC" w:rsidRDefault="090EA74A" w:rsidP="00A97238">
            <w:pPr>
              <w:pStyle w:val="ListBullet3"/>
              <w:numPr>
                <w:ilvl w:val="0"/>
                <w:numId w:val="24"/>
              </w:numPr>
              <w:rPr>
                <w:noProof/>
              </w:rPr>
            </w:pPr>
            <w:r w:rsidRPr="00987DDC">
              <w:rPr>
                <w:noProof/>
              </w:rPr>
              <w:t>EROD przyjęła 190 opinii</w:t>
            </w:r>
            <w:r w:rsidR="00987DDC" w:rsidRPr="00987DDC">
              <w:rPr>
                <w:noProof/>
              </w:rPr>
              <w:t xml:space="preserve"> w</w:t>
            </w:r>
            <w:r w:rsidR="00987DDC">
              <w:rPr>
                <w:noProof/>
              </w:rPr>
              <w:t> </w:t>
            </w:r>
            <w:r w:rsidR="00987DDC" w:rsidRPr="00987DDC">
              <w:rPr>
                <w:noProof/>
              </w:rPr>
              <w:t>prz</w:t>
            </w:r>
            <w:r w:rsidRPr="00987DDC">
              <w:rPr>
                <w:noProof/>
              </w:rPr>
              <w:t xml:space="preserve">edmiocie spójności. </w:t>
            </w:r>
          </w:p>
          <w:p w14:paraId="5127C4EF" w14:textId="489C3507" w:rsidR="005801DE" w:rsidRPr="00987DDC" w:rsidRDefault="00242CB2" w:rsidP="00A97238">
            <w:pPr>
              <w:pStyle w:val="ListBullet3"/>
              <w:numPr>
                <w:ilvl w:val="0"/>
                <w:numId w:val="24"/>
              </w:numPr>
              <w:tabs>
                <w:tab w:val="clear" w:pos="426"/>
              </w:tabs>
              <w:ind w:left="482" w:hanging="340"/>
              <w:rPr>
                <w:noProof/>
              </w:rPr>
            </w:pPr>
            <w:r w:rsidRPr="00987DDC">
              <w:rPr>
                <w:noProof/>
              </w:rPr>
              <w:t>Dziewięć wiążących decyzji przyjęto</w:t>
            </w:r>
            <w:r w:rsidR="00987DDC" w:rsidRPr="00987DDC">
              <w:rPr>
                <w:noProof/>
              </w:rPr>
              <w:t xml:space="preserve"> w</w:t>
            </w:r>
            <w:r w:rsidR="00987DDC">
              <w:rPr>
                <w:noProof/>
              </w:rPr>
              <w:t> </w:t>
            </w:r>
            <w:r w:rsidR="00987DDC" w:rsidRPr="00987DDC">
              <w:rPr>
                <w:noProof/>
              </w:rPr>
              <w:t>try</w:t>
            </w:r>
            <w:r w:rsidRPr="00987DDC">
              <w:rPr>
                <w:noProof/>
              </w:rPr>
              <w:t>bie rozstrzygania sporów (</w:t>
            </w:r>
            <w:r w:rsidRPr="00987DDC">
              <w:rPr>
                <w:rStyle w:val="FootnoteReference"/>
                <w:noProof/>
              </w:rPr>
              <w:footnoteReference w:id="24"/>
            </w:r>
            <w:r w:rsidRPr="00987DDC">
              <w:rPr>
                <w:noProof/>
              </w:rPr>
              <w:t>). Wszystkie</w:t>
            </w:r>
            <w:r w:rsidR="00987DDC" w:rsidRPr="00987DDC">
              <w:rPr>
                <w:noProof/>
              </w:rPr>
              <w:t xml:space="preserve"> z</w:t>
            </w:r>
            <w:r w:rsidR="00987DDC">
              <w:rPr>
                <w:noProof/>
              </w:rPr>
              <w:t> </w:t>
            </w:r>
            <w:r w:rsidR="00987DDC" w:rsidRPr="00987DDC">
              <w:rPr>
                <w:noProof/>
              </w:rPr>
              <w:t>nic</w:t>
            </w:r>
            <w:r w:rsidRPr="00987DDC">
              <w:rPr>
                <w:noProof/>
              </w:rPr>
              <w:t>h nakazywały wiodącemu organowi ochrony danych zmianę projektu decyzji,</w:t>
            </w:r>
            <w:r w:rsidR="00987DDC" w:rsidRPr="00987DDC">
              <w:rPr>
                <w:noProof/>
              </w:rPr>
              <w:t xml:space="preserve"> a</w:t>
            </w:r>
            <w:r w:rsidR="00987DDC">
              <w:rPr>
                <w:noProof/>
              </w:rPr>
              <w:t> </w:t>
            </w:r>
            <w:r w:rsidR="00987DDC" w:rsidRPr="00987DDC">
              <w:rPr>
                <w:noProof/>
              </w:rPr>
              <w:t>kil</w:t>
            </w:r>
            <w:r w:rsidRPr="00987DDC">
              <w:rPr>
                <w:noProof/>
              </w:rPr>
              <w:t>ka</w:t>
            </w:r>
            <w:r w:rsidR="00987DDC" w:rsidRPr="00987DDC">
              <w:rPr>
                <w:noProof/>
              </w:rPr>
              <w:t xml:space="preserve"> z</w:t>
            </w:r>
            <w:r w:rsidR="00987DDC">
              <w:rPr>
                <w:noProof/>
              </w:rPr>
              <w:t> </w:t>
            </w:r>
            <w:r w:rsidR="00987DDC" w:rsidRPr="00987DDC">
              <w:rPr>
                <w:noProof/>
              </w:rPr>
              <w:t>nic</w:t>
            </w:r>
            <w:r w:rsidRPr="00987DDC">
              <w:rPr>
                <w:noProof/>
              </w:rPr>
              <w:t>h doprowadziło do nałożenia wysokich kar pieniężnych.</w:t>
            </w:r>
          </w:p>
          <w:p w14:paraId="0CF17799" w14:textId="66229F78" w:rsidR="003370F3" w:rsidRPr="00987DDC" w:rsidRDefault="00FF5DE2" w:rsidP="00A97238">
            <w:pPr>
              <w:pStyle w:val="ListBullet3"/>
              <w:numPr>
                <w:ilvl w:val="0"/>
                <w:numId w:val="24"/>
              </w:numPr>
              <w:rPr>
                <w:noProof/>
              </w:rPr>
            </w:pPr>
            <w:r w:rsidRPr="00987DDC">
              <w:rPr>
                <w:noProof/>
              </w:rPr>
              <w:t>Pięć organów ochrony danych przyjęło środki tymczasowe</w:t>
            </w:r>
            <w:r w:rsidR="00987DDC" w:rsidRPr="00987DDC">
              <w:rPr>
                <w:noProof/>
              </w:rPr>
              <w:t xml:space="preserve"> w</w:t>
            </w:r>
            <w:r w:rsidR="00987DDC">
              <w:rPr>
                <w:noProof/>
              </w:rPr>
              <w:t> </w:t>
            </w:r>
            <w:r w:rsidR="00987DDC" w:rsidRPr="00987DDC">
              <w:rPr>
                <w:noProof/>
              </w:rPr>
              <w:t>try</w:t>
            </w:r>
            <w:r w:rsidRPr="00987DDC">
              <w:rPr>
                <w:noProof/>
              </w:rPr>
              <w:t>bie pilnym (Finlandia, Hiszpania, Niemcy, Norwegia</w:t>
            </w:r>
            <w:r w:rsidR="00987DDC" w:rsidRPr="00987DDC">
              <w:rPr>
                <w:noProof/>
              </w:rPr>
              <w:t xml:space="preserve"> i</w:t>
            </w:r>
            <w:r w:rsidR="00987DDC">
              <w:rPr>
                <w:noProof/>
              </w:rPr>
              <w:t> </w:t>
            </w:r>
            <w:r w:rsidR="00987DDC" w:rsidRPr="00987DDC">
              <w:rPr>
                <w:noProof/>
              </w:rPr>
              <w:t>Wło</w:t>
            </w:r>
            <w:r w:rsidRPr="00987DDC">
              <w:rPr>
                <w:noProof/>
              </w:rPr>
              <w:t xml:space="preserve">chy). </w:t>
            </w:r>
          </w:p>
          <w:p w14:paraId="2639E5E4" w14:textId="3C6AAF7E" w:rsidR="0077359C" w:rsidRPr="00987DDC" w:rsidRDefault="72CEFA7C" w:rsidP="00A97238">
            <w:pPr>
              <w:pStyle w:val="ListBullet3"/>
              <w:numPr>
                <w:ilvl w:val="0"/>
                <w:numId w:val="24"/>
              </w:numPr>
              <w:rPr>
                <w:noProof/>
              </w:rPr>
            </w:pPr>
            <w:r w:rsidRPr="00987DDC">
              <w:rPr>
                <w:noProof/>
              </w:rPr>
              <w:t>Dwa organy ochrony danych zwróciły się do EROD</w:t>
            </w:r>
            <w:r w:rsidR="00987DDC" w:rsidRPr="00987DDC">
              <w:rPr>
                <w:noProof/>
              </w:rPr>
              <w:t xml:space="preserve"> o</w:t>
            </w:r>
            <w:r w:rsidR="00987DDC">
              <w:rPr>
                <w:noProof/>
              </w:rPr>
              <w:t> </w:t>
            </w:r>
            <w:r w:rsidR="00987DDC" w:rsidRPr="00987DDC">
              <w:rPr>
                <w:noProof/>
              </w:rPr>
              <w:t>pil</w:t>
            </w:r>
            <w:r w:rsidRPr="00987DDC">
              <w:rPr>
                <w:noProof/>
              </w:rPr>
              <w:t>ne wydanie wiążącej decyzji (</w:t>
            </w:r>
            <w:r w:rsidRPr="00987DDC">
              <w:rPr>
                <w:rStyle w:val="FootnoteReference"/>
                <w:noProof/>
              </w:rPr>
              <w:footnoteReference w:id="25"/>
            </w:r>
            <w:r w:rsidRPr="00987DDC">
              <w:rPr>
                <w:noProof/>
              </w:rPr>
              <w:t>),</w:t>
            </w:r>
            <w:r w:rsidR="00987DDC" w:rsidRPr="00987DDC">
              <w:rPr>
                <w:noProof/>
              </w:rPr>
              <w:t xml:space="preserve"> a</w:t>
            </w:r>
            <w:r w:rsidR="00987DDC">
              <w:rPr>
                <w:noProof/>
              </w:rPr>
              <w:t> </w:t>
            </w:r>
            <w:r w:rsidR="00987DDC" w:rsidRPr="00987DDC">
              <w:rPr>
                <w:noProof/>
              </w:rPr>
              <w:t>w</w:t>
            </w:r>
            <w:r w:rsidR="00987DDC">
              <w:rPr>
                <w:noProof/>
              </w:rPr>
              <w:t> </w:t>
            </w:r>
            <w:r w:rsidR="00987DDC" w:rsidRPr="00987DDC">
              <w:rPr>
                <w:noProof/>
              </w:rPr>
              <w:t>jed</w:t>
            </w:r>
            <w:r w:rsidRPr="00987DDC">
              <w:rPr>
                <w:noProof/>
              </w:rPr>
              <w:t>nym przypadku EROD nakazała pilne przyjęcie środków</w:t>
            </w:r>
            <w:r w:rsidR="00987DDC" w:rsidRPr="00987DDC">
              <w:rPr>
                <w:noProof/>
              </w:rPr>
              <w:t xml:space="preserve"> o</w:t>
            </w:r>
            <w:r w:rsidR="00987DDC">
              <w:rPr>
                <w:noProof/>
              </w:rPr>
              <w:t> </w:t>
            </w:r>
            <w:r w:rsidR="00987DDC" w:rsidRPr="00987DDC">
              <w:rPr>
                <w:noProof/>
              </w:rPr>
              <w:t>cha</w:t>
            </w:r>
            <w:r w:rsidRPr="00987DDC">
              <w:rPr>
                <w:noProof/>
              </w:rPr>
              <w:t>rakterze ostatecznym.</w:t>
            </w:r>
          </w:p>
        </w:tc>
      </w:tr>
    </w:tbl>
    <w:p w14:paraId="0BC26260" w14:textId="77777777" w:rsidR="000A0E67" w:rsidRPr="00987DDC" w:rsidRDefault="000A0E67" w:rsidP="003912C7">
      <w:pPr>
        <w:rPr>
          <w:noProof/>
        </w:rPr>
      </w:pPr>
    </w:p>
    <w:p w14:paraId="49DA528B" w14:textId="61F12EEC" w:rsidR="001261A6" w:rsidRPr="00987DDC" w:rsidRDefault="003A499A" w:rsidP="0003154B">
      <w:pPr>
        <w:pStyle w:val="Heading2"/>
        <w:rPr>
          <w:noProof/>
        </w:rPr>
      </w:pPr>
      <w:bookmarkStart w:id="10" w:name="_Toc165303742"/>
      <w:r w:rsidRPr="00987DDC">
        <w:rPr>
          <w:noProof/>
        </w:rPr>
        <w:t>Lepsze egzekwowanie przepisów</w:t>
      </w:r>
      <w:bookmarkEnd w:id="10"/>
    </w:p>
    <w:p w14:paraId="74F23A93" w14:textId="2EB784AC" w:rsidR="00490DC6" w:rsidRPr="00987DDC" w:rsidRDefault="003912C7" w:rsidP="003912C7">
      <w:pPr>
        <w:rPr>
          <w:noProof/>
        </w:rPr>
      </w:pPr>
      <w:r w:rsidRPr="00987DDC">
        <w:rPr>
          <w:noProof/>
        </w:rPr>
        <w:t>W ostatnich latach organy ochrony danych znacznie zintensyfikowały działania</w:t>
      </w:r>
      <w:r w:rsidR="00987DDC" w:rsidRPr="00987DDC">
        <w:rPr>
          <w:noProof/>
        </w:rPr>
        <w:t xml:space="preserve"> w</w:t>
      </w:r>
      <w:r w:rsidR="00987DDC">
        <w:rPr>
          <w:noProof/>
        </w:rPr>
        <w:t> </w:t>
      </w:r>
      <w:r w:rsidR="00987DDC" w:rsidRPr="00987DDC">
        <w:rPr>
          <w:noProof/>
        </w:rPr>
        <w:t>zak</w:t>
      </w:r>
      <w:r w:rsidRPr="00987DDC">
        <w:rPr>
          <w:noProof/>
        </w:rPr>
        <w:t>resie egzekwowania przepisów, m.in. nałożono znaczne kary pieniężne</w:t>
      </w:r>
      <w:r w:rsidR="00987DDC" w:rsidRPr="00987DDC">
        <w:rPr>
          <w:noProof/>
        </w:rPr>
        <w:t xml:space="preserve"> w</w:t>
      </w:r>
      <w:r w:rsidR="00987DDC">
        <w:rPr>
          <w:noProof/>
        </w:rPr>
        <w:t> </w:t>
      </w:r>
      <w:r w:rsidR="00987DDC" w:rsidRPr="00987DDC">
        <w:rPr>
          <w:noProof/>
        </w:rPr>
        <w:t>prz</w:t>
      </w:r>
      <w:r w:rsidRPr="00987DDC">
        <w:rPr>
          <w:noProof/>
        </w:rPr>
        <w:t>ełomowych sprawach na wielonarodowych gigantów technologicznych. Kary pieniężne nałożono na przykład</w:t>
      </w:r>
      <w:r w:rsidR="00987DDC" w:rsidRPr="00987DDC">
        <w:rPr>
          <w:noProof/>
        </w:rPr>
        <w:t xml:space="preserve"> w</w:t>
      </w:r>
      <w:r w:rsidR="00987DDC">
        <w:rPr>
          <w:noProof/>
        </w:rPr>
        <w:t> </w:t>
      </w:r>
      <w:r w:rsidR="00987DDC" w:rsidRPr="00987DDC">
        <w:rPr>
          <w:noProof/>
        </w:rPr>
        <w:t>zwi</w:t>
      </w:r>
      <w:r w:rsidRPr="00987DDC">
        <w:rPr>
          <w:noProof/>
        </w:rPr>
        <w:t>ązku z: (i) naruszeniem zgodności</w:t>
      </w:r>
      <w:r w:rsidR="00987DDC" w:rsidRPr="00987DDC">
        <w:rPr>
          <w:noProof/>
        </w:rPr>
        <w:t xml:space="preserve"> z</w:t>
      </w:r>
      <w:r w:rsidR="00987DDC">
        <w:rPr>
          <w:noProof/>
        </w:rPr>
        <w:t> </w:t>
      </w:r>
      <w:r w:rsidR="00987DDC" w:rsidRPr="00987DDC">
        <w:rPr>
          <w:noProof/>
        </w:rPr>
        <w:t>pra</w:t>
      </w:r>
      <w:r w:rsidRPr="00987DDC">
        <w:rPr>
          <w:noProof/>
        </w:rPr>
        <w:t>wem</w:t>
      </w:r>
      <w:r w:rsidR="00987DDC" w:rsidRPr="00987DDC">
        <w:rPr>
          <w:noProof/>
        </w:rPr>
        <w:t xml:space="preserve"> i</w:t>
      </w:r>
      <w:r w:rsidR="00987DDC">
        <w:rPr>
          <w:noProof/>
        </w:rPr>
        <w:t> </w:t>
      </w:r>
      <w:r w:rsidR="00987DDC" w:rsidRPr="00987DDC">
        <w:rPr>
          <w:noProof/>
        </w:rPr>
        <w:t>bez</w:t>
      </w:r>
      <w:r w:rsidRPr="00987DDC">
        <w:rPr>
          <w:noProof/>
        </w:rPr>
        <w:t>pieczeństwa przetwarzania; (ii) naruszeniem dotyczącym przetwarzania szczególnych kategorii danych osobowych; oraz (iii) nieprzestrzeganiem praw osób fizycznych (</w:t>
      </w:r>
      <w:r w:rsidRPr="00987DDC">
        <w:rPr>
          <w:rStyle w:val="FootnoteReference"/>
          <w:noProof/>
        </w:rPr>
        <w:footnoteReference w:id="26"/>
      </w:r>
      <w:r w:rsidRPr="00987DDC">
        <w:rPr>
          <w:noProof/>
        </w:rPr>
        <w:t>). Skłoniło to prywatne przedsiębiorstwa do „poważnego traktowania ochrony danych” (</w:t>
      </w:r>
      <w:r w:rsidRPr="00987DDC">
        <w:rPr>
          <w:rStyle w:val="FootnoteReference"/>
          <w:noProof/>
        </w:rPr>
        <w:footnoteReference w:id="27"/>
      </w:r>
      <w:r w:rsidRPr="00987DDC">
        <w:rPr>
          <w:noProof/>
        </w:rPr>
        <w:t>)</w:t>
      </w:r>
      <w:r w:rsidR="00987DDC" w:rsidRPr="00987DDC">
        <w:rPr>
          <w:noProof/>
        </w:rPr>
        <w:t xml:space="preserve"> i</w:t>
      </w:r>
      <w:r w:rsidR="00987DDC">
        <w:rPr>
          <w:noProof/>
        </w:rPr>
        <w:t> </w:t>
      </w:r>
      <w:r w:rsidR="00987DDC" w:rsidRPr="00987DDC">
        <w:rPr>
          <w:noProof/>
        </w:rPr>
        <w:t>pom</w:t>
      </w:r>
      <w:r w:rsidRPr="00987DDC">
        <w:rPr>
          <w:noProof/>
        </w:rPr>
        <w:t>ogło</w:t>
      </w:r>
      <w:r w:rsidR="00987DDC" w:rsidRPr="00987DDC">
        <w:rPr>
          <w:noProof/>
        </w:rPr>
        <w:t xml:space="preserve"> w</w:t>
      </w:r>
      <w:r w:rsidR="00987DDC">
        <w:rPr>
          <w:noProof/>
        </w:rPr>
        <w:t> </w:t>
      </w:r>
      <w:r w:rsidR="00987DDC" w:rsidRPr="00987DDC">
        <w:rPr>
          <w:noProof/>
        </w:rPr>
        <w:t>ugr</w:t>
      </w:r>
      <w:r w:rsidRPr="00987DDC">
        <w:rPr>
          <w:noProof/>
        </w:rPr>
        <w:t>untowaniu kultury przestrzegania przepisów</w:t>
      </w:r>
      <w:r w:rsidR="00987DDC" w:rsidRPr="00987DDC">
        <w:rPr>
          <w:noProof/>
        </w:rPr>
        <w:t xml:space="preserve"> w</w:t>
      </w:r>
      <w:r w:rsidR="00987DDC">
        <w:rPr>
          <w:noProof/>
        </w:rPr>
        <w:t> </w:t>
      </w:r>
      <w:r w:rsidR="00987DDC" w:rsidRPr="00987DDC">
        <w:rPr>
          <w:noProof/>
        </w:rPr>
        <w:t>org</w:t>
      </w:r>
      <w:r w:rsidRPr="00987DDC">
        <w:rPr>
          <w:noProof/>
        </w:rPr>
        <w:t>anizacjach. Organy ochrony danych wydają decyzje stwierdzające naruszenia RODO</w:t>
      </w:r>
      <w:r w:rsidR="00987DDC" w:rsidRPr="00987DDC">
        <w:rPr>
          <w:noProof/>
        </w:rPr>
        <w:t xml:space="preserve"> w</w:t>
      </w:r>
      <w:r w:rsidR="00987DDC">
        <w:rPr>
          <w:noProof/>
        </w:rPr>
        <w:t> </w:t>
      </w:r>
      <w:r w:rsidR="00987DDC" w:rsidRPr="00987DDC">
        <w:rPr>
          <w:noProof/>
        </w:rPr>
        <w:t>spr</w:t>
      </w:r>
      <w:r w:rsidRPr="00987DDC">
        <w:rPr>
          <w:noProof/>
        </w:rPr>
        <w:t>awach wszczętych na podstawie skarg oraz</w:t>
      </w:r>
      <w:r w:rsidR="00987DDC" w:rsidRPr="00987DDC">
        <w:rPr>
          <w:noProof/>
        </w:rPr>
        <w:t xml:space="preserve"> z</w:t>
      </w:r>
      <w:r w:rsidR="00987DDC">
        <w:rPr>
          <w:noProof/>
        </w:rPr>
        <w:t> </w:t>
      </w:r>
      <w:r w:rsidR="00987DDC" w:rsidRPr="00987DDC">
        <w:rPr>
          <w:noProof/>
        </w:rPr>
        <w:t>wła</w:t>
      </w:r>
      <w:r w:rsidRPr="00987DDC">
        <w:rPr>
          <w:noProof/>
        </w:rPr>
        <w:t>snej inicjatywy. Wiele organów ochrony danych skutecznie skorzystało</w:t>
      </w:r>
      <w:r w:rsidR="00987DDC" w:rsidRPr="00987DDC">
        <w:rPr>
          <w:noProof/>
        </w:rPr>
        <w:t xml:space="preserve"> z</w:t>
      </w:r>
      <w:r w:rsidR="00987DDC">
        <w:rPr>
          <w:noProof/>
        </w:rPr>
        <w:t> </w:t>
      </w:r>
      <w:r w:rsidR="00987DDC" w:rsidRPr="00987DDC">
        <w:rPr>
          <w:noProof/>
        </w:rPr>
        <w:t>pro</w:t>
      </w:r>
      <w:r w:rsidRPr="00987DDC">
        <w:rPr>
          <w:noProof/>
        </w:rPr>
        <w:t>cedur „polubownego rozwiązania sporu”</w:t>
      </w:r>
      <w:r w:rsidR="00987DDC" w:rsidRPr="00987DDC">
        <w:rPr>
          <w:noProof/>
        </w:rPr>
        <w:t xml:space="preserve"> w</w:t>
      </w:r>
      <w:r w:rsidR="00987DDC">
        <w:rPr>
          <w:noProof/>
        </w:rPr>
        <w:t> </w:t>
      </w:r>
      <w:r w:rsidR="00987DDC" w:rsidRPr="00987DDC">
        <w:rPr>
          <w:noProof/>
        </w:rPr>
        <w:t>cel</w:t>
      </w:r>
      <w:r w:rsidRPr="00987DDC">
        <w:rPr>
          <w:noProof/>
        </w:rPr>
        <w:t>u szybkiego rozstrzygania spraw wszczętych na podstawie skarg, ku zadowoleniu skarżącego, choć procedury te nie są dostępne we wszystkich państwach członkowskich. We wniosku dotyczącym przepisów proceduralnych przewiduje się możliwość rozstrzygania skarg</w:t>
      </w:r>
      <w:r w:rsidR="00987DDC" w:rsidRPr="00987DDC">
        <w:rPr>
          <w:noProof/>
        </w:rPr>
        <w:t xml:space="preserve"> w</w:t>
      </w:r>
      <w:r w:rsidR="00987DDC">
        <w:rPr>
          <w:noProof/>
        </w:rPr>
        <w:t> </w:t>
      </w:r>
      <w:r w:rsidR="00987DDC" w:rsidRPr="00987DDC">
        <w:rPr>
          <w:noProof/>
        </w:rPr>
        <w:t>dro</w:t>
      </w:r>
      <w:r w:rsidRPr="00987DDC">
        <w:rPr>
          <w:noProof/>
        </w:rPr>
        <w:t>dze polubownego rozwiązania (</w:t>
      </w:r>
      <w:r w:rsidRPr="00987DDC">
        <w:rPr>
          <w:rStyle w:val="FootnoteReference"/>
          <w:noProof/>
        </w:rPr>
        <w:footnoteReference w:id="28"/>
      </w:r>
      <w:r w:rsidRPr="00987DDC">
        <w:rPr>
          <w:noProof/>
        </w:rPr>
        <w:t xml:space="preserve">). </w:t>
      </w:r>
    </w:p>
    <w:p w14:paraId="248E0D96" w14:textId="48CD3779" w:rsidR="003912C7" w:rsidRPr="00987DDC" w:rsidRDefault="008E3A07" w:rsidP="003912C7">
      <w:pPr>
        <w:rPr>
          <w:noProof/>
        </w:rPr>
      </w:pPr>
      <w:r w:rsidRPr="00987DDC">
        <w:rPr>
          <w:noProof/>
        </w:rPr>
        <w:t>Organy ochrony danych</w:t>
      </w:r>
      <w:r w:rsidR="00987DDC" w:rsidRPr="00987DDC">
        <w:rPr>
          <w:noProof/>
        </w:rPr>
        <w:t xml:space="preserve"> w</w:t>
      </w:r>
      <w:r w:rsidR="00987DDC">
        <w:rPr>
          <w:noProof/>
        </w:rPr>
        <w:t> </w:t>
      </w:r>
      <w:r w:rsidR="00987DDC" w:rsidRPr="00987DDC">
        <w:rPr>
          <w:noProof/>
        </w:rPr>
        <w:t>zna</w:t>
      </w:r>
      <w:r w:rsidRPr="00987DDC">
        <w:rPr>
          <w:noProof/>
        </w:rPr>
        <w:t>cznym stopniu korzystały ze swoich uprawnień naprawczych, chociaż liczba środków naprawczych nałożonych przez poszczególne organy jest bardzo różna. Poza karami pieniężnymi najczęściej stosowanymi środkami naprawczymi były ostrzeżenia, upomnienia</w:t>
      </w:r>
      <w:r w:rsidR="00987DDC" w:rsidRPr="00987DDC">
        <w:rPr>
          <w:noProof/>
        </w:rPr>
        <w:t xml:space="preserve"> i</w:t>
      </w:r>
      <w:r w:rsidR="00987DDC">
        <w:rPr>
          <w:noProof/>
        </w:rPr>
        <w:t> </w:t>
      </w:r>
      <w:r w:rsidR="00987DDC" w:rsidRPr="00987DDC">
        <w:rPr>
          <w:noProof/>
        </w:rPr>
        <w:t>nak</w:t>
      </w:r>
      <w:r w:rsidRPr="00987DDC">
        <w:rPr>
          <w:noProof/>
        </w:rPr>
        <w:t>azy zapewnienia zgodności z RODO. Administratorzy</w:t>
      </w:r>
      <w:r w:rsidR="00987DDC" w:rsidRPr="00987DDC">
        <w:rPr>
          <w:noProof/>
        </w:rPr>
        <w:t xml:space="preserve"> i</w:t>
      </w:r>
      <w:r w:rsidR="00987DDC">
        <w:rPr>
          <w:noProof/>
        </w:rPr>
        <w:t> </w:t>
      </w:r>
      <w:r w:rsidR="00987DDC" w:rsidRPr="00987DDC">
        <w:rPr>
          <w:noProof/>
        </w:rPr>
        <w:t>pod</w:t>
      </w:r>
      <w:r w:rsidRPr="00987DDC">
        <w:rPr>
          <w:noProof/>
        </w:rPr>
        <w:t>mioty przetwarzające często zaskarżają przed sądami krajowymi decyzje stwierdzające naruszenia RODO, najczęściej powołując się na względy proceduralne (</w:t>
      </w:r>
      <w:r w:rsidRPr="00987DDC">
        <w:rPr>
          <w:noProof/>
          <w:vertAlign w:val="superscript"/>
        </w:rPr>
        <w:footnoteReference w:id="29"/>
      </w:r>
      <w:r w:rsidRPr="00987DDC">
        <w:rPr>
          <w:noProof/>
        </w:rPr>
        <w:t>).</w:t>
      </w:r>
    </w:p>
    <w:tbl>
      <w:tblPr>
        <w:tblStyle w:val="TableGrid"/>
        <w:tblW w:w="0" w:type="auto"/>
        <w:tblLook w:val="04A0" w:firstRow="1" w:lastRow="0" w:firstColumn="1" w:lastColumn="0" w:noHBand="0" w:noVBand="1"/>
      </w:tblPr>
      <w:tblGrid>
        <w:gridCol w:w="8602"/>
      </w:tblGrid>
      <w:tr w:rsidR="009749D7" w:rsidRPr="00987DDC" w14:paraId="158A5BFA" w14:textId="77777777" w:rsidTr="17F7EBDA">
        <w:tc>
          <w:tcPr>
            <w:tcW w:w="8602" w:type="dxa"/>
          </w:tcPr>
          <w:p w14:paraId="64B0EF82" w14:textId="1D3C8517" w:rsidR="009749D7" w:rsidRPr="00987DDC" w:rsidRDefault="2DF82D91" w:rsidP="00323748">
            <w:pPr>
              <w:rPr>
                <w:i/>
                <w:iCs/>
                <w:noProof/>
              </w:rPr>
            </w:pPr>
            <w:r w:rsidRPr="00987DDC">
              <w:rPr>
                <w:i/>
                <w:noProof/>
              </w:rPr>
              <w:t>Lepsze egzekwowanie przepisów</w:t>
            </w:r>
          </w:p>
          <w:p w14:paraId="2C8994C0" w14:textId="05D27C61" w:rsidR="00F9148F" w:rsidRPr="00987DDC" w:rsidRDefault="3BAC7AF4" w:rsidP="00A97238">
            <w:pPr>
              <w:pStyle w:val="ListBullet3"/>
              <w:numPr>
                <w:ilvl w:val="0"/>
                <w:numId w:val="24"/>
              </w:numPr>
              <w:rPr>
                <w:noProof/>
              </w:rPr>
            </w:pPr>
            <w:r w:rsidRPr="00987DDC">
              <w:rPr>
                <w:noProof/>
              </w:rPr>
              <w:t>Organy ochrony danych wszczęły ponad 20 000 postępowań</w:t>
            </w:r>
            <w:r w:rsidR="00987DDC" w:rsidRPr="00987DDC">
              <w:rPr>
                <w:noProof/>
              </w:rPr>
              <w:t xml:space="preserve"> z</w:t>
            </w:r>
            <w:r w:rsidR="00987DDC">
              <w:rPr>
                <w:noProof/>
              </w:rPr>
              <w:t> </w:t>
            </w:r>
            <w:r w:rsidR="00987DDC" w:rsidRPr="00987DDC">
              <w:rPr>
                <w:noProof/>
              </w:rPr>
              <w:t>wła</w:t>
            </w:r>
            <w:r w:rsidRPr="00987DDC">
              <w:rPr>
                <w:noProof/>
              </w:rPr>
              <w:t>snej inicjatywy (</w:t>
            </w:r>
            <w:r w:rsidRPr="00987DDC">
              <w:rPr>
                <w:rStyle w:val="FootnoteReference"/>
                <w:noProof/>
              </w:rPr>
              <w:footnoteReference w:id="30"/>
            </w:r>
            <w:r w:rsidRPr="00987DDC">
              <w:rPr>
                <w:noProof/>
              </w:rPr>
              <w:t xml:space="preserve">). </w:t>
            </w:r>
          </w:p>
          <w:p w14:paraId="6A9B301E" w14:textId="503C6B68" w:rsidR="00F9148F" w:rsidRPr="00987DDC" w:rsidRDefault="0083760C" w:rsidP="00A97238">
            <w:pPr>
              <w:pStyle w:val="ListBullet3"/>
              <w:numPr>
                <w:ilvl w:val="0"/>
                <w:numId w:val="24"/>
              </w:numPr>
              <w:rPr>
                <w:noProof/>
              </w:rPr>
            </w:pPr>
            <w:r w:rsidRPr="00987DDC">
              <w:rPr>
                <w:noProof/>
              </w:rPr>
              <w:t>Łącznie otrzymują one ponad 100 000 skarg rocznie (</w:t>
            </w:r>
            <w:r w:rsidRPr="00987DDC">
              <w:rPr>
                <w:rStyle w:val="FootnoteReference"/>
                <w:noProof/>
              </w:rPr>
              <w:footnoteReference w:id="31"/>
            </w:r>
            <w:r w:rsidRPr="00987DDC">
              <w:rPr>
                <w:noProof/>
              </w:rPr>
              <w:t>).</w:t>
            </w:r>
          </w:p>
          <w:p w14:paraId="1A90EA91" w14:textId="0007EC26" w:rsidR="00CB32B9" w:rsidRPr="00987DDC" w:rsidRDefault="6D7EF3BD" w:rsidP="00A97238">
            <w:pPr>
              <w:pStyle w:val="ListBullet3"/>
              <w:numPr>
                <w:ilvl w:val="0"/>
                <w:numId w:val="24"/>
              </w:numPr>
              <w:rPr>
                <w:noProof/>
              </w:rPr>
            </w:pPr>
            <w:r w:rsidRPr="00987DDC">
              <w:rPr>
                <w:noProof/>
              </w:rPr>
              <w:t>Czas rozpatrywania skargi przez organy ochrony danych (od otrzymania skargi do zamknięcia sprawy) wynosi średnio od</w:t>
            </w:r>
            <w:r w:rsidR="00987DDC" w:rsidRPr="00987DDC">
              <w:rPr>
                <w:noProof/>
              </w:rPr>
              <w:t> </w:t>
            </w:r>
            <w:r w:rsidRPr="00987DDC">
              <w:rPr>
                <w:noProof/>
              </w:rPr>
              <w:t>1 do</w:t>
            </w:r>
            <w:r w:rsidR="00987DDC" w:rsidRPr="00987DDC">
              <w:rPr>
                <w:noProof/>
              </w:rPr>
              <w:t> </w:t>
            </w:r>
            <w:r w:rsidRPr="00987DDC">
              <w:rPr>
                <w:noProof/>
              </w:rPr>
              <w:t>12 miesięcy:</w:t>
            </w:r>
            <w:r w:rsidR="00987DDC" w:rsidRPr="00987DDC">
              <w:rPr>
                <w:noProof/>
              </w:rPr>
              <w:t xml:space="preserve"> w</w:t>
            </w:r>
            <w:r w:rsidR="00987DDC">
              <w:rPr>
                <w:noProof/>
              </w:rPr>
              <w:t> </w:t>
            </w:r>
            <w:r w:rsidR="00987DDC" w:rsidRPr="00987DDC">
              <w:rPr>
                <w:noProof/>
              </w:rPr>
              <w:t>pię</w:t>
            </w:r>
            <w:r w:rsidRPr="00987DDC">
              <w:rPr>
                <w:noProof/>
              </w:rPr>
              <w:t>ciu państwach członkowskich czas ten wynosi 3 miesiące lub mniej (Dania – 1 miesiąc, Hiszpania – 1,5 miesiąca, Estonia – 3 miesiące, Grecja – 3 miesiące</w:t>
            </w:r>
            <w:r w:rsidR="00987DDC" w:rsidRPr="00987DDC">
              <w:rPr>
                <w:noProof/>
              </w:rPr>
              <w:t xml:space="preserve"> i</w:t>
            </w:r>
            <w:r w:rsidR="00987DDC">
              <w:rPr>
                <w:noProof/>
              </w:rPr>
              <w:t> </w:t>
            </w:r>
            <w:r w:rsidR="00987DDC" w:rsidRPr="00987DDC">
              <w:rPr>
                <w:noProof/>
              </w:rPr>
              <w:t>Irl</w:t>
            </w:r>
            <w:r w:rsidRPr="00987DDC">
              <w:rPr>
                <w:noProof/>
              </w:rPr>
              <w:t xml:space="preserve">andia – 3 miesiące). </w:t>
            </w:r>
          </w:p>
          <w:p w14:paraId="072E9F07" w14:textId="3C87EA60" w:rsidR="00520170" w:rsidRPr="00987DDC" w:rsidRDefault="0A491F26" w:rsidP="00A97238">
            <w:pPr>
              <w:pStyle w:val="ListBullet3"/>
              <w:numPr>
                <w:ilvl w:val="0"/>
                <w:numId w:val="24"/>
              </w:numPr>
              <w:rPr>
                <w:noProof/>
              </w:rPr>
            </w:pPr>
            <w:r w:rsidRPr="00987DDC">
              <w:rPr>
                <w:noProof/>
              </w:rPr>
              <w:t>Ponad 20 000 skarg rozstrzygnięto</w:t>
            </w:r>
            <w:r w:rsidR="00987DDC" w:rsidRPr="00987DDC">
              <w:rPr>
                <w:noProof/>
              </w:rPr>
              <w:t xml:space="preserve"> w</w:t>
            </w:r>
            <w:r w:rsidR="00987DDC">
              <w:rPr>
                <w:noProof/>
              </w:rPr>
              <w:t> </w:t>
            </w:r>
            <w:r w:rsidR="00987DDC" w:rsidRPr="00987DDC">
              <w:rPr>
                <w:noProof/>
              </w:rPr>
              <w:t>dro</w:t>
            </w:r>
            <w:r w:rsidRPr="00987DDC">
              <w:rPr>
                <w:noProof/>
              </w:rPr>
              <w:t>dze polubownego rozwiązania sporu. Metodę tę najczęściej stosuje się</w:t>
            </w:r>
            <w:r w:rsidR="00987DDC" w:rsidRPr="00987DDC">
              <w:rPr>
                <w:noProof/>
              </w:rPr>
              <w:t xml:space="preserve"> w</w:t>
            </w:r>
            <w:r w:rsidR="00987DDC">
              <w:rPr>
                <w:noProof/>
              </w:rPr>
              <w:t> </w:t>
            </w:r>
            <w:r w:rsidR="00987DDC" w:rsidRPr="00987DDC">
              <w:rPr>
                <w:noProof/>
              </w:rPr>
              <w:t>Aus</w:t>
            </w:r>
            <w:r w:rsidRPr="00987DDC">
              <w:rPr>
                <w:noProof/>
              </w:rPr>
              <w:t>trii, na Węgrzech,</w:t>
            </w:r>
            <w:r w:rsidR="00987DDC" w:rsidRPr="00987DDC">
              <w:rPr>
                <w:noProof/>
              </w:rPr>
              <w:t xml:space="preserve"> w</w:t>
            </w:r>
            <w:r w:rsidR="00987DDC">
              <w:rPr>
                <w:noProof/>
              </w:rPr>
              <w:t> </w:t>
            </w:r>
            <w:r w:rsidR="00987DDC" w:rsidRPr="00987DDC">
              <w:rPr>
                <w:noProof/>
              </w:rPr>
              <w:t>Luk</w:t>
            </w:r>
            <w:r w:rsidRPr="00987DDC">
              <w:rPr>
                <w:noProof/>
              </w:rPr>
              <w:t>semburgu</w:t>
            </w:r>
            <w:r w:rsidR="00987DDC" w:rsidRPr="00987DDC">
              <w:rPr>
                <w:noProof/>
              </w:rPr>
              <w:t xml:space="preserve"> i</w:t>
            </w:r>
            <w:r w:rsidR="00987DDC">
              <w:rPr>
                <w:noProof/>
              </w:rPr>
              <w:t> </w:t>
            </w:r>
            <w:r w:rsidR="00987DDC" w:rsidRPr="00987DDC">
              <w:rPr>
                <w:noProof/>
              </w:rPr>
              <w:t>Irl</w:t>
            </w:r>
            <w:r w:rsidRPr="00987DDC">
              <w:rPr>
                <w:noProof/>
              </w:rPr>
              <w:t>andii.</w:t>
            </w:r>
          </w:p>
          <w:p w14:paraId="2EDD6AEB" w14:textId="3408B8E8" w:rsidR="008E3A07" w:rsidRPr="00987DDC" w:rsidRDefault="7CE7DE63" w:rsidP="008E3A07">
            <w:pPr>
              <w:pStyle w:val="ListBullet3"/>
              <w:numPr>
                <w:ilvl w:val="0"/>
                <w:numId w:val="24"/>
              </w:numPr>
              <w:rPr>
                <w:noProof/>
              </w:rPr>
            </w:pPr>
            <w:r w:rsidRPr="00987DDC">
              <w:rPr>
                <w:noProof/>
              </w:rPr>
              <w:t>W 2022</w:t>
            </w:r>
            <w:r w:rsidR="00987DDC" w:rsidRPr="00987DDC">
              <w:rPr>
                <w:noProof/>
              </w:rPr>
              <w:t> </w:t>
            </w:r>
            <w:r w:rsidRPr="00987DDC">
              <w:rPr>
                <w:noProof/>
              </w:rPr>
              <w:t>r. największą liczbę decyzji nakładających środek naprawczy przyjęły organy ochrony danych</w:t>
            </w:r>
            <w:r w:rsidR="00987DDC" w:rsidRPr="00987DDC">
              <w:rPr>
                <w:noProof/>
              </w:rPr>
              <w:t xml:space="preserve"> w</w:t>
            </w:r>
            <w:r w:rsidR="00987DDC">
              <w:rPr>
                <w:noProof/>
              </w:rPr>
              <w:t> </w:t>
            </w:r>
            <w:r w:rsidR="00987DDC" w:rsidRPr="00987DDC">
              <w:rPr>
                <w:noProof/>
              </w:rPr>
              <w:t>Nie</w:t>
            </w:r>
            <w:r w:rsidRPr="00987DDC">
              <w:rPr>
                <w:noProof/>
              </w:rPr>
              <w:t>mczech (3 261), wyprzedzając Hiszpanię (774), Litwę (308)</w:t>
            </w:r>
            <w:r w:rsidR="00987DDC" w:rsidRPr="00987DDC">
              <w:rPr>
                <w:noProof/>
              </w:rPr>
              <w:t xml:space="preserve"> i</w:t>
            </w:r>
            <w:r w:rsidR="00987DDC">
              <w:rPr>
                <w:noProof/>
              </w:rPr>
              <w:t> </w:t>
            </w:r>
            <w:r w:rsidR="00987DDC" w:rsidRPr="00987DDC">
              <w:rPr>
                <w:noProof/>
              </w:rPr>
              <w:t>Est</w:t>
            </w:r>
            <w:r w:rsidRPr="00987DDC">
              <w:rPr>
                <w:noProof/>
              </w:rPr>
              <w:t>onię (332). Najmniejszą liczbę środków naprawczych nałożono</w:t>
            </w:r>
            <w:r w:rsidR="00987DDC" w:rsidRPr="00987DDC">
              <w:rPr>
                <w:noProof/>
              </w:rPr>
              <w:t xml:space="preserve"> w</w:t>
            </w:r>
            <w:r w:rsidR="00987DDC">
              <w:rPr>
                <w:noProof/>
              </w:rPr>
              <w:t> </w:t>
            </w:r>
            <w:r w:rsidR="00987DDC" w:rsidRPr="00987DDC">
              <w:rPr>
                <w:noProof/>
              </w:rPr>
              <w:t>Lie</w:t>
            </w:r>
            <w:r w:rsidRPr="00987DDC">
              <w:rPr>
                <w:noProof/>
              </w:rPr>
              <w:t>chtensteinie (8), Czechach (8), Islandii (10), Niderlandach (17)</w:t>
            </w:r>
            <w:r w:rsidR="00987DDC" w:rsidRPr="00987DDC">
              <w:rPr>
                <w:noProof/>
              </w:rPr>
              <w:t xml:space="preserve"> i</w:t>
            </w:r>
            <w:r w:rsidR="00987DDC">
              <w:rPr>
                <w:noProof/>
              </w:rPr>
              <w:t> </w:t>
            </w:r>
            <w:r w:rsidR="00987DDC" w:rsidRPr="00987DDC">
              <w:rPr>
                <w:noProof/>
              </w:rPr>
              <w:t>Luk</w:t>
            </w:r>
            <w:r w:rsidRPr="00987DDC">
              <w:rPr>
                <w:noProof/>
              </w:rPr>
              <w:t>semburgu (22).</w:t>
            </w:r>
          </w:p>
          <w:p w14:paraId="611C4B87" w14:textId="504E4D01" w:rsidR="00CB32B9" w:rsidRPr="00987DDC" w:rsidRDefault="3BAC7AF4" w:rsidP="00A97238">
            <w:pPr>
              <w:pStyle w:val="ListBullet3"/>
              <w:numPr>
                <w:ilvl w:val="0"/>
                <w:numId w:val="24"/>
              </w:numPr>
              <w:rPr>
                <w:noProof/>
              </w:rPr>
            </w:pPr>
            <w:r w:rsidRPr="00987DDC">
              <w:rPr>
                <w:noProof/>
              </w:rPr>
              <w:t>Organy ochrony danych nałożyły ponad 6 680 kar pieniężnych opiewających na łączną kwotę około 4,2 mld EUR (</w:t>
            </w:r>
            <w:r w:rsidRPr="00987DDC">
              <w:rPr>
                <w:rStyle w:val="FootnoteReference"/>
                <w:noProof/>
              </w:rPr>
              <w:footnoteReference w:id="32"/>
            </w:r>
            <w:r w:rsidRPr="00987DDC">
              <w:rPr>
                <w:noProof/>
              </w:rPr>
              <w:t>). Organ</w:t>
            </w:r>
            <w:r w:rsidR="00987DDC" w:rsidRPr="00987DDC">
              <w:rPr>
                <w:noProof/>
              </w:rPr>
              <w:t xml:space="preserve"> w</w:t>
            </w:r>
            <w:r w:rsidR="00987DDC">
              <w:rPr>
                <w:noProof/>
              </w:rPr>
              <w:t> </w:t>
            </w:r>
            <w:r w:rsidR="00987DDC" w:rsidRPr="00987DDC">
              <w:rPr>
                <w:noProof/>
              </w:rPr>
              <w:t>Irl</w:t>
            </w:r>
            <w:r w:rsidRPr="00987DDC">
              <w:rPr>
                <w:noProof/>
              </w:rPr>
              <w:t>andii nałożył kary pieniężne</w:t>
            </w:r>
            <w:r w:rsidR="00987DDC" w:rsidRPr="00987DDC">
              <w:rPr>
                <w:noProof/>
              </w:rPr>
              <w:t xml:space="preserve"> w</w:t>
            </w:r>
            <w:r w:rsidR="00987DDC">
              <w:rPr>
                <w:noProof/>
              </w:rPr>
              <w:t> </w:t>
            </w:r>
            <w:r w:rsidR="00987DDC" w:rsidRPr="00987DDC">
              <w:rPr>
                <w:noProof/>
              </w:rPr>
              <w:t>naj</w:t>
            </w:r>
            <w:r w:rsidRPr="00987DDC">
              <w:rPr>
                <w:noProof/>
              </w:rPr>
              <w:t>wyższej łącznej kwocie (2,8 mld EUR), wyprzedzając Luksemburg (746 mln EUR), Włochy (197 mln EUR)</w:t>
            </w:r>
            <w:r w:rsidR="00987DDC" w:rsidRPr="00987DDC">
              <w:rPr>
                <w:noProof/>
              </w:rPr>
              <w:t xml:space="preserve"> i</w:t>
            </w:r>
            <w:r w:rsidR="00987DDC">
              <w:rPr>
                <w:noProof/>
              </w:rPr>
              <w:t> </w:t>
            </w:r>
            <w:r w:rsidR="00987DDC" w:rsidRPr="00987DDC">
              <w:rPr>
                <w:noProof/>
              </w:rPr>
              <w:t>Fra</w:t>
            </w:r>
            <w:r w:rsidRPr="00987DDC">
              <w:rPr>
                <w:noProof/>
              </w:rPr>
              <w:t>ncję (131 mln EUR). Kary pieniężne</w:t>
            </w:r>
            <w:r w:rsidR="00987DDC" w:rsidRPr="00987DDC">
              <w:rPr>
                <w:noProof/>
              </w:rPr>
              <w:t xml:space="preserve"> w</w:t>
            </w:r>
            <w:r w:rsidR="00987DDC">
              <w:rPr>
                <w:noProof/>
              </w:rPr>
              <w:t> </w:t>
            </w:r>
            <w:r w:rsidR="00987DDC" w:rsidRPr="00987DDC">
              <w:rPr>
                <w:noProof/>
              </w:rPr>
              <w:t>naj</w:t>
            </w:r>
            <w:r w:rsidRPr="00987DDC">
              <w:rPr>
                <w:noProof/>
              </w:rPr>
              <w:t>niższej łącznej kwocie nałożono</w:t>
            </w:r>
            <w:r w:rsidR="00987DDC" w:rsidRPr="00987DDC">
              <w:rPr>
                <w:noProof/>
              </w:rPr>
              <w:t xml:space="preserve"> w</w:t>
            </w:r>
            <w:r w:rsidR="00987DDC">
              <w:rPr>
                <w:noProof/>
              </w:rPr>
              <w:t> </w:t>
            </w:r>
            <w:r w:rsidR="00987DDC" w:rsidRPr="00987DDC">
              <w:rPr>
                <w:noProof/>
              </w:rPr>
              <w:t>Lie</w:t>
            </w:r>
            <w:r w:rsidRPr="00987DDC">
              <w:rPr>
                <w:noProof/>
              </w:rPr>
              <w:t>chtensteinie (9 600 EUR), Estonii (201 000 EUR) i na Litwie (435 000 EUR).</w:t>
            </w:r>
          </w:p>
        </w:tc>
      </w:tr>
    </w:tbl>
    <w:p w14:paraId="17FDC39C" w14:textId="77777777" w:rsidR="00F9148F" w:rsidRPr="00987DDC" w:rsidRDefault="00F9148F" w:rsidP="0015792D">
      <w:pPr>
        <w:rPr>
          <w:noProof/>
        </w:rPr>
      </w:pPr>
    </w:p>
    <w:p w14:paraId="0F63C568" w14:textId="3A27EC1D" w:rsidR="00ED6748" w:rsidRPr="00987DDC" w:rsidRDefault="003912C7" w:rsidP="0015792D">
      <w:pPr>
        <w:rPr>
          <w:noProof/>
        </w:rPr>
      </w:pPr>
      <w:r w:rsidRPr="00987DDC">
        <w:rPr>
          <w:noProof/>
        </w:rPr>
        <w:t>Chociaż większość organów ochrony danych uznaje swoje narzędzia na potrzeby prowadzenia postępowań za odpowiednie, niektóre organy wymagają dodatkowych narzędzi na szczeblu krajowym, np. odpowiednich sankcji</w:t>
      </w:r>
      <w:r w:rsidR="00987DDC" w:rsidRPr="00987DDC">
        <w:rPr>
          <w:noProof/>
        </w:rPr>
        <w:t xml:space="preserve"> w</w:t>
      </w:r>
      <w:r w:rsidR="00987DDC">
        <w:rPr>
          <w:noProof/>
        </w:rPr>
        <w:t> </w:t>
      </w:r>
      <w:r w:rsidR="00987DDC" w:rsidRPr="00987DDC">
        <w:rPr>
          <w:noProof/>
        </w:rPr>
        <w:t>prz</w:t>
      </w:r>
      <w:r w:rsidRPr="00987DDC">
        <w:rPr>
          <w:noProof/>
        </w:rPr>
        <w:t>ypadku, gdy administratorzy nie współpracują lub nie dostarczają niezbędnych informacji (</w:t>
      </w:r>
      <w:r w:rsidRPr="00987DDC">
        <w:rPr>
          <w:rStyle w:val="FootnoteReference"/>
          <w:noProof/>
        </w:rPr>
        <w:footnoteReference w:id="33"/>
      </w:r>
      <w:r w:rsidRPr="00987DDC">
        <w:rPr>
          <w:noProof/>
        </w:rPr>
        <w:t>). Organy ochrony danych uważają, że najważniejszymi czynnikami ograniczającymi ich zdolności</w:t>
      </w:r>
      <w:r w:rsidR="00987DDC" w:rsidRPr="00987DDC">
        <w:rPr>
          <w:noProof/>
        </w:rPr>
        <w:t xml:space="preserve"> w</w:t>
      </w:r>
      <w:r w:rsidR="00987DDC">
        <w:rPr>
          <w:noProof/>
        </w:rPr>
        <w:t> </w:t>
      </w:r>
      <w:r w:rsidR="00987DDC" w:rsidRPr="00987DDC">
        <w:rPr>
          <w:noProof/>
        </w:rPr>
        <w:t>zak</w:t>
      </w:r>
      <w:r w:rsidRPr="00987DDC">
        <w:rPr>
          <w:noProof/>
        </w:rPr>
        <w:t>resie egzekwowania prawa są niewystarczające zasoby oraz luki</w:t>
      </w:r>
      <w:r w:rsidR="00987DDC" w:rsidRPr="00987DDC">
        <w:rPr>
          <w:noProof/>
        </w:rPr>
        <w:t xml:space="preserve"> w</w:t>
      </w:r>
      <w:r w:rsidR="00987DDC">
        <w:rPr>
          <w:noProof/>
        </w:rPr>
        <w:t> </w:t>
      </w:r>
      <w:r w:rsidR="00987DDC" w:rsidRPr="00987DDC">
        <w:rPr>
          <w:noProof/>
        </w:rPr>
        <w:t>spe</w:t>
      </w:r>
      <w:r w:rsidRPr="00987DDC">
        <w:rPr>
          <w:noProof/>
        </w:rPr>
        <w:t>cjalistycznej wiedzy technicznej</w:t>
      </w:r>
      <w:r w:rsidR="00987DDC" w:rsidRPr="00987DDC">
        <w:rPr>
          <w:noProof/>
        </w:rPr>
        <w:t xml:space="preserve"> i</w:t>
      </w:r>
      <w:r w:rsidR="00987DDC">
        <w:rPr>
          <w:noProof/>
        </w:rPr>
        <w:t> </w:t>
      </w:r>
      <w:r w:rsidR="00987DDC" w:rsidRPr="00987DDC">
        <w:rPr>
          <w:noProof/>
        </w:rPr>
        <w:t>pra</w:t>
      </w:r>
      <w:r w:rsidRPr="00987DDC">
        <w:rPr>
          <w:noProof/>
        </w:rPr>
        <w:t>wnej (</w:t>
      </w:r>
      <w:r w:rsidRPr="00987DDC">
        <w:rPr>
          <w:rStyle w:val="FootnoteReference"/>
          <w:noProof/>
        </w:rPr>
        <w:footnoteReference w:id="34"/>
      </w:r>
      <w:r w:rsidRPr="00987DDC">
        <w:rPr>
          <w:noProof/>
        </w:rPr>
        <w:t>).</w:t>
      </w:r>
    </w:p>
    <w:p w14:paraId="6369C2DB" w14:textId="567A5876" w:rsidR="00000A45" w:rsidRPr="00987DDC" w:rsidRDefault="00000A45" w:rsidP="0003154B">
      <w:pPr>
        <w:pStyle w:val="Heading2"/>
        <w:rPr>
          <w:noProof/>
        </w:rPr>
      </w:pPr>
      <w:bookmarkStart w:id="11" w:name="_Toc165303743"/>
      <w:r w:rsidRPr="00987DDC">
        <w:rPr>
          <w:noProof/>
        </w:rPr>
        <w:t>EROD</w:t>
      </w:r>
      <w:bookmarkEnd w:id="11"/>
    </w:p>
    <w:p w14:paraId="7D483C68" w14:textId="5FF0951C" w:rsidR="096D24B7" w:rsidRPr="00987DDC" w:rsidRDefault="0015792D" w:rsidP="096D24B7">
      <w:pPr>
        <w:rPr>
          <w:noProof/>
        </w:rPr>
      </w:pPr>
      <w:r w:rsidRPr="00987DDC">
        <w:rPr>
          <w:noProof/>
        </w:rPr>
        <w:t>W skład EROD wchodzą: przewodniczący jednego organu ochrony danych każdego państwa członkowskiego oraz Europejski Inspektor Ochrony Danych, zaś Komisja uczestniczy bez prawa głosu. Zadaniem EROD – wspieranej</w:t>
      </w:r>
      <w:r w:rsidR="00987DDC" w:rsidRPr="00987DDC">
        <w:rPr>
          <w:noProof/>
        </w:rPr>
        <w:t xml:space="preserve"> w</w:t>
      </w:r>
      <w:r w:rsidR="00987DDC">
        <w:rPr>
          <w:noProof/>
        </w:rPr>
        <w:t> </w:t>
      </w:r>
      <w:r w:rsidR="00987DDC" w:rsidRPr="00987DDC">
        <w:rPr>
          <w:noProof/>
        </w:rPr>
        <w:t>jej</w:t>
      </w:r>
      <w:r w:rsidRPr="00987DDC">
        <w:rPr>
          <w:noProof/>
        </w:rPr>
        <w:t xml:space="preserve"> pracach przez sekretariat – jest zapewnienie spójnego stosowania RODO (</w:t>
      </w:r>
      <w:r w:rsidRPr="00987DDC">
        <w:rPr>
          <w:rStyle w:val="FootnoteReference"/>
          <w:noProof/>
        </w:rPr>
        <w:footnoteReference w:id="35"/>
      </w:r>
      <w:r w:rsidRPr="00987DDC">
        <w:rPr>
          <w:noProof/>
        </w:rPr>
        <w:t>). Większość organów ochrony danych uważa, że EROD odegrała pozytywną rolę</w:t>
      </w:r>
      <w:r w:rsidR="00987DDC" w:rsidRPr="00987DDC">
        <w:rPr>
          <w:noProof/>
        </w:rPr>
        <w:t xml:space="preserve"> w</w:t>
      </w:r>
      <w:r w:rsidR="00987DDC">
        <w:rPr>
          <w:noProof/>
        </w:rPr>
        <w:t> </w:t>
      </w:r>
      <w:r w:rsidR="00987DDC" w:rsidRPr="00987DDC">
        <w:rPr>
          <w:noProof/>
        </w:rPr>
        <w:t>uma</w:t>
      </w:r>
      <w:r w:rsidRPr="00987DDC">
        <w:rPr>
          <w:noProof/>
        </w:rPr>
        <w:t>cnianiu współpracy między nimi (</w:t>
      </w:r>
      <w:r w:rsidRPr="00987DDC">
        <w:rPr>
          <w:noProof/>
          <w:vertAlign w:val="superscript"/>
        </w:rPr>
        <w:footnoteReference w:id="36"/>
      </w:r>
      <w:r w:rsidRPr="00987DDC">
        <w:rPr>
          <w:noProof/>
        </w:rPr>
        <w:t>). Wiele organów ochrony danych przeznacza znaczne zasoby na działania EROD, chociaż mniejsze organy wskazują, że ich rozmiar uniemożliwia im pełne zaangażowanie (</w:t>
      </w:r>
      <w:r w:rsidRPr="00987DDC">
        <w:rPr>
          <w:rStyle w:val="FootnoteReference"/>
          <w:noProof/>
        </w:rPr>
        <w:footnoteReference w:id="37"/>
      </w:r>
      <w:r w:rsidRPr="00987DDC">
        <w:rPr>
          <w:noProof/>
        </w:rPr>
        <w:t>). Niektóre organy uważają, że należy poprawić skuteczność procesów EROD,</w:t>
      </w:r>
      <w:r w:rsidR="00987DDC" w:rsidRPr="00987DDC">
        <w:rPr>
          <w:noProof/>
        </w:rPr>
        <w:t xml:space="preserve"> w</w:t>
      </w:r>
      <w:r w:rsidR="00987DDC">
        <w:rPr>
          <w:noProof/>
        </w:rPr>
        <w:t> </w:t>
      </w:r>
      <w:r w:rsidR="00987DDC" w:rsidRPr="00987DDC">
        <w:rPr>
          <w:noProof/>
        </w:rPr>
        <w:t>szc</w:t>
      </w:r>
      <w:r w:rsidRPr="00987DDC">
        <w:rPr>
          <w:noProof/>
        </w:rPr>
        <w:t>zególności poprzez zmniejszenie liczby posiedzeń</w:t>
      </w:r>
      <w:r w:rsidR="00987DDC" w:rsidRPr="00987DDC">
        <w:rPr>
          <w:noProof/>
        </w:rPr>
        <w:t xml:space="preserve"> i</w:t>
      </w:r>
      <w:r w:rsidR="00987DDC">
        <w:rPr>
          <w:noProof/>
        </w:rPr>
        <w:t> </w:t>
      </w:r>
      <w:r w:rsidR="00987DDC" w:rsidRPr="00987DDC">
        <w:rPr>
          <w:noProof/>
        </w:rPr>
        <w:t>poś</w:t>
      </w:r>
      <w:r w:rsidRPr="00987DDC">
        <w:rPr>
          <w:noProof/>
        </w:rPr>
        <w:t>więcanie mniejszej uwagi drobnym kwestiom (</w:t>
      </w:r>
      <w:r w:rsidRPr="00987DDC">
        <w:rPr>
          <w:rStyle w:val="FootnoteReference"/>
          <w:noProof/>
        </w:rPr>
        <w:footnoteReference w:id="38"/>
      </w:r>
      <w:r w:rsidRPr="00987DDC">
        <w:rPr>
          <w:noProof/>
        </w:rPr>
        <w:t>)</w:t>
      </w:r>
      <w:r w:rsidR="00987DDC" w:rsidRPr="00987DDC">
        <w:rPr>
          <w:noProof/>
        </w:rPr>
        <w:t>. W</w:t>
      </w:r>
      <w:r w:rsidR="00987DDC">
        <w:rPr>
          <w:noProof/>
        </w:rPr>
        <w:t> </w:t>
      </w:r>
      <w:r w:rsidR="00987DDC" w:rsidRPr="00987DDC">
        <w:rPr>
          <w:noProof/>
        </w:rPr>
        <w:t>zal</w:t>
      </w:r>
      <w:r w:rsidRPr="00987DDC">
        <w:rPr>
          <w:noProof/>
        </w:rPr>
        <w:t>eżności od wyniku negocjacji</w:t>
      </w:r>
      <w:r w:rsidR="00987DDC" w:rsidRPr="00987DDC">
        <w:rPr>
          <w:noProof/>
        </w:rPr>
        <w:t xml:space="preserve"> w</w:t>
      </w:r>
      <w:r w:rsidR="00987DDC">
        <w:rPr>
          <w:noProof/>
        </w:rPr>
        <w:t> </w:t>
      </w:r>
      <w:r w:rsidR="00987DDC" w:rsidRPr="00987DDC">
        <w:rPr>
          <w:noProof/>
        </w:rPr>
        <w:t>spr</w:t>
      </w:r>
      <w:r w:rsidRPr="00987DDC">
        <w:rPr>
          <w:noProof/>
        </w:rPr>
        <w:t xml:space="preserve">awie wniosku dotyczącego przepisów proceduralnych RODO, który ma na celu ograniczenie liczby spraw kierowanych do rozstrzygnięcia przez EROD, być może będzie trzeba zastanowić się, czy EROD potrzebuje dodatkowych zasobów. </w:t>
      </w:r>
    </w:p>
    <w:p w14:paraId="25392B49" w14:textId="60CB111E" w:rsidR="00664C34" w:rsidRPr="00987DDC" w:rsidRDefault="0015792D" w:rsidP="55E7C498">
      <w:pPr>
        <w:rPr>
          <w:noProof/>
        </w:rPr>
      </w:pPr>
      <w:r w:rsidRPr="00987DDC">
        <w:rPr>
          <w:noProof/>
        </w:rPr>
        <w:t>Według stanu na listopad 2023</w:t>
      </w:r>
      <w:r w:rsidR="00987DDC" w:rsidRPr="00987DDC">
        <w:rPr>
          <w:noProof/>
        </w:rPr>
        <w:t> </w:t>
      </w:r>
      <w:r w:rsidRPr="00987DDC">
        <w:rPr>
          <w:noProof/>
        </w:rPr>
        <w:t>r. EROD wydała 35 wytycznych. Chociaż zainteresowane strony oraz organy ochrony danych uznały wytyczne za przydatne, to są zdania, że należy je wydawać szybciej oraz należy podnieść ich jakość (</w:t>
      </w:r>
      <w:r w:rsidRPr="00987DDC">
        <w:rPr>
          <w:rStyle w:val="FootnoteReference"/>
          <w:noProof/>
        </w:rPr>
        <w:footnoteReference w:id="39"/>
      </w:r>
      <w:r w:rsidRPr="00987DDC">
        <w:rPr>
          <w:noProof/>
        </w:rPr>
        <w:t>). Zainteresowane strony zauważają, że często ich charakter jest zbyt teoretyczny, są nadmiernie długie</w:t>
      </w:r>
      <w:r w:rsidR="00987DDC" w:rsidRPr="00987DDC">
        <w:rPr>
          <w:noProof/>
        </w:rPr>
        <w:t xml:space="preserve"> i</w:t>
      </w:r>
      <w:r w:rsidR="00987DDC">
        <w:rPr>
          <w:noProof/>
        </w:rPr>
        <w:t> </w:t>
      </w:r>
      <w:r w:rsidR="00987DDC" w:rsidRPr="00987DDC">
        <w:rPr>
          <w:noProof/>
        </w:rPr>
        <w:t>nie</w:t>
      </w:r>
      <w:r w:rsidRPr="00987DDC">
        <w:rPr>
          <w:noProof/>
        </w:rPr>
        <w:t xml:space="preserve"> odzwierciedlają podejścia opartego na analizie ryzyka uwzględnionego w RODO (</w:t>
      </w:r>
      <w:r w:rsidRPr="00987DDC">
        <w:rPr>
          <w:rStyle w:val="FootnoteReference"/>
          <w:noProof/>
        </w:rPr>
        <w:footnoteReference w:id="40"/>
      </w:r>
      <w:r w:rsidRPr="00987DDC">
        <w:rPr>
          <w:noProof/>
        </w:rPr>
        <w:t>). Organy ochrony danych i EROD powinny wydawać zwięzłe</w:t>
      </w:r>
      <w:r w:rsidR="00987DDC" w:rsidRPr="00987DDC">
        <w:rPr>
          <w:noProof/>
        </w:rPr>
        <w:t xml:space="preserve"> i</w:t>
      </w:r>
      <w:r w:rsidR="00987DDC">
        <w:rPr>
          <w:noProof/>
        </w:rPr>
        <w:t> </w:t>
      </w:r>
      <w:r w:rsidR="00987DDC" w:rsidRPr="00987DDC">
        <w:rPr>
          <w:noProof/>
        </w:rPr>
        <w:t>pra</w:t>
      </w:r>
      <w:r w:rsidRPr="00987DDC">
        <w:rPr>
          <w:noProof/>
        </w:rPr>
        <w:t>ktyczne wytyczne, które będą stanowić odpowiedzi na konkretne problemy oraz odzwierciedlać równowagę między ochroną danych</w:t>
      </w:r>
      <w:r w:rsidR="00987DDC" w:rsidRPr="00987DDC">
        <w:rPr>
          <w:noProof/>
        </w:rPr>
        <w:t xml:space="preserve"> a</w:t>
      </w:r>
      <w:r w:rsidR="00987DDC">
        <w:rPr>
          <w:noProof/>
        </w:rPr>
        <w:t> </w:t>
      </w:r>
      <w:r w:rsidR="00987DDC" w:rsidRPr="00987DDC">
        <w:rPr>
          <w:noProof/>
        </w:rPr>
        <w:t>inn</w:t>
      </w:r>
      <w:r w:rsidRPr="00987DDC">
        <w:rPr>
          <w:noProof/>
        </w:rPr>
        <w:t>ymi prawami podstawowymi. Wytyczne powinny być również łatwe do zrozumienia dla osób fizycznych nieposiadających przygotowania prawniczego, które na przykład pracują na rzecz MŚP</w:t>
      </w:r>
      <w:r w:rsidR="00987DDC" w:rsidRPr="00987DDC">
        <w:rPr>
          <w:noProof/>
        </w:rPr>
        <w:t xml:space="preserve"> i</w:t>
      </w:r>
      <w:r w:rsidR="00987DDC">
        <w:rPr>
          <w:noProof/>
        </w:rPr>
        <w:t> </w:t>
      </w:r>
      <w:r w:rsidR="00987DDC" w:rsidRPr="00987DDC">
        <w:rPr>
          <w:noProof/>
        </w:rPr>
        <w:t>org</w:t>
      </w:r>
      <w:r w:rsidRPr="00987DDC">
        <w:rPr>
          <w:noProof/>
        </w:rPr>
        <w:t>anizacji wolontariackich (</w:t>
      </w:r>
      <w:r w:rsidRPr="00987DDC">
        <w:rPr>
          <w:rStyle w:val="FootnoteReference"/>
          <w:noProof/>
        </w:rPr>
        <w:footnoteReference w:id="41"/>
      </w:r>
      <w:r w:rsidRPr="00987DDC">
        <w:rPr>
          <w:noProof/>
        </w:rPr>
        <w:t>). Jednym ze sposobów osiągnięcia tego celu jest zwiększenie przejrzystości opracowywania wytycznych oraz przeprowadzanie konsultacji na wczesnym etapie, aby umożliwić lepsze zrozumienie dynamiki rynku, praktyk biznesowych</w:t>
      </w:r>
      <w:r w:rsidR="00987DDC" w:rsidRPr="00987DDC">
        <w:rPr>
          <w:noProof/>
        </w:rPr>
        <w:t xml:space="preserve"> i</w:t>
      </w:r>
      <w:r w:rsidR="00987DDC">
        <w:rPr>
          <w:noProof/>
        </w:rPr>
        <w:t> </w:t>
      </w:r>
      <w:r w:rsidR="00987DDC" w:rsidRPr="00987DDC">
        <w:rPr>
          <w:noProof/>
        </w:rPr>
        <w:t>spo</w:t>
      </w:r>
      <w:r w:rsidRPr="00987DDC">
        <w:rPr>
          <w:noProof/>
        </w:rPr>
        <w:t>sobów stosowania wytycznych</w:t>
      </w:r>
      <w:r w:rsidR="00987DDC" w:rsidRPr="00987DDC">
        <w:rPr>
          <w:noProof/>
        </w:rPr>
        <w:t xml:space="preserve"> w</w:t>
      </w:r>
      <w:r w:rsidR="00987DDC">
        <w:rPr>
          <w:noProof/>
        </w:rPr>
        <w:t> </w:t>
      </w:r>
      <w:r w:rsidR="00987DDC" w:rsidRPr="00987DDC">
        <w:rPr>
          <w:noProof/>
        </w:rPr>
        <w:t>pra</w:t>
      </w:r>
      <w:r w:rsidRPr="00987DDC">
        <w:rPr>
          <w:noProof/>
        </w:rPr>
        <w:t>ktyce (</w:t>
      </w:r>
      <w:r w:rsidRPr="00987DDC">
        <w:rPr>
          <w:rStyle w:val="FootnoteReference"/>
          <w:noProof/>
        </w:rPr>
        <w:footnoteReference w:id="42"/>
      </w:r>
      <w:r w:rsidRPr="00987DDC">
        <w:rPr>
          <w:noProof/>
        </w:rPr>
        <w:t>)</w:t>
      </w:r>
      <w:r w:rsidR="00987DDC" w:rsidRPr="00987DDC">
        <w:rPr>
          <w:noProof/>
        </w:rPr>
        <w:t>. Z</w:t>
      </w:r>
      <w:r w:rsidR="00987DDC">
        <w:rPr>
          <w:noProof/>
        </w:rPr>
        <w:t> </w:t>
      </w:r>
      <w:r w:rsidR="00987DDC" w:rsidRPr="00987DDC">
        <w:rPr>
          <w:noProof/>
        </w:rPr>
        <w:t>zad</w:t>
      </w:r>
      <w:r w:rsidRPr="00987DDC">
        <w:rPr>
          <w:noProof/>
        </w:rPr>
        <w:t>owoleniem przyjmuje się fakt, że</w:t>
      </w:r>
      <w:r w:rsidR="00987DDC" w:rsidRPr="00987DDC">
        <w:rPr>
          <w:noProof/>
        </w:rPr>
        <w:t xml:space="preserve"> w</w:t>
      </w:r>
      <w:r w:rsidR="00987DDC">
        <w:rPr>
          <w:noProof/>
        </w:rPr>
        <w:t> </w:t>
      </w:r>
      <w:r w:rsidR="00987DDC" w:rsidRPr="00987DDC">
        <w:rPr>
          <w:noProof/>
        </w:rPr>
        <w:t>str</w:t>
      </w:r>
      <w:r w:rsidRPr="00987DDC">
        <w:rPr>
          <w:noProof/>
        </w:rPr>
        <w:t>ategii na lata 2024–2027 EROD położyła nacisk na swój cel, jakim jest zapewnienie praktycznych wytycznych dostępnych dla odpowiednich odbiorców (</w:t>
      </w:r>
      <w:r w:rsidRPr="00987DDC">
        <w:rPr>
          <w:noProof/>
          <w:vertAlign w:val="superscript"/>
        </w:rPr>
        <w:footnoteReference w:id="43"/>
      </w:r>
      <w:r w:rsidRPr="00987DDC">
        <w:rPr>
          <w:noProof/>
        </w:rPr>
        <w:t>).</w:t>
      </w:r>
    </w:p>
    <w:p w14:paraId="192096F2" w14:textId="0D7EA74D" w:rsidR="0015792D" w:rsidRPr="00987DDC" w:rsidRDefault="008C7A79" w:rsidP="0015792D">
      <w:pPr>
        <w:rPr>
          <w:noProof/>
        </w:rPr>
      </w:pPr>
      <w:r w:rsidRPr="00987DDC">
        <w:rPr>
          <w:noProof/>
        </w:rPr>
        <w:t>Zainteresowane strony podkreślają potrzebę opracowania dodatkowych wytycznych,</w:t>
      </w:r>
      <w:r w:rsidR="00987DDC" w:rsidRPr="00987DDC">
        <w:rPr>
          <w:noProof/>
        </w:rPr>
        <w:t xml:space="preserve"> w</w:t>
      </w:r>
      <w:r w:rsidR="00987DDC">
        <w:rPr>
          <w:noProof/>
        </w:rPr>
        <w:t> </w:t>
      </w:r>
      <w:r w:rsidR="00987DDC" w:rsidRPr="00987DDC">
        <w:rPr>
          <w:noProof/>
        </w:rPr>
        <w:t>szc</w:t>
      </w:r>
      <w:r w:rsidRPr="00987DDC">
        <w:rPr>
          <w:noProof/>
        </w:rPr>
        <w:t>zególności dotyczących anonimizacji</w:t>
      </w:r>
      <w:r w:rsidR="00987DDC" w:rsidRPr="00987DDC">
        <w:rPr>
          <w:noProof/>
        </w:rPr>
        <w:t xml:space="preserve"> i</w:t>
      </w:r>
      <w:r w:rsidR="00987DDC">
        <w:rPr>
          <w:noProof/>
        </w:rPr>
        <w:t> </w:t>
      </w:r>
      <w:r w:rsidR="00987DDC" w:rsidRPr="00987DDC">
        <w:rPr>
          <w:noProof/>
        </w:rPr>
        <w:t>pse</w:t>
      </w:r>
      <w:r w:rsidRPr="00987DDC">
        <w:rPr>
          <w:noProof/>
        </w:rPr>
        <w:t>udonimizacji (</w:t>
      </w:r>
      <w:r w:rsidRPr="00987DDC">
        <w:rPr>
          <w:rStyle w:val="FootnoteReference"/>
          <w:noProof/>
        </w:rPr>
        <w:footnoteReference w:id="44"/>
      </w:r>
      <w:r w:rsidRPr="00987DDC">
        <w:rPr>
          <w:noProof/>
        </w:rPr>
        <w:t>), prawnie uzasadnionego interesu</w:t>
      </w:r>
      <w:r w:rsidR="00987DDC" w:rsidRPr="00987DDC">
        <w:rPr>
          <w:noProof/>
        </w:rPr>
        <w:t xml:space="preserve"> i</w:t>
      </w:r>
      <w:r w:rsidR="00987DDC">
        <w:rPr>
          <w:noProof/>
        </w:rPr>
        <w:t> </w:t>
      </w:r>
      <w:r w:rsidR="00987DDC" w:rsidRPr="00987DDC">
        <w:rPr>
          <w:noProof/>
        </w:rPr>
        <w:t>bad</w:t>
      </w:r>
      <w:r w:rsidRPr="00987DDC">
        <w:rPr>
          <w:noProof/>
        </w:rPr>
        <w:t>ań naukowych (</w:t>
      </w:r>
      <w:r w:rsidRPr="00987DDC">
        <w:rPr>
          <w:rStyle w:val="FootnoteReference"/>
          <w:noProof/>
        </w:rPr>
        <w:footnoteReference w:id="45"/>
      </w:r>
      <w:r w:rsidRPr="00987DDC">
        <w:rPr>
          <w:noProof/>
        </w:rPr>
        <w:t>)</w:t>
      </w:r>
      <w:r w:rsidR="00987DDC" w:rsidRPr="00987DDC">
        <w:rPr>
          <w:noProof/>
        </w:rPr>
        <w:t>. W</w:t>
      </w:r>
      <w:r w:rsidR="00987DDC">
        <w:rPr>
          <w:noProof/>
        </w:rPr>
        <w:t> </w:t>
      </w:r>
      <w:r w:rsidR="00987DDC" w:rsidRPr="00987DDC">
        <w:rPr>
          <w:noProof/>
        </w:rPr>
        <w:t>spr</w:t>
      </w:r>
      <w:r w:rsidRPr="00987DDC">
        <w:rPr>
          <w:noProof/>
        </w:rPr>
        <w:t>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Komisja wezwała EROD do przyjęcia wytycznych dotyczących badań naukowych, lecz wytycznych tych jeszcze nie przyjęto. Uznając znaczenie badań naukowych</w:t>
      </w:r>
      <w:r w:rsidR="00987DDC" w:rsidRPr="00987DDC">
        <w:rPr>
          <w:noProof/>
        </w:rPr>
        <w:t xml:space="preserve"> w</w:t>
      </w:r>
      <w:r w:rsidR="00987DDC">
        <w:rPr>
          <w:noProof/>
        </w:rPr>
        <w:t> </w:t>
      </w:r>
      <w:r w:rsidR="00987DDC" w:rsidRPr="00987DDC">
        <w:rPr>
          <w:noProof/>
        </w:rPr>
        <w:t>spo</w:t>
      </w:r>
      <w:r w:rsidRPr="00987DDC">
        <w:rPr>
          <w:noProof/>
        </w:rPr>
        <w:t>łeczeństwie,</w:t>
      </w:r>
      <w:r w:rsidR="00987DDC" w:rsidRPr="00987DDC">
        <w:rPr>
          <w:noProof/>
        </w:rPr>
        <w:t xml:space="preserve"> w</w:t>
      </w:r>
      <w:r w:rsidR="00987DDC">
        <w:rPr>
          <w:noProof/>
        </w:rPr>
        <w:t> </w:t>
      </w:r>
      <w:r w:rsidR="00987DDC" w:rsidRPr="00987DDC">
        <w:rPr>
          <w:noProof/>
        </w:rPr>
        <w:t>szc</w:t>
      </w:r>
      <w:r w:rsidRPr="00987DDC">
        <w:rPr>
          <w:noProof/>
        </w:rPr>
        <w:t>zególności na potrzeby monitorowania chorób</w:t>
      </w:r>
      <w:r w:rsidR="00987DDC" w:rsidRPr="00987DDC">
        <w:rPr>
          <w:noProof/>
        </w:rPr>
        <w:t xml:space="preserve"> i</w:t>
      </w:r>
      <w:r w:rsidR="00987DDC">
        <w:rPr>
          <w:noProof/>
        </w:rPr>
        <w:t> </w:t>
      </w:r>
      <w:r w:rsidR="00987DDC" w:rsidRPr="00987DDC">
        <w:rPr>
          <w:noProof/>
        </w:rPr>
        <w:t>opr</w:t>
      </w:r>
      <w:r w:rsidRPr="00987DDC">
        <w:rPr>
          <w:noProof/>
        </w:rPr>
        <w:t>acowywania metod leczenia oraz wspierania innowacji, istotne jest, aby organy ochrony danych podjęły działania</w:t>
      </w:r>
      <w:r w:rsidR="00987DDC" w:rsidRPr="00987DDC">
        <w:rPr>
          <w:noProof/>
        </w:rPr>
        <w:t xml:space="preserve"> w</w:t>
      </w:r>
      <w:r w:rsidR="00987DDC">
        <w:rPr>
          <w:noProof/>
        </w:rPr>
        <w:t> </w:t>
      </w:r>
      <w:r w:rsidR="00987DDC" w:rsidRPr="00987DDC">
        <w:rPr>
          <w:noProof/>
        </w:rPr>
        <w:t>cel</w:t>
      </w:r>
      <w:r w:rsidRPr="00987DDC">
        <w:rPr>
          <w:noProof/>
        </w:rPr>
        <w:t>u wyjaśnienia tych kwestii bez dalszej zwłoki (</w:t>
      </w:r>
      <w:r w:rsidRPr="00987DDC">
        <w:rPr>
          <w:rStyle w:val="FootnoteReference"/>
          <w:noProof/>
        </w:rPr>
        <w:footnoteReference w:id="46"/>
      </w:r>
      <w:r w:rsidRPr="00987DDC">
        <w:rPr>
          <w:noProof/>
        </w:rPr>
        <w:t>). Organy publiczne odniosłyby również korzyści</w:t>
      </w:r>
      <w:r w:rsidR="00987DDC" w:rsidRPr="00987DDC">
        <w:rPr>
          <w:noProof/>
        </w:rPr>
        <w:t xml:space="preserve"> z</w:t>
      </w:r>
      <w:r w:rsidR="00987DDC">
        <w:rPr>
          <w:noProof/>
        </w:rPr>
        <w:t> </w:t>
      </w:r>
      <w:r w:rsidR="00987DDC" w:rsidRPr="00987DDC">
        <w:rPr>
          <w:noProof/>
        </w:rPr>
        <w:t>wyt</w:t>
      </w:r>
      <w:r w:rsidRPr="00987DDC">
        <w:rPr>
          <w:noProof/>
        </w:rPr>
        <w:t>ycznych dotyczących konkretnych wyzwań,</w:t>
      </w:r>
      <w:r w:rsidR="00987DDC" w:rsidRPr="00987DDC">
        <w:rPr>
          <w:noProof/>
        </w:rPr>
        <w:t xml:space="preserve"> z</w:t>
      </w:r>
      <w:r w:rsidR="00987DDC">
        <w:rPr>
          <w:noProof/>
        </w:rPr>
        <w:t> </w:t>
      </w:r>
      <w:r w:rsidR="00987DDC" w:rsidRPr="00987DDC">
        <w:rPr>
          <w:noProof/>
        </w:rPr>
        <w:t>któ</w:t>
      </w:r>
      <w:r w:rsidRPr="00987DDC">
        <w:rPr>
          <w:noProof/>
        </w:rPr>
        <w:t>rymi się mierzą (</w:t>
      </w:r>
      <w:r w:rsidRPr="00987DDC">
        <w:rPr>
          <w:noProof/>
          <w:vertAlign w:val="superscript"/>
        </w:rPr>
        <w:footnoteReference w:id="47"/>
      </w:r>
      <w:r w:rsidRPr="00987DDC">
        <w:rPr>
          <w:noProof/>
        </w:rPr>
        <w:t>).</w:t>
      </w:r>
    </w:p>
    <w:p w14:paraId="2F271788" w14:textId="0E5C9579" w:rsidR="00123510" w:rsidRPr="00987DDC" w:rsidRDefault="00123510" w:rsidP="0003154B">
      <w:pPr>
        <w:pStyle w:val="Heading2"/>
        <w:rPr>
          <w:noProof/>
        </w:rPr>
      </w:pPr>
      <w:bookmarkStart w:id="12" w:name="_Toc164815112"/>
      <w:bookmarkStart w:id="13" w:name="_Toc165303744"/>
      <w:bookmarkEnd w:id="12"/>
      <w:r w:rsidRPr="00987DDC">
        <w:rPr>
          <w:noProof/>
        </w:rPr>
        <w:t>Organy ochrony danych</w:t>
      </w:r>
      <w:bookmarkEnd w:id="13"/>
    </w:p>
    <w:p w14:paraId="3B41A85C" w14:textId="5788F0E4" w:rsidR="000C5195" w:rsidRPr="00987DDC" w:rsidRDefault="0057223B" w:rsidP="000E65C1">
      <w:pPr>
        <w:pStyle w:val="Heading3"/>
        <w:rPr>
          <w:noProof/>
        </w:rPr>
      </w:pPr>
      <w:bookmarkStart w:id="14" w:name="_Toc165303745"/>
      <w:r w:rsidRPr="00987DDC">
        <w:rPr>
          <w:noProof/>
        </w:rPr>
        <w:t>Niezależność</w:t>
      </w:r>
      <w:r w:rsidR="00987DDC" w:rsidRPr="00987DDC">
        <w:rPr>
          <w:noProof/>
        </w:rPr>
        <w:t xml:space="preserve"> i</w:t>
      </w:r>
      <w:r w:rsidR="00987DDC">
        <w:rPr>
          <w:noProof/>
        </w:rPr>
        <w:t> </w:t>
      </w:r>
      <w:r w:rsidR="00987DDC" w:rsidRPr="00987DDC">
        <w:rPr>
          <w:noProof/>
        </w:rPr>
        <w:t>zas</w:t>
      </w:r>
      <w:r w:rsidRPr="00987DDC">
        <w:rPr>
          <w:noProof/>
        </w:rPr>
        <w:t>oby</w:t>
      </w:r>
      <w:bookmarkEnd w:id="14"/>
    </w:p>
    <w:p w14:paraId="60CCCB70" w14:textId="43363EB2" w:rsidR="00081470" w:rsidRPr="00987DDC" w:rsidRDefault="00081470" w:rsidP="00A228AF">
      <w:pPr>
        <w:rPr>
          <w:noProof/>
        </w:rPr>
      </w:pPr>
      <w:r w:rsidRPr="00987DDC">
        <w:rPr>
          <w:noProof/>
        </w:rPr>
        <w:t>Niezależność organów ochrony danych jest zapisana</w:t>
      </w:r>
      <w:r w:rsidR="00987DDC" w:rsidRPr="00987DDC">
        <w:rPr>
          <w:noProof/>
        </w:rPr>
        <w:t xml:space="preserve"> w</w:t>
      </w:r>
      <w:r w:rsidR="00987DDC">
        <w:rPr>
          <w:noProof/>
        </w:rPr>
        <w:t> </w:t>
      </w:r>
      <w:r w:rsidR="00987DDC" w:rsidRPr="00987DDC">
        <w:rPr>
          <w:noProof/>
        </w:rPr>
        <w:t>Kar</w:t>
      </w:r>
      <w:r w:rsidRPr="00987DDC">
        <w:rPr>
          <w:noProof/>
        </w:rPr>
        <w:t>cie praw podstawowych Unii Europejskiej</w:t>
      </w:r>
      <w:r w:rsidR="00987DDC" w:rsidRPr="00987DDC">
        <w:rPr>
          <w:noProof/>
        </w:rPr>
        <w:t xml:space="preserve"> i</w:t>
      </w:r>
      <w:r w:rsidR="00987DDC">
        <w:rPr>
          <w:noProof/>
        </w:rPr>
        <w:t> </w:t>
      </w:r>
      <w:r w:rsidR="00987DDC" w:rsidRPr="00987DDC">
        <w:rPr>
          <w:noProof/>
        </w:rPr>
        <w:t>w</w:t>
      </w:r>
      <w:r w:rsidR="00987DDC">
        <w:rPr>
          <w:noProof/>
        </w:rPr>
        <w:t> </w:t>
      </w:r>
      <w:r w:rsidR="00987DDC" w:rsidRPr="00987DDC">
        <w:rPr>
          <w:noProof/>
        </w:rPr>
        <w:t>Tra</w:t>
      </w:r>
      <w:r w:rsidRPr="00987DDC">
        <w:rPr>
          <w:noProof/>
        </w:rPr>
        <w:t>ktacie</w:t>
      </w:r>
      <w:r w:rsidR="00987DDC" w:rsidRPr="00987DDC">
        <w:rPr>
          <w:noProof/>
        </w:rPr>
        <w:t xml:space="preserve"> o</w:t>
      </w:r>
      <w:r w:rsidR="00987DDC">
        <w:rPr>
          <w:noProof/>
        </w:rPr>
        <w:t> </w:t>
      </w:r>
      <w:r w:rsidR="00987DDC" w:rsidRPr="00987DDC">
        <w:rPr>
          <w:noProof/>
        </w:rPr>
        <w:t>fun</w:t>
      </w:r>
      <w:r w:rsidRPr="00987DDC">
        <w:rPr>
          <w:noProof/>
        </w:rPr>
        <w:t>kcjonowaniu Unii Europejskiej. W RODO określono wymogi służące zapewnieniu działania organów ochrony danych</w:t>
      </w:r>
      <w:r w:rsidR="00987DDC" w:rsidRPr="00987DDC">
        <w:rPr>
          <w:noProof/>
        </w:rPr>
        <w:t xml:space="preserve"> w</w:t>
      </w:r>
      <w:r w:rsidR="00987DDC">
        <w:rPr>
          <w:noProof/>
        </w:rPr>
        <w:t> </w:t>
      </w:r>
      <w:r w:rsidR="00987DDC" w:rsidRPr="00987DDC">
        <w:rPr>
          <w:noProof/>
        </w:rPr>
        <w:t>spo</w:t>
      </w:r>
      <w:r w:rsidRPr="00987DDC">
        <w:rPr>
          <w:noProof/>
        </w:rPr>
        <w:t>sób „w pełni niezależny” (</w:t>
      </w:r>
      <w:r w:rsidRPr="00987DDC">
        <w:rPr>
          <w:noProof/>
          <w:vertAlign w:val="superscript"/>
        </w:rPr>
        <w:footnoteReference w:id="48"/>
      </w:r>
      <w:r w:rsidRPr="00987DDC">
        <w:rPr>
          <w:noProof/>
        </w:rPr>
        <w:t>)</w:t>
      </w:r>
      <w:r w:rsidR="00987DDC" w:rsidRPr="00987DDC">
        <w:rPr>
          <w:noProof/>
        </w:rPr>
        <w:t>. W</w:t>
      </w:r>
      <w:r w:rsidR="00987DDC">
        <w:rPr>
          <w:noProof/>
        </w:rPr>
        <w:t> </w:t>
      </w:r>
      <w:r w:rsidR="00987DDC" w:rsidRPr="00987DDC">
        <w:rPr>
          <w:noProof/>
        </w:rPr>
        <w:t>spr</w:t>
      </w:r>
      <w:r w:rsidRPr="00987DDC">
        <w:rPr>
          <w:noProof/>
        </w:rPr>
        <w:t>awozdaniu FRA stwierdzono, że większość organów ochrony danych działa</w:t>
      </w:r>
      <w:r w:rsidR="00987DDC" w:rsidRPr="00987DDC">
        <w:rPr>
          <w:noProof/>
        </w:rPr>
        <w:t xml:space="preserve"> w</w:t>
      </w:r>
      <w:r w:rsidR="00987DDC">
        <w:rPr>
          <w:noProof/>
        </w:rPr>
        <w:t> </w:t>
      </w:r>
      <w:r w:rsidR="00987DDC" w:rsidRPr="00987DDC">
        <w:rPr>
          <w:noProof/>
        </w:rPr>
        <w:t>spo</w:t>
      </w:r>
      <w:r w:rsidRPr="00987DDC">
        <w:rPr>
          <w:noProof/>
        </w:rPr>
        <w:t>sób niezależny od rządu, parlamentu lub innych organów publicznych (</w:t>
      </w:r>
      <w:r w:rsidRPr="00987DDC">
        <w:rPr>
          <w:noProof/>
          <w:vertAlign w:val="superscript"/>
        </w:rPr>
        <w:footnoteReference w:id="49"/>
      </w:r>
      <w:r w:rsidRPr="00987DDC">
        <w:rPr>
          <w:noProof/>
        </w:rPr>
        <w:t>).</w:t>
      </w:r>
    </w:p>
    <w:p w14:paraId="0CB478DC" w14:textId="6DAA1C40" w:rsidR="00B060CA" w:rsidRPr="00987DDC" w:rsidRDefault="438162D5" w:rsidP="00A228AF">
      <w:pPr>
        <w:rPr>
          <w:noProof/>
        </w:rPr>
      </w:pPr>
      <w:r w:rsidRPr="00987DDC">
        <w:rPr>
          <w:noProof/>
        </w:rPr>
        <w:t>Organy ochrony danych potrzebują odpowiednich zasobów ludzkich, technicznych</w:t>
      </w:r>
      <w:r w:rsidR="00987DDC" w:rsidRPr="00987DDC">
        <w:rPr>
          <w:noProof/>
        </w:rPr>
        <w:t xml:space="preserve"> i</w:t>
      </w:r>
      <w:r w:rsidR="00987DDC">
        <w:rPr>
          <w:noProof/>
        </w:rPr>
        <w:t> </w:t>
      </w:r>
      <w:r w:rsidR="00987DDC" w:rsidRPr="00987DDC">
        <w:rPr>
          <w:noProof/>
        </w:rPr>
        <w:t>fin</w:t>
      </w:r>
      <w:r w:rsidRPr="00987DDC">
        <w:rPr>
          <w:noProof/>
        </w:rPr>
        <w:t>ansowych, aby móc skutecznie</w:t>
      </w:r>
      <w:r w:rsidR="00987DDC" w:rsidRPr="00987DDC">
        <w:rPr>
          <w:noProof/>
        </w:rPr>
        <w:t xml:space="preserve"> i</w:t>
      </w:r>
      <w:r w:rsidR="00987DDC">
        <w:rPr>
          <w:noProof/>
        </w:rPr>
        <w:t> </w:t>
      </w:r>
      <w:r w:rsidR="00987DDC" w:rsidRPr="00987DDC">
        <w:rPr>
          <w:noProof/>
        </w:rPr>
        <w:t>nie</w:t>
      </w:r>
      <w:r w:rsidRPr="00987DDC">
        <w:rPr>
          <w:noProof/>
        </w:rPr>
        <w:t>zależnie wykonywać swoje zadania przewidziane w RODO</w:t>
      </w:r>
      <w:r w:rsidR="00987DDC" w:rsidRPr="00987DDC">
        <w:rPr>
          <w:noProof/>
        </w:rPr>
        <w:t>. W</w:t>
      </w:r>
      <w:r w:rsidR="00987DDC">
        <w:rPr>
          <w:noProof/>
        </w:rPr>
        <w:t> </w:t>
      </w:r>
      <w:r w:rsidR="00987DDC" w:rsidRPr="00987DDC">
        <w:rPr>
          <w:noProof/>
        </w:rPr>
        <w:t>spr</w:t>
      </w:r>
      <w:r w:rsidRPr="00987DDC">
        <w:rPr>
          <w:noProof/>
        </w:rPr>
        <w:t>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Komisja zauważyła, że zasoby przeznaczane na potrzeby organów ochrony danych nadal nie były zadowalające,</w:t>
      </w:r>
      <w:r w:rsidR="00987DDC" w:rsidRPr="00987DDC">
        <w:rPr>
          <w:noProof/>
        </w:rPr>
        <w:t xml:space="preserve"> i</w:t>
      </w:r>
      <w:r w:rsidR="00987DDC">
        <w:rPr>
          <w:noProof/>
        </w:rPr>
        <w:t> </w:t>
      </w:r>
      <w:r w:rsidR="00987DDC" w:rsidRPr="00987DDC">
        <w:rPr>
          <w:noProof/>
        </w:rPr>
        <w:t>sta</w:t>
      </w:r>
      <w:r w:rsidRPr="00987DDC">
        <w:rPr>
          <w:noProof/>
        </w:rPr>
        <w:t>le podnosiła tę kwestię</w:t>
      </w:r>
      <w:r w:rsidR="00987DDC" w:rsidRPr="00987DDC">
        <w:rPr>
          <w:noProof/>
        </w:rPr>
        <w:t xml:space="preserve"> w</w:t>
      </w:r>
      <w:r w:rsidR="00987DDC">
        <w:rPr>
          <w:noProof/>
        </w:rPr>
        <w:t> </w:t>
      </w:r>
      <w:r w:rsidR="00987DDC" w:rsidRPr="00987DDC">
        <w:rPr>
          <w:noProof/>
        </w:rPr>
        <w:t>kon</w:t>
      </w:r>
      <w:r w:rsidRPr="00987DDC">
        <w:rPr>
          <w:noProof/>
        </w:rPr>
        <w:t>taktach</w:t>
      </w:r>
      <w:r w:rsidR="00987DDC" w:rsidRPr="00987DDC">
        <w:rPr>
          <w:noProof/>
        </w:rPr>
        <w:t xml:space="preserve"> z</w:t>
      </w:r>
      <w:r w:rsidR="00987DDC">
        <w:rPr>
          <w:noProof/>
        </w:rPr>
        <w:t> </w:t>
      </w:r>
      <w:r w:rsidR="00987DDC" w:rsidRPr="00987DDC">
        <w:rPr>
          <w:noProof/>
        </w:rPr>
        <w:t>pań</w:t>
      </w:r>
      <w:r w:rsidRPr="00987DDC">
        <w:rPr>
          <w:noProof/>
        </w:rPr>
        <w:t xml:space="preserve">stwami członkowskimi. Od tego czasu odnotowano poprawę sytuacji. </w:t>
      </w:r>
    </w:p>
    <w:tbl>
      <w:tblPr>
        <w:tblStyle w:val="TableGrid"/>
        <w:tblW w:w="0" w:type="auto"/>
        <w:tblLook w:val="04A0" w:firstRow="1" w:lastRow="0" w:firstColumn="1" w:lastColumn="0" w:noHBand="0" w:noVBand="1"/>
      </w:tblPr>
      <w:tblGrid>
        <w:gridCol w:w="8602"/>
      </w:tblGrid>
      <w:tr w:rsidR="00B060CA" w:rsidRPr="00987DDC" w14:paraId="18227358" w14:textId="77777777" w:rsidTr="4EB025D0">
        <w:tc>
          <w:tcPr>
            <w:tcW w:w="8602" w:type="dxa"/>
          </w:tcPr>
          <w:p w14:paraId="75D1F920" w14:textId="6740F5E9" w:rsidR="00B060CA" w:rsidRPr="00987DDC" w:rsidRDefault="00B060CA" w:rsidP="00A228AF">
            <w:pPr>
              <w:rPr>
                <w:i/>
                <w:iCs/>
                <w:noProof/>
              </w:rPr>
            </w:pPr>
            <w:r w:rsidRPr="00987DDC">
              <w:rPr>
                <w:i/>
                <w:noProof/>
              </w:rPr>
              <w:t>Zwiększone zasoby organów ochrony danych (</w:t>
            </w:r>
            <w:r w:rsidRPr="00987DDC">
              <w:rPr>
                <w:rStyle w:val="FootnoteReference"/>
                <w:i/>
                <w:iCs/>
                <w:noProof/>
              </w:rPr>
              <w:footnoteReference w:id="50"/>
            </w:r>
            <w:r w:rsidRPr="00987DDC">
              <w:rPr>
                <w:i/>
                <w:noProof/>
              </w:rPr>
              <w:t>) </w:t>
            </w:r>
          </w:p>
          <w:p w14:paraId="262BDA3F" w14:textId="4EE94B78" w:rsidR="00B060CA" w:rsidRPr="00987DDC" w:rsidRDefault="00B060CA" w:rsidP="00A97238">
            <w:pPr>
              <w:pStyle w:val="ListBullet3"/>
              <w:numPr>
                <w:ilvl w:val="0"/>
                <w:numId w:val="24"/>
              </w:numPr>
              <w:rPr>
                <w:noProof/>
              </w:rPr>
            </w:pPr>
            <w:r w:rsidRPr="00987DDC">
              <w:rPr>
                <w:noProof/>
              </w:rPr>
              <w:t>W latach 2020–2024 we wszystkich organach ochrony danych</w:t>
            </w:r>
            <w:r w:rsidR="00987DDC" w:rsidRPr="00987DDC">
              <w:rPr>
                <w:noProof/>
              </w:rPr>
              <w:t xml:space="preserve"> z</w:t>
            </w:r>
            <w:r w:rsidR="00987DDC">
              <w:rPr>
                <w:noProof/>
              </w:rPr>
              <w:t> </w:t>
            </w:r>
            <w:r w:rsidR="00987DDC" w:rsidRPr="00987DDC">
              <w:rPr>
                <w:noProof/>
              </w:rPr>
              <w:t>wyj</w:t>
            </w:r>
            <w:r w:rsidRPr="00987DDC">
              <w:rPr>
                <w:noProof/>
              </w:rPr>
              <w:t>ątkiem organów dwóch państw nastąpił wzrost liczby pracowników, przy czym</w:t>
            </w:r>
            <w:r w:rsidR="00987DDC" w:rsidRPr="00987DDC">
              <w:rPr>
                <w:noProof/>
              </w:rPr>
              <w:t xml:space="preserve"> w</w:t>
            </w:r>
            <w:r w:rsidR="00987DDC">
              <w:rPr>
                <w:noProof/>
              </w:rPr>
              <w:t> </w:t>
            </w:r>
            <w:r w:rsidR="00987DDC" w:rsidRPr="00987DDC">
              <w:rPr>
                <w:noProof/>
              </w:rPr>
              <w:t>1</w:t>
            </w:r>
            <w:r w:rsidRPr="00987DDC">
              <w:rPr>
                <w:noProof/>
              </w:rPr>
              <w:t>4 państwach członkowskich wzrost ten przekroczył 25</w:t>
            </w:r>
            <w:r w:rsidR="00987DDC" w:rsidRPr="00987DDC">
              <w:rPr>
                <w:noProof/>
              </w:rPr>
              <w:t> </w:t>
            </w:r>
            <w:r w:rsidRPr="00987DDC">
              <w:rPr>
                <w:noProof/>
              </w:rPr>
              <w:t xml:space="preserve">%. </w:t>
            </w:r>
          </w:p>
          <w:p w14:paraId="218928AB" w14:textId="32EB4666" w:rsidR="00B060CA" w:rsidRPr="00987DDC" w:rsidRDefault="00B060CA" w:rsidP="00A97238">
            <w:pPr>
              <w:pStyle w:val="ListBullet3"/>
              <w:numPr>
                <w:ilvl w:val="0"/>
                <w:numId w:val="24"/>
              </w:numPr>
              <w:spacing w:line="259" w:lineRule="auto"/>
              <w:rPr>
                <w:noProof/>
              </w:rPr>
            </w:pPr>
            <w:r w:rsidRPr="00987DDC">
              <w:rPr>
                <w:noProof/>
              </w:rPr>
              <w:t>Najwyższy wzrost liczby pracowników odnotowano</w:t>
            </w:r>
            <w:r w:rsidR="00987DDC" w:rsidRPr="00987DDC">
              <w:rPr>
                <w:noProof/>
              </w:rPr>
              <w:t xml:space="preserve"> w</w:t>
            </w:r>
            <w:r w:rsidR="00987DDC">
              <w:rPr>
                <w:noProof/>
              </w:rPr>
              <w:t> </w:t>
            </w:r>
            <w:r w:rsidR="00987DDC" w:rsidRPr="00987DDC">
              <w:rPr>
                <w:noProof/>
              </w:rPr>
              <w:t>org</w:t>
            </w:r>
            <w:r w:rsidRPr="00987DDC">
              <w:rPr>
                <w:noProof/>
              </w:rPr>
              <w:t>anie ochrony danych</w:t>
            </w:r>
            <w:r w:rsidR="00987DDC" w:rsidRPr="00987DDC">
              <w:rPr>
                <w:noProof/>
              </w:rPr>
              <w:t xml:space="preserve"> w</w:t>
            </w:r>
            <w:r w:rsidR="00987DDC">
              <w:rPr>
                <w:noProof/>
              </w:rPr>
              <w:t> </w:t>
            </w:r>
            <w:r w:rsidR="00987DDC" w:rsidRPr="00987DDC">
              <w:rPr>
                <w:noProof/>
              </w:rPr>
              <w:t>Irl</w:t>
            </w:r>
            <w:r w:rsidRPr="00987DDC">
              <w:rPr>
                <w:noProof/>
              </w:rPr>
              <w:t>andii (79 %),</w:t>
            </w:r>
            <w:r w:rsidR="00987DDC" w:rsidRPr="00987DDC">
              <w:rPr>
                <w:noProof/>
              </w:rPr>
              <w:t xml:space="preserve"> a</w:t>
            </w:r>
            <w:r w:rsidR="00987DDC">
              <w:rPr>
                <w:noProof/>
              </w:rPr>
              <w:t> </w:t>
            </w:r>
            <w:r w:rsidR="00987DDC" w:rsidRPr="00987DDC">
              <w:rPr>
                <w:noProof/>
              </w:rPr>
              <w:t>nas</w:t>
            </w:r>
            <w:r w:rsidRPr="00987DDC">
              <w:rPr>
                <w:noProof/>
              </w:rPr>
              <w:t>tępnie</w:t>
            </w:r>
            <w:r w:rsidR="00987DDC" w:rsidRPr="00987DDC">
              <w:rPr>
                <w:noProof/>
              </w:rPr>
              <w:t xml:space="preserve"> w</w:t>
            </w:r>
            <w:r w:rsidR="00987DDC">
              <w:rPr>
                <w:noProof/>
              </w:rPr>
              <w:t> </w:t>
            </w:r>
            <w:r w:rsidR="00987DDC" w:rsidRPr="00987DDC">
              <w:rPr>
                <w:noProof/>
              </w:rPr>
              <w:t>Est</w:t>
            </w:r>
            <w:r w:rsidRPr="00987DDC">
              <w:rPr>
                <w:noProof/>
              </w:rPr>
              <w:t>onii, Szwecji (57 %</w:t>
            </w:r>
            <w:r w:rsidR="00987DDC" w:rsidRPr="00987DDC">
              <w:rPr>
                <w:noProof/>
              </w:rPr>
              <w:t xml:space="preserve"> w</w:t>
            </w:r>
            <w:r w:rsidR="00987DDC">
              <w:rPr>
                <w:noProof/>
              </w:rPr>
              <w:t> </w:t>
            </w:r>
            <w:r w:rsidR="00987DDC" w:rsidRPr="00987DDC">
              <w:rPr>
                <w:noProof/>
              </w:rPr>
              <w:t>obu</w:t>
            </w:r>
            <w:r w:rsidRPr="00987DDC">
              <w:rPr>
                <w:noProof/>
              </w:rPr>
              <w:t xml:space="preserve"> państwach)</w:t>
            </w:r>
            <w:r w:rsidR="00987DDC" w:rsidRPr="00987DDC">
              <w:rPr>
                <w:noProof/>
              </w:rPr>
              <w:t xml:space="preserve"> i</w:t>
            </w:r>
            <w:r w:rsidR="00987DDC">
              <w:rPr>
                <w:noProof/>
              </w:rPr>
              <w:t> </w:t>
            </w:r>
            <w:r w:rsidR="00987DDC" w:rsidRPr="00987DDC">
              <w:rPr>
                <w:noProof/>
              </w:rPr>
              <w:t>Buł</w:t>
            </w:r>
            <w:r w:rsidRPr="00987DDC">
              <w:rPr>
                <w:noProof/>
              </w:rPr>
              <w:t xml:space="preserve">garii (56 %). </w:t>
            </w:r>
          </w:p>
          <w:p w14:paraId="3D16FA57" w14:textId="3DCC0369" w:rsidR="00B060CA" w:rsidRPr="00987DDC" w:rsidRDefault="00B060CA" w:rsidP="00A97238">
            <w:pPr>
              <w:pStyle w:val="ListBullet3"/>
              <w:numPr>
                <w:ilvl w:val="0"/>
                <w:numId w:val="24"/>
              </w:numPr>
              <w:spacing w:line="259" w:lineRule="auto"/>
              <w:rPr>
                <w:noProof/>
              </w:rPr>
            </w:pPr>
            <w:r w:rsidRPr="00987DDC">
              <w:rPr>
                <w:noProof/>
              </w:rPr>
              <w:t>Niewielki wzrost liczby pracowników odnotowano na Cyprze (4</w:t>
            </w:r>
            <w:r w:rsidR="00987DDC" w:rsidRPr="00987DDC">
              <w:rPr>
                <w:noProof/>
              </w:rPr>
              <w:t> </w:t>
            </w:r>
            <w:r w:rsidRPr="00987DDC">
              <w:rPr>
                <w:noProof/>
              </w:rPr>
              <w:t>%) i na Węgrzech (8</w:t>
            </w:r>
            <w:r w:rsidR="00987DDC" w:rsidRPr="00987DDC">
              <w:rPr>
                <w:noProof/>
              </w:rPr>
              <w:t> </w:t>
            </w:r>
            <w:r w:rsidRPr="00987DDC">
              <w:rPr>
                <w:noProof/>
              </w:rPr>
              <w:t>%),</w:t>
            </w:r>
            <w:r w:rsidR="00987DDC" w:rsidRPr="00987DDC">
              <w:rPr>
                <w:noProof/>
              </w:rPr>
              <w:t xml:space="preserve"> w</w:t>
            </w:r>
            <w:r w:rsidR="00987DDC">
              <w:rPr>
                <w:noProof/>
              </w:rPr>
              <w:t> </w:t>
            </w:r>
            <w:r w:rsidR="00987DDC" w:rsidRPr="00987DDC">
              <w:rPr>
                <w:noProof/>
              </w:rPr>
              <w:t>Lie</w:t>
            </w:r>
            <w:r w:rsidRPr="00987DDC">
              <w:rPr>
                <w:noProof/>
              </w:rPr>
              <w:t>chtensteinie nie odnotowano wzrostu, zaś</w:t>
            </w:r>
            <w:r w:rsidR="00987DDC" w:rsidRPr="00987DDC">
              <w:rPr>
                <w:noProof/>
              </w:rPr>
              <w:t xml:space="preserve"> w</w:t>
            </w:r>
            <w:r w:rsidR="00987DDC">
              <w:rPr>
                <w:noProof/>
              </w:rPr>
              <w:t> </w:t>
            </w:r>
            <w:r w:rsidR="00987DDC" w:rsidRPr="00987DDC">
              <w:rPr>
                <w:noProof/>
              </w:rPr>
              <w:t>Cze</w:t>
            </w:r>
            <w:r w:rsidRPr="00987DDC">
              <w:rPr>
                <w:noProof/>
              </w:rPr>
              <w:t>chach nastąpił niewielki spadek liczby pracowników (-1</w:t>
            </w:r>
            <w:r w:rsidR="00987DDC" w:rsidRPr="00987DDC">
              <w:rPr>
                <w:noProof/>
              </w:rPr>
              <w:t> </w:t>
            </w:r>
            <w:r w:rsidRPr="00987DDC">
              <w:rPr>
                <w:noProof/>
              </w:rPr>
              <w:t>%).</w:t>
            </w:r>
          </w:p>
          <w:p w14:paraId="4754647C" w14:textId="081B217B" w:rsidR="00B060CA" w:rsidRPr="00987DDC" w:rsidRDefault="006D600E" w:rsidP="00A97238">
            <w:pPr>
              <w:pStyle w:val="ListBullet3"/>
              <w:numPr>
                <w:ilvl w:val="0"/>
                <w:numId w:val="24"/>
              </w:numPr>
              <w:spacing w:line="259" w:lineRule="auto"/>
              <w:rPr>
                <w:noProof/>
              </w:rPr>
            </w:pPr>
            <w:r w:rsidRPr="00987DDC">
              <w:rPr>
                <w:noProof/>
              </w:rPr>
              <w:t>W latach 2020–2024 wzrosły budżety wszystkich organów ochrony danych</w:t>
            </w:r>
            <w:r w:rsidR="00987DDC" w:rsidRPr="00987DDC">
              <w:rPr>
                <w:noProof/>
              </w:rPr>
              <w:t xml:space="preserve"> z</w:t>
            </w:r>
            <w:r w:rsidR="00987DDC">
              <w:rPr>
                <w:noProof/>
              </w:rPr>
              <w:t> </w:t>
            </w:r>
            <w:r w:rsidR="00987DDC" w:rsidRPr="00987DDC">
              <w:rPr>
                <w:noProof/>
              </w:rPr>
              <w:t>wyj</w:t>
            </w:r>
            <w:r w:rsidRPr="00987DDC">
              <w:rPr>
                <w:noProof/>
              </w:rPr>
              <w:t>ątkiem jednego, a</w:t>
            </w:r>
            <w:r w:rsidR="00987DDC" w:rsidRPr="00987DDC">
              <w:rPr>
                <w:noProof/>
              </w:rPr>
              <w:t xml:space="preserve"> w</w:t>
            </w:r>
            <w:r w:rsidR="00987DDC">
              <w:rPr>
                <w:noProof/>
              </w:rPr>
              <w:t> </w:t>
            </w:r>
            <w:r w:rsidR="00987DDC" w:rsidRPr="00987DDC">
              <w:rPr>
                <w:noProof/>
              </w:rPr>
              <w:t>1</w:t>
            </w:r>
            <w:r w:rsidRPr="00987DDC">
              <w:rPr>
                <w:noProof/>
              </w:rPr>
              <w:t>3 państwach członkowskich wzrost ten przekroczył 50</w:t>
            </w:r>
            <w:r w:rsidR="00987DDC" w:rsidRPr="00987DDC">
              <w:rPr>
                <w:noProof/>
              </w:rPr>
              <w:t> </w:t>
            </w:r>
            <w:r w:rsidRPr="00987DDC">
              <w:rPr>
                <w:noProof/>
              </w:rPr>
              <w:t>%.</w:t>
            </w:r>
          </w:p>
          <w:p w14:paraId="14590DF2" w14:textId="5D0812F3" w:rsidR="00B060CA" w:rsidRPr="00987DDC" w:rsidRDefault="00B060CA" w:rsidP="00A97238">
            <w:pPr>
              <w:pStyle w:val="ListBullet3"/>
              <w:numPr>
                <w:ilvl w:val="0"/>
                <w:numId w:val="24"/>
              </w:numPr>
              <w:spacing w:line="259" w:lineRule="auto"/>
              <w:rPr>
                <w:noProof/>
              </w:rPr>
            </w:pPr>
            <w:r w:rsidRPr="00987DDC">
              <w:rPr>
                <w:noProof/>
              </w:rPr>
              <w:t>Największe wzrosty budżetu odnotowano</w:t>
            </w:r>
            <w:r w:rsidR="00987DDC" w:rsidRPr="00987DDC">
              <w:rPr>
                <w:noProof/>
              </w:rPr>
              <w:t xml:space="preserve"> w</w:t>
            </w:r>
            <w:r w:rsidR="00987DDC">
              <w:rPr>
                <w:noProof/>
              </w:rPr>
              <w:t> </w:t>
            </w:r>
            <w:r w:rsidR="00987DDC" w:rsidRPr="00987DDC">
              <w:rPr>
                <w:noProof/>
              </w:rPr>
              <w:t>prz</w:t>
            </w:r>
            <w:r w:rsidRPr="00987DDC">
              <w:rPr>
                <w:noProof/>
              </w:rPr>
              <w:t>ypadku organu ochrony danych Cypru (130 %),</w:t>
            </w:r>
            <w:r w:rsidR="00987DDC" w:rsidRPr="00987DDC">
              <w:rPr>
                <w:noProof/>
              </w:rPr>
              <w:t xml:space="preserve"> a</w:t>
            </w:r>
            <w:r w:rsidR="00987DDC">
              <w:rPr>
                <w:noProof/>
              </w:rPr>
              <w:t> </w:t>
            </w:r>
            <w:r w:rsidR="00987DDC" w:rsidRPr="00987DDC">
              <w:rPr>
                <w:noProof/>
              </w:rPr>
              <w:t>nas</w:t>
            </w:r>
            <w:r w:rsidRPr="00987DDC">
              <w:rPr>
                <w:noProof/>
              </w:rPr>
              <w:t>tępnie Austrii (107 %), Bułgarii (100 %)</w:t>
            </w:r>
            <w:r w:rsidR="00987DDC" w:rsidRPr="00987DDC">
              <w:rPr>
                <w:noProof/>
              </w:rPr>
              <w:t xml:space="preserve"> i</w:t>
            </w:r>
            <w:r w:rsidR="00987DDC">
              <w:rPr>
                <w:noProof/>
              </w:rPr>
              <w:t> </w:t>
            </w:r>
            <w:r w:rsidR="00987DDC" w:rsidRPr="00987DDC">
              <w:rPr>
                <w:noProof/>
              </w:rPr>
              <w:t>Est</w:t>
            </w:r>
            <w:r w:rsidRPr="00987DDC">
              <w:rPr>
                <w:noProof/>
              </w:rPr>
              <w:t xml:space="preserve">onii (97 %). </w:t>
            </w:r>
          </w:p>
          <w:p w14:paraId="14C657C9" w14:textId="16061B8D" w:rsidR="00B060CA" w:rsidRPr="00987DDC" w:rsidRDefault="00B060CA" w:rsidP="00A97238">
            <w:pPr>
              <w:pStyle w:val="ListBullet3"/>
              <w:numPr>
                <w:ilvl w:val="0"/>
                <w:numId w:val="24"/>
              </w:numPr>
              <w:spacing w:line="259" w:lineRule="auto"/>
              <w:rPr>
                <w:noProof/>
              </w:rPr>
            </w:pPr>
            <w:r w:rsidRPr="00987DDC">
              <w:rPr>
                <w:noProof/>
              </w:rPr>
              <w:t>Budżet organu ochrony danych</w:t>
            </w:r>
            <w:r w:rsidR="00987DDC" w:rsidRPr="00987DDC">
              <w:rPr>
                <w:noProof/>
              </w:rPr>
              <w:t xml:space="preserve"> w</w:t>
            </w:r>
            <w:r w:rsidR="00987DDC">
              <w:rPr>
                <w:noProof/>
              </w:rPr>
              <w:t> </w:t>
            </w:r>
            <w:r w:rsidR="00987DDC" w:rsidRPr="00987DDC">
              <w:rPr>
                <w:noProof/>
              </w:rPr>
              <w:t>Gre</w:t>
            </w:r>
            <w:r w:rsidRPr="00987DDC">
              <w:rPr>
                <w:noProof/>
              </w:rPr>
              <w:t>cji zmniejszył się</w:t>
            </w:r>
            <w:r w:rsidR="00987DDC" w:rsidRPr="00987DDC">
              <w:rPr>
                <w:noProof/>
              </w:rPr>
              <w:t xml:space="preserve"> o</w:t>
            </w:r>
            <w:r w:rsidR="00987DDC">
              <w:rPr>
                <w:noProof/>
              </w:rPr>
              <w:t> </w:t>
            </w:r>
            <w:r w:rsidR="00987DDC" w:rsidRPr="00987DDC">
              <w:rPr>
                <w:noProof/>
              </w:rPr>
              <w:t>1</w:t>
            </w:r>
            <w:r w:rsidRPr="00987DDC">
              <w:rPr>
                <w:noProof/>
              </w:rPr>
              <w:t>5 %, natomiast</w:t>
            </w:r>
            <w:r w:rsidR="00987DDC" w:rsidRPr="00987DDC">
              <w:rPr>
                <w:noProof/>
              </w:rPr>
              <w:t xml:space="preserve"> w</w:t>
            </w:r>
            <w:r w:rsidR="00987DDC">
              <w:rPr>
                <w:noProof/>
              </w:rPr>
              <w:t> </w:t>
            </w:r>
            <w:r w:rsidR="00987DDC" w:rsidRPr="00987DDC">
              <w:rPr>
                <w:noProof/>
              </w:rPr>
              <w:t>prz</w:t>
            </w:r>
            <w:r w:rsidRPr="00987DDC">
              <w:rPr>
                <w:noProof/>
              </w:rPr>
              <w:t>ypadku organów</w:t>
            </w:r>
            <w:r w:rsidR="00987DDC" w:rsidRPr="00987DDC">
              <w:rPr>
                <w:noProof/>
              </w:rPr>
              <w:t xml:space="preserve"> w</w:t>
            </w:r>
            <w:r w:rsidR="00987DDC">
              <w:rPr>
                <w:noProof/>
              </w:rPr>
              <w:t> </w:t>
            </w:r>
            <w:r w:rsidR="00987DDC" w:rsidRPr="00987DDC">
              <w:rPr>
                <w:noProof/>
              </w:rPr>
              <w:t>Lie</w:t>
            </w:r>
            <w:r w:rsidRPr="00987DDC">
              <w:rPr>
                <w:noProof/>
              </w:rPr>
              <w:t>chtensteinie (1 %), Słowacji (6 %)</w:t>
            </w:r>
            <w:r w:rsidR="00987DDC" w:rsidRPr="00987DDC">
              <w:rPr>
                <w:noProof/>
              </w:rPr>
              <w:t xml:space="preserve"> i</w:t>
            </w:r>
            <w:r w:rsidR="00987DDC">
              <w:rPr>
                <w:noProof/>
              </w:rPr>
              <w:t> </w:t>
            </w:r>
            <w:r w:rsidR="00987DDC" w:rsidRPr="00987DDC">
              <w:rPr>
                <w:noProof/>
              </w:rPr>
              <w:t>Cze</w:t>
            </w:r>
            <w:r w:rsidRPr="00987DDC">
              <w:rPr>
                <w:noProof/>
              </w:rPr>
              <w:t>chach (8 %) odnotowano niewielki wzrost budżetu.</w:t>
            </w:r>
          </w:p>
        </w:tc>
      </w:tr>
    </w:tbl>
    <w:p w14:paraId="63E1FDC3" w14:textId="77777777" w:rsidR="00B060CA" w:rsidRPr="00987DDC" w:rsidRDefault="00B060CA" w:rsidP="00A228AF">
      <w:pPr>
        <w:rPr>
          <w:noProof/>
        </w:rPr>
      </w:pPr>
    </w:p>
    <w:p w14:paraId="1D1AA200" w14:textId="72E9BA09" w:rsidR="00A228AF" w:rsidRPr="00987DDC" w:rsidRDefault="00B55687" w:rsidP="00D14FCD">
      <w:pPr>
        <w:spacing w:line="259" w:lineRule="auto"/>
        <w:rPr>
          <w:noProof/>
        </w:rPr>
      </w:pPr>
      <w:r w:rsidRPr="00987DDC">
        <w:rPr>
          <w:noProof/>
        </w:rPr>
        <w:t>Chociaż statystyki te wskazują na ogólną tendencję wzrostową</w:t>
      </w:r>
      <w:r w:rsidR="00987DDC" w:rsidRPr="00987DDC">
        <w:rPr>
          <w:noProof/>
        </w:rPr>
        <w:t xml:space="preserve"> w</w:t>
      </w:r>
      <w:r w:rsidR="00987DDC">
        <w:rPr>
          <w:noProof/>
        </w:rPr>
        <w:t> </w:t>
      </w:r>
      <w:r w:rsidR="00987DDC" w:rsidRPr="00987DDC">
        <w:rPr>
          <w:noProof/>
        </w:rPr>
        <w:t>zak</w:t>
      </w:r>
      <w:r w:rsidRPr="00987DDC">
        <w:rPr>
          <w:noProof/>
        </w:rPr>
        <w:t>resie pozyskiwania zasobów przez organy ochrony danych, same organy uważają, że wciąż brakuje im wystarczających zasobów ludzkich (</w:t>
      </w:r>
      <w:r w:rsidRPr="00987DDC">
        <w:rPr>
          <w:rStyle w:val="FootnoteReference"/>
          <w:noProof/>
        </w:rPr>
        <w:footnoteReference w:id="51"/>
      </w:r>
      <w:r w:rsidRPr="00987DDC">
        <w:rPr>
          <w:noProof/>
        </w:rPr>
        <w:t>). Podkreślają potrzebę posiadania bardzo specjalistycznej wiedzy technicznej,</w:t>
      </w:r>
      <w:r w:rsidR="00987DDC" w:rsidRPr="00987DDC">
        <w:rPr>
          <w:noProof/>
        </w:rPr>
        <w:t xml:space="preserve"> w</w:t>
      </w:r>
      <w:r w:rsidR="00987DDC">
        <w:rPr>
          <w:noProof/>
        </w:rPr>
        <w:t> </w:t>
      </w:r>
      <w:r w:rsidR="00987DDC" w:rsidRPr="00987DDC">
        <w:rPr>
          <w:noProof/>
        </w:rPr>
        <w:t>szc</w:t>
      </w:r>
      <w:r w:rsidRPr="00987DDC">
        <w:rPr>
          <w:noProof/>
        </w:rPr>
        <w:t>zególności</w:t>
      </w:r>
      <w:r w:rsidR="00987DDC" w:rsidRPr="00987DDC">
        <w:rPr>
          <w:noProof/>
        </w:rPr>
        <w:t xml:space="preserve"> w</w:t>
      </w:r>
      <w:r w:rsidR="00987DDC">
        <w:rPr>
          <w:noProof/>
        </w:rPr>
        <w:t> </w:t>
      </w:r>
      <w:r w:rsidR="00987DDC" w:rsidRPr="00987DDC">
        <w:rPr>
          <w:noProof/>
        </w:rPr>
        <w:t>dzi</w:t>
      </w:r>
      <w:r w:rsidRPr="00987DDC">
        <w:rPr>
          <w:noProof/>
        </w:rPr>
        <w:t>edzinie nowych</w:t>
      </w:r>
      <w:r w:rsidR="00987DDC" w:rsidRPr="00987DDC">
        <w:rPr>
          <w:noProof/>
        </w:rPr>
        <w:t xml:space="preserve"> i</w:t>
      </w:r>
      <w:r w:rsidR="00987DDC">
        <w:rPr>
          <w:noProof/>
        </w:rPr>
        <w:t> </w:t>
      </w:r>
      <w:r w:rsidR="00987DDC" w:rsidRPr="00987DDC">
        <w:rPr>
          <w:noProof/>
        </w:rPr>
        <w:t>pow</w:t>
      </w:r>
      <w:r w:rsidRPr="00987DDC">
        <w:rPr>
          <w:noProof/>
        </w:rPr>
        <w:t>stających technologii (</w:t>
      </w:r>
      <w:r w:rsidRPr="00987DDC">
        <w:rPr>
          <w:rStyle w:val="FootnoteReference"/>
          <w:noProof/>
        </w:rPr>
        <w:footnoteReference w:id="52"/>
      </w:r>
      <w:r w:rsidRPr="00987DDC">
        <w:rPr>
          <w:noProof/>
        </w:rPr>
        <w:t>), której brak wpływa na ilość</w:t>
      </w:r>
      <w:r w:rsidR="00987DDC" w:rsidRPr="00987DDC">
        <w:rPr>
          <w:noProof/>
        </w:rPr>
        <w:t xml:space="preserve"> i</w:t>
      </w:r>
      <w:r w:rsidR="00987DDC">
        <w:rPr>
          <w:noProof/>
        </w:rPr>
        <w:t> </w:t>
      </w:r>
      <w:r w:rsidR="00987DDC" w:rsidRPr="00987DDC">
        <w:rPr>
          <w:noProof/>
        </w:rPr>
        <w:t>jak</w:t>
      </w:r>
      <w:r w:rsidRPr="00987DDC">
        <w:rPr>
          <w:noProof/>
        </w:rPr>
        <w:t>ość ich pracy,</w:t>
      </w:r>
      <w:r w:rsidR="00987DDC" w:rsidRPr="00987DDC">
        <w:rPr>
          <w:noProof/>
        </w:rPr>
        <w:t xml:space="preserve"> a</w:t>
      </w:r>
      <w:r w:rsidR="00987DDC">
        <w:rPr>
          <w:noProof/>
        </w:rPr>
        <w:t> </w:t>
      </w:r>
      <w:r w:rsidR="00987DDC" w:rsidRPr="00987DDC">
        <w:rPr>
          <w:noProof/>
        </w:rPr>
        <w:t>tak</w:t>
      </w:r>
      <w:r w:rsidRPr="00987DDC">
        <w:rPr>
          <w:noProof/>
        </w:rPr>
        <w:t>że zwracają uwagę na trudności</w:t>
      </w:r>
      <w:r w:rsidR="00987DDC" w:rsidRPr="00987DDC">
        <w:rPr>
          <w:noProof/>
        </w:rPr>
        <w:t xml:space="preserve"> w</w:t>
      </w:r>
      <w:r w:rsidR="00987DDC">
        <w:rPr>
          <w:noProof/>
        </w:rPr>
        <w:t> </w:t>
      </w:r>
      <w:r w:rsidR="00987DDC" w:rsidRPr="00987DDC">
        <w:rPr>
          <w:noProof/>
        </w:rPr>
        <w:t>kon</w:t>
      </w:r>
      <w:r w:rsidRPr="00987DDC">
        <w:rPr>
          <w:noProof/>
        </w:rPr>
        <w:t>kurowaniu</w:t>
      </w:r>
      <w:r w:rsidR="00987DDC" w:rsidRPr="00987DDC">
        <w:rPr>
          <w:noProof/>
        </w:rPr>
        <w:t xml:space="preserve"> o</w:t>
      </w:r>
      <w:r w:rsidR="00987DDC">
        <w:rPr>
          <w:noProof/>
        </w:rPr>
        <w:t> </w:t>
      </w:r>
      <w:r w:rsidR="00987DDC" w:rsidRPr="00987DDC">
        <w:rPr>
          <w:noProof/>
        </w:rPr>
        <w:t>zas</w:t>
      </w:r>
      <w:r w:rsidRPr="00987DDC">
        <w:rPr>
          <w:noProof/>
        </w:rPr>
        <w:t>oby ludzkie</w:t>
      </w:r>
      <w:r w:rsidR="00987DDC" w:rsidRPr="00987DDC">
        <w:rPr>
          <w:noProof/>
        </w:rPr>
        <w:t xml:space="preserve"> z</w:t>
      </w:r>
      <w:r w:rsidR="00987DDC">
        <w:rPr>
          <w:noProof/>
        </w:rPr>
        <w:t> </w:t>
      </w:r>
      <w:r w:rsidR="00987DDC" w:rsidRPr="00987DDC">
        <w:rPr>
          <w:noProof/>
        </w:rPr>
        <w:t>sek</w:t>
      </w:r>
      <w:r w:rsidRPr="00987DDC">
        <w:rPr>
          <w:noProof/>
        </w:rPr>
        <w:t>torem prywatnym. Jako czynniki wpływające na ich wyniki organy ochrony danych wskazują niewystarczającą wiedzę prawną</w:t>
      </w:r>
      <w:r w:rsidR="00987DDC" w:rsidRPr="00987DDC">
        <w:rPr>
          <w:noProof/>
        </w:rPr>
        <w:t xml:space="preserve"> i</w:t>
      </w:r>
      <w:r w:rsidR="00987DDC">
        <w:rPr>
          <w:noProof/>
        </w:rPr>
        <w:t> </w:t>
      </w:r>
      <w:r w:rsidR="00987DDC" w:rsidRPr="00987DDC">
        <w:rPr>
          <w:noProof/>
        </w:rPr>
        <w:t>bra</w:t>
      </w:r>
      <w:r w:rsidRPr="00987DDC">
        <w:rPr>
          <w:noProof/>
        </w:rPr>
        <w:t>k umiejętności językowych. Jako kluczowe czynniki wpływające na zdolność organów do pozyskiwania</w:t>
      </w:r>
      <w:r w:rsidR="00987DDC" w:rsidRPr="00987DDC">
        <w:rPr>
          <w:noProof/>
        </w:rPr>
        <w:t xml:space="preserve"> i</w:t>
      </w:r>
      <w:r w:rsidR="00987DDC">
        <w:rPr>
          <w:noProof/>
        </w:rPr>
        <w:t> </w:t>
      </w:r>
      <w:r w:rsidR="00987DDC" w:rsidRPr="00987DDC">
        <w:rPr>
          <w:noProof/>
        </w:rPr>
        <w:t>zat</w:t>
      </w:r>
      <w:r w:rsidRPr="00987DDC">
        <w:rPr>
          <w:noProof/>
        </w:rPr>
        <w:t>rzymywania pracowników wskazano niskie wynagrodzenie, niemożność samodzielnego wyboru pracowników oraz duże obciążenie pracą (</w:t>
      </w:r>
      <w:r w:rsidRPr="00987DDC">
        <w:rPr>
          <w:rStyle w:val="FootnoteReference"/>
          <w:noProof/>
        </w:rPr>
        <w:footnoteReference w:id="53"/>
      </w:r>
      <w:r w:rsidRPr="00987DDC">
        <w:rPr>
          <w:noProof/>
        </w:rPr>
        <w:t>). Organy ochrony danych podkreślają również, że potrzebują środków finansowych na modernizację</w:t>
      </w:r>
      <w:r w:rsidR="00987DDC" w:rsidRPr="00987DDC">
        <w:rPr>
          <w:noProof/>
        </w:rPr>
        <w:t xml:space="preserve"> i</w:t>
      </w:r>
      <w:r w:rsidR="00987DDC">
        <w:rPr>
          <w:noProof/>
        </w:rPr>
        <w:t> </w:t>
      </w:r>
      <w:r w:rsidR="00987DDC" w:rsidRPr="00987DDC">
        <w:rPr>
          <w:noProof/>
        </w:rPr>
        <w:t>cyf</w:t>
      </w:r>
      <w:r w:rsidRPr="00987DDC">
        <w:rPr>
          <w:noProof/>
        </w:rPr>
        <w:t>ryzację swoich procesów oraz zakup wyposażenia technicznego (</w:t>
      </w:r>
      <w:r w:rsidRPr="00987DDC">
        <w:rPr>
          <w:rStyle w:val="FootnoteReference"/>
          <w:noProof/>
        </w:rPr>
        <w:footnoteReference w:id="54"/>
      </w:r>
      <w:r w:rsidRPr="00987DDC">
        <w:rPr>
          <w:noProof/>
        </w:rPr>
        <w:t>). Wszystkie organy ochrony danych wykonują zadania wykraczające poza zakres zadań powierzonych im w RODO (</w:t>
      </w:r>
      <w:r w:rsidRPr="00987DDC">
        <w:rPr>
          <w:noProof/>
          <w:vertAlign w:val="superscript"/>
        </w:rPr>
        <w:footnoteReference w:id="55"/>
      </w:r>
      <w:r w:rsidRPr="00987DDC">
        <w:rPr>
          <w:noProof/>
        </w:rPr>
        <w:t>), np. jako organy nadzorcze</w:t>
      </w:r>
      <w:r w:rsidR="00987DDC" w:rsidRPr="00987DDC">
        <w:rPr>
          <w:noProof/>
        </w:rPr>
        <w:t xml:space="preserve"> w</w:t>
      </w:r>
      <w:r w:rsidR="00987DDC">
        <w:rPr>
          <w:noProof/>
        </w:rPr>
        <w:t> </w:t>
      </w:r>
      <w:r w:rsidR="00987DDC" w:rsidRPr="00987DDC">
        <w:rPr>
          <w:noProof/>
        </w:rPr>
        <w:t>zwi</w:t>
      </w:r>
      <w:r w:rsidRPr="00987DDC">
        <w:rPr>
          <w:noProof/>
        </w:rPr>
        <w:t>ązku</w:t>
      </w:r>
      <w:r w:rsidR="00987DDC" w:rsidRPr="00987DDC">
        <w:rPr>
          <w:noProof/>
        </w:rPr>
        <w:t xml:space="preserve"> z</w:t>
      </w:r>
      <w:r w:rsidR="00987DDC">
        <w:rPr>
          <w:noProof/>
        </w:rPr>
        <w:t> </w:t>
      </w:r>
      <w:r w:rsidR="00987DDC" w:rsidRPr="00987DDC">
        <w:rPr>
          <w:noProof/>
        </w:rPr>
        <w:t>dyr</w:t>
      </w:r>
      <w:r w:rsidRPr="00987DDC">
        <w:rPr>
          <w:noProof/>
        </w:rPr>
        <w:t>ektywą</w:t>
      </w:r>
      <w:r w:rsidR="00987DDC" w:rsidRPr="00987DDC">
        <w:rPr>
          <w:noProof/>
        </w:rPr>
        <w:t xml:space="preserve"> o</w:t>
      </w:r>
      <w:r w:rsidR="00987DDC">
        <w:rPr>
          <w:noProof/>
        </w:rPr>
        <w:t> </w:t>
      </w:r>
      <w:r w:rsidR="00987DDC" w:rsidRPr="00987DDC">
        <w:rPr>
          <w:noProof/>
        </w:rPr>
        <w:t>och</w:t>
      </w:r>
      <w:r w:rsidRPr="00987DDC">
        <w:rPr>
          <w:noProof/>
        </w:rPr>
        <w:t>ronie danych</w:t>
      </w:r>
      <w:r w:rsidR="00987DDC" w:rsidRPr="00987DDC">
        <w:rPr>
          <w:noProof/>
        </w:rPr>
        <w:t xml:space="preserve"> w</w:t>
      </w:r>
      <w:r w:rsidR="00987DDC">
        <w:rPr>
          <w:noProof/>
        </w:rPr>
        <w:t> </w:t>
      </w:r>
      <w:r w:rsidR="00987DDC" w:rsidRPr="00987DDC">
        <w:rPr>
          <w:noProof/>
        </w:rPr>
        <w:t>spr</w:t>
      </w:r>
      <w:r w:rsidRPr="00987DDC">
        <w:rPr>
          <w:noProof/>
        </w:rPr>
        <w:t>awach karnych</w:t>
      </w:r>
      <w:r w:rsidR="00987DDC" w:rsidRPr="00987DDC">
        <w:rPr>
          <w:noProof/>
        </w:rPr>
        <w:t xml:space="preserve"> i</w:t>
      </w:r>
      <w:r w:rsidR="00987DDC">
        <w:rPr>
          <w:noProof/>
        </w:rPr>
        <w:t> </w:t>
      </w:r>
      <w:r w:rsidR="00987DDC" w:rsidRPr="00987DDC">
        <w:rPr>
          <w:noProof/>
        </w:rPr>
        <w:t>dyr</w:t>
      </w:r>
      <w:r w:rsidRPr="00987DDC">
        <w:rPr>
          <w:noProof/>
        </w:rPr>
        <w:t>ektywą o e-prywatności, natomiast wiele</w:t>
      </w:r>
      <w:r w:rsidR="00987DDC" w:rsidRPr="00987DDC">
        <w:rPr>
          <w:noProof/>
        </w:rPr>
        <w:t xml:space="preserve"> z</w:t>
      </w:r>
      <w:r w:rsidR="00987DDC">
        <w:rPr>
          <w:noProof/>
        </w:rPr>
        <w:t> </w:t>
      </w:r>
      <w:r w:rsidR="00987DDC" w:rsidRPr="00987DDC">
        <w:rPr>
          <w:noProof/>
        </w:rPr>
        <w:t>nic</w:t>
      </w:r>
      <w:r w:rsidRPr="00987DDC">
        <w:rPr>
          <w:noProof/>
        </w:rPr>
        <w:t>h wyraża obawy co do dodatkowych obowiązków wynikających</w:t>
      </w:r>
      <w:r w:rsidR="00987DDC" w:rsidRPr="00987DDC">
        <w:rPr>
          <w:noProof/>
        </w:rPr>
        <w:t xml:space="preserve"> z</w:t>
      </w:r>
      <w:r w:rsidR="00987DDC">
        <w:rPr>
          <w:noProof/>
        </w:rPr>
        <w:t> </w:t>
      </w:r>
      <w:r w:rsidR="00987DDC" w:rsidRPr="00987DDC">
        <w:rPr>
          <w:noProof/>
        </w:rPr>
        <w:t>now</w:t>
      </w:r>
      <w:r w:rsidRPr="00987DDC">
        <w:rPr>
          <w:noProof/>
        </w:rPr>
        <w:t>ych przepisów cyfrowych (</w:t>
      </w:r>
      <w:r w:rsidRPr="00987DDC">
        <w:rPr>
          <w:noProof/>
          <w:vertAlign w:val="superscript"/>
        </w:rPr>
        <w:footnoteReference w:id="56"/>
      </w:r>
      <w:r w:rsidRPr="00987DDC">
        <w:rPr>
          <w:noProof/>
        </w:rPr>
        <w:t>).</w:t>
      </w:r>
    </w:p>
    <w:p w14:paraId="6802C315" w14:textId="420FBF1C" w:rsidR="00B3460E" w:rsidRPr="00987DDC" w:rsidRDefault="00B3460E" w:rsidP="0003154B">
      <w:pPr>
        <w:pStyle w:val="Heading3"/>
        <w:rPr>
          <w:noProof/>
        </w:rPr>
      </w:pPr>
      <w:bookmarkStart w:id="15" w:name="_Toc165303746"/>
      <w:r w:rsidRPr="00987DDC">
        <w:rPr>
          <w:noProof/>
        </w:rPr>
        <w:t>Trudności</w:t>
      </w:r>
      <w:r w:rsidR="00987DDC" w:rsidRPr="00987DDC">
        <w:rPr>
          <w:noProof/>
        </w:rPr>
        <w:t xml:space="preserve"> w</w:t>
      </w:r>
      <w:r w:rsidR="00987DDC">
        <w:rPr>
          <w:noProof/>
        </w:rPr>
        <w:t> </w:t>
      </w:r>
      <w:r w:rsidR="00987DDC" w:rsidRPr="00987DDC">
        <w:rPr>
          <w:noProof/>
        </w:rPr>
        <w:t>roz</w:t>
      </w:r>
      <w:r w:rsidRPr="00987DDC">
        <w:rPr>
          <w:noProof/>
        </w:rPr>
        <w:t>patrywaniu dużej liczby skarg</w:t>
      </w:r>
      <w:bookmarkEnd w:id="15"/>
    </w:p>
    <w:p w14:paraId="38C22BBE" w14:textId="5E95E9E3" w:rsidR="0057223B" w:rsidRPr="00987DDC" w:rsidRDefault="00A228AF" w:rsidP="00A228AF">
      <w:pPr>
        <w:rPr>
          <w:noProof/>
        </w:rPr>
      </w:pPr>
      <w:r w:rsidRPr="00987DDC">
        <w:rPr>
          <w:noProof/>
        </w:rPr>
        <w:t>Kilka organów ochrony danych wskazuje, że zbyt dużą część ich zasobów pochłania rozpatrywanie licznych skarg,</w:t>
      </w:r>
      <w:r w:rsidR="00987DDC" w:rsidRPr="00987DDC">
        <w:rPr>
          <w:noProof/>
        </w:rPr>
        <w:t xml:space="preserve"> z</w:t>
      </w:r>
      <w:r w:rsidR="00987DDC">
        <w:rPr>
          <w:noProof/>
        </w:rPr>
        <w:t> </w:t>
      </w:r>
      <w:r w:rsidR="00987DDC" w:rsidRPr="00987DDC">
        <w:rPr>
          <w:noProof/>
        </w:rPr>
        <w:t>któ</w:t>
      </w:r>
      <w:r w:rsidRPr="00987DDC">
        <w:rPr>
          <w:noProof/>
        </w:rPr>
        <w:t>rych większość uważają za błahe</w:t>
      </w:r>
      <w:r w:rsidR="00987DDC" w:rsidRPr="00987DDC">
        <w:rPr>
          <w:noProof/>
        </w:rPr>
        <w:t xml:space="preserve"> i</w:t>
      </w:r>
      <w:r w:rsidR="00987DDC">
        <w:rPr>
          <w:noProof/>
        </w:rPr>
        <w:t> </w:t>
      </w:r>
      <w:r w:rsidR="00987DDC" w:rsidRPr="00987DDC">
        <w:rPr>
          <w:noProof/>
        </w:rPr>
        <w:t>bez</w:t>
      </w:r>
      <w:r w:rsidRPr="00987DDC">
        <w:rPr>
          <w:noProof/>
        </w:rPr>
        <w:t>podstawne,</w:t>
      </w:r>
      <w:r w:rsidR="00987DDC" w:rsidRPr="00987DDC">
        <w:rPr>
          <w:noProof/>
        </w:rPr>
        <w:t xml:space="preserve"> a</w:t>
      </w:r>
      <w:r w:rsidR="00987DDC">
        <w:rPr>
          <w:noProof/>
        </w:rPr>
        <w:t> </w:t>
      </w:r>
      <w:r w:rsidR="00987DDC" w:rsidRPr="00987DDC">
        <w:rPr>
          <w:noProof/>
        </w:rPr>
        <w:t>roz</w:t>
      </w:r>
      <w:r w:rsidRPr="00987DDC">
        <w:rPr>
          <w:noProof/>
        </w:rPr>
        <w:t>patrzenie każdej skargi jest obowiązkiem wynikającym z RODO, który podlega kontroli sądowej (</w:t>
      </w:r>
      <w:r w:rsidRPr="00987DDC">
        <w:rPr>
          <w:rStyle w:val="FootnoteReference"/>
          <w:noProof/>
        </w:rPr>
        <w:footnoteReference w:id="57"/>
      </w:r>
      <w:r w:rsidRPr="00987DDC">
        <w:rPr>
          <w:noProof/>
        </w:rPr>
        <w:t>). Oznacza to, że organy ochrony danych nie mogą przeznaczyć wystarczających zasobów na inne działania, takie jak postępowania</w:t>
      </w:r>
      <w:r w:rsidR="00987DDC" w:rsidRPr="00987DDC">
        <w:rPr>
          <w:noProof/>
        </w:rPr>
        <w:t xml:space="preserve"> z</w:t>
      </w:r>
      <w:r w:rsidR="00987DDC">
        <w:rPr>
          <w:noProof/>
        </w:rPr>
        <w:t> </w:t>
      </w:r>
      <w:r w:rsidR="00987DDC" w:rsidRPr="00987DDC">
        <w:rPr>
          <w:noProof/>
        </w:rPr>
        <w:t>wła</w:t>
      </w:r>
      <w:r w:rsidRPr="00987DDC">
        <w:rPr>
          <w:noProof/>
        </w:rPr>
        <w:t>snej inicjatywy, kampanie informacyjne</w:t>
      </w:r>
      <w:r w:rsidR="00987DDC" w:rsidRPr="00987DDC">
        <w:rPr>
          <w:noProof/>
        </w:rPr>
        <w:t xml:space="preserve"> i</w:t>
      </w:r>
      <w:r w:rsidR="00987DDC">
        <w:rPr>
          <w:noProof/>
        </w:rPr>
        <w:t> </w:t>
      </w:r>
      <w:r w:rsidR="00987DDC" w:rsidRPr="00987DDC">
        <w:rPr>
          <w:noProof/>
        </w:rPr>
        <w:t>wsp</w:t>
      </w:r>
      <w:r w:rsidRPr="00987DDC">
        <w:rPr>
          <w:noProof/>
        </w:rPr>
        <w:t>ółpraca</w:t>
      </w:r>
      <w:r w:rsidR="00987DDC" w:rsidRPr="00987DDC">
        <w:rPr>
          <w:noProof/>
        </w:rPr>
        <w:t xml:space="preserve"> z</w:t>
      </w:r>
      <w:r w:rsidR="00987DDC">
        <w:rPr>
          <w:noProof/>
        </w:rPr>
        <w:t> </w:t>
      </w:r>
      <w:r w:rsidR="00987DDC" w:rsidRPr="00987DDC">
        <w:rPr>
          <w:noProof/>
        </w:rPr>
        <w:t>adm</w:t>
      </w:r>
      <w:r w:rsidRPr="00987DDC">
        <w:rPr>
          <w:noProof/>
        </w:rPr>
        <w:t>inistratorami danych (</w:t>
      </w:r>
      <w:r w:rsidRPr="00987DDC">
        <w:rPr>
          <w:rStyle w:val="FootnoteReference"/>
          <w:noProof/>
        </w:rPr>
        <w:footnoteReference w:id="58"/>
      </w:r>
      <w:r w:rsidRPr="00987DDC">
        <w:rPr>
          <w:noProof/>
        </w:rPr>
        <w:t>). Organy ochrony danych, jako organy publiczne, mają swobodę decydowania</w:t>
      </w:r>
      <w:r w:rsidR="00987DDC" w:rsidRPr="00987DDC">
        <w:rPr>
          <w:noProof/>
        </w:rPr>
        <w:t xml:space="preserve"> o</w:t>
      </w:r>
      <w:r w:rsidR="00987DDC">
        <w:rPr>
          <w:noProof/>
        </w:rPr>
        <w:t> </w:t>
      </w:r>
      <w:r w:rsidR="00987DDC" w:rsidRPr="00987DDC">
        <w:rPr>
          <w:noProof/>
        </w:rPr>
        <w:t>roz</w:t>
      </w:r>
      <w:r w:rsidRPr="00987DDC">
        <w:rPr>
          <w:noProof/>
        </w:rPr>
        <w:t>dziale zasobów według własnego uznania na potrzeby realizacji każdego ze swoich zadań (wymienionych</w:t>
      </w:r>
      <w:r w:rsidR="00987DDC" w:rsidRPr="00987DDC">
        <w:rPr>
          <w:noProof/>
        </w:rPr>
        <w:t xml:space="preserve"> w</w:t>
      </w:r>
      <w:r w:rsidR="00987DDC">
        <w:rPr>
          <w:noProof/>
        </w:rPr>
        <w:t> </w:t>
      </w:r>
      <w:r w:rsidR="00987DDC" w:rsidRPr="00987DDC">
        <w:rPr>
          <w:noProof/>
        </w:rPr>
        <w:t>art</w:t>
      </w:r>
      <w:r w:rsidRPr="00987DDC">
        <w:rPr>
          <w:noProof/>
        </w:rPr>
        <w:t>.</w:t>
      </w:r>
      <w:r w:rsidR="00987DDC" w:rsidRPr="00987DDC">
        <w:rPr>
          <w:noProof/>
        </w:rPr>
        <w:t> </w:t>
      </w:r>
      <w:r w:rsidRPr="00987DDC">
        <w:rPr>
          <w:noProof/>
        </w:rPr>
        <w:t>57 ust.</w:t>
      </w:r>
      <w:r w:rsidR="00987DDC" w:rsidRPr="00987DDC">
        <w:rPr>
          <w:noProof/>
        </w:rPr>
        <w:t> </w:t>
      </w:r>
      <w:r w:rsidRPr="00987DDC">
        <w:rPr>
          <w:noProof/>
        </w:rPr>
        <w:t>1 RODO)</w:t>
      </w:r>
      <w:r w:rsidR="00987DDC" w:rsidRPr="00987DDC">
        <w:rPr>
          <w:noProof/>
        </w:rPr>
        <w:t xml:space="preserve"> w</w:t>
      </w:r>
      <w:r w:rsidR="00987DDC">
        <w:rPr>
          <w:noProof/>
        </w:rPr>
        <w:t> </w:t>
      </w:r>
      <w:r w:rsidR="00987DDC" w:rsidRPr="00987DDC">
        <w:rPr>
          <w:noProof/>
        </w:rPr>
        <w:t>int</w:t>
      </w:r>
      <w:r w:rsidRPr="00987DDC">
        <w:rPr>
          <w:noProof/>
        </w:rPr>
        <w:t>eresie publicznym. Wiele organów ochrony danych przyjęło strategie mające na celu zwiększenie skuteczności rozpatrywania skarg, takie jak automatyzacja (</w:t>
      </w:r>
      <w:r w:rsidRPr="00987DDC">
        <w:rPr>
          <w:rStyle w:val="FootnoteReference"/>
          <w:noProof/>
        </w:rPr>
        <w:footnoteReference w:id="59"/>
      </w:r>
      <w:r w:rsidRPr="00987DDC">
        <w:rPr>
          <w:noProof/>
        </w:rPr>
        <w:t>), stosowanie procedur polubownego rozwiązania sporów (</w:t>
      </w:r>
      <w:r w:rsidRPr="00987DDC">
        <w:rPr>
          <w:rStyle w:val="FootnoteReference"/>
          <w:noProof/>
        </w:rPr>
        <w:footnoteReference w:id="60"/>
      </w:r>
      <w:r w:rsidRPr="00987DDC">
        <w:rPr>
          <w:noProof/>
        </w:rPr>
        <w:t>)</w:t>
      </w:r>
      <w:r w:rsidR="00987DDC" w:rsidRPr="00987DDC">
        <w:rPr>
          <w:noProof/>
        </w:rPr>
        <w:t xml:space="preserve"> i</w:t>
      </w:r>
      <w:r w:rsidR="00987DDC">
        <w:rPr>
          <w:noProof/>
        </w:rPr>
        <w:t> </w:t>
      </w:r>
      <w:r w:rsidR="00987DDC" w:rsidRPr="00987DDC">
        <w:rPr>
          <w:noProof/>
        </w:rPr>
        <w:t>łąc</w:t>
      </w:r>
      <w:r w:rsidRPr="00987DDC">
        <w:rPr>
          <w:noProof/>
        </w:rPr>
        <w:t>zenie skarg dotyczących podobnych kwestii (</w:t>
      </w:r>
      <w:r w:rsidRPr="00987DDC">
        <w:rPr>
          <w:rStyle w:val="FootnoteReference"/>
          <w:noProof/>
        </w:rPr>
        <w:footnoteReference w:id="61"/>
      </w:r>
      <w:r w:rsidRPr="00987DDC">
        <w:rPr>
          <w:noProof/>
        </w:rPr>
        <w:t>).</w:t>
      </w:r>
    </w:p>
    <w:p w14:paraId="5E53162D" w14:textId="514F1DDD" w:rsidR="0057223B" w:rsidRPr="00987DDC" w:rsidRDefault="0057223B" w:rsidP="000E65C1">
      <w:pPr>
        <w:pStyle w:val="Heading3"/>
        <w:rPr>
          <w:noProof/>
        </w:rPr>
      </w:pPr>
      <w:bookmarkStart w:id="16" w:name="_Toc165303747"/>
      <w:r w:rsidRPr="00987DDC">
        <w:rPr>
          <w:noProof/>
        </w:rPr>
        <w:t>Interpretacja RODO przez krajowe organy ochrony danych</w:t>
      </w:r>
      <w:bookmarkEnd w:id="16"/>
    </w:p>
    <w:p w14:paraId="3DC664CC" w14:textId="011CC91B" w:rsidR="006449F8" w:rsidRPr="00987DDC" w:rsidRDefault="00A228AF" w:rsidP="00A228AF">
      <w:pPr>
        <w:rPr>
          <w:noProof/>
        </w:rPr>
      </w:pPr>
      <w:r w:rsidRPr="00987DDC">
        <w:rPr>
          <w:noProof/>
        </w:rPr>
        <w:t>Głównym celem RODO było wyeliminowanie fragmentarycznego podejścia do ochrony danych, które istniało</w:t>
      </w:r>
      <w:r w:rsidR="00987DDC" w:rsidRPr="00987DDC">
        <w:rPr>
          <w:noProof/>
        </w:rPr>
        <w:t xml:space="preserve"> w</w:t>
      </w:r>
      <w:r w:rsidR="00987DDC">
        <w:rPr>
          <w:noProof/>
        </w:rPr>
        <w:t> </w:t>
      </w:r>
      <w:r w:rsidR="00987DDC" w:rsidRPr="00987DDC">
        <w:rPr>
          <w:noProof/>
        </w:rPr>
        <w:t>okr</w:t>
      </w:r>
      <w:r w:rsidRPr="00987DDC">
        <w:rPr>
          <w:noProof/>
        </w:rPr>
        <w:t>esie obowiązywania poprzedniej dyrektywy</w:t>
      </w:r>
      <w:r w:rsidR="00987DDC" w:rsidRPr="00987DDC">
        <w:rPr>
          <w:noProof/>
        </w:rPr>
        <w:t xml:space="preserve"> o</w:t>
      </w:r>
      <w:r w:rsidR="00987DDC">
        <w:rPr>
          <w:noProof/>
        </w:rPr>
        <w:t> </w:t>
      </w:r>
      <w:r w:rsidR="00987DDC" w:rsidRPr="00987DDC">
        <w:rPr>
          <w:noProof/>
        </w:rPr>
        <w:t>och</w:t>
      </w:r>
      <w:r w:rsidRPr="00987DDC">
        <w:rPr>
          <w:noProof/>
        </w:rPr>
        <w:t>ronie danych (dyrektywa 95/46/WE) (</w:t>
      </w:r>
      <w:r w:rsidRPr="00987DDC">
        <w:rPr>
          <w:rStyle w:val="FootnoteReference"/>
          <w:noProof/>
        </w:rPr>
        <w:footnoteReference w:id="62"/>
      </w:r>
      <w:r w:rsidRPr="00987DDC">
        <w:rPr>
          <w:noProof/>
        </w:rPr>
        <w:t>). Organy ochrony danych nadal jednak przyjmują rozbieżne interpretacje kluczowych pojęć</w:t>
      </w:r>
      <w:r w:rsidR="00987DDC" w:rsidRPr="00987DDC">
        <w:rPr>
          <w:noProof/>
        </w:rPr>
        <w:t xml:space="preserve"> z</w:t>
      </w:r>
      <w:r w:rsidR="00987DDC">
        <w:rPr>
          <w:noProof/>
        </w:rPr>
        <w:t> </w:t>
      </w:r>
      <w:r w:rsidR="00987DDC" w:rsidRPr="00987DDC">
        <w:rPr>
          <w:noProof/>
        </w:rPr>
        <w:t>zak</w:t>
      </w:r>
      <w:r w:rsidRPr="00987DDC">
        <w:rPr>
          <w:noProof/>
        </w:rPr>
        <w:t>resu ochrony danych (</w:t>
      </w:r>
      <w:r w:rsidRPr="00987DDC">
        <w:rPr>
          <w:rStyle w:val="FootnoteReference"/>
          <w:noProof/>
        </w:rPr>
        <w:footnoteReference w:id="63"/>
      </w:r>
      <w:r w:rsidRPr="00987DDC">
        <w:rPr>
          <w:noProof/>
        </w:rPr>
        <w:t>). Zainteresowane strony uznają to za główną przeszkodę</w:t>
      </w:r>
      <w:r w:rsidR="00987DDC" w:rsidRPr="00987DDC">
        <w:rPr>
          <w:noProof/>
        </w:rPr>
        <w:t xml:space="preserve"> w</w:t>
      </w:r>
      <w:r w:rsidR="00987DDC">
        <w:rPr>
          <w:noProof/>
        </w:rPr>
        <w:t> </w:t>
      </w:r>
      <w:r w:rsidR="00987DDC" w:rsidRPr="00987DDC">
        <w:rPr>
          <w:noProof/>
        </w:rPr>
        <w:t>spó</w:t>
      </w:r>
      <w:r w:rsidRPr="00987DDC">
        <w:rPr>
          <w:noProof/>
        </w:rPr>
        <w:t>jnym stosowaniu RODO w UE. Istnienie rozbieżnych interpretacji prowadzi do niepewności prawa</w:t>
      </w:r>
      <w:r w:rsidR="00987DDC" w:rsidRPr="00987DDC">
        <w:rPr>
          <w:noProof/>
        </w:rPr>
        <w:t xml:space="preserve"> i</w:t>
      </w:r>
      <w:r w:rsidR="00987DDC">
        <w:rPr>
          <w:noProof/>
        </w:rPr>
        <w:t> </w:t>
      </w:r>
      <w:r w:rsidR="00987DDC" w:rsidRPr="00987DDC">
        <w:rPr>
          <w:noProof/>
        </w:rPr>
        <w:t>zwi</w:t>
      </w:r>
      <w:r w:rsidRPr="00987DDC">
        <w:rPr>
          <w:noProof/>
        </w:rPr>
        <w:t>ększa koszty ponoszone przez przedsiębiorstwa (np. poprzez wymaganie odmiennych dokumentów dla kilku państw członkowskich), zakłóca swobodny przepływ danych osobowych w UE, utrudnia prowadzenie działalności transgranicznej oraz utrudnia badania naukowe</w:t>
      </w:r>
      <w:r w:rsidR="00987DDC" w:rsidRPr="00987DDC">
        <w:rPr>
          <w:noProof/>
        </w:rPr>
        <w:t xml:space="preserve"> i</w:t>
      </w:r>
      <w:r w:rsidR="00987DDC">
        <w:rPr>
          <w:noProof/>
        </w:rPr>
        <w:t> </w:t>
      </w:r>
      <w:r w:rsidR="00987DDC" w:rsidRPr="00987DDC">
        <w:rPr>
          <w:noProof/>
        </w:rPr>
        <w:t>inn</w:t>
      </w:r>
      <w:r w:rsidRPr="00987DDC">
        <w:rPr>
          <w:noProof/>
        </w:rPr>
        <w:t>owacje</w:t>
      </w:r>
      <w:r w:rsidR="00987DDC" w:rsidRPr="00987DDC">
        <w:rPr>
          <w:noProof/>
        </w:rPr>
        <w:t xml:space="preserve"> w</w:t>
      </w:r>
      <w:r w:rsidR="00987DDC">
        <w:rPr>
          <w:noProof/>
        </w:rPr>
        <w:t> </w:t>
      </w:r>
      <w:r w:rsidR="00987DDC" w:rsidRPr="00987DDC">
        <w:rPr>
          <w:noProof/>
        </w:rPr>
        <w:t>obs</w:t>
      </w:r>
      <w:r w:rsidRPr="00987DDC">
        <w:rPr>
          <w:noProof/>
        </w:rPr>
        <w:t>zarze pilnych wyzwań społecznych.</w:t>
      </w:r>
    </w:p>
    <w:p w14:paraId="7057C2EC" w14:textId="56CFC3B8" w:rsidR="00A9036E" w:rsidRPr="00987DDC" w:rsidRDefault="006449F8" w:rsidP="00A228AF">
      <w:pPr>
        <w:rPr>
          <w:noProof/>
        </w:rPr>
      </w:pPr>
      <w:r w:rsidRPr="00987DDC">
        <w:rPr>
          <w:noProof/>
        </w:rPr>
        <w:t>Konkretne kwestie poruszone przez zainteresowane strony obejmują: (i) odmienne stanowiska zajmowane przez organy ochrony danych</w:t>
      </w:r>
      <w:r w:rsidR="00987DDC" w:rsidRPr="00987DDC">
        <w:rPr>
          <w:noProof/>
        </w:rPr>
        <w:t xml:space="preserve"> w</w:t>
      </w:r>
      <w:r w:rsidR="00987DDC">
        <w:rPr>
          <w:noProof/>
        </w:rPr>
        <w:t> </w:t>
      </w:r>
      <w:r w:rsidR="00987DDC" w:rsidRPr="00987DDC">
        <w:rPr>
          <w:noProof/>
        </w:rPr>
        <w:t>trz</w:t>
      </w:r>
      <w:r w:rsidRPr="00987DDC">
        <w:rPr>
          <w:noProof/>
        </w:rPr>
        <w:t>ech państwach członkowskich</w:t>
      </w:r>
      <w:r w:rsidR="00987DDC" w:rsidRPr="00987DDC">
        <w:rPr>
          <w:noProof/>
        </w:rPr>
        <w:t xml:space="preserve"> w</w:t>
      </w:r>
      <w:r w:rsidR="00987DDC">
        <w:rPr>
          <w:noProof/>
        </w:rPr>
        <w:t> </w:t>
      </w:r>
      <w:r w:rsidR="00987DDC" w:rsidRPr="00987DDC">
        <w:rPr>
          <w:noProof/>
        </w:rPr>
        <w:t>kwe</w:t>
      </w:r>
      <w:r w:rsidRPr="00987DDC">
        <w:rPr>
          <w:noProof/>
        </w:rPr>
        <w:t>stii właściwej podstawy prawnej dla przetwarzania danych osobowych</w:t>
      </w:r>
      <w:r w:rsidR="00987DDC" w:rsidRPr="00987DDC">
        <w:rPr>
          <w:noProof/>
        </w:rPr>
        <w:t xml:space="preserve"> w</w:t>
      </w:r>
      <w:r w:rsidR="00987DDC">
        <w:rPr>
          <w:noProof/>
        </w:rPr>
        <w:t> </w:t>
      </w:r>
      <w:r w:rsidR="00987DDC" w:rsidRPr="00987DDC">
        <w:rPr>
          <w:noProof/>
        </w:rPr>
        <w:t>tok</w:t>
      </w:r>
      <w:r w:rsidRPr="00987DDC">
        <w:rPr>
          <w:noProof/>
        </w:rPr>
        <w:t>u badań klinicznych; (ii) częste rozbieżne opinie na temat tego, czy dany podmiot jest administratorem czy podmiotem przetwarzającym; oraz (iii) niestosowanie się</w:t>
      </w:r>
      <w:r w:rsidR="00987DDC" w:rsidRPr="00987DDC">
        <w:rPr>
          <w:noProof/>
        </w:rPr>
        <w:t xml:space="preserve"> w</w:t>
      </w:r>
      <w:r w:rsidR="00987DDC">
        <w:rPr>
          <w:noProof/>
        </w:rPr>
        <w:t> </w:t>
      </w:r>
      <w:r w:rsidR="00987DDC" w:rsidRPr="00987DDC">
        <w:rPr>
          <w:noProof/>
        </w:rPr>
        <w:t>nie</w:t>
      </w:r>
      <w:r w:rsidRPr="00987DDC">
        <w:rPr>
          <w:noProof/>
        </w:rPr>
        <w:t>których przypadkach przez organy ochrony danych do wytycznych EROD lub wydawanie krajowych wytycznych, które są sprzeczne</w:t>
      </w:r>
      <w:r w:rsidR="00987DDC" w:rsidRPr="00987DDC">
        <w:rPr>
          <w:noProof/>
        </w:rPr>
        <w:t xml:space="preserve"> z</w:t>
      </w:r>
      <w:r w:rsidR="00987DDC">
        <w:rPr>
          <w:noProof/>
        </w:rPr>
        <w:t> </w:t>
      </w:r>
      <w:r w:rsidR="00987DDC" w:rsidRPr="00987DDC">
        <w:rPr>
          <w:noProof/>
        </w:rPr>
        <w:t>wyt</w:t>
      </w:r>
      <w:r w:rsidRPr="00987DDC">
        <w:rPr>
          <w:noProof/>
        </w:rPr>
        <w:t>ycznymi EROD (</w:t>
      </w:r>
      <w:r w:rsidRPr="00987DDC">
        <w:rPr>
          <w:rStyle w:val="FootnoteReference"/>
          <w:noProof/>
        </w:rPr>
        <w:footnoteReference w:id="64"/>
      </w:r>
      <w:r w:rsidRPr="00987DDC">
        <w:rPr>
          <w:noProof/>
        </w:rPr>
        <w:t>). Problemy te potęgują się, kiedy wiele organów ochrony danych</w:t>
      </w:r>
      <w:r w:rsidR="00987DDC" w:rsidRPr="00987DDC">
        <w:rPr>
          <w:noProof/>
        </w:rPr>
        <w:t xml:space="preserve"> w</w:t>
      </w:r>
      <w:r w:rsidR="00987DDC">
        <w:rPr>
          <w:noProof/>
        </w:rPr>
        <w:t> </w:t>
      </w:r>
      <w:r w:rsidR="00987DDC" w:rsidRPr="00987DDC">
        <w:rPr>
          <w:noProof/>
        </w:rPr>
        <w:t>jed</w:t>
      </w:r>
      <w:r w:rsidRPr="00987DDC">
        <w:rPr>
          <w:noProof/>
        </w:rPr>
        <w:t xml:space="preserve">nym państwie członkowskim przyjmuje sprzeczne interpretacje. </w:t>
      </w:r>
    </w:p>
    <w:p w14:paraId="65DD2D81" w14:textId="531088D8" w:rsidR="00A9036E" w:rsidRPr="00987DDC" w:rsidRDefault="00A228AF" w:rsidP="00A228AF">
      <w:pPr>
        <w:rPr>
          <w:noProof/>
        </w:rPr>
      </w:pPr>
      <w:r w:rsidRPr="00987DDC">
        <w:rPr>
          <w:noProof/>
        </w:rPr>
        <w:t>Część zainteresowanych stron uważa również, że niektóre organy ochrony danych i EROD przyjmują interpretacje odbiegające od podejścia opartego na analizie ryzyka określonego w RODO, co stanowi wyzwanie dla rozwoju gospodarki cyfrowej (</w:t>
      </w:r>
      <w:r w:rsidRPr="00987DDC">
        <w:rPr>
          <w:rStyle w:val="FootnoteReference"/>
          <w:noProof/>
        </w:rPr>
        <w:footnoteReference w:id="65"/>
      </w:r>
      <w:r w:rsidRPr="00987DDC">
        <w:rPr>
          <w:noProof/>
        </w:rPr>
        <w:t>) oraz wolności</w:t>
      </w:r>
      <w:r w:rsidR="00987DDC" w:rsidRPr="00987DDC">
        <w:rPr>
          <w:noProof/>
        </w:rPr>
        <w:t xml:space="preserve"> i</w:t>
      </w:r>
      <w:r w:rsidR="00987DDC">
        <w:rPr>
          <w:noProof/>
        </w:rPr>
        <w:t> </w:t>
      </w:r>
      <w:r w:rsidR="00987DDC" w:rsidRPr="00987DDC">
        <w:rPr>
          <w:noProof/>
        </w:rPr>
        <w:t>plu</w:t>
      </w:r>
      <w:r w:rsidRPr="00987DDC">
        <w:rPr>
          <w:noProof/>
        </w:rPr>
        <w:t>ralizmu mediów. Jako kwestie wzbudzające obawy wskazano: (i) interpretację pojęcia anonimizacji; (ii) podstawę prawną prawnie uzasadnionego interesu oraz zgody (</w:t>
      </w:r>
      <w:r w:rsidRPr="00987DDC">
        <w:rPr>
          <w:rStyle w:val="FootnoteReference"/>
          <w:noProof/>
        </w:rPr>
        <w:footnoteReference w:id="66"/>
      </w:r>
      <w:r w:rsidRPr="00987DDC">
        <w:rPr>
          <w:noProof/>
        </w:rPr>
        <w:t>);</w:t>
      </w:r>
      <w:r w:rsidR="00987DDC" w:rsidRPr="00987DDC">
        <w:rPr>
          <w:noProof/>
        </w:rPr>
        <w:t xml:space="preserve"> a</w:t>
      </w:r>
      <w:r w:rsidR="00987DDC">
        <w:rPr>
          <w:noProof/>
        </w:rPr>
        <w:t> </w:t>
      </w:r>
      <w:r w:rsidR="00987DDC" w:rsidRPr="00987DDC">
        <w:rPr>
          <w:noProof/>
        </w:rPr>
        <w:t>tak</w:t>
      </w:r>
      <w:r w:rsidRPr="00987DDC">
        <w:rPr>
          <w:noProof/>
        </w:rPr>
        <w:t>że (iii) wyjątki od zakazu zautomatyzowanego podejmowania decyzji</w:t>
      </w:r>
      <w:r w:rsidR="00987DDC" w:rsidRPr="00987DDC">
        <w:rPr>
          <w:noProof/>
        </w:rPr>
        <w:t xml:space="preserve"> w</w:t>
      </w:r>
      <w:r w:rsidR="00987DDC">
        <w:rPr>
          <w:noProof/>
        </w:rPr>
        <w:t> </w:t>
      </w:r>
      <w:r w:rsidR="00987DDC" w:rsidRPr="00987DDC">
        <w:rPr>
          <w:noProof/>
        </w:rPr>
        <w:t>ind</w:t>
      </w:r>
      <w:r w:rsidRPr="00987DDC">
        <w:rPr>
          <w:noProof/>
        </w:rPr>
        <w:t>ywidualnych przypadkach (</w:t>
      </w:r>
      <w:r w:rsidRPr="00987DDC">
        <w:rPr>
          <w:rStyle w:val="FootnoteReference"/>
          <w:noProof/>
        </w:rPr>
        <w:footnoteReference w:id="67"/>
      </w:r>
      <w:r w:rsidRPr="00987DDC">
        <w:rPr>
          <w:noProof/>
        </w:rPr>
        <w:t>). Należy przypomnieć, że zadaniem organów ochrony danych i EROD jest zapewnienie zarówno ochrony osób fizycznych</w:t>
      </w:r>
      <w:r w:rsidR="00987DDC" w:rsidRPr="00987DDC">
        <w:rPr>
          <w:noProof/>
        </w:rPr>
        <w:t xml:space="preserve"> w</w:t>
      </w:r>
      <w:r w:rsidR="00987DDC">
        <w:rPr>
          <w:noProof/>
        </w:rPr>
        <w:t> </w:t>
      </w:r>
      <w:r w:rsidR="00987DDC" w:rsidRPr="00987DDC">
        <w:rPr>
          <w:noProof/>
        </w:rPr>
        <w:t>zwi</w:t>
      </w:r>
      <w:r w:rsidRPr="00987DDC">
        <w:rPr>
          <w:noProof/>
        </w:rPr>
        <w:t>ązku</w:t>
      </w:r>
      <w:r w:rsidR="00987DDC" w:rsidRPr="00987DDC">
        <w:rPr>
          <w:noProof/>
        </w:rPr>
        <w:t xml:space="preserve"> z</w:t>
      </w:r>
      <w:r w:rsidR="00987DDC">
        <w:rPr>
          <w:noProof/>
        </w:rPr>
        <w:t> </w:t>
      </w:r>
      <w:r w:rsidR="00987DDC" w:rsidRPr="00987DDC">
        <w:rPr>
          <w:noProof/>
        </w:rPr>
        <w:t>prz</w:t>
      </w:r>
      <w:r w:rsidRPr="00987DDC">
        <w:rPr>
          <w:noProof/>
        </w:rPr>
        <w:t>etwarzaniem ich danych osobowych, jak</w:t>
      </w:r>
      <w:r w:rsidR="00987DDC" w:rsidRPr="00987DDC">
        <w:rPr>
          <w:noProof/>
        </w:rPr>
        <w:t xml:space="preserve"> i</w:t>
      </w:r>
      <w:r w:rsidR="00987DDC">
        <w:rPr>
          <w:noProof/>
        </w:rPr>
        <w:t> </w:t>
      </w:r>
      <w:r w:rsidR="00987DDC" w:rsidRPr="00987DDC">
        <w:rPr>
          <w:noProof/>
        </w:rPr>
        <w:t>swo</w:t>
      </w:r>
      <w:r w:rsidRPr="00987DDC">
        <w:rPr>
          <w:noProof/>
        </w:rPr>
        <w:t>bodnego przepływu danych osobowych w UE. Jak stwierdzono w RODO (</w:t>
      </w:r>
      <w:r w:rsidRPr="00987DDC">
        <w:rPr>
          <w:rStyle w:val="FootnoteReference"/>
          <w:noProof/>
        </w:rPr>
        <w:footnoteReference w:id="68"/>
      </w:r>
      <w:r w:rsidRPr="00987DDC">
        <w:rPr>
          <w:noProof/>
        </w:rPr>
        <w:t>), prawo do ochrony danych osobowych należy postrzegać</w:t>
      </w:r>
      <w:r w:rsidR="00987DDC" w:rsidRPr="00987DDC">
        <w:rPr>
          <w:noProof/>
        </w:rPr>
        <w:t xml:space="preserve"> w</w:t>
      </w:r>
      <w:r w:rsidR="00987DDC">
        <w:rPr>
          <w:noProof/>
        </w:rPr>
        <w:t> </w:t>
      </w:r>
      <w:r w:rsidR="00987DDC" w:rsidRPr="00987DDC">
        <w:rPr>
          <w:noProof/>
        </w:rPr>
        <w:t>kon</w:t>
      </w:r>
      <w:r w:rsidRPr="00987DDC">
        <w:rPr>
          <w:noProof/>
        </w:rPr>
        <w:t>tekście jego funkcji społecznej</w:t>
      </w:r>
      <w:r w:rsidR="00987DDC" w:rsidRPr="00987DDC">
        <w:rPr>
          <w:noProof/>
        </w:rPr>
        <w:t xml:space="preserve"> i</w:t>
      </w:r>
      <w:r w:rsidR="00987DDC">
        <w:rPr>
          <w:noProof/>
        </w:rPr>
        <w:t> </w:t>
      </w:r>
      <w:r w:rsidR="00987DDC" w:rsidRPr="00987DDC">
        <w:rPr>
          <w:noProof/>
        </w:rPr>
        <w:t>wyw</w:t>
      </w:r>
      <w:r w:rsidRPr="00987DDC">
        <w:rPr>
          <w:noProof/>
        </w:rPr>
        <w:t>ażyć względem innych praw podstawowych</w:t>
      </w:r>
      <w:r w:rsidR="00987DDC" w:rsidRPr="00987DDC">
        <w:rPr>
          <w:noProof/>
        </w:rPr>
        <w:t xml:space="preserve"> w</w:t>
      </w:r>
      <w:r w:rsidR="00987DDC">
        <w:rPr>
          <w:noProof/>
        </w:rPr>
        <w:t> </w:t>
      </w:r>
      <w:r w:rsidR="00987DDC" w:rsidRPr="00987DDC">
        <w:rPr>
          <w:noProof/>
        </w:rPr>
        <w:t>myś</w:t>
      </w:r>
      <w:r w:rsidRPr="00987DDC">
        <w:rPr>
          <w:noProof/>
        </w:rPr>
        <w:t xml:space="preserve">l zasady proporcjonalności. </w:t>
      </w:r>
    </w:p>
    <w:p w14:paraId="6848B090" w14:textId="0C83AF80" w:rsidR="0062320B" w:rsidRPr="00987DDC" w:rsidRDefault="0062320B" w:rsidP="000E65C1">
      <w:pPr>
        <w:pStyle w:val="Heading3"/>
        <w:rPr>
          <w:noProof/>
        </w:rPr>
      </w:pPr>
      <w:bookmarkStart w:id="17" w:name="_Toc165303748"/>
      <w:r w:rsidRPr="00987DDC">
        <w:rPr>
          <w:noProof/>
        </w:rPr>
        <w:t>Współpraca</w:t>
      </w:r>
      <w:r w:rsidR="00987DDC" w:rsidRPr="00987DDC">
        <w:rPr>
          <w:noProof/>
        </w:rPr>
        <w:t xml:space="preserve"> z</w:t>
      </w:r>
      <w:r w:rsidR="00987DDC">
        <w:rPr>
          <w:noProof/>
        </w:rPr>
        <w:t> </w:t>
      </w:r>
      <w:r w:rsidR="00987DDC" w:rsidRPr="00987DDC">
        <w:rPr>
          <w:noProof/>
        </w:rPr>
        <w:t>adm</w:t>
      </w:r>
      <w:r w:rsidRPr="00987DDC">
        <w:rPr>
          <w:noProof/>
        </w:rPr>
        <w:t>inistratorami</w:t>
      </w:r>
      <w:r w:rsidR="00987DDC" w:rsidRPr="00987DDC">
        <w:rPr>
          <w:noProof/>
        </w:rPr>
        <w:t xml:space="preserve"> i</w:t>
      </w:r>
      <w:r w:rsidR="00987DDC">
        <w:rPr>
          <w:noProof/>
        </w:rPr>
        <w:t> </w:t>
      </w:r>
      <w:r w:rsidR="00987DDC" w:rsidRPr="00987DDC">
        <w:rPr>
          <w:noProof/>
        </w:rPr>
        <w:t>pod</w:t>
      </w:r>
      <w:r w:rsidRPr="00987DDC">
        <w:rPr>
          <w:noProof/>
        </w:rPr>
        <w:t>miotami przetwarzającymi</w:t>
      </w:r>
      <w:bookmarkEnd w:id="17"/>
    </w:p>
    <w:p w14:paraId="63E8F6C8" w14:textId="42495B7B" w:rsidR="00A228AF" w:rsidRPr="00987DDC" w:rsidRDefault="005636FA" w:rsidP="004543C6">
      <w:pPr>
        <w:rPr>
          <w:noProof/>
        </w:rPr>
      </w:pPr>
      <w:r w:rsidRPr="00987DDC">
        <w:rPr>
          <w:noProof/>
        </w:rPr>
        <w:t>Zainteresowane strony podkreślają korzyści płynące</w:t>
      </w:r>
      <w:r w:rsidR="00987DDC" w:rsidRPr="00987DDC">
        <w:rPr>
          <w:noProof/>
        </w:rPr>
        <w:t xml:space="preserve"> z</w:t>
      </w:r>
      <w:r w:rsidR="00987DDC">
        <w:rPr>
          <w:noProof/>
        </w:rPr>
        <w:t> </w:t>
      </w:r>
      <w:r w:rsidR="00987DDC" w:rsidRPr="00987DDC">
        <w:rPr>
          <w:noProof/>
        </w:rPr>
        <w:t>moż</w:t>
      </w:r>
      <w:r w:rsidRPr="00987DDC">
        <w:rPr>
          <w:noProof/>
        </w:rPr>
        <w:t>liwości konstruktywnego dialogu</w:t>
      </w:r>
      <w:r w:rsidR="00987DDC" w:rsidRPr="00987DDC">
        <w:rPr>
          <w:noProof/>
        </w:rPr>
        <w:t xml:space="preserve"> z</w:t>
      </w:r>
      <w:r w:rsidR="00987DDC">
        <w:rPr>
          <w:noProof/>
        </w:rPr>
        <w:t> </w:t>
      </w:r>
      <w:r w:rsidR="00987DDC" w:rsidRPr="00987DDC">
        <w:rPr>
          <w:noProof/>
        </w:rPr>
        <w:t>org</w:t>
      </w:r>
      <w:r w:rsidRPr="00987DDC">
        <w:rPr>
          <w:noProof/>
        </w:rPr>
        <w:t>anami ochrony danych</w:t>
      </w:r>
      <w:r w:rsidR="00987DDC" w:rsidRPr="00987DDC">
        <w:rPr>
          <w:noProof/>
        </w:rPr>
        <w:t xml:space="preserve"> w</w:t>
      </w:r>
      <w:r w:rsidR="00987DDC">
        <w:rPr>
          <w:noProof/>
        </w:rPr>
        <w:t> </w:t>
      </w:r>
      <w:r w:rsidR="00987DDC" w:rsidRPr="00987DDC">
        <w:rPr>
          <w:noProof/>
        </w:rPr>
        <w:t>cel</w:t>
      </w:r>
      <w:r w:rsidRPr="00987DDC">
        <w:rPr>
          <w:noProof/>
        </w:rPr>
        <w:t>u zapewnienia ich zgodności z RODO od samego początku,</w:t>
      </w:r>
      <w:r w:rsidR="00987DDC" w:rsidRPr="00987DDC">
        <w:rPr>
          <w:noProof/>
        </w:rPr>
        <w:t xml:space="preserve"> w</w:t>
      </w:r>
      <w:r w:rsidR="00987DDC">
        <w:rPr>
          <w:noProof/>
        </w:rPr>
        <w:t> </w:t>
      </w:r>
      <w:r w:rsidR="00987DDC" w:rsidRPr="00987DDC">
        <w:rPr>
          <w:noProof/>
        </w:rPr>
        <w:t>szc</w:t>
      </w:r>
      <w:r w:rsidRPr="00987DDC">
        <w:rPr>
          <w:noProof/>
        </w:rPr>
        <w:t>zególności</w:t>
      </w:r>
      <w:r w:rsidR="00987DDC" w:rsidRPr="00987DDC">
        <w:rPr>
          <w:noProof/>
        </w:rPr>
        <w:t xml:space="preserve"> w</w:t>
      </w:r>
      <w:r w:rsidR="00987DDC">
        <w:rPr>
          <w:noProof/>
        </w:rPr>
        <w:t> </w:t>
      </w:r>
      <w:r w:rsidR="00987DDC" w:rsidRPr="00987DDC">
        <w:rPr>
          <w:noProof/>
        </w:rPr>
        <w:t>odn</w:t>
      </w:r>
      <w:r w:rsidRPr="00987DDC">
        <w:rPr>
          <w:noProof/>
        </w:rPr>
        <w:t>iesieniu do powstających technologii. Zainteresowane strony zauważają, że niektóre organy ochrony danych aktywnie współpracują</w:t>
      </w:r>
      <w:r w:rsidR="00987DDC" w:rsidRPr="00987DDC">
        <w:rPr>
          <w:noProof/>
        </w:rPr>
        <w:t xml:space="preserve"> z</w:t>
      </w:r>
      <w:r w:rsidR="00987DDC">
        <w:rPr>
          <w:noProof/>
        </w:rPr>
        <w:t> </w:t>
      </w:r>
      <w:r w:rsidR="00987DDC" w:rsidRPr="00987DDC">
        <w:rPr>
          <w:noProof/>
        </w:rPr>
        <w:t>adm</w:t>
      </w:r>
      <w:r w:rsidRPr="00987DDC">
        <w:rPr>
          <w:noProof/>
        </w:rPr>
        <w:t>inistratorami danych, podczas gdy inne reagują powoli, udzielają niejasnych odpowiedzi lub nie udzielają ich wcale (</w:t>
      </w:r>
      <w:r w:rsidRPr="00987DDC">
        <w:rPr>
          <w:rStyle w:val="FootnoteReference"/>
          <w:noProof/>
        </w:rPr>
        <w:footnoteReference w:id="69"/>
      </w:r>
      <w:r w:rsidRPr="00987DDC">
        <w:rPr>
          <w:noProof/>
        </w:rPr>
        <w:t>).</w:t>
      </w:r>
    </w:p>
    <w:p w14:paraId="185E1B73" w14:textId="2093B264" w:rsidR="000D0175" w:rsidRPr="00987DDC" w:rsidRDefault="00607540" w:rsidP="0003154B">
      <w:pPr>
        <w:pStyle w:val="Heading1"/>
        <w:rPr>
          <w:noProof/>
        </w:rPr>
      </w:pPr>
      <w:bookmarkStart w:id="19" w:name="_Toc165303749"/>
      <w:r w:rsidRPr="00987DDC">
        <w:rPr>
          <w:noProof/>
        </w:rPr>
        <w:t>Wdrażanie RODO przez państwa członkowskie</w:t>
      </w:r>
      <w:bookmarkEnd w:id="19"/>
    </w:p>
    <w:p w14:paraId="1951891B" w14:textId="5CF6123E" w:rsidR="00DD2FDD" w:rsidRPr="00987DDC" w:rsidRDefault="00DD2FDD" w:rsidP="0003154B">
      <w:pPr>
        <w:pStyle w:val="Heading2"/>
        <w:rPr>
          <w:noProof/>
        </w:rPr>
      </w:pPr>
      <w:bookmarkStart w:id="20" w:name="_Toc165303750"/>
      <w:r w:rsidRPr="00987DDC">
        <w:rPr>
          <w:noProof/>
        </w:rPr>
        <w:t>Rozdrobnienie</w:t>
      </w:r>
      <w:bookmarkEnd w:id="20"/>
      <w:r w:rsidR="00987DDC" w:rsidRPr="00987DDC">
        <w:rPr>
          <w:noProof/>
        </w:rPr>
        <w:t xml:space="preserve"> w</w:t>
      </w:r>
      <w:r w:rsidR="00987DDC">
        <w:rPr>
          <w:noProof/>
        </w:rPr>
        <w:t> </w:t>
      </w:r>
      <w:r w:rsidR="00987DDC" w:rsidRPr="00987DDC">
        <w:rPr>
          <w:noProof/>
        </w:rPr>
        <w:t>sto</w:t>
      </w:r>
      <w:r w:rsidRPr="00987DDC">
        <w:rPr>
          <w:noProof/>
        </w:rPr>
        <w:t>sowaniu na szczeblu krajowym</w:t>
      </w:r>
    </w:p>
    <w:p w14:paraId="355EBB92" w14:textId="15E2D2AA" w:rsidR="00987951" w:rsidRPr="00987DDC" w:rsidRDefault="00851339" w:rsidP="00823910">
      <w:pPr>
        <w:pStyle w:val="ListParagraph"/>
        <w:ind w:left="0"/>
        <w:rPr>
          <w:noProof/>
        </w:rPr>
      </w:pPr>
      <w:r w:rsidRPr="00987DDC">
        <w:rPr>
          <w:noProof/>
        </w:rPr>
        <w:t>Chociaż RODO – jako rozporządzenie – ma bezpośrednie zastosowanie, nakłada ono na państwa członkowskie obowiązek stanowienia prawa</w:t>
      </w:r>
      <w:r w:rsidR="00987DDC" w:rsidRPr="00987DDC">
        <w:rPr>
          <w:noProof/>
        </w:rPr>
        <w:t xml:space="preserve"> w</w:t>
      </w:r>
      <w:r w:rsidR="00987DDC">
        <w:rPr>
          <w:noProof/>
        </w:rPr>
        <w:t> </w:t>
      </w:r>
      <w:r w:rsidR="00987DDC" w:rsidRPr="00987DDC">
        <w:rPr>
          <w:noProof/>
        </w:rPr>
        <w:t>nie</w:t>
      </w:r>
      <w:r w:rsidRPr="00987DDC">
        <w:rPr>
          <w:noProof/>
        </w:rPr>
        <w:t>których obszarach oraz przewiduje możliwość doprecyzowania jego stosowania</w:t>
      </w:r>
      <w:r w:rsidR="00987DDC" w:rsidRPr="00987DDC">
        <w:rPr>
          <w:noProof/>
        </w:rPr>
        <w:t xml:space="preserve"> w</w:t>
      </w:r>
      <w:r w:rsidR="00987DDC">
        <w:rPr>
          <w:noProof/>
        </w:rPr>
        <w:t> </w:t>
      </w:r>
      <w:r w:rsidR="00987DDC" w:rsidRPr="00987DDC">
        <w:rPr>
          <w:noProof/>
        </w:rPr>
        <w:t>kil</w:t>
      </w:r>
      <w:r w:rsidRPr="00987DDC">
        <w:rPr>
          <w:noProof/>
        </w:rPr>
        <w:t>ku obszarach (</w:t>
      </w:r>
      <w:r w:rsidRPr="00987DDC">
        <w:rPr>
          <w:rStyle w:val="FootnoteReference"/>
          <w:noProof/>
        </w:rPr>
        <w:footnoteReference w:id="70"/>
      </w:r>
      <w:r w:rsidRPr="00987DDC">
        <w:rPr>
          <w:noProof/>
        </w:rPr>
        <w:t>). Państwa członkowskie muszą stanowić przepisy krajowe na warunkach</w:t>
      </w:r>
      <w:r w:rsidR="00987DDC" w:rsidRPr="00987DDC">
        <w:rPr>
          <w:noProof/>
        </w:rPr>
        <w:t xml:space="preserve"> i</w:t>
      </w:r>
      <w:r w:rsidR="00987DDC">
        <w:rPr>
          <w:noProof/>
        </w:rPr>
        <w:t> </w:t>
      </w:r>
      <w:r w:rsidR="00987DDC" w:rsidRPr="00987DDC">
        <w:rPr>
          <w:noProof/>
        </w:rPr>
        <w:t>w</w:t>
      </w:r>
      <w:r w:rsidR="00987DDC">
        <w:rPr>
          <w:noProof/>
        </w:rPr>
        <w:t> </w:t>
      </w:r>
      <w:r w:rsidR="00987DDC" w:rsidRPr="00987DDC">
        <w:rPr>
          <w:noProof/>
        </w:rPr>
        <w:t>gra</w:t>
      </w:r>
      <w:r w:rsidRPr="00987DDC">
        <w:rPr>
          <w:noProof/>
        </w:rPr>
        <w:t>nicach określonych w RODO. Podobnie jak</w:t>
      </w:r>
      <w:r w:rsidR="00987DDC" w:rsidRPr="00987DDC">
        <w:rPr>
          <w:noProof/>
        </w:rPr>
        <w:t xml:space="preserve"> w</w:t>
      </w:r>
      <w:r w:rsidR="00987DDC">
        <w:rPr>
          <w:noProof/>
        </w:rPr>
        <w:t> </w:t>
      </w:r>
      <w:r w:rsidR="00987DDC" w:rsidRPr="00987DDC">
        <w:rPr>
          <w:noProof/>
        </w:rPr>
        <w:t>2</w:t>
      </w:r>
      <w:r w:rsidRPr="00987DDC">
        <w:rPr>
          <w:noProof/>
        </w:rPr>
        <w:t>020</w:t>
      </w:r>
      <w:r w:rsidR="00987DDC" w:rsidRPr="00987DDC">
        <w:rPr>
          <w:noProof/>
        </w:rPr>
        <w:t> </w:t>
      </w:r>
      <w:r w:rsidRPr="00987DDC">
        <w:rPr>
          <w:noProof/>
        </w:rPr>
        <w:t>r. zainteresowane strony zgłaszają trudności wynikające</w:t>
      </w:r>
      <w:r w:rsidR="00987DDC" w:rsidRPr="00987DDC">
        <w:rPr>
          <w:noProof/>
        </w:rPr>
        <w:t xml:space="preserve"> z</w:t>
      </w:r>
      <w:r w:rsidR="00987DDC">
        <w:rPr>
          <w:noProof/>
        </w:rPr>
        <w:t> </w:t>
      </w:r>
      <w:r w:rsidR="00987DDC" w:rsidRPr="00987DDC">
        <w:rPr>
          <w:noProof/>
        </w:rPr>
        <w:t>roz</w:t>
      </w:r>
      <w:r w:rsidRPr="00987DDC">
        <w:rPr>
          <w:noProof/>
        </w:rPr>
        <w:t>drobnienia przepisów krajowych</w:t>
      </w:r>
      <w:r w:rsidR="00987DDC" w:rsidRPr="00987DDC">
        <w:rPr>
          <w:noProof/>
        </w:rPr>
        <w:t xml:space="preserve"> w</w:t>
      </w:r>
      <w:r w:rsidR="00987DDC">
        <w:rPr>
          <w:noProof/>
        </w:rPr>
        <w:t> </w:t>
      </w:r>
      <w:r w:rsidR="00987DDC" w:rsidRPr="00987DDC">
        <w:rPr>
          <w:noProof/>
        </w:rPr>
        <w:t>spr</w:t>
      </w:r>
      <w:r w:rsidRPr="00987DDC">
        <w:rPr>
          <w:noProof/>
        </w:rPr>
        <w:t>awach,</w:t>
      </w:r>
      <w:r w:rsidR="00987DDC" w:rsidRPr="00987DDC">
        <w:rPr>
          <w:noProof/>
        </w:rPr>
        <w:t xml:space="preserve"> w</w:t>
      </w:r>
      <w:r w:rsidR="00987DDC">
        <w:rPr>
          <w:noProof/>
        </w:rPr>
        <w:t> </w:t>
      </w:r>
      <w:r w:rsidR="00987DDC" w:rsidRPr="00987DDC">
        <w:rPr>
          <w:noProof/>
        </w:rPr>
        <w:t>któ</w:t>
      </w:r>
      <w:r w:rsidRPr="00987DDC">
        <w:rPr>
          <w:noProof/>
        </w:rPr>
        <w:t>rych państwa członkowskie mają możliwość doprecyzowania norm zawartych RODO,</w:t>
      </w:r>
      <w:r w:rsidR="00987DDC" w:rsidRPr="00987DDC">
        <w:rPr>
          <w:noProof/>
        </w:rPr>
        <w:t xml:space="preserve"> w</w:t>
      </w:r>
      <w:r w:rsidR="00987DDC">
        <w:rPr>
          <w:noProof/>
        </w:rPr>
        <w:t> </w:t>
      </w:r>
      <w:r w:rsidR="00987DDC" w:rsidRPr="00987DDC">
        <w:rPr>
          <w:noProof/>
        </w:rPr>
        <w:t>szc</w:t>
      </w:r>
      <w:r w:rsidRPr="00987DDC">
        <w:rPr>
          <w:noProof/>
        </w:rPr>
        <w:t>zególności</w:t>
      </w:r>
      <w:r w:rsidR="00987DDC" w:rsidRPr="00987DDC">
        <w:rPr>
          <w:noProof/>
        </w:rPr>
        <w:t xml:space="preserve"> w</w:t>
      </w:r>
      <w:r w:rsidR="00987DDC">
        <w:rPr>
          <w:noProof/>
        </w:rPr>
        <w:t> </w:t>
      </w:r>
      <w:r w:rsidR="00987DDC" w:rsidRPr="00987DDC">
        <w:rPr>
          <w:noProof/>
        </w:rPr>
        <w:t>kwe</w:t>
      </w:r>
      <w:r w:rsidRPr="00987DDC">
        <w:rPr>
          <w:noProof/>
        </w:rPr>
        <w:t>stiach:</w:t>
      </w:r>
    </w:p>
    <w:p w14:paraId="0BA17B57" w14:textId="13E85BA0" w:rsidR="00512BED" w:rsidRPr="00987DDC" w:rsidRDefault="00214AAF" w:rsidP="00A97238">
      <w:pPr>
        <w:pStyle w:val="ListBullet3"/>
        <w:numPr>
          <w:ilvl w:val="0"/>
          <w:numId w:val="24"/>
        </w:numPr>
        <w:rPr>
          <w:noProof/>
        </w:rPr>
      </w:pPr>
      <w:bookmarkStart w:id="21" w:name="_Hlk163564299"/>
      <w:r w:rsidRPr="00987DDC">
        <w:rPr>
          <w:noProof/>
        </w:rPr>
        <w:t>minimalnego wieku dziecka wymaganego do wyrażenia zgody</w:t>
      </w:r>
      <w:r w:rsidR="00987DDC" w:rsidRPr="00987DDC">
        <w:rPr>
          <w:noProof/>
        </w:rPr>
        <w:t xml:space="preserve"> w</w:t>
      </w:r>
      <w:r w:rsidR="00987DDC">
        <w:rPr>
          <w:noProof/>
        </w:rPr>
        <w:t> </w:t>
      </w:r>
      <w:r w:rsidR="00987DDC" w:rsidRPr="00987DDC">
        <w:rPr>
          <w:noProof/>
        </w:rPr>
        <w:t>prz</w:t>
      </w:r>
      <w:r w:rsidRPr="00987DDC">
        <w:rPr>
          <w:noProof/>
        </w:rPr>
        <w:t>ypadku oferowanych usług społeczeństwa informacyjnego (</w:t>
      </w:r>
      <w:r w:rsidRPr="00987DDC">
        <w:rPr>
          <w:rStyle w:val="FootnoteReference"/>
          <w:noProof/>
        </w:rPr>
        <w:footnoteReference w:id="71"/>
      </w:r>
      <w:bookmarkEnd w:id="21"/>
      <w:r w:rsidRPr="00987DDC">
        <w:rPr>
          <w:noProof/>
        </w:rPr>
        <w:t>);</w:t>
      </w:r>
    </w:p>
    <w:p w14:paraId="33946497" w14:textId="03BD9592" w:rsidR="00512BED" w:rsidRPr="00987DDC" w:rsidRDefault="00D11D2D" w:rsidP="00A97238">
      <w:pPr>
        <w:pStyle w:val="ListBullet3"/>
        <w:numPr>
          <w:ilvl w:val="0"/>
          <w:numId w:val="24"/>
        </w:numPr>
        <w:rPr>
          <w:noProof/>
        </w:rPr>
      </w:pPr>
      <w:r w:rsidRPr="00987DDC">
        <w:rPr>
          <w:noProof/>
        </w:rPr>
        <w:t>wprowadzenia przez państwa członkowskie dalszych warunków dotyczących przetwarzania danych genetycznych, danych biometrycznych lub danych dotyczących zdrowia (</w:t>
      </w:r>
      <w:r w:rsidRPr="00987DDC">
        <w:rPr>
          <w:rStyle w:val="FootnoteReference"/>
          <w:noProof/>
        </w:rPr>
        <w:footnoteReference w:id="72"/>
      </w:r>
      <w:r w:rsidRPr="00987DDC">
        <w:rPr>
          <w:noProof/>
        </w:rPr>
        <w:t>);</w:t>
      </w:r>
    </w:p>
    <w:p w14:paraId="606143AB" w14:textId="5A4A5394" w:rsidR="00512BED" w:rsidRPr="00987DDC" w:rsidRDefault="00B75066" w:rsidP="00A97238">
      <w:pPr>
        <w:pStyle w:val="ListBullet3"/>
        <w:numPr>
          <w:ilvl w:val="0"/>
          <w:numId w:val="24"/>
        </w:numPr>
        <w:rPr>
          <w:noProof/>
        </w:rPr>
      </w:pPr>
      <w:r w:rsidRPr="00987DDC">
        <w:rPr>
          <w:noProof/>
        </w:rPr>
        <w:t>przetwarzania danych osobowych dotyczących wyroków skazujących oraz czynów zabronionych (</w:t>
      </w:r>
      <w:r w:rsidRPr="00987DDC">
        <w:rPr>
          <w:rStyle w:val="FootnoteReference"/>
          <w:noProof/>
        </w:rPr>
        <w:footnoteReference w:id="73"/>
      </w:r>
      <w:r w:rsidRPr="00987DDC">
        <w:rPr>
          <w:noProof/>
        </w:rPr>
        <w:t>), co nastręcza trudności</w:t>
      </w:r>
      <w:r w:rsidR="00987DDC" w:rsidRPr="00987DDC">
        <w:rPr>
          <w:noProof/>
        </w:rPr>
        <w:t xml:space="preserve"> w</w:t>
      </w:r>
      <w:r w:rsidR="00987DDC">
        <w:rPr>
          <w:noProof/>
        </w:rPr>
        <w:t> </w:t>
      </w:r>
      <w:r w:rsidR="00987DDC" w:rsidRPr="00987DDC">
        <w:rPr>
          <w:noProof/>
        </w:rPr>
        <w:t>nie</w:t>
      </w:r>
      <w:r w:rsidRPr="00987DDC">
        <w:rPr>
          <w:noProof/>
        </w:rPr>
        <w:t>których sektorach regulowanych.</w:t>
      </w:r>
    </w:p>
    <w:p w14:paraId="3FC63ED8" w14:textId="1DA81A68" w:rsidR="00E93C66" w:rsidRPr="00987DDC" w:rsidRDefault="00C869BD" w:rsidP="00851339">
      <w:pPr>
        <w:rPr>
          <w:noProof/>
        </w:rPr>
      </w:pPr>
      <w:r w:rsidRPr="00987DDC">
        <w:rPr>
          <w:noProof/>
        </w:rPr>
        <w:t>Jednocześnie, co ważne, wiele zainteresowanych stron twierdzi, że problem rozdrobnienia przepisów wynika głównie</w:t>
      </w:r>
      <w:r w:rsidR="00987DDC" w:rsidRPr="00987DDC">
        <w:rPr>
          <w:noProof/>
        </w:rPr>
        <w:t xml:space="preserve"> z</w:t>
      </w:r>
      <w:r w:rsidR="00987DDC">
        <w:rPr>
          <w:noProof/>
        </w:rPr>
        <w:t> </w:t>
      </w:r>
      <w:r w:rsidR="00987DDC" w:rsidRPr="00987DDC">
        <w:rPr>
          <w:noProof/>
        </w:rPr>
        <w:t>roz</w:t>
      </w:r>
      <w:r w:rsidRPr="00987DDC">
        <w:rPr>
          <w:noProof/>
        </w:rPr>
        <w:t>bieżnych interpretacji RODO przez organy ochrony danych,</w:t>
      </w:r>
      <w:r w:rsidR="00987DDC" w:rsidRPr="00987DDC">
        <w:rPr>
          <w:noProof/>
        </w:rPr>
        <w:t xml:space="preserve"> a</w:t>
      </w:r>
      <w:r w:rsidR="00987DDC">
        <w:rPr>
          <w:noProof/>
        </w:rPr>
        <w:t> </w:t>
      </w:r>
      <w:r w:rsidR="00987DDC" w:rsidRPr="00987DDC">
        <w:rPr>
          <w:noProof/>
        </w:rPr>
        <w:t>nie z</w:t>
      </w:r>
      <w:r w:rsidR="00987DDC">
        <w:rPr>
          <w:noProof/>
        </w:rPr>
        <w:t> </w:t>
      </w:r>
      <w:r w:rsidR="00987DDC" w:rsidRPr="00987DDC">
        <w:rPr>
          <w:noProof/>
        </w:rPr>
        <w:t>kor</w:t>
      </w:r>
      <w:r w:rsidRPr="00987DDC">
        <w:rPr>
          <w:noProof/>
        </w:rPr>
        <w:t>zystania przez państwa członkowskie</w:t>
      </w:r>
      <w:r w:rsidR="00987DDC" w:rsidRPr="00987DDC">
        <w:rPr>
          <w:noProof/>
        </w:rPr>
        <w:t xml:space="preserve"> z</w:t>
      </w:r>
      <w:r w:rsidR="00987DDC">
        <w:rPr>
          <w:noProof/>
        </w:rPr>
        <w:t> </w:t>
      </w:r>
      <w:r w:rsidR="00987DDC" w:rsidRPr="00987DDC">
        <w:rPr>
          <w:noProof/>
        </w:rPr>
        <w:t>opc</w:t>
      </w:r>
      <w:r w:rsidRPr="00987DDC">
        <w:rPr>
          <w:noProof/>
        </w:rPr>
        <w:t>jonalnych klauzul precyzujących.</w:t>
      </w:r>
    </w:p>
    <w:p w14:paraId="46FEBDDC" w14:textId="6EB7D454" w:rsidR="00851339" w:rsidRPr="00987DDC" w:rsidRDefault="00851339" w:rsidP="00851339">
      <w:pPr>
        <w:rPr>
          <w:noProof/>
        </w:rPr>
      </w:pPr>
      <w:r w:rsidRPr="00987DDC">
        <w:rPr>
          <w:noProof/>
        </w:rPr>
        <w:t>Państwa członkowskie uważają, że pewien stopień rozdrobnienia jest akceptowalny,</w:t>
      </w:r>
      <w:r w:rsidR="00987DDC" w:rsidRPr="00987DDC">
        <w:rPr>
          <w:noProof/>
        </w:rPr>
        <w:t xml:space="preserve"> a</w:t>
      </w:r>
      <w:r w:rsidR="00987DDC">
        <w:rPr>
          <w:noProof/>
        </w:rPr>
        <w:t> </w:t>
      </w:r>
      <w:r w:rsidR="00987DDC" w:rsidRPr="00987DDC">
        <w:rPr>
          <w:noProof/>
        </w:rPr>
        <w:t>kla</w:t>
      </w:r>
      <w:r w:rsidRPr="00987DDC">
        <w:rPr>
          <w:noProof/>
        </w:rPr>
        <w:t>uzule precyzujące przewidziane w RODO pozostają korzystne,</w:t>
      </w:r>
      <w:r w:rsidR="00987DDC" w:rsidRPr="00987DDC">
        <w:rPr>
          <w:noProof/>
        </w:rPr>
        <w:t xml:space="preserve"> w</w:t>
      </w:r>
      <w:r w:rsidR="00987DDC">
        <w:rPr>
          <w:noProof/>
        </w:rPr>
        <w:t> </w:t>
      </w:r>
      <w:r w:rsidR="00987DDC" w:rsidRPr="00987DDC">
        <w:rPr>
          <w:noProof/>
        </w:rPr>
        <w:t>szc</w:t>
      </w:r>
      <w:r w:rsidRPr="00987DDC">
        <w:rPr>
          <w:noProof/>
        </w:rPr>
        <w:t>zególności</w:t>
      </w:r>
      <w:r w:rsidR="00987DDC" w:rsidRPr="00987DDC">
        <w:rPr>
          <w:noProof/>
        </w:rPr>
        <w:t xml:space="preserve"> w</w:t>
      </w:r>
      <w:r w:rsidR="00987DDC">
        <w:rPr>
          <w:noProof/>
        </w:rPr>
        <w:t> </w:t>
      </w:r>
      <w:r w:rsidR="00987DDC" w:rsidRPr="00987DDC">
        <w:rPr>
          <w:noProof/>
        </w:rPr>
        <w:t>obs</w:t>
      </w:r>
      <w:r w:rsidRPr="00987DDC">
        <w:rPr>
          <w:noProof/>
        </w:rPr>
        <w:t>zarze do przetwarzania przez organy publiczne (</w:t>
      </w:r>
      <w:r w:rsidRPr="00987DDC">
        <w:rPr>
          <w:noProof/>
          <w:vertAlign w:val="superscript"/>
        </w:rPr>
        <w:footnoteReference w:id="74"/>
      </w:r>
      <w:r w:rsidRPr="00987DDC">
        <w:rPr>
          <w:noProof/>
        </w:rPr>
        <w:t>). RODO zobowiązuje państwa członkowskie do konsultowania się ze swoimi krajowymi organami ochrony danych przy przygotowywaniu przepisów dotyczących przetwarzania danych osobowych (</w:t>
      </w:r>
      <w:r w:rsidRPr="00987DDC">
        <w:rPr>
          <w:rStyle w:val="FootnoteReference"/>
          <w:noProof/>
        </w:rPr>
        <w:footnoteReference w:id="75"/>
      </w:r>
      <w:r w:rsidRPr="00987DDC">
        <w:rPr>
          <w:noProof/>
        </w:rPr>
        <w:t>)</w:t>
      </w:r>
      <w:r w:rsidR="00987DDC" w:rsidRPr="00987DDC">
        <w:rPr>
          <w:noProof/>
        </w:rPr>
        <w:t>. W</w:t>
      </w:r>
      <w:r w:rsidR="00987DDC">
        <w:rPr>
          <w:noProof/>
        </w:rPr>
        <w:t> </w:t>
      </w:r>
      <w:r w:rsidR="00987DDC" w:rsidRPr="00987DDC">
        <w:rPr>
          <w:noProof/>
        </w:rPr>
        <w:t>spr</w:t>
      </w:r>
      <w:r w:rsidRPr="00987DDC">
        <w:rPr>
          <w:noProof/>
        </w:rPr>
        <w:t>awozdaniu FRA stwierdzono, że niektóre rządy wyznaczyły bardzo krótkie terminy dla tych organów,</w:t>
      </w:r>
      <w:r w:rsidR="00987DDC" w:rsidRPr="00987DDC">
        <w:rPr>
          <w:noProof/>
        </w:rPr>
        <w:t xml:space="preserve"> a</w:t>
      </w:r>
      <w:r w:rsidR="00987DDC">
        <w:rPr>
          <w:noProof/>
        </w:rPr>
        <w:t> </w:t>
      </w:r>
      <w:r w:rsidR="00987DDC" w:rsidRPr="00987DDC">
        <w:rPr>
          <w:noProof/>
        </w:rPr>
        <w:t>w</w:t>
      </w:r>
      <w:r w:rsidR="00987DDC">
        <w:rPr>
          <w:noProof/>
        </w:rPr>
        <w:t> </w:t>
      </w:r>
      <w:r w:rsidR="00987DDC" w:rsidRPr="00987DDC">
        <w:rPr>
          <w:noProof/>
        </w:rPr>
        <w:t>nie</w:t>
      </w:r>
      <w:r w:rsidRPr="00987DDC">
        <w:rPr>
          <w:noProof/>
        </w:rPr>
        <w:t>których przypadkach nie konsultują się</w:t>
      </w:r>
      <w:r w:rsidR="00987DDC" w:rsidRPr="00987DDC">
        <w:rPr>
          <w:noProof/>
        </w:rPr>
        <w:t xml:space="preserve"> z</w:t>
      </w:r>
      <w:r w:rsidR="00987DDC">
        <w:rPr>
          <w:noProof/>
        </w:rPr>
        <w:t> </w:t>
      </w:r>
      <w:r w:rsidR="00987DDC" w:rsidRPr="00987DDC">
        <w:rPr>
          <w:noProof/>
        </w:rPr>
        <w:t>nim</w:t>
      </w:r>
      <w:r w:rsidRPr="00987DDC">
        <w:rPr>
          <w:noProof/>
        </w:rPr>
        <w:t>i</w:t>
      </w:r>
      <w:r w:rsidR="00987DDC" w:rsidRPr="00987DDC">
        <w:rPr>
          <w:noProof/>
        </w:rPr>
        <w:t xml:space="preserve"> w</w:t>
      </w:r>
      <w:r w:rsidR="00987DDC">
        <w:rPr>
          <w:noProof/>
        </w:rPr>
        <w:t> </w:t>
      </w:r>
      <w:r w:rsidR="00987DDC" w:rsidRPr="00987DDC">
        <w:rPr>
          <w:noProof/>
        </w:rPr>
        <w:t>ogó</w:t>
      </w:r>
      <w:r w:rsidRPr="00987DDC">
        <w:rPr>
          <w:noProof/>
        </w:rPr>
        <w:t>le (</w:t>
      </w:r>
      <w:r w:rsidRPr="00987DDC">
        <w:rPr>
          <w:noProof/>
          <w:vertAlign w:val="superscript"/>
        </w:rPr>
        <w:footnoteReference w:id="76"/>
      </w:r>
      <w:r w:rsidRPr="00987DDC">
        <w:rPr>
          <w:noProof/>
        </w:rPr>
        <w:t xml:space="preserve">). </w:t>
      </w:r>
    </w:p>
    <w:p w14:paraId="3EDFBEA5" w14:textId="52C1D5E5" w:rsidR="002E543B" w:rsidRPr="00987DDC" w:rsidRDefault="002E543B" w:rsidP="0003154B">
      <w:pPr>
        <w:pStyle w:val="Heading2"/>
        <w:rPr>
          <w:noProof/>
        </w:rPr>
      </w:pPr>
      <w:bookmarkStart w:id="22" w:name="_Toc165303751"/>
      <w:r w:rsidRPr="00987DDC">
        <w:rPr>
          <w:noProof/>
        </w:rPr>
        <w:t>Monitorowanie przez Komisję</w:t>
      </w:r>
      <w:bookmarkEnd w:id="22"/>
    </w:p>
    <w:p w14:paraId="597FF84C" w14:textId="22AF6903" w:rsidR="00FC482E" w:rsidRPr="00987DDC" w:rsidRDefault="00851339" w:rsidP="00547296">
      <w:pPr>
        <w:rPr>
          <w:i/>
          <w:iCs/>
          <w:noProof/>
        </w:rPr>
      </w:pPr>
      <w:r w:rsidRPr="00987DDC">
        <w:rPr>
          <w:noProof/>
        </w:rPr>
        <w:t>Komisja na bieżąco monitoruje wdrażanie RODO. Komisja wszczęła przeciwko państwom członkowskim postępowania</w:t>
      </w:r>
      <w:r w:rsidR="00987DDC" w:rsidRPr="00987DDC">
        <w:rPr>
          <w:noProof/>
        </w:rPr>
        <w:t xml:space="preserve"> w</w:t>
      </w:r>
      <w:r w:rsidR="00987DDC">
        <w:rPr>
          <w:noProof/>
        </w:rPr>
        <w:t> </w:t>
      </w:r>
      <w:r w:rsidR="00987DDC" w:rsidRPr="00987DDC">
        <w:rPr>
          <w:noProof/>
        </w:rPr>
        <w:t>spr</w:t>
      </w:r>
      <w:r w:rsidRPr="00987DDC">
        <w:rPr>
          <w:noProof/>
        </w:rPr>
        <w:t>awie uchybienia zobowiązaniom państwa członkowskiego</w:t>
      </w:r>
      <w:r w:rsidR="00987DDC" w:rsidRPr="00987DDC">
        <w:rPr>
          <w:noProof/>
        </w:rPr>
        <w:t xml:space="preserve"> w</w:t>
      </w:r>
      <w:r w:rsidR="00987DDC">
        <w:rPr>
          <w:noProof/>
        </w:rPr>
        <w:t> </w:t>
      </w:r>
      <w:r w:rsidR="00987DDC" w:rsidRPr="00987DDC">
        <w:rPr>
          <w:noProof/>
        </w:rPr>
        <w:t>tak</w:t>
      </w:r>
      <w:r w:rsidRPr="00987DDC">
        <w:rPr>
          <w:noProof/>
        </w:rPr>
        <w:t>ich kwestiach, jak niezależność organów ochrony danych (w tym wolność od wpływów zewnętrznych</w:t>
      </w:r>
      <w:r w:rsidR="00987DDC" w:rsidRPr="00987DDC">
        <w:rPr>
          <w:noProof/>
        </w:rPr>
        <w:t xml:space="preserve"> i</w:t>
      </w:r>
      <w:r w:rsidR="00987DDC">
        <w:rPr>
          <w:noProof/>
        </w:rPr>
        <w:t> </w:t>
      </w:r>
      <w:r w:rsidR="00987DDC" w:rsidRPr="00987DDC">
        <w:rPr>
          <w:noProof/>
        </w:rPr>
        <w:t>dos</w:t>
      </w:r>
      <w:r w:rsidRPr="00987DDC">
        <w:rPr>
          <w:noProof/>
        </w:rPr>
        <w:t>tępność środka ochrony prawnej przed sądem</w:t>
      </w:r>
      <w:r w:rsidR="00987DDC" w:rsidRPr="00987DDC">
        <w:rPr>
          <w:noProof/>
        </w:rPr>
        <w:t xml:space="preserve"> w</w:t>
      </w:r>
      <w:r w:rsidR="00987DDC">
        <w:rPr>
          <w:noProof/>
        </w:rPr>
        <w:t> </w:t>
      </w:r>
      <w:r w:rsidR="00987DDC" w:rsidRPr="00987DDC">
        <w:rPr>
          <w:noProof/>
        </w:rPr>
        <w:t>prz</w:t>
      </w:r>
      <w:r w:rsidRPr="00987DDC">
        <w:rPr>
          <w:noProof/>
        </w:rPr>
        <w:t>ypadku odwołania ze stanowiska) (</w:t>
      </w:r>
      <w:r w:rsidRPr="00987DDC">
        <w:rPr>
          <w:rStyle w:val="FootnoteReference"/>
          <w:noProof/>
        </w:rPr>
        <w:footnoteReference w:id="77"/>
      </w:r>
      <w:r w:rsidRPr="00987DDC">
        <w:rPr>
          <w:noProof/>
        </w:rPr>
        <w:t>) oraz prawo do skutecznego środka ochrony prawnej przed sądem dla osób, których dane dotyczą, jeżeli organ ochrony danych nie rozpatrzy skargi (</w:t>
      </w:r>
      <w:r w:rsidRPr="00987DDC">
        <w:rPr>
          <w:rStyle w:val="FootnoteReference"/>
          <w:noProof/>
        </w:rPr>
        <w:footnoteReference w:id="78"/>
      </w:r>
      <w:r w:rsidRPr="00987DDC">
        <w:rPr>
          <w:noProof/>
        </w:rPr>
        <w:t>)</w:t>
      </w:r>
      <w:r w:rsidR="00987DDC" w:rsidRPr="00987DDC">
        <w:rPr>
          <w:noProof/>
        </w:rPr>
        <w:t>. W</w:t>
      </w:r>
      <w:r w:rsidR="00987DDC">
        <w:rPr>
          <w:noProof/>
        </w:rPr>
        <w:t> </w:t>
      </w:r>
      <w:r w:rsidR="00987DDC" w:rsidRPr="00987DDC">
        <w:rPr>
          <w:noProof/>
        </w:rPr>
        <w:t>ram</w:t>
      </w:r>
      <w:r w:rsidRPr="00987DDC">
        <w:rPr>
          <w:noProof/>
        </w:rPr>
        <w:t>ach monitorowania Komisja zwraca się również do organów ochrony danych</w:t>
      </w:r>
      <w:r w:rsidR="00987DDC" w:rsidRPr="00987DDC">
        <w:rPr>
          <w:noProof/>
        </w:rPr>
        <w:t xml:space="preserve"> o</w:t>
      </w:r>
      <w:r w:rsidR="00987DDC">
        <w:rPr>
          <w:noProof/>
        </w:rPr>
        <w:t> </w:t>
      </w:r>
      <w:r w:rsidR="00987DDC" w:rsidRPr="00987DDC">
        <w:rPr>
          <w:noProof/>
        </w:rPr>
        <w:t>prz</w:t>
      </w:r>
      <w:r w:rsidRPr="00987DDC">
        <w:rPr>
          <w:noProof/>
        </w:rPr>
        <w:t>ekazywanie,</w:t>
      </w:r>
      <w:r w:rsidR="00987DDC" w:rsidRPr="00987DDC">
        <w:rPr>
          <w:noProof/>
        </w:rPr>
        <w:t xml:space="preserve"> z</w:t>
      </w:r>
      <w:r w:rsidR="00987DDC">
        <w:rPr>
          <w:noProof/>
        </w:rPr>
        <w:t> </w:t>
      </w:r>
      <w:r w:rsidR="00987DDC" w:rsidRPr="00987DDC">
        <w:rPr>
          <w:noProof/>
        </w:rPr>
        <w:t>zac</w:t>
      </w:r>
      <w:r w:rsidRPr="00987DDC">
        <w:rPr>
          <w:noProof/>
        </w:rPr>
        <w:t>howaniem ścisłej poufności, regularnych informacji (</w:t>
      </w:r>
      <w:r w:rsidRPr="00987DDC">
        <w:rPr>
          <w:rStyle w:val="FootnoteReference"/>
          <w:rFonts w:eastAsia="Calibri"/>
          <w:noProof/>
          <w:lang w:eastAsia="en-US"/>
        </w:rPr>
        <w:footnoteReference w:id="79"/>
      </w:r>
      <w:r w:rsidRPr="00987DDC">
        <w:rPr>
          <w:noProof/>
        </w:rPr>
        <w:t>) na temat spraw transgranicznych</w:t>
      </w:r>
      <w:r w:rsidR="00987DDC" w:rsidRPr="00987DDC">
        <w:rPr>
          <w:noProof/>
        </w:rPr>
        <w:t xml:space="preserve"> o</w:t>
      </w:r>
      <w:r w:rsidR="00987DDC">
        <w:rPr>
          <w:noProof/>
        </w:rPr>
        <w:t> </w:t>
      </w:r>
      <w:r w:rsidR="00987DDC" w:rsidRPr="00987DDC">
        <w:rPr>
          <w:noProof/>
        </w:rPr>
        <w:t>duż</w:t>
      </w:r>
      <w:r w:rsidRPr="00987DDC">
        <w:rPr>
          <w:noProof/>
        </w:rPr>
        <w:t>ej skali,</w:t>
      </w:r>
      <w:r w:rsidR="00987DDC" w:rsidRPr="00987DDC">
        <w:rPr>
          <w:noProof/>
        </w:rPr>
        <w:t xml:space="preserve"> w</w:t>
      </w:r>
      <w:r w:rsidR="00987DDC">
        <w:rPr>
          <w:noProof/>
        </w:rPr>
        <w:t> </w:t>
      </w:r>
      <w:r w:rsidR="00987DDC" w:rsidRPr="00987DDC">
        <w:rPr>
          <w:noProof/>
        </w:rPr>
        <w:t>szc</w:t>
      </w:r>
      <w:r w:rsidRPr="00987DDC">
        <w:rPr>
          <w:noProof/>
        </w:rPr>
        <w:t xml:space="preserve">zególności dotyczących wielonarodowych gigantów technologicznych. </w:t>
      </w:r>
    </w:p>
    <w:p w14:paraId="09D7434E" w14:textId="4ABA13D5" w:rsidR="0014771D" w:rsidRPr="00987DDC" w:rsidRDefault="0F8AAF62" w:rsidP="00547296">
      <w:pPr>
        <w:rPr>
          <w:noProof/>
        </w:rPr>
      </w:pPr>
      <w:r w:rsidRPr="00987DDC">
        <w:rPr>
          <w:noProof/>
        </w:rPr>
        <w:t>Komisja regularnie komunikuje się</w:t>
      </w:r>
      <w:r w:rsidR="00987DDC" w:rsidRPr="00987DDC">
        <w:rPr>
          <w:noProof/>
        </w:rPr>
        <w:t xml:space="preserve"> z</w:t>
      </w:r>
      <w:r w:rsidR="00987DDC">
        <w:rPr>
          <w:noProof/>
        </w:rPr>
        <w:t> </w:t>
      </w:r>
      <w:r w:rsidR="00987DDC" w:rsidRPr="00987DDC">
        <w:rPr>
          <w:noProof/>
        </w:rPr>
        <w:t>pań</w:t>
      </w:r>
      <w:r w:rsidRPr="00987DDC">
        <w:rPr>
          <w:noProof/>
        </w:rPr>
        <w:t>stwami członkowskimi na temat wdrażania RODO. Jak stwierdzono</w:t>
      </w:r>
      <w:r w:rsidR="00987DDC" w:rsidRPr="00987DDC">
        <w:rPr>
          <w:noProof/>
        </w:rPr>
        <w:t xml:space="preserve"> w</w:t>
      </w:r>
      <w:r w:rsidR="00987DDC">
        <w:rPr>
          <w:noProof/>
        </w:rPr>
        <w:t> </w:t>
      </w:r>
      <w:r w:rsidR="00987DDC" w:rsidRPr="00987DDC">
        <w:rPr>
          <w:noProof/>
        </w:rPr>
        <w:t>spr</w:t>
      </w:r>
      <w:r w:rsidRPr="00987DDC">
        <w:rPr>
          <w:noProof/>
        </w:rPr>
        <w:t>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 xml:space="preserve">r., </w:t>
      </w:r>
      <w:bookmarkStart w:id="23" w:name="_Hlk159410017"/>
      <w:r w:rsidRPr="00987DDC">
        <w:rPr>
          <w:noProof/>
        </w:rPr>
        <w:t>Komisja wciąż wykorzystuje wysiłki grupy ekspertów ds. RODO</w:t>
      </w:r>
      <w:r w:rsidR="00987DDC" w:rsidRPr="00987DDC">
        <w:rPr>
          <w:noProof/>
        </w:rPr>
        <w:t xml:space="preserve"> z</w:t>
      </w:r>
      <w:r w:rsidR="00987DDC">
        <w:rPr>
          <w:noProof/>
        </w:rPr>
        <w:t> </w:t>
      </w:r>
      <w:r w:rsidR="00987DDC" w:rsidRPr="00987DDC">
        <w:rPr>
          <w:noProof/>
        </w:rPr>
        <w:t>pań</w:t>
      </w:r>
      <w:r w:rsidRPr="00987DDC">
        <w:rPr>
          <w:noProof/>
        </w:rPr>
        <w:t>stw członkowskich (</w:t>
      </w:r>
      <w:r w:rsidRPr="00987DDC">
        <w:rPr>
          <w:rStyle w:val="FootnoteReference"/>
          <w:noProof/>
        </w:rPr>
        <w:footnoteReference w:id="80"/>
      </w:r>
      <w:r w:rsidRPr="00987DDC">
        <w:rPr>
          <w:noProof/>
        </w:rPr>
        <w:t>)</w:t>
      </w:r>
      <w:r w:rsidR="00987DDC" w:rsidRPr="00987DDC">
        <w:rPr>
          <w:noProof/>
        </w:rPr>
        <w:t xml:space="preserve"> w</w:t>
      </w:r>
      <w:r w:rsidR="00987DDC">
        <w:rPr>
          <w:noProof/>
        </w:rPr>
        <w:t> </w:t>
      </w:r>
      <w:r w:rsidR="00987DDC" w:rsidRPr="00987DDC">
        <w:rPr>
          <w:noProof/>
        </w:rPr>
        <w:t>cel</w:t>
      </w:r>
      <w:r w:rsidRPr="00987DDC">
        <w:rPr>
          <w:noProof/>
        </w:rPr>
        <w:t>u ułatwienia dyskusji</w:t>
      </w:r>
      <w:r w:rsidR="00987DDC" w:rsidRPr="00987DDC">
        <w:rPr>
          <w:noProof/>
        </w:rPr>
        <w:t xml:space="preserve"> i</w:t>
      </w:r>
      <w:r w:rsidR="00987DDC">
        <w:rPr>
          <w:noProof/>
        </w:rPr>
        <w:t> </w:t>
      </w:r>
      <w:r w:rsidR="00987DDC" w:rsidRPr="00987DDC">
        <w:rPr>
          <w:noProof/>
        </w:rPr>
        <w:t>wym</w:t>
      </w:r>
      <w:r w:rsidRPr="00987DDC">
        <w:rPr>
          <w:noProof/>
        </w:rPr>
        <w:t>iany doświadczeń</w:t>
      </w:r>
      <w:r w:rsidRPr="00987DDC">
        <w:rPr>
          <w:rFonts w:ascii="EC Square Sans Pro" w:hAnsi="EC Square Sans Pro"/>
          <w:noProof/>
        </w:rPr>
        <w:t xml:space="preserve"> </w:t>
      </w:r>
      <w:r w:rsidRPr="00987DDC">
        <w:rPr>
          <w:noProof/>
        </w:rPr>
        <w:t>na temat skutecznego wdrażania RODO. Grupa ekspertów przeprowadziła szczegółowe dyskusje na temat: (i) nadzorowania operacji sądów dokonywanych</w:t>
      </w:r>
      <w:bookmarkEnd w:id="23"/>
      <w:r w:rsidR="00987DDC" w:rsidRPr="00987DDC">
        <w:rPr>
          <w:noProof/>
        </w:rPr>
        <w:t xml:space="preserve"> w</w:t>
      </w:r>
      <w:r w:rsidR="00987DDC">
        <w:rPr>
          <w:noProof/>
        </w:rPr>
        <w:t> </w:t>
      </w:r>
      <w:r w:rsidR="00987DDC" w:rsidRPr="00987DDC">
        <w:rPr>
          <w:noProof/>
        </w:rPr>
        <w:t>ram</w:t>
      </w:r>
      <w:r w:rsidRPr="00987DDC">
        <w:rPr>
          <w:noProof/>
        </w:rPr>
        <w:t>ach sprawowania przez nie wymiaru sprawiedliwości (art.</w:t>
      </w:r>
      <w:r w:rsidR="00987DDC" w:rsidRPr="00987DDC">
        <w:rPr>
          <w:noProof/>
        </w:rPr>
        <w:t> </w:t>
      </w:r>
      <w:r w:rsidRPr="00987DDC">
        <w:rPr>
          <w:noProof/>
        </w:rPr>
        <w:t>55 RODO; art.</w:t>
      </w:r>
      <w:r w:rsidR="00987DDC" w:rsidRPr="00987DDC">
        <w:rPr>
          <w:noProof/>
        </w:rPr>
        <w:t> </w:t>
      </w:r>
      <w:r w:rsidRPr="00987DDC">
        <w:rPr>
          <w:noProof/>
        </w:rPr>
        <w:t>8 Karty); (ii) godzenia prawa do ochrony danych</w:t>
      </w:r>
      <w:r w:rsidR="00987DDC" w:rsidRPr="00987DDC">
        <w:rPr>
          <w:noProof/>
        </w:rPr>
        <w:t xml:space="preserve"> z</w:t>
      </w:r>
      <w:r w:rsidR="00987DDC">
        <w:rPr>
          <w:noProof/>
        </w:rPr>
        <w:t> </w:t>
      </w:r>
      <w:r w:rsidR="00987DDC" w:rsidRPr="00987DDC">
        <w:rPr>
          <w:noProof/>
        </w:rPr>
        <w:t>pra</w:t>
      </w:r>
      <w:r w:rsidRPr="00987DDC">
        <w:rPr>
          <w:noProof/>
        </w:rPr>
        <w:t>wem do wolności wypowiedzi (art.</w:t>
      </w:r>
      <w:r w:rsidR="00987DDC" w:rsidRPr="00987DDC">
        <w:rPr>
          <w:noProof/>
        </w:rPr>
        <w:t> </w:t>
      </w:r>
      <w:r w:rsidRPr="00987DDC">
        <w:rPr>
          <w:noProof/>
        </w:rPr>
        <w:t>85 RODO); oraz (iii) prawa do skutecznego środka ochrony prawnej przed sądem przeciwko organowi nadzorczemu (art.</w:t>
      </w:r>
      <w:r w:rsidR="00987DDC" w:rsidRPr="00987DDC">
        <w:rPr>
          <w:noProof/>
        </w:rPr>
        <w:t> </w:t>
      </w:r>
      <w:r w:rsidRPr="00987DDC">
        <w:rPr>
          <w:noProof/>
        </w:rPr>
        <w:t>78 RODO)</w:t>
      </w:r>
      <w:r w:rsidR="00987DDC" w:rsidRPr="00987DDC">
        <w:rPr>
          <w:noProof/>
        </w:rPr>
        <w:t>. W</w:t>
      </w:r>
      <w:r w:rsidR="00987DDC">
        <w:rPr>
          <w:noProof/>
        </w:rPr>
        <w:t> </w:t>
      </w:r>
      <w:r w:rsidR="00987DDC" w:rsidRPr="00987DDC">
        <w:rPr>
          <w:noProof/>
        </w:rPr>
        <w:t>wyn</w:t>
      </w:r>
      <w:r w:rsidRPr="00987DDC">
        <w:rPr>
          <w:noProof/>
        </w:rPr>
        <w:t>iku tych dyskusji Komisja sporządziła zestawienie podejść przyjętych</w:t>
      </w:r>
      <w:r w:rsidR="00987DDC" w:rsidRPr="00987DDC">
        <w:rPr>
          <w:noProof/>
        </w:rPr>
        <w:t xml:space="preserve"> w</w:t>
      </w:r>
      <w:r w:rsidR="00987DDC">
        <w:rPr>
          <w:noProof/>
        </w:rPr>
        <w:t> </w:t>
      </w:r>
      <w:r w:rsidR="00987DDC" w:rsidRPr="00987DDC">
        <w:rPr>
          <w:noProof/>
        </w:rPr>
        <w:t>cel</w:t>
      </w:r>
      <w:r w:rsidRPr="00987DDC">
        <w:rPr>
          <w:noProof/>
        </w:rPr>
        <w:t>u wdrażania tych przepisów</w:t>
      </w:r>
      <w:r w:rsidR="00987DDC" w:rsidRPr="00987DDC">
        <w:rPr>
          <w:noProof/>
        </w:rPr>
        <w:t xml:space="preserve"> w</w:t>
      </w:r>
      <w:r w:rsidR="00987DDC">
        <w:rPr>
          <w:noProof/>
        </w:rPr>
        <w:t> </w:t>
      </w:r>
      <w:r w:rsidR="00987DDC" w:rsidRPr="00987DDC">
        <w:rPr>
          <w:noProof/>
        </w:rPr>
        <w:t>pań</w:t>
      </w:r>
      <w:r w:rsidRPr="00987DDC">
        <w:rPr>
          <w:noProof/>
        </w:rPr>
        <w:t>stwach członkowskich (</w:t>
      </w:r>
      <w:r w:rsidRPr="00987DDC">
        <w:rPr>
          <w:rStyle w:val="FootnoteReference"/>
          <w:noProof/>
        </w:rPr>
        <w:footnoteReference w:id="81"/>
      </w:r>
      <w:r w:rsidRPr="00987DDC">
        <w:rPr>
          <w:noProof/>
        </w:rPr>
        <w:t>). Komisja skorzystała również ze wsparcia tej grupy na potrzeby wymiany poglądów</w:t>
      </w:r>
      <w:r w:rsidR="00987DDC" w:rsidRPr="00987DDC">
        <w:rPr>
          <w:noProof/>
        </w:rPr>
        <w:t xml:space="preserve"> z</w:t>
      </w:r>
      <w:r w:rsidR="00987DDC">
        <w:rPr>
          <w:noProof/>
        </w:rPr>
        <w:t> </w:t>
      </w:r>
      <w:r w:rsidR="00987DDC" w:rsidRPr="00987DDC">
        <w:rPr>
          <w:noProof/>
        </w:rPr>
        <w:t>pań</w:t>
      </w:r>
      <w:r w:rsidRPr="00987DDC">
        <w:rPr>
          <w:noProof/>
        </w:rPr>
        <w:t>stwami członkowskimi podczas przygotowywania wniosku</w:t>
      </w:r>
      <w:r w:rsidR="00987DDC" w:rsidRPr="00987DDC">
        <w:rPr>
          <w:noProof/>
        </w:rPr>
        <w:t xml:space="preserve"> w</w:t>
      </w:r>
      <w:r w:rsidR="00987DDC">
        <w:rPr>
          <w:noProof/>
        </w:rPr>
        <w:t> </w:t>
      </w:r>
      <w:r w:rsidR="00987DDC" w:rsidRPr="00987DDC">
        <w:rPr>
          <w:noProof/>
        </w:rPr>
        <w:t>spr</w:t>
      </w:r>
      <w:r w:rsidRPr="00987DDC">
        <w:rPr>
          <w:noProof/>
        </w:rPr>
        <w:t>awie przepisów proceduralnych.</w:t>
      </w:r>
    </w:p>
    <w:p w14:paraId="44E716F7" w14:textId="068A1557" w:rsidR="007C4435" w:rsidRPr="00987DDC" w:rsidRDefault="00987706" w:rsidP="0003154B">
      <w:pPr>
        <w:rPr>
          <w:rFonts w:eastAsia="Calibri"/>
          <w:noProof/>
        </w:rPr>
      </w:pPr>
      <w:r w:rsidRPr="00987DDC">
        <w:rPr>
          <w:noProof/>
        </w:rPr>
        <w:t>W ramach ocen Schengen, przeprowadzanych wspólnie przez państwa członkowskie</w:t>
      </w:r>
      <w:r w:rsidR="00987DDC" w:rsidRPr="00987DDC">
        <w:rPr>
          <w:noProof/>
        </w:rPr>
        <w:t xml:space="preserve"> i</w:t>
      </w:r>
      <w:r w:rsidR="00987DDC">
        <w:rPr>
          <w:noProof/>
        </w:rPr>
        <w:t> </w:t>
      </w:r>
      <w:r w:rsidR="00987DDC" w:rsidRPr="00987DDC">
        <w:rPr>
          <w:noProof/>
        </w:rPr>
        <w:t>Kom</w:t>
      </w:r>
      <w:r w:rsidRPr="00987DDC">
        <w:rPr>
          <w:noProof/>
        </w:rPr>
        <w:t>isję, ocenia się również zgodność przepisów</w:t>
      </w:r>
      <w:r w:rsidR="00987DDC" w:rsidRPr="00987DDC">
        <w:rPr>
          <w:noProof/>
        </w:rPr>
        <w:t xml:space="preserve"> i</w:t>
      </w:r>
      <w:r w:rsidR="00987DDC">
        <w:rPr>
          <w:noProof/>
        </w:rPr>
        <w:t> </w:t>
      </w:r>
      <w:r w:rsidR="00987DDC" w:rsidRPr="00987DDC">
        <w:rPr>
          <w:noProof/>
        </w:rPr>
        <w:t>pra</w:t>
      </w:r>
      <w:r w:rsidRPr="00987DDC">
        <w:rPr>
          <w:noProof/>
        </w:rPr>
        <w:t>ktyk krajowych</w:t>
      </w:r>
      <w:r w:rsidR="00987DDC" w:rsidRPr="00987DDC">
        <w:rPr>
          <w:noProof/>
        </w:rPr>
        <w:t xml:space="preserve"> z</w:t>
      </w:r>
      <w:r w:rsidR="00987DDC">
        <w:rPr>
          <w:noProof/>
        </w:rPr>
        <w:t> </w:t>
      </w:r>
      <w:r w:rsidR="00987DDC" w:rsidRPr="00987DDC">
        <w:rPr>
          <w:noProof/>
        </w:rPr>
        <w:t>prz</w:t>
      </w:r>
      <w:r w:rsidRPr="00987DDC">
        <w:rPr>
          <w:noProof/>
        </w:rPr>
        <w:t>episami</w:t>
      </w:r>
      <w:r w:rsidR="00987DDC" w:rsidRPr="00987DDC">
        <w:rPr>
          <w:noProof/>
        </w:rPr>
        <w:t xml:space="preserve"> o</w:t>
      </w:r>
      <w:r w:rsidR="00987DDC">
        <w:rPr>
          <w:noProof/>
        </w:rPr>
        <w:t> </w:t>
      </w:r>
      <w:r w:rsidR="00987DDC" w:rsidRPr="00987DDC">
        <w:rPr>
          <w:noProof/>
        </w:rPr>
        <w:t>och</w:t>
      </w:r>
      <w:r w:rsidRPr="00987DDC">
        <w:rPr>
          <w:noProof/>
        </w:rPr>
        <w:t>ronie danych określonymi</w:t>
      </w:r>
      <w:r w:rsidR="00987DDC" w:rsidRPr="00987DDC">
        <w:rPr>
          <w:noProof/>
        </w:rPr>
        <w:t xml:space="preserve"> w</w:t>
      </w:r>
      <w:r w:rsidR="00987DDC">
        <w:rPr>
          <w:noProof/>
        </w:rPr>
        <w:t> </w:t>
      </w:r>
      <w:r w:rsidR="00987DDC" w:rsidRPr="00987DDC">
        <w:rPr>
          <w:noProof/>
        </w:rPr>
        <w:t>pra</w:t>
      </w:r>
      <w:r w:rsidRPr="00987DDC">
        <w:rPr>
          <w:noProof/>
        </w:rPr>
        <w:t>wie UE dotyczącym strefy Schengen. Corocznie przeprowadza się co najmniej pięć ocen na miejscu dotyczących ochrony danych, które aktualnie koncentrują się na wielkoskalowych systemach informatycznych</w:t>
      </w:r>
      <w:r w:rsidR="00987DDC" w:rsidRPr="00987DDC">
        <w:rPr>
          <w:noProof/>
        </w:rPr>
        <w:t xml:space="preserve"> i</w:t>
      </w:r>
      <w:r w:rsidR="00987DDC">
        <w:rPr>
          <w:noProof/>
        </w:rPr>
        <w:t> </w:t>
      </w:r>
      <w:r w:rsidR="00987DDC" w:rsidRPr="00987DDC">
        <w:rPr>
          <w:noProof/>
        </w:rPr>
        <w:t>Sys</w:t>
      </w:r>
      <w:r w:rsidRPr="00987DDC">
        <w:rPr>
          <w:noProof/>
        </w:rPr>
        <w:t>temie Informacyjnym Schengen, wizowym systemie informacyjnym,</w:t>
      </w:r>
      <w:r w:rsidR="00987DDC" w:rsidRPr="00987DDC">
        <w:rPr>
          <w:noProof/>
        </w:rPr>
        <w:t xml:space="preserve"> a</w:t>
      </w:r>
      <w:r w:rsidR="00987DDC">
        <w:rPr>
          <w:noProof/>
        </w:rPr>
        <w:t> </w:t>
      </w:r>
      <w:r w:rsidR="00987DDC" w:rsidRPr="00987DDC">
        <w:rPr>
          <w:noProof/>
        </w:rPr>
        <w:t>tak</w:t>
      </w:r>
      <w:r w:rsidRPr="00987DDC">
        <w:rPr>
          <w:noProof/>
        </w:rPr>
        <w:t xml:space="preserve">że na funkcji nadzorczej krajowych organów ochrony danych nad tymi systemami. </w:t>
      </w:r>
    </w:p>
    <w:p w14:paraId="21DCFC5D" w14:textId="7A0D7E86" w:rsidR="007C4435" w:rsidRPr="00987DDC" w:rsidRDefault="009B0CE6" w:rsidP="0003154B">
      <w:pPr>
        <w:pStyle w:val="pf0"/>
        <w:spacing w:before="0" w:beforeAutospacing="0" w:after="120" w:afterAutospacing="0"/>
        <w:jc w:val="both"/>
        <w:rPr>
          <w:noProof/>
        </w:rPr>
      </w:pPr>
      <w:r w:rsidRPr="00987DDC">
        <w:rPr>
          <w:noProof/>
        </w:rPr>
        <w:t>Komisja wnosi aktywny wkład do dużej liczby spraw toczących się przed Trybunałem Sprawiedliwości (w ostatnich latach około 30 orzeczeń</w:t>
      </w:r>
      <w:r w:rsidR="00987DDC" w:rsidRPr="00987DDC">
        <w:rPr>
          <w:noProof/>
        </w:rPr>
        <w:t xml:space="preserve"> w</w:t>
      </w:r>
      <w:r w:rsidR="00987DDC">
        <w:rPr>
          <w:noProof/>
        </w:rPr>
        <w:t> </w:t>
      </w:r>
      <w:r w:rsidR="00987DDC" w:rsidRPr="00987DDC">
        <w:rPr>
          <w:noProof/>
        </w:rPr>
        <w:t>try</w:t>
      </w:r>
      <w:r w:rsidRPr="00987DDC">
        <w:rPr>
          <w:noProof/>
        </w:rPr>
        <w:t>bie prejudycjalnym rocznie), które odgrywają kluczową rolę</w:t>
      </w:r>
      <w:r w:rsidR="00987DDC" w:rsidRPr="00987DDC">
        <w:rPr>
          <w:noProof/>
        </w:rPr>
        <w:t xml:space="preserve"> w</w:t>
      </w:r>
      <w:r w:rsidR="00987DDC">
        <w:rPr>
          <w:noProof/>
        </w:rPr>
        <w:t> </w:t>
      </w:r>
      <w:r w:rsidR="00987DDC" w:rsidRPr="00987DDC">
        <w:rPr>
          <w:noProof/>
        </w:rPr>
        <w:t>spó</w:t>
      </w:r>
      <w:r w:rsidRPr="00987DDC">
        <w:rPr>
          <w:noProof/>
        </w:rPr>
        <w:t>jnej interpretacji kluczowych pojęć RODO. Coraz bogatsze orzecznictwo Trybunału zawiera szereg wyjaśnień, dotyczących m.in. definicji danych osobowych (</w:t>
      </w:r>
      <w:r w:rsidRPr="00987DDC">
        <w:rPr>
          <w:rStyle w:val="FootnoteReference"/>
          <w:noProof/>
        </w:rPr>
        <w:footnoteReference w:id="82"/>
      </w:r>
      <w:r w:rsidRPr="00987DDC">
        <w:rPr>
          <w:noProof/>
        </w:rPr>
        <w:t>), szczególnych kategorii danych osobowych (</w:t>
      </w:r>
      <w:r w:rsidRPr="00987DDC">
        <w:rPr>
          <w:rStyle w:val="FootnoteReference"/>
          <w:noProof/>
        </w:rPr>
        <w:footnoteReference w:id="83"/>
      </w:r>
      <w:r w:rsidRPr="00987DDC">
        <w:rPr>
          <w:noProof/>
        </w:rPr>
        <w:t>), administratora (</w:t>
      </w:r>
      <w:r w:rsidRPr="00987DDC">
        <w:rPr>
          <w:rStyle w:val="FootnoteReference"/>
          <w:noProof/>
        </w:rPr>
        <w:footnoteReference w:id="84"/>
      </w:r>
      <w:r w:rsidRPr="00987DDC">
        <w:rPr>
          <w:noProof/>
        </w:rPr>
        <w:t>), zgody (</w:t>
      </w:r>
      <w:r w:rsidRPr="00987DDC">
        <w:rPr>
          <w:rStyle w:val="FootnoteReference"/>
          <w:noProof/>
        </w:rPr>
        <w:footnoteReference w:id="85"/>
      </w:r>
      <w:r w:rsidRPr="00987DDC">
        <w:rPr>
          <w:noProof/>
        </w:rPr>
        <w:t>), prawnie uzasadnionego interesu (</w:t>
      </w:r>
      <w:r w:rsidRPr="00987DDC">
        <w:rPr>
          <w:rStyle w:val="FootnoteReference"/>
          <w:noProof/>
        </w:rPr>
        <w:footnoteReference w:id="86"/>
      </w:r>
      <w:r w:rsidRPr="00987DDC">
        <w:rPr>
          <w:noProof/>
        </w:rPr>
        <w:t>), prawa dostępu (</w:t>
      </w:r>
      <w:r w:rsidRPr="00987DDC">
        <w:rPr>
          <w:rStyle w:val="FootnoteReference"/>
          <w:noProof/>
        </w:rPr>
        <w:footnoteReference w:id="87"/>
      </w:r>
      <w:r w:rsidRPr="00987DDC">
        <w:rPr>
          <w:noProof/>
        </w:rPr>
        <w:t>), prawa do usunięcia danych (</w:t>
      </w:r>
      <w:r w:rsidRPr="00987DDC">
        <w:rPr>
          <w:rStyle w:val="FootnoteReference"/>
          <w:noProof/>
        </w:rPr>
        <w:footnoteReference w:id="88"/>
      </w:r>
      <w:r w:rsidRPr="00987DDC">
        <w:rPr>
          <w:noProof/>
        </w:rPr>
        <w:t>), prawa do odszkodowania (</w:t>
      </w:r>
      <w:r w:rsidRPr="00987DDC">
        <w:rPr>
          <w:rStyle w:val="FootnoteReference"/>
          <w:noProof/>
        </w:rPr>
        <w:footnoteReference w:id="89"/>
      </w:r>
      <w:r w:rsidRPr="00987DDC">
        <w:rPr>
          <w:noProof/>
        </w:rPr>
        <w:t>), zautomatyzowanego podejmowania decyzji</w:t>
      </w:r>
      <w:r w:rsidR="00987DDC" w:rsidRPr="00987DDC">
        <w:rPr>
          <w:noProof/>
        </w:rPr>
        <w:t xml:space="preserve"> w</w:t>
      </w:r>
      <w:r w:rsidR="00987DDC">
        <w:rPr>
          <w:noProof/>
        </w:rPr>
        <w:t> </w:t>
      </w:r>
      <w:r w:rsidR="00987DDC" w:rsidRPr="00987DDC">
        <w:rPr>
          <w:noProof/>
        </w:rPr>
        <w:t>ind</w:t>
      </w:r>
      <w:r w:rsidRPr="00987DDC">
        <w:rPr>
          <w:noProof/>
        </w:rPr>
        <w:t>ywidualnych przypadkach (</w:t>
      </w:r>
      <w:r w:rsidRPr="00987DDC">
        <w:rPr>
          <w:rStyle w:val="FootnoteReference"/>
          <w:noProof/>
        </w:rPr>
        <w:footnoteReference w:id="90"/>
      </w:r>
      <w:r w:rsidRPr="00987DDC">
        <w:rPr>
          <w:noProof/>
        </w:rPr>
        <w:t>), administracyjnych kar pieniężnych (</w:t>
      </w:r>
      <w:r w:rsidRPr="00987DDC">
        <w:rPr>
          <w:rStyle w:val="FootnoteReference"/>
          <w:noProof/>
        </w:rPr>
        <w:footnoteReference w:id="91"/>
      </w:r>
      <w:r w:rsidRPr="00987DDC">
        <w:rPr>
          <w:noProof/>
        </w:rPr>
        <w:t>), inspektorów ochrony danych (</w:t>
      </w:r>
      <w:r w:rsidRPr="00987DDC">
        <w:rPr>
          <w:rStyle w:val="FootnoteReference"/>
          <w:noProof/>
        </w:rPr>
        <w:footnoteReference w:id="92"/>
      </w:r>
      <w:r w:rsidRPr="00987DDC">
        <w:rPr>
          <w:noProof/>
        </w:rPr>
        <w:t>), publikowania danych osobowych</w:t>
      </w:r>
      <w:r w:rsidR="00987DDC" w:rsidRPr="00987DDC">
        <w:rPr>
          <w:noProof/>
        </w:rPr>
        <w:t xml:space="preserve"> w</w:t>
      </w:r>
      <w:r w:rsidR="00987DDC">
        <w:rPr>
          <w:noProof/>
        </w:rPr>
        <w:t> </w:t>
      </w:r>
      <w:r w:rsidR="00987DDC" w:rsidRPr="00987DDC">
        <w:rPr>
          <w:noProof/>
        </w:rPr>
        <w:t>rej</w:t>
      </w:r>
      <w:r w:rsidRPr="00987DDC">
        <w:rPr>
          <w:noProof/>
        </w:rPr>
        <w:t>estrach (</w:t>
      </w:r>
      <w:r w:rsidRPr="00987DDC">
        <w:rPr>
          <w:rStyle w:val="FootnoteReference"/>
          <w:noProof/>
        </w:rPr>
        <w:footnoteReference w:id="93"/>
      </w:r>
      <w:r w:rsidRPr="00987DDC">
        <w:rPr>
          <w:noProof/>
        </w:rPr>
        <w:t>) oraz stosowania RODO</w:t>
      </w:r>
      <w:r w:rsidR="00987DDC" w:rsidRPr="00987DDC">
        <w:rPr>
          <w:noProof/>
        </w:rPr>
        <w:t xml:space="preserve"> w</w:t>
      </w:r>
      <w:r w:rsidR="00987DDC">
        <w:rPr>
          <w:noProof/>
        </w:rPr>
        <w:t> </w:t>
      </w:r>
      <w:r w:rsidR="00987DDC" w:rsidRPr="00987DDC">
        <w:rPr>
          <w:noProof/>
        </w:rPr>
        <w:t>dzi</w:t>
      </w:r>
      <w:r w:rsidRPr="00987DDC">
        <w:rPr>
          <w:noProof/>
        </w:rPr>
        <w:t>ałalności parlamentów (</w:t>
      </w:r>
      <w:r w:rsidRPr="00987DDC">
        <w:rPr>
          <w:rStyle w:val="FootnoteReference"/>
          <w:noProof/>
        </w:rPr>
        <w:footnoteReference w:id="94"/>
      </w:r>
      <w:r w:rsidRPr="00987DDC">
        <w:rPr>
          <w:noProof/>
        </w:rPr>
        <w:t xml:space="preserve">). </w:t>
      </w:r>
    </w:p>
    <w:p w14:paraId="76F118A1" w14:textId="188A8E5C" w:rsidR="00224CD1" w:rsidRPr="00987DDC" w:rsidRDefault="00224CD1" w:rsidP="0003154B">
      <w:pPr>
        <w:pStyle w:val="Heading1"/>
        <w:rPr>
          <w:noProof/>
        </w:rPr>
      </w:pPr>
      <w:bookmarkStart w:id="25" w:name="_Toc165303752"/>
      <w:r w:rsidRPr="00987DDC">
        <w:rPr>
          <w:noProof/>
        </w:rPr>
        <w:t>Prawa osób, których dane dotyczą</w:t>
      </w:r>
      <w:bookmarkEnd w:id="25"/>
    </w:p>
    <w:p w14:paraId="3A8F43DC" w14:textId="4C2B639C" w:rsidR="00EE1A58" w:rsidRPr="00987DDC" w:rsidRDefault="00EE1A58" w:rsidP="29DA5FA1">
      <w:pPr>
        <w:pStyle w:val="Text2"/>
        <w:ind w:left="0"/>
        <w:rPr>
          <w:noProof/>
          <w:highlight w:val="yellow"/>
        </w:rPr>
      </w:pPr>
    </w:p>
    <w:p w14:paraId="4613A2DA" w14:textId="41E199DB" w:rsidR="0045657E" w:rsidRPr="00987DDC" w:rsidRDefault="0045657E" w:rsidP="00E3347A">
      <w:pPr>
        <w:pStyle w:val="Text2"/>
        <w:pBdr>
          <w:top w:val="single" w:sz="4" w:space="1" w:color="auto"/>
          <w:left w:val="single" w:sz="4" w:space="4" w:color="auto"/>
          <w:bottom w:val="single" w:sz="4" w:space="1" w:color="auto"/>
          <w:right w:val="single" w:sz="4" w:space="4" w:color="auto"/>
        </w:pBdr>
        <w:ind w:left="0"/>
        <w:rPr>
          <w:i/>
          <w:iCs/>
          <w:noProof/>
        </w:rPr>
      </w:pPr>
      <w:r w:rsidRPr="00987DDC">
        <w:rPr>
          <w:i/>
          <w:noProof/>
        </w:rPr>
        <w:t>Świadomość osób fizycznych</w:t>
      </w:r>
      <w:r w:rsidR="00987DDC" w:rsidRPr="00987DDC">
        <w:rPr>
          <w:i/>
          <w:noProof/>
        </w:rPr>
        <w:t xml:space="preserve"> w</w:t>
      </w:r>
      <w:r w:rsidR="00987DDC">
        <w:rPr>
          <w:i/>
          <w:noProof/>
        </w:rPr>
        <w:t> </w:t>
      </w:r>
      <w:r w:rsidR="00987DDC" w:rsidRPr="00987DDC">
        <w:rPr>
          <w:i/>
          <w:noProof/>
        </w:rPr>
        <w:t>kwe</w:t>
      </w:r>
      <w:r w:rsidRPr="00987DDC">
        <w:rPr>
          <w:i/>
          <w:noProof/>
        </w:rPr>
        <w:t>stii RODO oraz organów ochrony danych (badanie Eurobarometr 549</w:t>
      </w:r>
      <w:r w:rsidR="00987DDC" w:rsidRPr="00987DDC">
        <w:rPr>
          <w:i/>
          <w:noProof/>
        </w:rPr>
        <w:t xml:space="preserve"> z</w:t>
      </w:r>
      <w:r w:rsidR="00987DDC">
        <w:rPr>
          <w:i/>
          <w:noProof/>
        </w:rPr>
        <w:t> </w:t>
      </w:r>
      <w:r w:rsidR="00987DDC" w:rsidRPr="00987DDC">
        <w:rPr>
          <w:i/>
          <w:noProof/>
        </w:rPr>
        <w:t>2</w:t>
      </w:r>
      <w:r w:rsidRPr="00987DDC">
        <w:rPr>
          <w:i/>
          <w:noProof/>
        </w:rPr>
        <w:t>024</w:t>
      </w:r>
      <w:r w:rsidR="00987DDC" w:rsidRPr="00987DDC">
        <w:rPr>
          <w:i/>
          <w:noProof/>
        </w:rPr>
        <w:t> </w:t>
      </w:r>
      <w:r w:rsidRPr="00987DDC">
        <w:rPr>
          <w:i/>
          <w:noProof/>
        </w:rPr>
        <w:t>r. na temat sprawiedliwości, praw</w:t>
      </w:r>
      <w:r w:rsidR="00987DDC" w:rsidRPr="00987DDC">
        <w:rPr>
          <w:i/>
          <w:noProof/>
        </w:rPr>
        <w:t xml:space="preserve"> i</w:t>
      </w:r>
      <w:r w:rsidR="00987DDC">
        <w:rPr>
          <w:i/>
          <w:noProof/>
        </w:rPr>
        <w:t> </w:t>
      </w:r>
      <w:r w:rsidR="00987DDC" w:rsidRPr="00987DDC">
        <w:rPr>
          <w:i/>
          <w:noProof/>
        </w:rPr>
        <w:t>war</w:t>
      </w:r>
      <w:r w:rsidRPr="00987DDC">
        <w:rPr>
          <w:i/>
          <w:noProof/>
        </w:rPr>
        <w:t>tości)</w:t>
      </w:r>
    </w:p>
    <w:p w14:paraId="4D0F3B3B" w14:textId="592EB077" w:rsidR="00EE1A58" w:rsidRPr="00987DDC" w:rsidRDefault="00EE1A58" w:rsidP="00E3347A">
      <w:pPr>
        <w:pStyle w:val="Text2"/>
        <w:numPr>
          <w:ilvl w:val="0"/>
          <w:numId w:val="33"/>
        </w:numPr>
        <w:pBdr>
          <w:top w:val="single" w:sz="4" w:space="1" w:color="auto"/>
          <w:left w:val="single" w:sz="4" w:space="4" w:color="auto"/>
          <w:bottom w:val="single" w:sz="4" w:space="1" w:color="auto"/>
          <w:right w:val="single" w:sz="4" w:space="4" w:color="auto"/>
        </w:pBdr>
        <w:ind w:left="360"/>
        <w:rPr>
          <w:noProof/>
        </w:rPr>
      </w:pPr>
      <w:r w:rsidRPr="00987DDC">
        <w:rPr>
          <w:noProof/>
        </w:rPr>
        <w:t>72 % respondentów</w:t>
      </w:r>
      <w:r w:rsidR="00987DDC" w:rsidRPr="00987DDC">
        <w:rPr>
          <w:noProof/>
        </w:rPr>
        <w:t xml:space="preserve"> w</w:t>
      </w:r>
      <w:r w:rsidR="00987DDC">
        <w:rPr>
          <w:noProof/>
        </w:rPr>
        <w:t> </w:t>
      </w:r>
      <w:r w:rsidR="00987DDC" w:rsidRPr="00987DDC">
        <w:rPr>
          <w:noProof/>
        </w:rPr>
        <w:t>cał</w:t>
      </w:r>
      <w:r w:rsidRPr="00987DDC">
        <w:rPr>
          <w:noProof/>
        </w:rPr>
        <w:t>ej UE twierdzi, że słyszało o RODO,</w:t>
      </w:r>
      <w:r w:rsidR="00987DDC" w:rsidRPr="00987DDC">
        <w:rPr>
          <w:noProof/>
        </w:rPr>
        <w:t xml:space="preserve"> z</w:t>
      </w:r>
      <w:r w:rsidR="00987DDC">
        <w:rPr>
          <w:noProof/>
        </w:rPr>
        <w:t> </w:t>
      </w:r>
      <w:r w:rsidR="00987DDC" w:rsidRPr="00987DDC">
        <w:rPr>
          <w:noProof/>
        </w:rPr>
        <w:t>cze</w:t>
      </w:r>
      <w:r w:rsidRPr="00987DDC">
        <w:rPr>
          <w:noProof/>
        </w:rPr>
        <w:t>go 40 % wie, czym ono jest.</w:t>
      </w:r>
    </w:p>
    <w:p w14:paraId="245F5A71" w14:textId="039BBD2C" w:rsidR="7D40A636" w:rsidRPr="00987DDC" w:rsidRDefault="00B64AFC" w:rsidP="00B64AFC">
      <w:pPr>
        <w:pStyle w:val="Text2"/>
        <w:numPr>
          <w:ilvl w:val="0"/>
          <w:numId w:val="33"/>
        </w:numPr>
        <w:pBdr>
          <w:top w:val="single" w:sz="4" w:space="1" w:color="auto"/>
          <w:left w:val="single" w:sz="4" w:space="4" w:color="auto"/>
          <w:bottom w:val="single" w:sz="4" w:space="1" w:color="auto"/>
          <w:right w:val="single" w:sz="4" w:space="4" w:color="auto"/>
        </w:pBdr>
        <w:ind w:left="360"/>
        <w:rPr>
          <w:noProof/>
        </w:rPr>
      </w:pPr>
      <w:r w:rsidRPr="00987DDC">
        <w:rPr>
          <w:noProof/>
        </w:rPr>
        <w:t>W 19 państwach członkowskich ponad 70 % respondentów twierdzi, że jest świadomych stosowania RODO, przy czym najbardziej świadomi są respondenci ze Szwecji (92 %),</w:t>
      </w:r>
      <w:r w:rsidR="00987DDC" w:rsidRPr="00987DDC">
        <w:rPr>
          <w:noProof/>
        </w:rPr>
        <w:t xml:space="preserve"> a</w:t>
      </w:r>
      <w:r w:rsidR="00987DDC">
        <w:rPr>
          <w:noProof/>
        </w:rPr>
        <w:t> </w:t>
      </w:r>
      <w:r w:rsidR="00987DDC" w:rsidRPr="00987DDC">
        <w:rPr>
          <w:noProof/>
        </w:rPr>
        <w:t>nas</w:t>
      </w:r>
      <w:r w:rsidRPr="00987DDC">
        <w:rPr>
          <w:noProof/>
        </w:rPr>
        <w:t>tępnie</w:t>
      </w:r>
      <w:r w:rsidR="00987DDC" w:rsidRPr="00987DDC">
        <w:rPr>
          <w:noProof/>
        </w:rPr>
        <w:t xml:space="preserve"> z</w:t>
      </w:r>
      <w:r w:rsidR="00987DDC">
        <w:rPr>
          <w:noProof/>
        </w:rPr>
        <w:t> </w:t>
      </w:r>
      <w:r w:rsidR="00987DDC" w:rsidRPr="00987DDC">
        <w:rPr>
          <w:noProof/>
        </w:rPr>
        <w:t>Nid</w:t>
      </w:r>
      <w:r w:rsidRPr="00987DDC">
        <w:rPr>
          <w:noProof/>
        </w:rPr>
        <w:t>erlandów (88 %), Malty</w:t>
      </w:r>
      <w:r w:rsidR="00987DDC" w:rsidRPr="00987DDC">
        <w:rPr>
          <w:noProof/>
        </w:rPr>
        <w:t xml:space="preserve"> i</w:t>
      </w:r>
      <w:r w:rsidR="00987DDC">
        <w:rPr>
          <w:noProof/>
        </w:rPr>
        <w:t> </w:t>
      </w:r>
      <w:r w:rsidR="00987DDC" w:rsidRPr="00987DDC">
        <w:rPr>
          <w:noProof/>
        </w:rPr>
        <w:t>Dan</w:t>
      </w:r>
      <w:r w:rsidRPr="00987DDC">
        <w:rPr>
          <w:noProof/>
        </w:rPr>
        <w:t>ii (84 %), natomiast najmniej świadomi są respondenci</w:t>
      </w:r>
      <w:r w:rsidR="00987DDC" w:rsidRPr="00987DDC">
        <w:rPr>
          <w:noProof/>
        </w:rPr>
        <w:t xml:space="preserve"> z</w:t>
      </w:r>
      <w:r w:rsidR="00987DDC">
        <w:rPr>
          <w:noProof/>
        </w:rPr>
        <w:t> </w:t>
      </w:r>
      <w:r w:rsidR="00987DDC" w:rsidRPr="00987DDC">
        <w:rPr>
          <w:noProof/>
        </w:rPr>
        <w:t>Buł</w:t>
      </w:r>
      <w:r w:rsidRPr="00987DDC">
        <w:rPr>
          <w:noProof/>
        </w:rPr>
        <w:t>garii (59 %), a po nich respondenci</w:t>
      </w:r>
      <w:r w:rsidR="00987DDC" w:rsidRPr="00987DDC">
        <w:rPr>
          <w:noProof/>
        </w:rPr>
        <w:t xml:space="preserve"> z</w:t>
      </w:r>
      <w:r w:rsidR="00987DDC">
        <w:rPr>
          <w:noProof/>
        </w:rPr>
        <w:t> </w:t>
      </w:r>
      <w:r w:rsidR="00987DDC" w:rsidRPr="00987DDC">
        <w:rPr>
          <w:noProof/>
        </w:rPr>
        <w:t>Lit</w:t>
      </w:r>
      <w:r w:rsidRPr="00987DDC">
        <w:rPr>
          <w:noProof/>
        </w:rPr>
        <w:t>wy (63 %)</w:t>
      </w:r>
      <w:r w:rsidR="00987DDC" w:rsidRPr="00987DDC">
        <w:rPr>
          <w:noProof/>
        </w:rPr>
        <w:t xml:space="preserve"> i</w:t>
      </w:r>
      <w:r w:rsidR="00987DDC">
        <w:rPr>
          <w:noProof/>
        </w:rPr>
        <w:t> </w:t>
      </w:r>
      <w:r w:rsidR="00987DDC" w:rsidRPr="00987DDC">
        <w:rPr>
          <w:noProof/>
        </w:rPr>
        <w:t>Fra</w:t>
      </w:r>
      <w:r w:rsidRPr="00987DDC">
        <w:rPr>
          <w:noProof/>
        </w:rPr>
        <w:t>ncji (64 %).</w:t>
      </w:r>
    </w:p>
    <w:p w14:paraId="09919204" w14:textId="2D2B3D2F" w:rsidR="00B64AFC" w:rsidRPr="00987DDC" w:rsidRDefault="00B64AFC" w:rsidP="00B64AFC">
      <w:pPr>
        <w:pStyle w:val="Text2"/>
        <w:numPr>
          <w:ilvl w:val="0"/>
          <w:numId w:val="33"/>
        </w:numPr>
        <w:pBdr>
          <w:top w:val="single" w:sz="4" w:space="1" w:color="auto"/>
          <w:left w:val="single" w:sz="4" w:space="4" w:color="auto"/>
          <w:bottom w:val="single" w:sz="4" w:space="1" w:color="auto"/>
          <w:right w:val="single" w:sz="4" w:space="4" w:color="auto"/>
        </w:pBdr>
        <w:ind w:left="360"/>
        <w:rPr>
          <w:noProof/>
        </w:rPr>
      </w:pPr>
      <w:r w:rsidRPr="00987DDC">
        <w:rPr>
          <w:noProof/>
        </w:rPr>
        <w:t>68 % respondentów</w:t>
      </w:r>
      <w:r w:rsidR="00987DDC" w:rsidRPr="00987DDC">
        <w:rPr>
          <w:noProof/>
        </w:rPr>
        <w:t xml:space="preserve"> w</w:t>
      </w:r>
      <w:r w:rsidR="00987DDC">
        <w:rPr>
          <w:noProof/>
        </w:rPr>
        <w:t> </w:t>
      </w:r>
      <w:r w:rsidR="00987DDC" w:rsidRPr="00987DDC">
        <w:rPr>
          <w:noProof/>
        </w:rPr>
        <w:t>cał</w:t>
      </w:r>
      <w:r w:rsidRPr="00987DDC">
        <w:rPr>
          <w:noProof/>
        </w:rPr>
        <w:t>ej UE twierdzi, że słyszało</w:t>
      </w:r>
      <w:r w:rsidR="00987DDC" w:rsidRPr="00987DDC">
        <w:rPr>
          <w:noProof/>
        </w:rPr>
        <w:t xml:space="preserve"> o</w:t>
      </w:r>
      <w:r w:rsidR="00987DDC">
        <w:rPr>
          <w:noProof/>
        </w:rPr>
        <w:t> </w:t>
      </w:r>
      <w:r w:rsidR="00987DDC" w:rsidRPr="00987DDC">
        <w:rPr>
          <w:noProof/>
        </w:rPr>
        <w:t>org</w:t>
      </w:r>
      <w:r w:rsidRPr="00987DDC">
        <w:rPr>
          <w:noProof/>
        </w:rPr>
        <w:t>anie krajowym odpowiedzialnym za ochronę ich praw do ochrony danych, przy czym 24 % wszystkich respondentów stwierdziło, że wie również, który konkretnie organ publiczny jest za to odpowiedzialny.</w:t>
      </w:r>
    </w:p>
    <w:p w14:paraId="7E262F78" w14:textId="6E8B978E" w:rsidR="008A2C1D" w:rsidRPr="00987DDC" w:rsidRDefault="008A2C1D" w:rsidP="00E3347A">
      <w:pPr>
        <w:pStyle w:val="Text2"/>
        <w:numPr>
          <w:ilvl w:val="0"/>
          <w:numId w:val="33"/>
        </w:numPr>
        <w:pBdr>
          <w:top w:val="single" w:sz="4" w:space="1" w:color="auto"/>
          <w:left w:val="single" w:sz="4" w:space="4" w:color="auto"/>
          <w:bottom w:val="single" w:sz="4" w:space="1" w:color="auto"/>
          <w:right w:val="single" w:sz="4" w:space="4" w:color="auto"/>
        </w:pBdr>
        <w:ind w:left="360"/>
        <w:rPr>
          <w:noProof/>
        </w:rPr>
      </w:pPr>
      <w:r w:rsidRPr="00987DDC">
        <w:rPr>
          <w:noProof/>
        </w:rPr>
        <w:t>We wszystkich państwach członkowskich co najmniej połowa respondentów słyszała</w:t>
      </w:r>
      <w:r w:rsidR="00987DDC" w:rsidRPr="00987DDC">
        <w:rPr>
          <w:noProof/>
        </w:rPr>
        <w:t xml:space="preserve"> o</w:t>
      </w:r>
      <w:r w:rsidR="00987DDC">
        <w:rPr>
          <w:noProof/>
        </w:rPr>
        <w:t> </w:t>
      </w:r>
      <w:r w:rsidR="00987DDC" w:rsidRPr="00987DDC">
        <w:rPr>
          <w:noProof/>
        </w:rPr>
        <w:t>tak</w:t>
      </w:r>
      <w:r w:rsidRPr="00987DDC">
        <w:rPr>
          <w:noProof/>
        </w:rPr>
        <w:t>im organie krajowym, przy czym najwyższą świadomość odnotowano</w:t>
      </w:r>
      <w:r w:rsidR="00987DDC" w:rsidRPr="00987DDC">
        <w:rPr>
          <w:noProof/>
        </w:rPr>
        <w:t xml:space="preserve"> w</w:t>
      </w:r>
      <w:r w:rsidR="00987DDC">
        <w:rPr>
          <w:noProof/>
        </w:rPr>
        <w:t> </w:t>
      </w:r>
      <w:r w:rsidR="00987DDC" w:rsidRPr="00987DDC">
        <w:rPr>
          <w:noProof/>
        </w:rPr>
        <w:t>Nid</w:t>
      </w:r>
      <w:r w:rsidRPr="00987DDC">
        <w:rPr>
          <w:noProof/>
        </w:rPr>
        <w:t>erlandach (82 %), Czechach, Słowenii</w:t>
      </w:r>
      <w:r w:rsidR="00987DDC" w:rsidRPr="00987DDC">
        <w:rPr>
          <w:noProof/>
        </w:rPr>
        <w:t xml:space="preserve"> i</w:t>
      </w:r>
      <w:r w:rsidR="00987DDC">
        <w:rPr>
          <w:noProof/>
        </w:rPr>
        <w:t> </w:t>
      </w:r>
      <w:r w:rsidR="00987DDC" w:rsidRPr="00987DDC">
        <w:rPr>
          <w:noProof/>
        </w:rPr>
        <w:t>Pol</w:t>
      </w:r>
      <w:r w:rsidRPr="00987DDC">
        <w:rPr>
          <w:noProof/>
        </w:rPr>
        <w:t>sce (każde po</w:t>
      </w:r>
      <w:r w:rsidR="00987DDC" w:rsidRPr="00987DDC">
        <w:rPr>
          <w:noProof/>
        </w:rPr>
        <w:t> </w:t>
      </w:r>
      <w:r w:rsidRPr="00987DDC">
        <w:rPr>
          <w:noProof/>
        </w:rPr>
        <w:t>75 %) oraz Portugalii (74 %). Respondenci</w:t>
      </w:r>
      <w:r w:rsidR="00987DDC" w:rsidRPr="00987DDC">
        <w:rPr>
          <w:noProof/>
        </w:rPr>
        <w:t xml:space="preserve"> w</w:t>
      </w:r>
      <w:r w:rsidR="00987DDC">
        <w:rPr>
          <w:noProof/>
        </w:rPr>
        <w:t> </w:t>
      </w:r>
      <w:r w:rsidR="00987DDC" w:rsidRPr="00987DDC">
        <w:rPr>
          <w:noProof/>
        </w:rPr>
        <w:t>Aus</w:t>
      </w:r>
      <w:r w:rsidRPr="00987DDC">
        <w:rPr>
          <w:noProof/>
        </w:rPr>
        <w:t>trii (56 %)</w:t>
      </w:r>
      <w:r w:rsidR="00987DDC" w:rsidRPr="00987DDC">
        <w:rPr>
          <w:noProof/>
        </w:rPr>
        <w:t xml:space="preserve"> i</w:t>
      </w:r>
      <w:r w:rsidR="00987DDC">
        <w:rPr>
          <w:noProof/>
        </w:rPr>
        <w:t> </w:t>
      </w:r>
      <w:r w:rsidR="00987DDC" w:rsidRPr="00987DDC">
        <w:rPr>
          <w:noProof/>
        </w:rPr>
        <w:t>His</w:t>
      </w:r>
      <w:r w:rsidRPr="00987DDC">
        <w:rPr>
          <w:noProof/>
        </w:rPr>
        <w:t>zpanii (58 %) są najmniej świadomi istnienia takiego organu.</w:t>
      </w:r>
    </w:p>
    <w:p w14:paraId="604AA870" w14:textId="68CEFEDD" w:rsidR="00607388" w:rsidRPr="00987DDC" w:rsidRDefault="0015446F" w:rsidP="009E6D18">
      <w:pPr>
        <w:pStyle w:val="Text2"/>
        <w:ind w:left="0"/>
        <w:rPr>
          <w:noProof/>
        </w:rPr>
      </w:pPr>
      <w:r w:rsidRPr="00987DDC">
        <w:rPr>
          <w:noProof/>
        </w:rPr>
        <w:t>Osoby fizyczne są coraz bardziej zaznajomione ze swoimi prawami wynikającymi z RODO</w:t>
      </w:r>
      <w:r w:rsidR="00987DDC" w:rsidRPr="00987DDC">
        <w:rPr>
          <w:noProof/>
        </w:rPr>
        <w:t xml:space="preserve"> i</w:t>
      </w:r>
      <w:r w:rsidR="00987DDC">
        <w:rPr>
          <w:noProof/>
        </w:rPr>
        <w:t> </w:t>
      </w:r>
      <w:r w:rsidR="00987DDC" w:rsidRPr="00987DDC">
        <w:rPr>
          <w:noProof/>
        </w:rPr>
        <w:t>czy</w:t>
      </w:r>
      <w:r w:rsidRPr="00987DDC">
        <w:rPr>
          <w:noProof/>
        </w:rPr>
        <w:t>nnie</w:t>
      </w:r>
      <w:r w:rsidR="00987DDC" w:rsidRPr="00987DDC">
        <w:rPr>
          <w:noProof/>
        </w:rPr>
        <w:t xml:space="preserve"> z</w:t>
      </w:r>
      <w:r w:rsidR="00987DDC">
        <w:rPr>
          <w:noProof/>
        </w:rPr>
        <w:t> </w:t>
      </w:r>
      <w:r w:rsidR="00987DDC" w:rsidRPr="00987DDC">
        <w:rPr>
          <w:noProof/>
        </w:rPr>
        <w:t>nic</w:t>
      </w:r>
      <w:r w:rsidRPr="00987DDC">
        <w:rPr>
          <w:noProof/>
        </w:rPr>
        <w:t>h korzystają (</w:t>
      </w:r>
      <w:r w:rsidRPr="00987DDC">
        <w:rPr>
          <w:rStyle w:val="FootnoteReference"/>
          <w:noProof/>
        </w:rPr>
        <w:footnoteReference w:id="95"/>
      </w:r>
      <w:r w:rsidRPr="00987DDC">
        <w:rPr>
          <w:noProof/>
        </w:rPr>
        <w:t>). Organy ochrony danych przeznaczają znaczne zasoby na propagowanie wiedzy na temat praw</w:t>
      </w:r>
      <w:r w:rsidR="00987DDC" w:rsidRPr="00987DDC">
        <w:rPr>
          <w:noProof/>
        </w:rPr>
        <w:t xml:space="preserve"> i</w:t>
      </w:r>
      <w:r w:rsidR="00987DDC">
        <w:rPr>
          <w:noProof/>
        </w:rPr>
        <w:t> </w:t>
      </w:r>
      <w:r w:rsidR="00987DDC" w:rsidRPr="00987DDC">
        <w:rPr>
          <w:noProof/>
        </w:rPr>
        <w:t>obo</w:t>
      </w:r>
      <w:r w:rsidRPr="00987DDC">
        <w:rPr>
          <w:noProof/>
        </w:rPr>
        <w:t>wiązków</w:t>
      </w:r>
      <w:r w:rsidR="00987DDC" w:rsidRPr="00987DDC">
        <w:rPr>
          <w:noProof/>
        </w:rPr>
        <w:t xml:space="preserve"> w</w:t>
      </w:r>
      <w:r w:rsidR="00987DDC">
        <w:rPr>
          <w:noProof/>
        </w:rPr>
        <w:t> </w:t>
      </w:r>
      <w:r w:rsidR="00987DDC" w:rsidRPr="00987DDC">
        <w:rPr>
          <w:noProof/>
        </w:rPr>
        <w:t>zak</w:t>
      </w:r>
      <w:r w:rsidRPr="00987DDC">
        <w:rPr>
          <w:noProof/>
        </w:rPr>
        <w:t>resie ochrony danych wśród ogółu społeczeństwa, m.in. poprzez media społecznościowe</w:t>
      </w:r>
      <w:r w:rsidR="00987DDC" w:rsidRPr="00987DDC">
        <w:rPr>
          <w:noProof/>
        </w:rPr>
        <w:t xml:space="preserve"> i</w:t>
      </w:r>
      <w:r w:rsidR="00987DDC">
        <w:rPr>
          <w:noProof/>
        </w:rPr>
        <w:t> </w:t>
      </w:r>
      <w:r w:rsidR="00987DDC" w:rsidRPr="00987DDC">
        <w:rPr>
          <w:noProof/>
        </w:rPr>
        <w:t>kam</w:t>
      </w:r>
      <w:r w:rsidRPr="00987DDC">
        <w:rPr>
          <w:noProof/>
        </w:rPr>
        <w:t>panie telewizyjne, infolinie, biuletyny informacyjne oraz prezentacje</w:t>
      </w:r>
      <w:r w:rsidR="00987DDC" w:rsidRPr="00987DDC">
        <w:rPr>
          <w:noProof/>
        </w:rPr>
        <w:t xml:space="preserve"> w</w:t>
      </w:r>
      <w:r w:rsidR="00987DDC">
        <w:rPr>
          <w:noProof/>
        </w:rPr>
        <w:t> </w:t>
      </w:r>
      <w:r w:rsidR="00987DDC" w:rsidRPr="00987DDC">
        <w:rPr>
          <w:noProof/>
        </w:rPr>
        <w:t>ins</w:t>
      </w:r>
      <w:r w:rsidRPr="00987DDC">
        <w:rPr>
          <w:noProof/>
        </w:rPr>
        <w:t>tytucjach edukacyjnych (</w:t>
      </w:r>
      <w:r w:rsidRPr="00987DDC">
        <w:rPr>
          <w:rStyle w:val="FootnoteReference"/>
          <w:noProof/>
        </w:rPr>
        <w:footnoteReference w:id="96"/>
      </w:r>
      <w:r w:rsidRPr="00987DDC">
        <w:rPr>
          <w:noProof/>
        </w:rPr>
        <w:t>). Wiele</w:t>
      </w:r>
      <w:r w:rsidR="00987DDC" w:rsidRPr="00987DDC">
        <w:rPr>
          <w:noProof/>
        </w:rPr>
        <w:t xml:space="preserve"> z</w:t>
      </w:r>
      <w:r w:rsidR="00987DDC">
        <w:rPr>
          <w:noProof/>
        </w:rPr>
        <w:t> </w:t>
      </w:r>
      <w:r w:rsidR="00987DDC" w:rsidRPr="00987DDC">
        <w:rPr>
          <w:noProof/>
        </w:rPr>
        <w:t>tyc</w:t>
      </w:r>
      <w:r w:rsidRPr="00987DDC">
        <w:rPr>
          <w:noProof/>
        </w:rPr>
        <w:t>h inicjatyw skorzystało</w:t>
      </w:r>
      <w:r w:rsidR="00987DDC" w:rsidRPr="00987DDC">
        <w:rPr>
          <w:noProof/>
        </w:rPr>
        <w:t xml:space="preserve"> z</w:t>
      </w:r>
      <w:r w:rsidR="00987DDC">
        <w:rPr>
          <w:noProof/>
        </w:rPr>
        <w:t> </w:t>
      </w:r>
      <w:r w:rsidR="00987DDC" w:rsidRPr="00987DDC">
        <w:rPr>
          <w:noProof/>
        </w:rPr>
        <w:t>fin</w:t>
      </w:r>
      <w:r w:rsidRPr="00987DDC">
        <w:rPr>
          <w:noProof/>
        </w:rPr>
        <w:t>ansowania unijnego (</w:t>
      </w:r>
      <w:r w:rsidRPr="00987DDC">
        <w:rPr>
          <w:rStyle w:val="FootnoteReference"/>
          <w:noProof/>
        </w:rPr>
        <w:footnoteReference w:id="97"/>
      </w:r>
      <w:r w:rsidRPr="00987DDC">
        <w:rPr>
          <w:noProof/>
        </w:rPr>
        <w:t>). Agencja Praw Podstawowych zauważa, że chociaż świadomość ochrony danych wśród ogółu społeczeństwa wzrosła, nadal brakuje zrozumienia kwestii ochrony danych,</w:t>
      </w:r>
      <w:r w:rsidR="00987DDC" w:rsidRPr="00987DDC">
        <w:rPr>
          <w:noProof/>
        </w:rPr>
        <w:t xml:space="preserve"> o</w:t>
      </w:r>
      <w:r w:rsidR="00987DDC">
        <w:rPr>
          <w:noProof/>
        </w:rPr>
        <w:t> </w:t>
      </w:r>
      <w:r w:rsidR="00987DDC" w:rsidRPr="00987DDC">
        <w:rPr>
          <w:noProof/>
        </w:rPr>
        <w:t>czy</w:t>
      </w:r>
      <w:r w:rsidRPr="00987DDC">
        <w:rPr>
          <w:noProof/>
        </w:rPr>
        <w:t>m świadczy duża liczba błahych lub bezzasadnych skarg (</w:t>
      </w:r>
      <w:r w:rsidRPr="00987DDC">
        <w:rPr>
          <w:rStyle w:val="FootnoteReference"/>
          <w:noProof/>
        </w:rPr>
        <w:footnoteReference w:id="98"/>
      </w:r>
      <w:r w:rsidRPr="00987DDC">
        <w:rPr>
          <w:noProof/>
        </w:rPr>
        <w:t>). Opracowano szereg przyjaznych dla użytkownika narzędzi cyfrowych, aby ułatwić osobom, których dane dotyczą, korzystanie</w:t>
      </w:r>
      <w:r w:rsidR="00987DDC" w:rsidRPr="00987DDC">
        <w:rPr>
          <w:noProof/>
        </w:rPr>
        <w:t xml:space="preserve"> z</w:t>
      </w:r>
      <w:r w:rsidR="00987DDC">
        <w:rPr>
          <w:noProof/>
        </w:rPr>
        <w:t> </w:t>
      </w:r>
      <w:r w:rsidR="00987DDC" w:rsidRPr="00987DDC">
        <w:rPr>
          <w:noProof/>
        </w:rPr>
        <w:t>prz</w:t>
      </w:r>
      <w:r w:rsidRPr="00987DDC">
        <w:rPr>
          <w:noProof/>
        </w:rPr>
        <w:t>ysługujących im praw (</w:t>
      </w:r>
      <w:r w:rsidRPr="00987DDC">
        <w:rPr>
          <w:rStyle w:val="FootnoteReference"/>
          <w:noProof/>
        </w:rPr>
        <w:footnoteReference w:id="99"/>
      </w:r>
      <w:r w:rsidRPr="00987DDC">
        <w:rPr>
          <w:noProof/>
        </w:rPr>
        <w:t>). Akty ustawodawcze,</w:t>
      </w:r>
      <w:r w:rsidR="00987DDC" w:rsidRPr="00987DDC">
        <w:rPr>
          <w:noProof/>
        </w:rPr>
        <w:t xml:space="preserve"> w</w:t>
      </w:r>
      <w:r w:rsidR="00987DDC">
        <w:rPr>
          <w:noProof/>
        </w:rPr>
        <w:t> </w:t>
      </w:r>
      <w:r w:rsidR="00987DDC" w:rsidRPr="00987DDC">
        <w:rPr>
          <w:noProof/>
        </w:rPr>
        <w:t>szc</w:t>
      </w:r>
      <w:r w:rsidRPr="00987DDC">
        <w:rPr>
          <w:noProof/>
        </w:rPr>
        <w:t>zególności akt</w:t>
      </w:r>
      <w:r w:rsidR="00987DDC" w:rsidRPr="00987DDC">
        <w:rPr>
          <w:noProof/>
        </w:rPr>
        <w:t xml:space="preserve"> w</w:t>
      </w:r>
      <w:r w:rsidR="00987DDC">
        <w:rPr>
          <w:noProof/>
        </w:rPr>
        <w:t> </w:t>
      </w:r>
      <w:r w:rsidR="00987DDC" w:rsidRPr="00987DDC">
        <w:rPr>
          <w:noProof/>
        </w:rPr>
        <w:t>spr</w:t>
      </w:r>
      <w:r w:rsidRPr="00987DDC">
        <w:rPr>
          <w:noProof/>
        </w:rPr>
        <w:t>awie zarządzania danymi (</w:t>
      </w:r>
      <w:r w:rsidRPr="00987DDC">
        <w:rPr>
          <w:rStyle w:val="FootnoteReference"/>
          <w:noProof/>
        </w:rPr>
        <w:footnoteReference w:id="100"/>
      </w:r>
      <w:r w:rsidRPr="00987DDC">
        <w:rPr>
          <w:noProof/>
        </w:rPr>
        <w:t>), powinny prowadzić do stworzenia dodatkowych sposobów wykonywania praw przez osoby, których dane dotyczą,</w:t>
      </w:r>
      <w:r w:rsidR="00987DDC" w:rsidRPr="00987DDC">
        <w:rPr>
          <w:noProof/>
        </w:rPr>
        <w:t xml:space="preserve"> w</w:t>
      </w:r>
      <w:r w:rsidR="00987DDC">
        <w:rPr>
          <w:noProof/>
        </w:rPr>
        <w:t> </w:t>
      </w:r>
      <w:r w:rsidR="00987DDC" w:rsidRPr="00987DDC">
        <w:rPr>
          <w:noProof/>
        </w:rPr>
        <w:t>prz</w:t>
      </w:r>
      <w:r w:rsidRPr="00987DDC">
        <w:rPr>
          <w:noProof/>
        </w:rPr>
        <w:t>yszłości. Zdaniem przedsiębiorstw coraz częściej korzysta się</w:t>
      </w:r>
      <w:r w:rsidR="00987DDC" w:rsidRPr="00987DDC">
        <w:rPr>
          <w:noProof/>
        </w:rPr>
        <w:t xml:space="preserve"> z</w:t>
      </w:r>
      <w:r w:rsidR="00987DDC">
        <w:rPr>
          <w:noProof/>
        </w:rPr>
        <w:t> </w:t>
      </w:r>
      <w:r w:rsidR="00987DDC" w:rsidRPr="00987DDC">
        <w:rPr>
          <w:noProof/>
        </w:rPr>
        <w:t>pra</w:t>
      </w:r>
      <w:r w:rsidRPr="00987DDC">
        <w:rPr>
          <w:noProof/>
        </w:rPr>
        <w:t>wa do usunięcia danych, natomiast rzadko</w:t>
      </w:r>
      <w:r w:rsidR="00987DDC" w:rsidRPr="00987DDC">
        <w:rPr>
          <w:noProof/>
        </w:rPr>
        <w:t xml:space="preserve"> z</w:t>
      </w:r>
      <w:r w:rsidR="00987DDC">
        <w:rPr>
          <w:noProof/>
        </w:rPr>
        <w:t> </w:t>
      </w:r>
      <w:r w:rsidR="00987DDC" w:rsidRPr="00987DDC">
        <w:rPr>
          <w:noProof/>
        </w:rPr>
        <w:t>pra</w:t>
      </w:r>
      <w:r w:rsidRPr="00987DDC">
        <w:rPr>
          <w:noProof/>
        </w:rPr>
        <w:t>wa do sprostowania danych</w:t>
      </w:r>
      <w:r w:rsidR="00987DDC" w:rsidRPr="00987DDC">
        <w:rPr>
          <w:noProof/>
        </w:rPr>
        <w:t xml:space="preserve"> i</w:t>
      </w:r>
      <w:r w:rsidR="00987DDC">
        <w:rPr>
          <w:noProof/>
        </w:rPr>
        <w:t> </w:t>
      </w:r>
      <w:r w:rsidR="00987DDC" w:rsidRPr="00987DDC">
        <w:rPr>
          <w:noProof/>
        </w:rPr>
        <w:t>pra</w:t>
      </w:r>
      <w:r w:rsidRPr="00987DDC">
        <w:rPr>
          <w:noProof/>
        </w:rPr>
        <w:t>wa do sprzeciwu.</w:t>
      </w:r>
    </w:p>
    <w:p w14:paraId="08102D03" w14:textId="4B87341F" w:rsidR="00114FC9" w:rsidRPr="00987DDC" w:rsidRDefault="00114FC9" w:rsidP="00547296">
      <w:pPr>
        <w:pStyle w:val="Heading2"/>
        <w:rPr>
          <w:noProof/>
        </w:rPr>
      </w:pPr>
      <w:bookmarkStart w:id="26" w:name="_Toc165303753"/>
      <w:r w:rsidRPr="00987DDC">
        <w:rPr>
          <w:noProof/>
        </w:rPr>
        <w:t>Prawo dostępu</w:t>
      </w:r>
      <w:bookmarkEnd w:id="26"/>
    </w:p>
    <w:p w14:paraId="5E0168EA" w14:textId="3F4947A3" w:rsidR="00372B9E" w:rsidRPr="00987DDC" w:rsidRDefault="00CA4204" w:rsidP="00372B9E">
      <w:pPr>
        <w:pStyle w:val="Text2"/>
        <w:ind w:left="0"/>
        <w:rPr>
          <w:noProof/>
        </w:rPr>
      </w:pPr>
      <w:r w:rsidRPr="00987DDC">
        <w:rPr>
          <w:noProof/>
        </w:rPr>
        <w:t>Administratorzy donoszą, że osoby, których dane dotyczą, najczęściej powołują się na prawo dostępu (art.</w:t>
      </w:r>
      <w:r w:rsidR="00987DDC" w:rsidRPr="00987DDC">
        <w:rPr>
          <w:noProof/>
        </w:rPr>
        <w:t> </w:t>
      </w:r>
      <w:r w:rsidRPr="00987DDC">
        <w:rPr>
          <w:noProof/>
        </w:rPr>
        <w:t>15 RODO). Chociaż</w:t>
      </w:r>
      <w:r w:rsidR="00987DDC" w:rsidRPr="00987DDC">
        <w:rPr>
          <w:noProof/>
        </w:rPr>
        <w:t xml:space="preserve"> w</w:t>
      </w:r>
      <w:r w:rsidR="00987DDC">
        <w:rPr>
          <w:noProof/>
        </w:rPr>
        <w:t> </w:t>
      </w:r>
      <w:r w:rsidR="00987DDC" w:rsidRPr="00987DDC">
        <w:rPr>
          <w:noProof/>
        </w:rPr>
        <w:t>2</w:t>
      </w:r>
      <w:r w:rsidRPr="00987DDC">
        <w:rPr>
          <w:noProof/>
        </w:rPr>
        <w:t>022</w:t>
      </w:r>
      <w:r w:rsidR="00987DDC" w:rsidRPr="00987DDC">
        <w:rPr>
          <w:noProof/>
        </w:rPr>
        <w:t> </w:t>
      </w:r>
      <w:r w:rsidRPr="00987DDC">
        <w:rPr>
          <w:noProof/>
        </w:rPr>
        <w:t>r. EROD przyjęła wytyczne dotyczące tego prawa, administratorzy nadal zgłaszają problemy, na przykład</w:t>
      </w:r>
      <w:r w:rsidR="00987DDC" w:rsidRPr="00987DDC">
        <w:rPr>
          <w:noProof/>
        </w:rPr>
        <w:t xml:space="preserve"> z</w:t>
      </w:r>
      <w:r w:rsidR="00987DDC">
        <w:rPr>
          <w:noProof/>
        </w:rPr>
        <w:t> </w:t>
      </w:r>
      <w:r w:rsidR="00987DDC" w:rsidRPr="00987DDC">
        <w:rPr>
          <w:noProof/>
        </w:rPr>
        <w:t>int</w:t>
      </w:r>
      <w:r w:rsidRPr="00987DDC">
        <w:rPr>
          <w:noProof/>
        </w:rPr>
        <w:t>erpretacją pojęcia „nieuzasadnionych lub nadmiernych żądań” (</w:t>
      </w:r>
      <w:r w:rsidRPr="00987DDC">
        <w:rPr>
          <w:rStyle w:val="FootnoteReference"/>
          <w:noProof/>
        </w:rPr>
        <w:footnoteReference w:id="101"/>
      </w:r>
      <w:r w:rsidRPr="00987DDC">
        <w:rPr>
          <w:noProof/>
        </w:rPr>
        <w:t>), podczas udzielania odpowiedzi na dużą liczbę żądań oraz podczas rozpatrywania żądań składanych</w:t>
      </w:r>
      <w:r w:rsidR="00987DDC" w:rsidRPr="00987DDC">
        <w:rPr>
          <w:noProof/>
        </w:rPr>
        <w:t xml:space="preserve"> w</w:t>
      </w:r>
      <w:r w:rsidR="00987DDC">
        <w:rPr>
          <w:noProof/>
        </w:rPr>
        <w:t> </w:t>
      </w:r>
      <w:r w:rsidR="00987DDC" w:rsidRPr="00987DDC">
        <w:rPr>
          <w:noProof/>
        </w:rPr>
        <w:t>cel</w:t>
      </w:r>
      <w:r w:rsidRPr="00987DDC">
        <w:rPr>
          <w:noProof/>
        </w:rPr>
        <w:t>ach niezwiązanych</w:t>
      </w:r>
      <w:r w:rsidR="00987DDC" w:rsidRPr="00987DDC">
        <w:rPr>
          <w:noProof/>
        </w:rPr>
        <w:t xml:space="preserve"> z</w:t>
      </w:r>
      <w:r w:rsidR="00987DDC">
        <w:rPr>
          <w:noProof/>
        </w:rPr>
        <w:t> </w:t>
      </w:r>
      <w:r w:rsidR="00987DDC" w:rsidRPr="00987DDC">
        <w:rPr>
          <w:noProof/>
        </w:rPr>
        <w:t>och</w:t>
      </w:r>
      <w:r w:rsidRPr="00987DDC">
        <w:rPr>
          <w:noProof/>
        </w:rPr>
        <w:t>roną danych, na przykład</w:t>
      </w:r>
      <w:r w:rsidR="00987DDC" w:rsidRPr="00987DDC">
        <w:rPr>
          <w:noProof/>
        </w:rPr>
        <w:t xml:space="preserve"> w</w:t>
      </w:r>
      <w:r w:rsidR="00987DDC">
        <w:rPr>
          <w:noProof/>
        </w:rPr>
        <w:t> </w:t>
      </w:r>
      <w:r w:rsidR="00987DDC" w:rsidRPr="00987DDC">
        <w:rPr>
          <w:noProof/>
        </w:rPr>
        <w:t>cel</w:t>
      </w:r>
      <w:r w:rsidRPr="00987DDC">
        <w:rPr>
          <w:noProof/>
        </w:rPr>
        <w:t>u gromadzenia dowodów na potrzeby postępowań sądowych (</w:t>
      </w:r>
      <w:r w:rsidRPr="00987DDC">
        <w:rPr>
          <w:noProof/>
          <w:vertAlign w:val="superscript"/>
        </w:rPr>
        <w:footnoteReference w:id="102"/>
      </w:r>
      <w:r w:rsidRPr="00987DDC">
        <w:rPr>
          <w:noProof/>
        </w:rPr>
        <w:t>). Organizacje społeczeństwa obywatelskiego zauważają, że odpowiedzi na żądania</w:t>
      </w:r>
      <w:r w:rsidR="00987DDC" w:rsidRPr="00987DDC">
        <w:rPr>
          <w:noProof/>
        </w:rPr>
        <w:t xml:space="preserve"> o</w:t>
      </w:r>
      <w:r w:rsidR="00987DDC">
        <w:rPr>
          <w:noProof/>
        </w:rPr>
        <w:t> </w:t>
      </w:r>
      <w:r w:rsidR="00987DDC" w:rsidRPr="00987DDC">
        <w:rPr>
          <w:noProof/>
        </w:rPr>
        <w:t>dos</w:t>
      </w:r>
      <w:r w:rsidRPr="00987DDC">
        <w:rPr>
          <w:noProof/>
        </w:rPr>
        <w:t>tęp są często opóźnione lub niekompletne, zaś otrzymane dane nie zawsze są</w:t>
      </w:r>
      <w:r w:rsidR="00987DDC" w:rsidRPr="00987DDC">
        <w:rPr>
          <w:noProof/>
        </w:rPr>
        <w:t xml:space="preserve"> w</w:t>
      </w:r>
      <w:r w:rsidR="00987DDC">
        <w:rPr>
          <w:noProof/>
        </w:rPr>
        <w:t> </w:t>
      </w:r>
      <w:r w:rsidR="00987DDC" w:rsidRPr="00987DDC">
        <w:rPr>
          <w:noProof/>
        </w:rPr>
        <w:t>moż</w:t>
      </w:r>
      <w:r w:rsidRPr="00987DDC">
        <w:rPr>
          <w:noProof/>
        </w:rPr>
        <w:t>liwym do odczytu formacie (</w:t>
      </w:r>
      <w:r w:rsidRPr="00987DDC">
        <w:rPr>
          <w:rStyle w:val="FootnoteReference"/>
          <w:noProof/>
        </w:rPr>
        <w:footnoteReference w:id="103"/>
      </w:r>
      <w:r w:rsidRPr="00987DDC">
        <w:rPr>
          <w:noProof/>
        </w:rPr>
        <w:t>). Organy publiczne powołują się na trudności</w:t>
      </w:r>
      <w:r w:rsidR="00987DDC" w:rsidRPr="00987DDC">
        <w:rPr>
          <w:noProof/>
        </w:rPr>
        <w:t xml:space="preserve"> w</w:t>
      </w:r>
      <w:r w:rsidR="00987DDC">
        <w:rPr>
          <w:noProof/>
        </w:rPr>
        <w:t> </w:t>
      </w:r>
      <w:r w:rsidR="00987DDC" w:rsidRPr="00987DDC">
        <w:rPr>
          <w:noProof/>
        </w:rPr>
        <w:t>rel</w:t>
      </w:r>
      <w:r w:rsidRPr="00987DDC">
        <w:rPr>
          <w:noProof/>
        </w:rPr>
        <w:t>acji między prawem dostępu</w:t>
      </w:r>
      <w:r w:rsidR="00987DDC" w:rsidRPr="00987DDC">
        <w:rPr>
          <w:noProof/>
        </w:rPr>
        <w:t xml:space="preserve"> a</w:t>
      </w:r>
      <w:r w:rsidR="00987DDC">
        <w:rPr>
          <w:noProof/>
        </w:rPr>
        <w:t> </w:t>
      </w:r>
      <w:r w:rsidR="00987DDC" w:rsidRPr="00987DDC">
        <w:rPr>
          <w:noProof/>
        </w:rPr>
        <w:t>prz</w:t>
      </w:r>
      <w:r w:rsidRPr="00987DDC">
        <w:rPr>
          <w:noProof/>
        </w:rPr>
        <w:t>episami dotyczącymi publicznego dostępu do dokumentów (</w:t>
      </w:r>
      <w:r w:rsidRPr="00987DDC">
        <w:rPr>
          <w:noProof/>
          <w:vertAlign w:val="superscript"/>
        </w:rPr>
        <w:footnoteReference w:id="104"/>
      </w:r>
      <w:r w:rsidRPr="00987DDC">
        <w:rPr>
          <w:noProof/>
        </w:rPr>
        <w:t>)</w:t>
      </w:r>
      <w:r w:rsidR="00987DDC" w:rsidRPr="00987DDC">
        <w:rPr>
          <w:noProof/>
        </w:rPr>
        <w:t>. Z</w:t>
      </w:r>
      <w:r w:rsidR="00987DDC">
        <w:rPr>
          <w:noProof/>
        </w:rPr>
        <w:t> </w:t>
      </w:r>
      <w:r w:rsidR="00987DDC" w:rsidRPr="00987DDC">
        <w:rPr>
          <w:noProof/>
        </w:rPr>
        <w:t>zad</w:t>
      </w:r>
      <w:r w:rsidRPr="00987DDC">
        <w:rPr>
          <w:noProof/>
        </w:rPr>
        <w:t>owoleniem przyjmuje się zatem rozpoczęcie przez EROD</w:t>
      </w:r>
      <w:r w:rsidR="00987DDC" w:rsidRPr="00987DDC">
        <w:rPr>
          <w:noProof/>
        </w:rPr>
        <w:t xml:space="preserve"> w</w:t>
      </w:r>
      <w:r w:rsidR="00987DDC">
        <w:rPr>
          <w:noProof/>
        </w:rPr>
        <w:t> </w:t>
      </w:r>
      <w:r w:rsidR="00987DDC" w:rsidRPr="00987DDC">
        <w:rPr>
          <w:noProof/>
        </w:rPr>
        <w:t>lut</w:t>
      </w:r>
      <w:r w:rsidRPr="00987DDC">
        <w:rPr>
          <w:noProof/>
        </w:rPr>
        <w:t>ym 2024</w:t>
      </w:r>
      <w:r w:rsidR="00987DDC" w:rsidRPr="00987DDC">
        <w:rPr>
          <w:noProof/>
        </w:rPr>
        <w:t> </w:t>
      </w:r>
      <w:r w:rsidRPr="00987DDC">
        <w:rPr>
          <w:noProof/>
        </w:rPr>
        <w:t>r. wspólnego działania</w:t>
      </w:r>
      <w:r w:rsidR="00987DDC" w:rsidRPr="00987DDC">
        <w:rPr>
          <w:noProof/>
        </w:rPr>
        <w:t xml:space="preserve"> w</w:t>
      </w:r>
      <w:r w:rsidR="00987DDC">
        <w:rPr>
          <w:noProof/>
        </w:rPr>
        <w:t> </w:t>
      </w:r>
      <w:r w:rsidR="00987DDC" w:rsidRPr="00987DDC">
        <w:rPr>
          <w:noProof/>
        </w:rPr>
        <w:t>ram</w:t>
      </w:r>
      <w:r w:rsidRPr="00987DDC">
        <w:rPr>
          <w:noProof/>
        </w:rPr>
        <w:t>ach skoordynowanego egzekwowania prawa dostępu (</w:t>
      </w:r>
      <w:r w:rsidRPr="00987DDC">
        <w:rPr>
          <w:rStyle w:val="FootnoteReference"/>
          <w:noProof/>
        </w:rPr>
        <w:footnoteReference w:id="105"/>
      </w:r>
      <w:r w:rsidRPr="00987DDC">
        <w:rPr>
          <w:noProof/>
        </w:rPr>
        <w:t xml:space="preserve">). </w:t>
      </w:r>
    </w:p>
    <w:p w14:paraId="4F9FC285" w14:textId="16638C8B" w:rsidR="001D7AC2" w:rsidRPr="00987DDC" w:rsidRDefault="00191491" w:rsidP="00547296">
      <w:pPr>
        <w:pStyle w:val="Heading2"/>
        <w:rPr>
          <w:noProof/>
        </w:rPr>
      </w:pPr>
      <w:bookmarkStart w:id="28" w:name="_Toc165303754"/>
      <w:r w:rsidRPr="00987DDC">
        <w:rPr>
          <w:noProof/>
        </w:rPr>
        <w:t>Prawo do przenoszenia</w:t>
      </w:r>
      <w:bookmarkEnd w:id="28"/>
    </w:p>
    <w:p w14:paraId="6B51084E" w14:textId="7C9A3AEC" w:rsidR="008F4DE6" w:rsidRPr="00987DDC" w:rsidRDefault="6CDE85B6" w:rsidP="00372B9E">
      <w:pPr>
        <w:pStyle w:val="Text2"/>
        <w:ind w:left="0"/>
        <w:rPr>
          <w:noProof/>
        </w:rPr>
      </w:pPr>
      <w:r w:rsidRPr="00987DDC">
        <w:rPr>
          <w:noProof/>
        </w:rPr>
        <w:t>W sprawozdaniu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Komisja zobowiązała się do zbadania praktycznych środków mających ułatwić osobom fizycznym szersze korzystanie</w:t>
      </w:r>
      <w:r w:rsidR="00987DDC" w:rsidRPr="00987DDC">
        <w:rPr>
          <w:noProof/>
        </w:rPr>
        <w:t xml:space="preserve"> z</w:t>
      </w:r>
      <w:r w:rsidR="00987DDC">
        <w:rPr>
          <w:noProof/>
        </w:rPr>
        <w:t> </w:t>
      </w:r>
      <w:r w:rsidR="00987DDC" w:rsidRPr="00987DDC">
        <w:rPr>
          <w:noProof/>
        </w:rPr>
        <w:t>pra</w:t>
      </w:r>
      <w:r w:rsidRPr="00987DDC">
        <w:rPr>
          <w:noProof/>
        </w:rPr>
        <w:t>wa do przenoszenia danych (art.</w:t>
      </w:r>
      <w:r w:rsidR="00987DDC" w:rsidRPr="00987DDC">
        <w:rPr>
          <w:noProof/>
        </w:rPr>
        <w:t> </w:t>
      </w:r>
      <w:r w:rsidRPr="00987DDC">
        <w:rPr>
          <w:noProof/>
        </w:rPr>
        <w:t>20 RODO), zgodnie ze strategią</w:t>
      </w:r>
      <w:r w:rsidR="00987DDC" w:rsidRPr="00987DDC">
        <w:rPr>
          <w:noProof/>
        </w:rPr>
        <w:t xml:space="preserve"> w</w:t>
      </w:r>
      <w:r w:rsidR="00987DDC">
        <w:rPr>
          <w:noProof/>
        </w:rPr>
        <w:t> </w:t>
      </w:r>
      <w:r w:rsidR="00987DDC" w:rsidRPr="00987DDC">
        <w:rPr>
          <w:noProof/>
        </w:rPr>
        <w:t>zak</w:t>
      </w:r>
      <w:r w:rsidRPr="00987DDC">
        <w:rPr>
          <w:noProof/>
        </w:rPr>
        <w:t>resie danych. Od tego czasu Komisja przyjęła szereg inicjatyw uzupełniających to prawo. Inicjatywy te ułatwiają przechodzenie na inne usługi, zapewniając tym samym większy wybór dla osób fizycznym, wspierając konkurencję</w:t>
      </w:r>
      <w:r w:rsidR="00987DDC" w:rsidRPr="00987DDC">
        <w:rPr>
          <w:noProof/>
        </w:rPr>
        <w:t xml:space="preserve"> i</w:t>
      </w:r>
      <w:r w:rsidR="00987DDC">
        <w:rPr>
          <w:noProof/>
        </w:rPr>
        <w:t> </w:t>
      </w:r>
      <w:r w:rsidR="00987DDC" w:rsidRPr="00987DDC">
        <w:rPr>
          <w:noProof/>
        </w:rPr>
        <w:t>inn</w:t>
      </w:r>
      <w:r w:rsidRPr="00987DDC">
        <w:rPr>
          <w:noProof/>
        </w:rPr>
        <w:t>owacje oraz umożliwiając osobom fizycznym czerpanie korzyści</w:t>
      </w:r>
      <w:r w:rsidR="00987DDC" w:rsidRPr="00987DDC">
        <w:rPr>
          <w:noProof/>
        </w:rPr>
        <w:t xml:space="preserve"> z</w:t>
      </w:r>
      <w:r w:rsidR="00987DDC">
        <w:rPr>
          <w:noProof/>
        </w:rPr>
        <w:t> </w:t>
      </w:r>
      <w:r w:rsidR="00987DDC" w:rsidRPr="00987DDC">
        <w:rPr>
          <w:noProof/>
        </w:rPr>
        <w:t>wyk</w:t>
      </w:r>
      <w:r w:rsidRPr="00987DDC">
        <w:rPr>
          <w:noProof/>
        </w:rPr>
        <w:t>orzystania ich danych. Akt</w:t>
      </w:r>
      <w:r w:rsidR="00987DDC" w:rsidRPr="00987DDC">
        <w:rPr>
          <w:noProof/>
        </w:rPr>
        <w:t xml:space="preserve"> w</w:t>
      </w:r>
      <w:r w:rsidR="00987DDC">
        <w:rPr>
          <w:noProof/>
        </w:rPr>
        <w:t> </w:t>
      </w:r>
      <w:r w:rsidR="00987DDC" w:rsidRPr="00987DDC">
        <w:rPr>
          <w:noProof/>
        </w:rPr>
        <w:t>spr</w:t>
      </w:r>
      <w:r w:rsidRPr="00987DDC">
        <w:rPr>
          <w:noProof/>
        </w:rPr>
        <w:t>awie danych zapewnia użytkownikom inteligentnych urządzeń zwiększone prawo do przenoszenia danych generowanych</w:t>
      </w:r>
      <w:r w:rsidR="00987DDC" w:rsidRPr="00987DDC">
        <w:rPr>
          <w:noProof/>
        </w:rPr>
        <w:t xml:space="preserve"> w</w:t>
      </w:r>
      <w:r w:rsidR="00987DDC">
        <w:rPr>
          <w:noProof/>
        </w:rPr>
        <w:t> </w:t>
      </w:r>
      <w:r w:rsidR="00987DDC" w:rsidRPr="00987DDC">
        <w:rPr>
          <w:noProof/>
        </w:rPr>
        <w:t>cza</w:t>
      </w:r>
      <w:r w:rsidRPr="00987DDC">
        <w:rPr>
          <w:noProof/>
        </w:rPr>
        <w:t>sie użytkowania takich urządzeń oraz nakazuje, aby projekt produktu lub serwer producenta lub posiadacza danych umożliwiał takie przenoszenie danych</w:t>
      </w:r>
      <w:r w:rsidR="00987DDC" w:rsidRPr="00987DDC">
        <w:rPr>
          <w:noProof/>
        </w:rPr>
        <w:t xml:space="preserve"> z</w:t>
      </w:r>
      <w:r w:rsidR="00987DDC">
        <w:rPr>
          <w:noProof/>
        </w:rPr>
        <w:t> </w:t>
      </w:r>
      <w:r w:rsidR="00987DDC" w:rsidRPr="00987DDC">
        <w:rPr>
          <w:noProof/>
        </w:rPr>
        <w:t>tec</w:t>
      </w:r>
      <w:r w:rsidRPr="00987DDC">
        <w:rPr>
          <w:noProof/>
        </w:rPr>
        <w:t>hnicznego punktu widzenia. Akt</w:t>
      </w:r>
      <w:r w:rsidR="00987DDC" w:rsidRPr="00987DDC">
        <w:rPr>
          <w:noProof/>
        </w:rPr>
        <w:t xml:space="preserve"> o</w:t>
      </w:r>
      <w:r w:rsidR="00987DDC">
        <w:rPr>
          <w:noProof/>
        </w:rPr>
        <w:t> </w:t>
      </w:r>
      <w:r w:rsidR="00987DDC" w:rsidRPr="00987DDC">
        <w:rPr>
          <w:noProof/>
        </w:rPr>
        <w:t>ryn</w:t>
      </w:r>
      <w:r w:rsidRPr="00987DDC">
        <w:rPr>
          <w:noProof/>
        </w:rPr>
        <w:t>kach cyfrowych nakłada na dostawców podstawowych usług platformowych, określonych jako „strażnicy dostępu”, wymóg zapewnienia skutecznej możliwości przenoszenia danych użytkowników,</w:t>
      </w:r>
      <w:r w:rsidR="00987DDC" w:rsidRPr="00987DDC">
        <w:rPr>
          <w:noProof/>
        </w:rPr>
        <w:t xml:space="preserve"> w</w:t>
      </w:r>
      <w:r w:rsidR="00987DDC">
        <w:rPr>
          <w:noProof/>
        </w:rPr>
        <w:t> </w:t>
      </w:r>
      <w:r w:rsidR="00987DDC" w:rsidRPr="00987DDC">
        <w:rPr>
          <w:noProof/>
        </w:rPr>
        <w:t>tym</w:t>
      </w:r>
      <w:r w:rsidRPr="00987DDC">
        <w:rPr>
          <w:noProof/>
        </w:rPr>
        <w:t xml:space="preserve"> stałego dostępu do takich danych</w:t>
      </w:r>
      <w:r w:rsidR="00987DDC" w:rsidRPr="00987DDC">
        <w:rPr>
          <w:noProof/>
        </w:rPr>
        <w:t xml:space="preserve"> w</w:t>
      </w:r>
      <w:r w:rsidR="00987DDC">
        <w:rPr>
          <w:noProof/>
        </w:rPr>
        <w:t> </w:t>
      </w:r>
      <w:r w:rsidR="00987DDC" w:rsidRPr="00987DDC">
        <w:rPr>
          <w:noProof/>
        </w:rPr>
        <w:t>cza</w:t>
      </w:r>
      <w:r w:rsidRPr="00987DDC">
        <w:rPr>
          <w:noProof/>
        </w:rPr>
        <w:t>sie rzeczywistym</w:t>
      </w:r>
      <w:r w:rsidR="00987DDC" w:rsidRPr="00987DDC">
        <w:rPr>
          <w:noProof/>
        </w:rPr>
        <w:t>. W</w:t>
      </w:r>
      <w:r w:rsidR="00987DDC">
        <w:rPr>
          <w:noProof/>
        </w:rPr>
        <w:t> </w:t>
      </w:r>
      <w:r w:rsidR="00987DDC" w:rsidRPr="00987DDC">
        <w:rPr>
          <w:noProof/>
        </w:rPr>
        <w:t>prz</w:t>
      </w:r>
      <w:r w:rsidRPr="00987DDC">
        <w:rPr>
          <w:noProof/>
        </w:rPr>
        <w:t>ypadku kilku inicjatyw Komisji, które obecnie są przedmiotem negocjacji lub</w:t>
      </w:r>
      <w:r w:rsidR="00987DDC" w:rsidRPr="00987DDC">
        <w:rPr>
          <w:noProof/>
        </w:rPr>
        <w:t xml:space="preserve"> w</w:t>
      </w:r>
      <w:r w:rsidR="00987DDC">
        <w:rPr>
          <w:noProof/>
        </w:rPr>
        <w:t> </w:t>
      </w:r>
      <w:r w:rsidR="00987DDC" w:rsidRPr="00987DDC">
        <w:rPr>
          <w:noProof/>
        </w:rPr>
        <w:t>spr</w:t>
      </w:r>
      <w:r w:rsidRPr="00987DDC">
        <w:rPr>
          <w:noProof/>
        </w:rPr>
        <w:t>awie których osiągnięto porozumienie polityczne, przewiduje się zwiększenie praw do przenoszenia danych</w:t>
      </w:r>
      <w:r w:rsidR="00987DDC" w:rsidRPr="00987DDC">
        <w:rPr>
          <w:noProof/>
        </w:rPr>
        <w:t xml:space="preserve"> w</w:t>
      </w:r>
      <w:r w:rsidR="00987DDC">
        <w:rPr>
          <w:noProof/>
        </w:rPr>
        <w:t> </w:t>
      </w:r>
      <w:r w:rsidR="00987DDC" w:rsidRPr="00987DDC">
        <w:rPr>
          <w:noProof/>
        </w:rPr>
        <w:t>kon</w:t>
      </w:r>
      <w:r w:rsidRPr="00987DDC">
        <w:rPr>
          <w:noProof/>
        </w:rPr>
        <w:t>kretnych dziedzinach, do takich inicjatyw należą dyrektywa</w:t>
      </w:r>
      <w:r w:rsidR="00987DDC" w:rsidRPr="00987DDC">
        <w:rPr>
          <w:noProof/>
        </w:rPr>
        <w:t xml:space="preserve"> w</w:t>
      </w:r>
      <w:r w:rsidR="00987DDC">
        <w:rPr>
          <w:noProof/>
        </w:rPr>
        <w:t> </w:t>
      </w:r>
      <w:r w:rsidR="00987DDC" w:rsidRPr="00987DDC">
        <w:rPr>
          <w:noProof/>
        </w:rPr>
        <w:t>spr</w:t>
      </w:r>
      <w:r w:rsidRPr="00987DDC">
        <w:rPr>
          <w:noProof/>
        </w:rPr>
        <w:t>awie pracy za pośrednictwem platform internetowych (</w:t>
      </w:r>
      <w:r w:rsidRPr="00987DDC">
        <w:rPr>
          <w:rStyle w:val="FootnoteReference"/>
          <w:noProof/>
        </w:rPr>
        <w:footnoteReference w:id="106"/>
      </w:r>
      <w:r w:rsidRPr="00987DDC">
        <w:rPr>
          <w:noProof/>
        </w:rPr>
        <w:t>), europejska przestrzeń danych dotyczących zdrowia (</w:t>
      </w:r>
      <w:r w:rsidRPr="00987DDC">
        <w:rPr>
          <w:rStyle w:val="FootnoteReference"/>
          <w:noProof/>
          <w:szCs w:val="24"/>
        </w:rPr>
        <w:footnoteReference w:id="107"/>
      </w:r>
      <w:r w:rsidRPr="00987DDC">
        <w:rPr>
          <w:noProof/>
        </w:rPr>
        <w:t>) oraz ramy dostępu do danych finansowych (</w:t>
      </w:r>
      <w:r w:rsidRPr="00987DDC">
        <w:rPr>
          <w:rStyle w:val="FootnoteReference"/>
          <w:noProof/>
        </w:rPr>
        <w:footnoteReference w:id="108"/>
      </w:r>
      <w:r w:rsidRPr="00987DDC">
        <w:rPr>
          <w:noProof/>
        </w:rPr>
        <w:t xml:space="preserve">). </w:t>
      </w:r>
    </w:p>
    <w:p w14:paraId="6746DE4E" w14:textId="07DF2F08" w:rsidR="00087552" w:rsidRPr="00987DDC" w:rsidRDefault="00087552" w:rsidP="00547296">
      <w:pPr>
        <w:pStyle w:val="Heading2"/>
        <w:rPr>
          <w:noProof/>
        </w:rPr>
      </w:pPr>
      <w:bookmarkStart w:id="29" w:name="_Toc165303755"/>
      <w:r w:rsidRPr="00987DDC">
        <w:rPr>
          <w:noProof/>
        </w:rPr>
        <w:t>Prawo do wniesienia skargi</w:t>
      </w:r>
      <w:bookmarkEnd w:id="29"/>
    </w:p>
    <w:p w14:paraId="66102D3D" w14:textId="1B5DAD03" w:rsidR="00443DB3" w:rsidRPr="00987DDC" w:rsidRDefault="00B81875" w:rsidP="00A2118D">
      <w:pPr>
        <w:pStyle w:val="Text3"/>
        <w:ind w:left="0"/>
        <w:rPr>
          <w:noProof/>
        </w:rPr>
      </w:pPr>
      <w:r w:rsidRPr="00987DDC">
        <w:rPr>
          <w:noProof/>
        </w:rPr>
        <w:t>Jak wynika</w:t>
      </w:r>
      <w:r w:rsidR="00987DDC" w:rsidRPr="00987DDC">
        <w:rPr>
          <w:noProof/>
        </w:rPr>
        <w:t xml:space="preserve"> z</w:t>
      </w:r>
      <w:r w:rsidR="00987DDC">
        <w:rPr>
          <w:noProof/>
        </w:rPr>
        <w:t> </w:t>
      </w:r>
      <w:r w:rsidR="00987DDC" w:rsidRPr="00987DDC">
        <w:rPr>
          <w:noProof/>
        </w:rPr>
        <w:t>duż</w:t>
      </w:r>
      <w:r w:rsidRPr="00987DDC">
        <w:rPr>
          <w:noProof/>
        </w:rPr>
        <w:t>ej liczby skarg, istnieje powszechna świadomość prawa do wniesienia skargi do organu ochrony danych. Organizacje społeczeństwa obywatelskiego zwracają uwagę na nieuzasadnione różnice</w:t>
      </w:r>
      <w:r w:rsidR="00987DDC" w:rsidRPr="00987DDC">
        <w:rPr>
          <w:noProof/>
        </w:rPr>
        <w:t xml:space="preserve"> w</w:t>
      </w:r>
      <w:r w:rsidR="00987DDC">
        <w:rPr>
          <w:noProof/>
        </w:rPr>
        <w:t> </w:t>
      </w:r>
      <w:r w:rsidR="00987DDC" w:rsidRPr="00987DDC">
        <w:rPr>
          <w:noProof/>
        </w:rPr>
        <w:t>kra</w:t>
      </w:r>
      <w:r w:rsidRPr="00987DDC">
        <w:rPr>
          <w:noProof/>
        </w:rPr>
        <w:t>jowych praktykach rozpatrywania skarg, co jest przedmiotem wniosku Komisji</w:t>
      </w:r>
      <w:r w:rsidR="00987DDC" w:rsidRPr="00987DDC">
        <w:rPr>
          <w:noProof/>
        </w:rPr>
        <w:t xml:space="preserve"> w</w:t>
      </w:r>
      <w:r w:rsidR="00987DDC">
        <w:rPr>
          <w:noProof/>
        </w:rPr>
        <w:t> </w:t>
      </w:r>
      <w:r w:rsidR="00987DDC" w:rsidRPr="00987DDC">
        <w:rPr>
          <w:noProof/>
        </w:rPr>
        <w:t>spr</w:t>
      </w:r>
      <w:r w:rsidRPr="00987DDC">
        <w:rPr>
          <w:noProof/>
        </w:rPr>
        <w:t>awie przepisów proceduralnych. Kilka państw członkowskich skorzystało</w:t>
      </w:r>
      <w:r w:rsidR="00987DDC" w:rsidRPr="00987DDC">
        <w:rPr>
          <w:noProof/>
        </w:rPr>
        <w:t xml:space="preserve"> z</w:t>
      </w:r>
      <w:r w:rsidR="00987DDC">
        <w:rPr>
          <w:noProof/>
        </w:rPr>
        <w:t> </w:t>
      </w:r>
      <w:r w:rsidR="00987DDC" w:rsidRPr="00987DDC">
        <w:rPr>
          <w:noProof/>
        </w:rPr>
        <w:t>prz</w:t>
      </w:r>
      <w:r w:rsidRPr="00987DDC">
        <w:rPr>
          <w:noProof/>
        </w:rPr>
        <w:t>ewidzianej w RODO możliwości zapewnienia podmiotowi, który nie mają charakteru zarobkowego, prawa do wniesienia skargi niezależnie od upoważnienia otrzymanego od osoby, której dane dotyczą (art.</w:t>
      </w:r>
      <w:r w:rsidR="00987DDC" w:rsidRPr="00987DDC">
        <w:rPr>
          <w:noProof/>
        </w:rPr>
        <w:t> </w:t>
      </w:r>
      <w:r w:rsidRPr="00987DDC">
        <w:rPr>
          <w:noProof/>
        </w:rPr>
        <w:t>80 ust.</w:t>
      </w:r>
      <w:r w:rsidR="00987DDC" w:rsidRPr="00987DDC">
        <w:rPr>
          <w:noProof/>
        </w:rPr>
        <w:t> </w:t>
      </w:r>
      <w:r w:rsidRPr="00987DDC">
        <w:rPr>
          <w:noProof/>
        </w:rPr>
        <w:t>2). Przyjęta</w:t>
      </w:r>
      <w:r w:rsidR="00987DDC" w:rsidRPr="00987DDC">
        <w:rPr>
          <w:noProof/>
        </w:rPr>
        <w:t xml:space="preserve"> w</w:t>
      </w:r>
      <w:r w:rsidR="00987DDC">
        <w:rPr>
          <w:noProof/>
        </w:rPr>
        <w:t> </w:t>
      </w:r>
      <w:r w:rsidR="00987DDC" w:rsidRPr="00987DDC">
        <w:rPr>
          <w:noProof/>
        </w:rPr>
        <w:t>2</w:t>
      </w:r>
      <w:r w:rsidRPr="00987DDC">
        <w:rPr>
          <w:noProof/>
        </w:rPr>
        <w:t>020</w:t>
      </w:r>
      <w:r w:rsidR="00987DDC" w:rsidRPr="00987DDC">
        <w:rPr>
          <w:noProof/>
        </w:rPr>
        <w:t> </w:t>
      </w:r>
      <w:r w:rsidRPr="00987DDC">
        <w:rPr>
          <w:noProof/>
        </w:rPr>
        <w:t>r. dyrektywa</w:t>
      </w:r>
      <w:r w:rsidR="00987DDC" w:rsidRPr="00987DDC">
        <w:rPr>
          <w:noProof/>
        </w:rPr>
        <w:t xml:space="preserve"> w</w:t>
      </w:r>
      <w:r w:rsidR="00987DDC">
        <w:rPr>
          <w:noProof/>
        </w:rPr>
        <w:t> </w:t>
      </w:r>
      <w:r w:rsidR="00987DDC" w:rsidRPr="00987DDC">
        <w:rPr>
          <w:noProof/>
        </w:rPr>
        <w:t>spr</w:t>
      </w:r>
      <w:r w:rsidRPr="00987DDC">
        <w:rPr>
          <w:noProof/>
        </w:rPr>
        <w:t>awie powództw przedstawicielskich (</w:t>
      </w:r>
      <w:r w:rsidRPr="00987DDC">
        <w:rPr>
          <w:rStyle w:val="FootnoteReference"/>
          <w:noProof/>
          <w:lang w:eastAsia="en-US"/>
        </w:rPr>
        <w:footnoteReference w:id="109"/>
      </w:r>
      <w:r w:rsidRPr="00987DDC">
        <w:rPr>
          <w:noProof/>
        </w:rPr>
        <w:t>) zapewni jednak większą harmonizację</w:t>
      </w:r>
      <w:r w:rsidR="00987DDC" w:rsidRPr="00987DDC">
        <w:rPr>
          <w:noProof/>
        </w:rPr>
        <w:t xml:space="preserve"> w</w:t>
      </w:r>
      <w:r w:rsidR="00987DDC">
        <w:rPr>
          <w:noProof/>
        </w:rPr>
        <w:t> </w:t>
      </w:r>
      <w:r w:rsidR="00987DDC" w:rsidRPr="00987DDC">
        <w:rPr>
          <w:noProof/>
        </w:rPr>
        <w:t>tym</w:t>
      </w:r>
      <w:r w:rsidRPr="00987DDC">
        <w:rPr>
          <w:noProof/>
        </w:rPr>
        <w:t xml:space="preserve"> zakresie, ułatwiając osobom fizycznym dochodzenie roszczeń zbiorowych</w:t>
      </w:r>
      <w:r w:rsidR="00987DDC" w:rsidRPr="00987DDC">
        <w:rPr>
          <w:noProof/>
        </w:rPr>
        <w:t xml:space="preserve"> w</w:t>
      </w:r>
      <w:r w:rsidR="00987DDC">
        <w:rPr>
          <w:noProof/>
        </w:rPr>
        <w:t> </w:t>
      </w:r>
      <w:r w:rsidR="00987DDC" w:rsidRPr="00987DDC">
        <w:rPr>
          <w:noProof/>
        </w:rPr>
        <w:t>zwi</w:t>
      </w:r>
      <w:r w:rsidRPr="00987DDC">
        <w:rPr>
          <w:noProof/>
        </w:rPr>
        <w:t>ązku</w:t>
      </w:r>
      <w:r w:rsidR="00987DDC" w:rsidRPr="00987DDC">
        <w:rPr>
          <w:noProof/>
        </w:rPr>
        <w:t xml:space="preserve"> z</w:t>
      </w:r>
      <w:r w:rsidR="00987DDC">
        <w:rPr>
          <w:noProof/>
        </w:rPr>
        <w:t> </w:t>
      </w:r>
      <w:r w:rsidR="00987DDC" w:rsidRPr="00987DDC">
        <w:rPr>
          <w:noProof/>
        </w:rPr>
        <w:t>nar</w:t>
      </w:r>
      <w:r w:rsidRPr="00987DDC">
        <w:rPr>
          <w:noProof/>
        </w:rPr>
        <w:t>uszeniem RODO. Krajowe środki wdrażające dyrektywę zaczęły obowiązywać</w:t>
      </w:r>
      <w:r w:rsidR="00987DDC" w:rsidRPr="00987DDC">
        <w:rPr>
          <w:noProof/>
        </w:rPr>
        <w:t xml:space="preserve"> w</w:t>
      </w:r>
      <w:r w:rsidR="00987DDC">
        <w:rPr>
          <w:noProof/>
        </w:rPr>
        <w:t> </w:t>
      </w:r>
      <w:r w:rsidR="00987DDC" w:rsidRPr="00987DDC">
        <w:rPr>
          <w:noProof/>
        </w:rPr>
        <w:t>cze</w:t>
      </w:r>
      <w:r w:rsidRPr="00987DDC">
        <w:rPr>
          <w:noProof/>
        </w:rPr>
        <w:t>rwcu 2023</w:t>
      </w:r>
      <w:r w:rsidR="00987DDC" w:rsidRPr="00987DDC">
        <w:rPr>
          <w:noProof/>
        </w:rPr>
        <w:t> </w:t>
      </w:r>
      <w:r w:rsidRPr="00987DDC">
        <w:rPr>
          <w:noProof/>
        </w:rPr>
        <w:t>r.</w:t>
      </w:r>
    </w:p>
    <w:p w14:paraId="7476F508" w14:textId="79C58FC8" w:rsidR="006D728C" w:rsidRPr="00987DDC" w:rsidRDefault="001D7AC2" w:rsidP="00547296">
      <w:pPr>
        <w:pStyle w:val="Heading2"/>
        <w:rPr>
          <w:noProof/>
        </w:rPr>
      </w:pPr>
      <w:bookmarkStart w:id="30" w:name="_Toc165303756"/>
      <w:r w:rsidRPr="00987DDC">
        <w:rPr>
          <w:noProof/>
        </w:rPr>
        <w:t>Ochrona danych osobowych dzieci</w:t>
      </w:r>
      <w:bookmarkEnd w:id="30"/>
    </w:p>
    <w:p w14:paraId="5D332B31" w14:textId="7AF7EE15" w:rsidR="000A76AC" w:rsidRPr="00987DDC" w:rsidRDefault="00311105" w:rsidP="00F228A4">
      <w:pPr>
        <w:pStyle w:val="Text3"/>
        <w:ind w:left="0"/>
        <w:rPr>
          <w:noProof/>
        </w:rPr>
      </w:pPr>
      <w:r w:rsidRPr="00987DDC">
        <w:rPr>
          <w:noProof/>
        </w:rPr>
        <w:t>Dzieci wymagają szczególnej ochrony przy przetwarzaniu ich danych osobowych (</w:t>
      </w:r>
      <w:r w:rsidRPr="00987DDC">
        <w:rPr>
          <w:rStyle w:val="FootnoteReference"/>
          <w:noProof/>
        </w:rPr>
        <w:footnoteReference w:id="110"/>
      </w:r>
      <w:r w:rsidRPr="00987DDC">
        <w:rPr>
          <w:noProof/>
        </w:rPr>
        <w:t>). RODO stanowi część kompleksowych ram prawnych zapewniających ochronę dzieci zarówno</w:t>
      </w:r>
      <w:r w:rsidR="00987DDC" w:rsidRPr="00987DDC">
        <w:rPr>
          <w:noProof/>
        </w:rPr>
        <w:t xml:space="preserve"> w</w:t>
      </w:r>
      <w:r w:rsidR="00987DDC">
        <w:rPr>
          <w:noProof/>
        </w:rPr>
        <w:t> </w:t>
      </w:r>
      <w:r w:rsidR="00987DDC" w:rsidRPr="00987DDC">
        <w:rPr>
          <w:noProof/>
        </w:rPr>
        <w:t>int</w:t>
      </w:r>
      <w:r w:rsidRPr="00987DDC">
        <w:rPr>
          <w:noProof/>
        </w:rPr>
        <w:t>ernecie, jak</w:t>
      </w:r>
      <w:r w:rsidR="00987DDC" w:rsidRPr="00987DDC">
        <w:rPr>
          <w:noProof/>
        </w:rPr>
        <w:t xml:space="preserve"> i</w:t>
      </w:r>
      <w:r w:rsidR="00987DDC">
        <w:rPr>
          <w:noProof/>
        </w:rPr>
        <w:t> </w:t>
      </w:r>
      <w:r w:rsidR="00987DDC" w:rsidRPr="00987DDC">
        <w:rPr>
          <w:noProof/>
        </w:rPr>
        <w:t>poz</w:t>
      </w:r>
      <w:r w:rsidRPr="00987DDC">
        <w:rPr>
          <w:noProof/>
        </w:rPr>
        <w:t>a nim (</w:t>
      </w:r>
      <w:r w:rsidRPr="00987DDC">
        <w:rPr>
          <w:rStyle w:val="FootnoteReference"/>
          <w:noProof/>
        </w:rPr>
        <w:footnoteReference w:id="111"/>
      </w:r>
      <w:r w:rsidRPr="00987DDC">
        <w:rPr>
          <w:noProof/>
        </w:rPr>
        <w:t>). Biorąc pod uwagę zwiększoną aktywność dzieci</w:t>
      </w:r>
      <w:r w:rsidR="00987DDC" w:rsidRPr="00987DDC">
        <w:rPr>
          <w:noProof/>
        </w:rPr>
        <w:t xml:space="preserve"> w</w:t>
      </w:r>
      <w:r w:rsidR="00987DDC">
        <w:rPr>
          <w:noProof/>
        </w:rPr>
        <w:t> </w:t>
      </w:r>
      <w:r w:rsidR="00987DDC" w:rsidRPr="00987DDC">
        <w:rPr>
          <w:noProof/>
        </w:rPr>
        <w:t>int</w:t>
      </w:r>
      <w:r w:rsidRPr="00987DDC">
        <w:rPr>
          <w:noProof/>
        </w:rPr>
        <w:t>ernecie,</w:t>
      </w:r>
      <w:r w:rsidR="00987DDC" w:rsidRPr="00987DDC">
        <w:rPr>
          <w:noProof/>
        </w:rPr>
        <w:t xml:space="preserve"> w</w:t>
      </w:r>
      <w:r w:rsidR="00987DDC">
        <w:rPr>
          <w:noProof/>
        </w:rPr>
        <w:t> </w:t>
      </w:r>
      <w:r w:rsidR="00987DDC" w:rsidRPr="00987DDC">
        <w:rPr>
          <w:noProof/>
        </w:rPr>
        <w:t>ost</w:t>
      </w:r>
      <w:r w:rsidRPr="00987DDC">
        <w:rPr>
          <w:noProof/>
        </w:rPr>
        <w:t>atnich latach podjęto szereg działań na szczeblu unijnym oraz krajowym</w:t>
      </w:r>
      <w:r w:rsidR="00987DDC" w:rsidRPr="00987DDC">
        <w:rPr>
          <w:noProof/>
        </w:rPr>
        <w:t xml:space="preserve"> w</w:t>
      </w:r>
      <w:r w:rsidR="00987DDC">
        <w:rPr>
          <w:noProof/>
        </w:rPr>
        <w:t> </w:t>
      </w:r>
      <w:r w:rsidR="00987DDC" w:rsidRPr="00987DDC">
        <w:rPr>
          <w:noProof/>
        </w:rPr>
        <w:t>cel</w:t>
      </w:r>
      <w:r w:rsidRPr="00987DDC">
        <w:rPr>
          <w:noProof/>
        </w:rPr>
        <w:t>u wzmocnienia ochrony dzieci</w:t>
      </w:r>
      <w:r w:rsidR="00987DDC" w:rsidRPr="00987DDC">
        <w:rPr>
          <w:noProof/>
        </w:rPr>
        <w:t xml:space="preserve"> w</w:t>
      </w:r>
      <w:r w:rsidR="00987DDC">
        <w:rPr>
          <w:noProof/>
        </w:rPr>
        <w:t> </w:t>
      </w:r>
      <w:r w:rsidR="00987DDC" w:rsidRPr="00987DDC">
        <w:rPr>
          <w:noProof/>
        </w:rPr>
        <w:t>int</w:t>
      </w:r>
      <w:r w:rsidRPr="00987DDC">
        <w:rPr>
          <w:noProof/>
        </w:rPr>
        <w:t>ernecie. Organy ochrony danych nakładały wysokie kary pieniężne na przedsiębiorstwa obsługujące media społecznościowe za naruszenia RODO przy przetwarzaniu danych dzieci. Organy te współpracują również</w:t>
      </w:r>
      <w:r w:rsidR="00987DDC" w:rsidRPr="00987DDC">
        <w:rPr>
          <w:noProof/>
        </w:rPr>
        <w:t xml:space="preserve"> z</w:t>
      </w:r>
      <w:r w:rsidR="00987DDC">
        <w:rPr>
          <w:noProof/>
        </w:rPr>
        <w:t> </w:t>
      </w:r>
      <w:r w:rsidR="00987DDC" w:rsidRPr="00987DDC">
        <w:rPr>
          <w:noProof/>
        </w:rPr>
        <w:t>inn</w:t>
      </w:r>
      <w:r w:rsidRPr="00987DDC">
        <w:rPr>
          <w:noProof/>
        </w:rPr>
        <w:t>ymi organami</w:t>
      </w:r>
      <w:r w:rsidR="00987DDC" w:rsidRPr="00987DDC">
        <w:rPr>
          <w:noProof/>
        </w:rPr>
        <w:t xml:space="preserve"> w</w:t>
      </w:r>
      <w:r w:rsidR="00987DDC">
        <w:rPr>
          <w:noProof/>
        </w:rPr>
        <w:t> </w:t>
      </w:r>
      <w:r w:rsidR="00987DDC" w:rsidRPr="00987DDC">
        <w:rPr>
          <w:noProof/>
        </w:rPr>
        <w:t>dąż</w:t>
      </w:r>
      <w:r w:rsidRPr="00987DDC">
        <w:rPr>
          <w:noProof/>
        </w:rPr>
        <w:t>eniu do zwiększenia ochrony dzieci</w:t>
      </w:r>
      <w:r w:rsidR="00987DDC" w:rsidRPr="00987DDC">
        <w:rPr>
          <w:noProof/>
        </w:rPr>
        <w:t xml:space="preserve"> w</w:t>
      </w:r>
      <w:r w:rsidR="00987DDC">
        <w:rPr>
          <w:noProof/>
        </w:rPr>
        <w:t> </w:t>
      </w:r>
      <w:r w:rsidR="00987DDC" w:rsidRPr="00987DDC">
        <w:rPr>
          <w:noProof/>
        </w:rPr>
        <w:t>obs</w:t>
      </w:r>
      <w:r w:rsidRPr="00987DDC">
        <w:rPr>
          <w:noProof/>
        </w:rPr>
        <w:t>zarze reklamy</w:t>
      </w:r>
      <w:r w:rsidR="00987DDC" w:rsidRPr="00987DDC">
        <w:rPr>
          <w:noProof/>
        </w:rPr>
        <w:t>. W</w:t>
      </w:r>
      <w:r w:rsidR="00987DDC">
        <w:rPr>
          <w:noProof/>
        </w:rPr>
        <w:t> </w:t>
      </w:r>
      <w:r w:rsidR="00987DDC" w:rsidRPr="00987DDC">
        <w:rPr>
          <w:noProof/>
        </w:rPr>
        <w:t>spr</w:t>
      </w:r>
      <w:r w:rsidRPr="00987DDC">
        <w:rPr>
          <w:noProof/>
        </w:rPr>
        <w:t>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Komisja zwróciła się do EROD</w:t>
      </w:r>
      <w:r w:rsidR="00987DDC" w:rsidRPr="00987DDC">
        <w:rPr>
          <w:noProof/>
        </w:rPr>
        <w:t xml:space="preserve"> o</w:t>
      </w:r>
      <w:r w:rsidR="00987DDC">
        <w:rPr>
          <w:noProof/>
        </w:rPr>
        <w:t> </w:t>
      </w:r>
      <w:r w:rsidR="00987DDC" w:rsidRPr="00987DDC">
        <w:rPr>
          <w:noProof/>
        </w:rPr>
        <w:t>prz</w:t>
      </w:r>
      <w:r w:rsidRPr="00987DDC">
        <w:rPr>
          <w:noProof/>
        </w:rPr>
        <w:t>yjęcie wytycznych dotyczących przetwarzania danych dzieci,</w:t>
      </w:r>
      <w:r w:rsidR="00987DDC" w:rsidRPr="00987DDC">
        <w:rPr>
          <w:noProof/>
        </w:rPr>
        <w:t xml:space="preserve"> a</w:t>
      </w:r>
      <w:r w:rsidR="00987DDC">
        <w:rPr>
          <w:noProof/>
        </w:rPr>
        <w:t> </w:t>
      </w:r>
      <w:r w:rsidR="00987DDC" w:rsidRPr="00987DDC">
        <w:rPr>
          <w:noProof/>
        </w:rPr>
        <w:t>pra</w:t>
      </w:r>
      <w:r w:rsidRPr="00987DDC">
        <w:rPr>
          <w:noProof/>
        </w:rPr>
        <w:t>ce te są obecnie</w:t>
      </w:r>
      <w:r w:rsidR="00987DDC" w:rsidRPr="00987DDC">
        <w:rPr>
          <w:noProof/>
        </w:rPr>
        <w:t xml:space="preserve"> w</w:t>
      </w:r>
      <w:r w:rsidR="00987DDC">
        <w:rPr>
          <w:noProof/>
        </w:rPr>
        <w:t> </w:t>
      </w:r>
      <w:r w:rsidR="00987DDC" w:rsidRPr="00987DDC">
        <w:rPr>
          <w:noProof/>
        </w:rPr>
        <w:t>tok</w:t>
      </w:r>
      <w:r w:rsidRPr="00987DDC">
        <w:rPr>
          <w:noProof/>
        </w:rPr>
        <w:t>u (</w:t>
      </w:r>
      <w:r w:rsidRPr="00987DDC">
        <w:rPr>
          <w:rStyle w:val="FootnoteReference"/>
          <w:noProof/>
        </w:rPr>
        <w:footnoteReference w:id="112"/>
      </w:r>
      <w:r w:rsidRPr="00987DDC">
        <w:rPr>
          <w:noProof/>
        </w:rPr>
        <w:t>). Akt</w:t>
      </w:r>
      <w:r w:rsidR="00987DDC" w:rsidRPr="00987DDC">
        <w:rPr>
          <w:noProof/>
        </w:rPr>
        <w:t xml:space="preserve"> o</w:t>
      </w:r>
      <w:r w:rsidR="00987DDC">
        <w:rPr>
          <w:noProof/>
        </w:rPr>
        <w:t> </w:t>
      </w:r>
      <w:r w:rsidR="00987DDC" w:rsidRPr="00987DDC">
        <w:rPr>
          <w:noProof/>
        </w:rPr>
        <w:t>usł</w:t>
      </w:r>
      <w:r w:rsidRPr="00987DDC">
        <w:rPr>
          <w:noProof/>
        </w:rPr>
        <w:t>ugach cyfrowych zawiera przepisy szczegółowe mające na celu zapewnienie wysokiego</w:t>
      </w:r>
      <w:r w:rsidRPr="00987DDC">
        <w:rPr>
          <w:noProof/>
          <w:sz w:val="27"/>
          <w:shd w:val="clear" w:color="auto" w:fill="FFFFFF"/>
        </w:rPr>
        <w:t xml:space="preserve"> </w:t>
      </w:r>
      <w:r w:rsidRPr="00987DDC">
        <w:rPr>
          <w:noProof/>
        </w:rPr>
        <w:t>poziomu prywatności, bezpieczeństwa</w:t>
      </w:r>
      <w:r w:rsidR="00987DDC" w:rsidRPr="00987DDC">
        <w:rPr>
          <w:noProof/>
        </w:rPr>
        <w:t xml:space="preserve"> i</w:t>
      </w:r>
      <w:r w:rsidR="00987DDC">
        <w:rPr>
          <w:noProof/>
        </w:rPr>
        <w:t> </w:t>
      </w:r>
      <w:r w:rsidR="00987DDC" w:rsidRPr="00987DDC">
        <w:rPr>
          <w:noProof/>
        </w:rPr>
        <w:t>och</w:t>
      </w:r>
      <w:r w:rsidRPr="00987DDC">
        <w:rPr>
          <w:noProof/>
        </w:rPr>
        <w:t>rony dzieci korzystających</w:t>
      </w:r>
      <w:r w:rsidR="00987DDC" w:rsidRPr="00987DDC">
        <w:rPr>
          <w:noProof/>
        </w:rPr>
        <w:t xml:space="preserve"> z</w:t>
      </w:r>
      <w:r w:rsidR="00987DDC">
        <w:rPr>
          <w:noProof/>
        </w:rPr>
        <w:t> </w:t>
      </w:r>
      <w:r w:rsidR="00987DDC" w:rsidRPr="00987DDC">
        <w:rPr>
          <w:noProof/>
        </w:rPr>
        <w:t>pla</w:t>
      </w:r>
      <w:r w:rsidRPr="00987DDC">
        <w:rPr>
          <w:noProof/>
        </w:rPr>
        <w:t>tform internetowych.</w:t>
      </w:r>
    </w:p>
    <w:p w14:paraId="58283C89" w14:textId="2AD1FF34" w:rsidR="4E902A36" w:rsidRPr="00987DDC" w:rsidRDefault="00896CDE" w:rsidP="4E902A36">
      <w:pPr>
        <w:pStyle w:val="Text3"/>
        <w:ind w:left="0"/>
        <w:rPr>
          <w:noProof/>
        </w:rPr>
      </w:pPr>
      <w:r w:rsidRPr="00987DDC">
        <w:rPr>
          <w:noProof/>
        </w:rPr>
        <w:t>Niektóre zainteresowane strony zgłaszają problemy związane</w:t>
      </w:r>
      <w:r w:rsidR="00987DDC" w:rsidRPr="00987DDC">
        <w:rPr>
          <w:noProof/>
        </w:rPr>
        <w:t xml:space="preserve"> z</w:t>
      </w:r>
      <w:r w:rsidR="00987DDC">
        <w:rPr>
          <w:noProof/>
        </w:rPr>
        <w:t> </w:t>
      </w:r>
      <w:r w:rsidR="00987DDC" w:rsidRPr="00987DDC">
        <w:rPr>
          <w:noProof/>
        </w:rPr>
        <w:t>wyk</w:t>
      </w:r>
      <w:r w:rsidRPr="00987DDC">
        <w:rPr>
          <w:noProof/>
        </w:rPr>
        <w:t>onywaniem praw osób, których dane dotyczą,</w:t>
      </w:r>
      <w:r w:rsidR="00987DDC" w:rsidRPr="00987DDC">
        <w:rPr>
          <w:noProof/>
        </w:rPr>
        <w:t xml:space="preserve"> w</w:t>
      </w:r>
      <w:r w:rsidR="00987DDC">
        <w:rPr>
          <w:noProof/>
        </w:rPr>
        <w:t> </w:t>
      </w:r>
      <w:r w:rsidR="00987DDC" w:rsidRPr="00987DDC">
        <w:rPr>
          <w:noProof/>
        </w:rPr>
        <w:t>prz</w:t>
      </w:r>
      <w:r w:rsidRPr="00987DDC">
        <w:rPr>
          <w:noProof/>
        </w:rPr>
        <w:t>ypadku gdy osobami, których dane dotyczą, są dzieci</w:t>
      </w:r>
      <w:r w:rsidR="00987DDC" w:rsidRPr="00987DDC">
        <w:rPr>
          <w:noProof/>
        </w:rPr>
        <w:t>. W</w:t>
      </w:r>
      <w:r w:rsidR="00987DDC">
        <w:rPr>
          <w:noProof/>
        </w:rPr>
        <w:t> </w:t>
      </w:r>
      <w:r w:rsidR="00987DDC" w:rsidRPr="00987DDC">
        <w:rPr>
          <w:noProof/>
        </w:rPr>
        <w:t>szc</w:t>
      </w:r>
      <w:r w:rsidRPr="00987DDC">
        <w:rPr>
          <w:noProof/>
        </w:rPr>
        <w:t>zególności wskazują, że dzieci nie rozumieją</w:t>
      </w:r>
      <w:r w:rsidR="00987DDC" w:rsidRPr="00987DDC">
        <w:rPr>
          <w:noProof/>
        </w:rPr>
        <w:t xml:space="preserve"> w</w:t>
      </w:r>
      <w:r w:rsidR="00987DDC">
        <w:rPr>
          <w:noProof/>
        </w:rPr>
        <w:t> </w:t>
      </w:r>
      <w:r w:rsidR="00987DDC" w:rsidRPr="00987DDC">
        <w:rPr>
          <w:noProof/>
        </w:rPr>
        <w:t>peł</w:t>
      </w:r>
      <w:r w:rsidRPr="00987DDC">
        <w:rPr>
          <w:noProof/>
        </w:rPr>
        <w:t>ni swoich praw, nie posiadają umiejętności cyfrowych</w:t>
      </w:r>
      <w:r w:rsidR="00987DDC" w:rsidRPr="00987DDC">
        <w:rPr>
          <w:noProof/>
        </w:rPr>
        <w:t xml:space="preserve"> i</w:t>
      </w:r>
      <w:r w:rsidR="00987DDC">
        <w:rPr>
          <w:noProof/>
        </w:rPr>
        <w:t> </w:t>
      </w:r>
      <w:r w:rsidR="00987DDC" w:rsidRPr="00987DDC">
        <w:rPr>
          <w:noProof/>
        </w:rPr>
        <w:t>mog</w:t>
      </w:r>
      <w:r w:rsidRPr="00987DDC">
        <w:rPr>
          <w:noProof/>
        </w:rPr>
        <w:t>ą ulegać nadmiernym wpływom (</w:t>
      </w:r>
      <w:r w:rsidRPr="00987DDC">
        <w:rPr>
          <w:rStyle w:val="FootnoteReference"/>
          <w:noProof/>
        </w:rPr>
        <w:footnoteReference w:id="113"/>
      </w:r>
      <w:r w:rsidRPr="00987DDC">
        <w:rPr>
          <w:noProof/>
        </w:rPr>
        <w:t>). Komisja sfinansowała szereg inicjatyw na szczeblu krajowym dotyczących ochrony danych dzieci oraz krzewienia wśród dzieci świadomości</w:t>
      </w:r>
      <w:r w:rsidR="00987DDC" w:rsidRPr="00987DDC">
        <w:rPr>
          <w:noProof/>
        </w:rPr>
        <w:t xml:space="preserve"> w</w:t>
      </w:r>
      <w:r w:rsidR="00987DDC">
        <w:rPr>
          <w:noProof/>
        </w:rPr>
        <w:t> </w:t>
      </w:r>
      <w:r w:rsidR="00987DDC" w:rsidRPr="00987DDC">
        <w:rPr>
          <w:noProof/>
        </w:rPr>
        <w:t>zak</w:t>
      </w:r>
      <w:r w:rsidRPr="00987DDC">
        <w:rPr>
          <w:noProof/>
        </w:rPr>
        <w:t>resie ochrony danych (</w:t>
      </w:r>
      <w:r w:rsidRPr="00987DDC">
        <w:rPr>
          <w:noProof/>
          <w:vertAlign w:val="superscript"/>
        </w:rPr>
        <w:footnoteReference w:id="114"/>
      </w:r>
      <w:r w:rsidRPr="00987DDC">
        <w:rPr>
          <w:noProof/>
        </w:rPr>
        <w:t>)</w:t>
      </w:r>
      <w:r w:rsidR="00987DDC" w:rsidRPr="00987DDC">
        <w:rPr>
          <w:noProof/>
        </w:rPr>
        <w:t>. W</w:t>
      </w:r>
      <w:r w:rsidR="00987DDC">
        <w:rPr>
          <w:noProof/>
        </w:rPr>
        <w:t> </w:t>
      </w:r>
      <w:r w:rsidR="00987DDC" w:rsidRPr="00987DDC">
        <w:rPr>
          <w:noProof/>
        </w:rPr>
        <w:t>ram</w:t>
      </w:r>
      <w:r w:rsidRPr="00987DDC">
        <w:rPr>
          <w:noProof/>
        </w:rPr>
        <w:t>ach strategii na rzecz lepszego internetu dla dzieci (BIK+) Komisja zapewnia dzieciom materiały informacyjne</w:t>
      </w:r>
      <w:r w:rsidR="00987DDC" w:rsidRPr="00987DDC">
        <w:rPr>
          <w:noProof/>
        </w:rPr>
        <w:t xml:space="preserve"> i</w:t>
      </w:r>
      <w:r w:rsidR="00987DDC">
        <w:rPr>
          <w:noProof/>
        </w:rPr>
        <w:t> </w:t>
      </w:r>
      <w:r w:rsidR="00987DDC" w:rsidRPr="00987DDC">
        <w:rPr>
          <w:noProof/>
        </w:rPr>
        <w:t>szk</w:t>
      </w:r>
      <w:r w:rsidRPr="00987DDC">
        <w:rPr>
          <w:noProof/>
        </w:rPr>
        <w:t>olenia na temat ich praw cyfrowych,</w:t>
      </w:r>
      <w:r w:rsidR="00987DDC" w:rsidRPr="00987DDC">
        <w:rPr>
          <w:noProof/>
        </w:rPr>
        <w:t xml:space="preserve"> w</w:t>
      </w:r>
      <w:r w:rsidR="00987DDC">
        <w:rPr>
          <w:noProof/>
        </w:rPr>
        <w:t> </w:t>
      </w:r>
      <w:r w:rsidR="00987DDC" w:rsidRPr="00987DDC">
        <w:rPr>
          <w:noProof/>
        </w:rPr>
        <w:t>tym</w:t>
      </w:r>
      <w:r w:rsidRPr="00987DDC">
        <w:rPr>
          <w:noProof/>
        </w:rPr>
        <w:t xml:space="preserve"> ochrony danych (np. zgoda cyfrowa) (</w:t>
      </w:r>
      <w:r w:rsidRPr="00987DDC">
        <w:rPr>
          <w:rStyle w:val="FootnoteReference"/>
          <w:noProof/>
        </w:rPr>
        <w:footnoteReference w:id="115"/>
      </w:r>
      <w:r w:rsidRPr="00987DDC">
        <w:rPr>
          <w:noProof/>
        </w:rPr>
        <w:t>). Coraz większy nacisk kładzie się na potrzebę skutecznych</w:t>
      </w:r>
      <w:r w:rsidR="00987DDC" w:rsidRPr="00987DDC">
        <w:rPr>
          <w:noProof/>
        </w:rPr>
        <w:t xml:space="preserve"> i</w:t>
      </w:r>
      <w:r w:rsidR="00987DDC">
        <w:rPr>
          <w:noProof/>
        </w:rPr>
        <w:t> </w:t>
      </w:r>
      <w:r w:rsidR="00987DDC" w:rsidRPr="00987DDC">
        <w:rPr>
          <w:noProof/>
        </w:rPr>
        <w:t>spr</w:t>
      </w:r>
      <w:r w:rsidRPr="00987DDC">
        <w:rPr>
          <w:noProof/>
        </w:rPr>
        <w:t>zyjających zachowaniu prywatności narzędzi weryfikacji wieku. Na początku 2024</w:t>
      </w:r>
      <w:r w:rsidR="00987DDC" w:rsidRPr="00987DDC">
        <w:rPr>
          <w:noProof/>
        </w:rPr>
        <w:t> </w:t>
      </w:r>
      <w:r w:rsidRPr="00987DDC">
        <w:rPr>
          <w:noProof/>
        </w:rPr>
        <w:t>r. Komisja wraz</w:t>
      </w:r>
      <w:r w:rsidR="00987DDC" w:rsidRPr="00987DDC">
        <w:rPr>
          <w:noProof/>
        </w:rPr>
        <w:t xml:space="preserve"> z</w:t>
      </w:r>
      <w:r w:rsidR="00987DDC">
        <w:rPr>
          <w:noProof/>
        </w:rPr>
        <w:t> </w:t>
      </w:r>
      <w:r w:rsidR="00987DDC" w:rsidRPr="00987DDC">
        <w:rPr>
          <w:noProof/>
        </w:rPr>
        <w:t>pań</w:t>
      </w:r>
      <w:r w:rsidRPr="00987DDC">
        <w:rPr>
          <w:noProof/>
        </w:rPr>
        <w:t>stwami członkowskimi, EROD</w:t>
      </w:r>
      <w:r w:rsidR="00987DDC" w:rsidRPr="00987DDC">
        <w:rPr>
          <w:noProof/>
        </w:rPr>
        <w:t xml:space="preserve"> i</w:t>
      </w:r>
      <w:r w:rsidR="00987DDC">
        <w:rPr>
          <w:noProof/>
        </w:rPr>
        <w:t> </w:t>
      </w:r>
      <w:r w:rsidR="00987DDC" w:rsidRPr="00987DDC">
        <w:rPr>
          <w:noProof/>
        </w:rPr>
        <w:t>Eur</w:t>
      </w:r>
      <w:r w:rsidRPr="00987DDC">
        <w:rPr>
          <w:noProof/>
        </w:rPr>
        <w:t>opejską Grupą Regulatorów ds. Audiowizualnych Usług Medialnych powołała grupę zadaniową ds. weryfikacji wieku na podstawie aktu</w:t>
      </w:r>
      <w:r w:rsidR="00987DDC" w:rsidRPr="00987DDC">
        <w:rPr>
          <w:noProof/>
        </w:rPr>
        <w:t xml:space="preserve"> o</w:t>
      </w:r>
      <w:r w:rsidR="00987DDC">
        <w:rPr>
          <w:noProof/>
        </w:rPr>
        <w:t> </w:t>
      </w:r>
      <w:r w:rsidR="00987DDC" w:rsidRPr="00987DDC">
        <w:rPr>
          <w:noProof/>
        </w:rPr>
        <w:t>usł</w:t>
      </w:r>
      <w:r w:rsidRPr="00987DDC">
        <w:rPr>
          <w:noProof/>
        </w:rPr>
        <w:t>ugach cyfrowych</w:t>
      </w:r>
      <w:r w:rsidR="00987DDC" w:rsidRPr="00987DDC">
        <w:rPr>
          <w:noProof/>
        </w:rPr>
        <w:t xml:space="preserve"> w</w:t>
      </w:r>
      <w:r w:rsidR="00987DDC">
        <w:rPr>
          <w:noProof/>
        </w:rPr>
        <w:t> </w:t>
      </w:r>
      <w:r w:rsidR="00987DDC" w:rsidRPr="00987DDC">
        <w:rPr>
          <w:noProof/>
        </w:rPr>
        <w:t>cel</w:t>
      </w:r>
      <w:r w:rsidRPr="00987DDC">
        <w:rPr>
          <w:noProof/>
        </w:rPr>
        <w:t>u omówienia</w:t>
      </w:r>
      <w:r w:rsidR="00987DDC" w:rsidRPr="00987DDC">
        <w:rPr>
          <w:noProof/>
        </w:rPr>
        <w:t xml:space="preserve"> i</w:t>
      </w:r>
      <w:r w:rsidR="00987DDC">
        <w:rPr>
          <w:noProof/>
        </w:rPr>
        <w:t> </w:t>
      </w:r>
      <w:r w:rsidR="00987DDC" w:rsidRPr="00987DDC">
        <w:rPr>
          <w:noProof/>
        </w:rPr>
        <w:t>wsp</w:t>
      </w:r>
      <w:r w:rsidRPr="00987DDC">
        <w:rPr>
          <w:noProof/>
        </w:rPr>
        <w:t>ierania rozwoju ogólnoeuropejskiego podejścia do weryfikacji wieku. Prace te będą teraz kontynuowane</w:t>
      </w:r>
      <w:r w:rsidR="00987DDC" w:rsidRPr="00987DDC">
        <w:rPr>
          <w:noProof/>
        </w:rPr>
        <w:t xml:space="preserve"> w</w:t>
      </w:r>
      <w:r w:rsidR="00987DDC">
        <w:rPr>
          <w:noProof/>
        </w:rPr>
        <w:t> </w:t>
      </w:r>
      <w:r w:rsidR="00987DDC" w:rsidRPr="00987DDC">
        <w:rPr>
          <w:noProof/>
        </w:rPr>
        <w:t>Gru</w:t>
      </w:r>
      <w:r w:rsidRPr="00987DDC">
        <w:rPr>
          <w:noProof/>
        </w:rPr>
        <w:t>pie Roboczej ds. Ochrony Nieletnich</w:t>
      </w:r>
      <w:r w:rsidR="00987DDC" w:rsidRPr="00987DDC">
        <w:rPr>
          <w:noProof/>
        </w:rPr>
        <w:t xml:space="preserve"> w</w:t>
      </w:r>
      <w:r w:rsidR="00987DDC">
        <w:rPr>
          <w:noProof/>
        </w:rPr>
        <w:t> </w:t>
      </w:r>
      <w:r w:rsidR="00987DDC" w:rsidRPr="00987DDC">
        <w:rPr>
          <w:noProof/>
        </w:rPr>
        <w:t>ram</w:t>
      </w:r>
      <w:r w:rsidRPr="00987DDC">
        <w:rPr>
          <w:noProof/>
        </w:rPr>
        <w:t>ach Rady ds. Usług Cyfrowych</w:t>
      </w:r>
      <w:r w:rsidR="00987DDC" w:rsidRPr="00987DDC">
        <w:rPr>
          <w:noProof/>
        </w:rPr>
        <w:t>. W</w:t>
      </w:r>
      <w:r w:rsidR="00987DDC">
        <w:rPr>
          <w:noProof/>
        </w:rPr>
        <w:t> </w:t>
      </w:r>
      <w:r w:rsidR="00987DDC" w:rsidRPr="00987DDC">
        <w:rPr>
          <w:noProof/>
        </w:rPr>
        <w:t>kon</w:t>
      </w:r>
      <w:r w:rsidRPr="00987DDC">
        <w:rPr>
          <w:noProof/>
        </w:rPr>
        <w:t>tekście rozporządzenia</w:t>
      </w:r>
      <w:r w:rsidR="00987DDC" w:rsidRPr="00987DDC">
        <w:rPr>
          <w:noProof/>
        </w:rPr>
        <w:t xml:space="preserve"> w</w:t>
      </w:r>
      <w:r w:rsidR="00987DDC">
        <w:rPr>
          <w:noProof/>
        </w:rPr>
        <w:t> </w:t>
      </w:r>
      <w:r w:rsidR="00987DDC" w:rsidRPr="00987DDC">
        <w:rPr>
          <w:noProof/>
        </w:rPr>
        <w:t>spr</w:t>
      </w:r>
      <w:r w:rsidRPr="00987DDC">
        <w:rPr>
          <w:noProof/>
        </w:rPr>
        <w:t>awie europejskiej tożsamości cyfrowej (</w:t>
      </w:r>
      <w:r w:rsidRPr="00987DDC">
        <w:rPr>
          <w:rStyle w:val="FootnoteReference"/>
          <w:noProof/>
        </w:rPr>
        <w:footnoteReference w:id="116"/>
      </w:r>
      <w:r w:rsidRPr="00987DDC">
        <w:rPr>
          <w:noProof/>
        </w:rPr>
        <w:t>), które weszło</w:t>
      </w:r>
      <w:r w:rsidR="00987DDC" w:rsidRPr="00987DDC">
        <w:rPr>
          <w:noProof/>
        </w:rPr>
        <w:t xml:space="preserve"> w</w:t>
      </w:r>
      <w:r w:rsidR="00987DDC">
        <w:rPr>
          <w:noProof/>
        </w:rPr>
        <w:t> </w:t>
      </w:r>
      <w:r w:rsidR="00987DDC" w:rsidRPr="00987DDC">
        <w:rPr>
          <w:noProof/>
        </w:rPr>
        <w:t>życ</w:t>
      </w:r>
      <w:r w:rsidRPr="00987DDC">
        <w:rPr>
          <w:noProof/>
        </w:rPr>
        <w:t>ie</w:t>
      </w:r>
      <w:r w:rsidR="00987DDC" w:rsidRPr="00987DDC">
        <w:rPr>
          <w:noProof/>
        </w:rPr>
        <w:t xml:space="preserve"> w</w:t>
      </w:r>
      <w:r w:rsidR="00987DDC">
        <w:rPr>
          <w:noProof/>
        </w:rPr>
        <w:t> </w:t>
      </w:r>
      <w:r w:rsidR="00987DDC" w:rsidRPr="00987DDC">
        <w:rPr>
          <w:noProof/>
        </w:rPr>
        <w:t>maj</w:t>
      </w:r>
      <w:r w:rsidRPr="00987DDC">
        <w:rPr>
          <w:noProof/>
        </w:rPr>
        <w:t>u 2024</w:t>
      </w:r>
      <w:r w:rsidR="00987DDC" w:rsidRPr="00987DDC">
        <w:rPr>
          <w:noProof/>
        </w:rPr>
        <w:t> </w:t>
      </w:r>
      <w:r w:rsidRPr="00987DDC">
        <w:rPr>
          <w:noProof/>
        </w:rPr>
        <w:t>r., Komisja pracuje nad zapewnieniem, aby europejski portfel tożsamości cyfrowej był oferowany wszystkim obywatelom</w:t>
      </w:r>
      <w:r w:rsidR="00987DDC" w:rsidRPr="00987DDC">
        <w:rPr>
          <w:noProof/>
        </w:rPr>
        <w:t xml:space="preserve"> i</w:t>
      </w:r>
      <w:r w:rsidR="00987DDC">
        <w:rPr>
          <w:noProof/>
        </w:rPr>
        <w:t> </w:t>
      </w:r>
      <w:r w:rsidR="00987DDC" w:rsidRPr="00987DDC">
        <w:rPr>
          <w:noProof/>
        </w:rPr>
        <w:t>mie</w:t>
      </w:r>
      <w:r w:rsidRPr="00987DDC">
        <w:rPr>
          <w:noProof/>
        </w:rPr>
        <w:t>szkańcom UE</w:t>
      </w:r>
      <w:r w:rsidR="00987DDC" w:rsidRPr="00987DDC">
        <w:rPr>
          <w:noProof/>
        </w:rPr>
        <w:t xml:space="preserve"> w</w:t>
      </w:r>
      <w:r w:rsidR="00987DDC">
        <w:rPr>
          <w:noProof/>
        </w:rPr>
        <w:t> </w:t>
      </w:r>
      <w:r w:rsidR="00987DDC" w:rsidRPr="00987DDC">
        <w:rPr>
          <w:noProof/>
        </w:rPr>
        <w:t>2</w:t>
      </w:r>
      <w:r w:rsidRPr="00987DDC">
        <w:rPr>
          <w:noProof/>
        </w:rPr>
        <w:t>026</w:t>
      </w:r>
      <w:r w:rsidR="00987DDC" w:rsidRPr="00987DDC">
        <w:rPr>
          <w:noProof/>
        </w:rPr>
        <w:t> </w:t>
      </w:r>
      <w:r w:rsidRPr="00987DDC">
        <w:rPr>
          <w:noProof/>
        </w:rPr>
        <w:t>r.,</w:t>
      </w:r>
      <w:r w:rsidR="00987DDC" w:rsidRPr="00987DDC">
        <w:rPr>
          <w:noProof/>
        </w:rPr>
        <w:t xml:space="preserve"> w</w:t>
      </w:r>
      <w:r w:rsidR="00987DDC">
        <w:rPr>
          <w:noProof/>
        </w:rPr>
        <w:t> </w:t>
      </w:r>
      <w:r w:rsidR="00987DDC" w:rsidRPr="00987DDC">
        <w:rPr>
          <w:noProof/>
        </w:rPr>
        <w:t>tym</w:t>
      </w:r>
      <w:r w:rsidRPr="00987DDC">
        <w:rPr>
          <w:noProof/>
        </w:rPr>
        <w:t xml:space="preserve"> na potrzeby weryfikacji wieku. Tymczasem, zanim ekosystem portfela stanie się</w:t>
      </w:r>
      <w:r w:rsidR="00987DDC" w:rsidRPr="00987DDC">
        <w:rPr>
          <w:noProof/>
        </w:rPr>
        <w:t xml:space="preserve"> w</w:t>
      </w:r>
      <w:r w:rsidR="00987DDC">
        <w:rPr>
          <w:noProof/>
        </w:rPr>
        <w:t> </w:t>
      </w:r>
      <w:r w:rsidR="00987DDC" w:rsidRPr="00987DDC">
        <w:rPr>
          <w:noProof/>
        </w:rPr>
        <w:t>peł</w:t>
      </w:r>
      <w:r w:rsidRPr="00987DDC">
        <w:rPr>
          <w:noProof/>
        </w:rPr>
        <w:t>ni operacyjny, opracowane zostanie krótkoterminowe rozwiązanie służące weryfikacji wieku, które będzie dostępne</w:t>
      </w:r>
      <w:r w:rsidR="00987DDC" w:rsidRPr="00987DDC">
        <w:rPr>
          <w:noProof/>
        </w:rPr>
        <w:t xml:space="preserve"> w</w:t>
      </w:r>
      <w:r w:rsidR="00987DDC">
        <w:rPr>
          <w:noProof/>
        </w:rPr>
        <w:t> </w:t>
      </w:r>
      <w:r w:rsidR="00987DDC" w:rsidRPr="00987DDC">
        <w:rPr>
          <w:noProof/>
        </w:rPr>
        <w:t>cał</w:t>
      </w:r>
      <w:r w:rsidRPr="00987DDC">
        <w:rPr>
          <w:noProof/>
        </w:rPr>
        <w:t>ej UE.</w:t>
      </w:r>
    </w:p>
    <w:p w14:paraId="18054E1D" w14:textId="38895E99" w:rsidR="00245C9A" w:rsidRPr="00987DDC" w:rsidRDefault="00224CD1" w:rsidP="0003154B">
      <w:pPr>
        <w:pStyle w:val="Heading1"/>
        <w:rPr>
          <w:noProof/>
        </w:rPr>
      </w:pPr>
      <w:bookmarkStart w:id="32" w:name="_Toc165303757"/>
      <w:r w:rsidRPr="00987DDC">
        <w:rPr>
          <w:noProof/>
        </w:rPr>
        <w:t>Możliwości</w:t>
      </w:r>
      <w:r w:rsidR="00987DDC" w:rsidRPr="00987DDC">
        <w:rPr>
          <w:noProof/>
        </w:rPr>
        <w:t xml:space="preserve"> i</w:t>
      </w:r>
      <w:r w:rsidR="00987DDC">
        <w:rPr>
          <w:noProof/>
        </w:rPr>
        <w:t> </w:t>
      </w:r>
      <w:r w:rsidR="00987DDC" w:rsidRPr="00987DDC">
        <w:rPr>
          <w:noProof/>
        </w:rPr>
        <w:t>wyz</w:t>
      </w:r>
      <w:r w:rsidRPr="00987DDC">
        <w:rPr>
          <w:noProof/>
        </w:rPr>
        <w:t>wania dla organizacji,</w:t>
      </w:r>
      <w:r w:rsidR="00987DDC" w:rsidRPr="00987DDC">
        <w:rPr>
          <w:noProof/>
        </w:rPr>
        <w:t xml:space="preserve"> w</w:t>
      </w:r>
      <w:r w:rsidR="00987DDC">
        <w:rPr>
          <w:noProof/>
        </w:rPr>
        <w:t> </w:t>
      </w:r>
      <w:r w:rsidR="00987DDC" w:rsidRPr="00987DDC">
        <w:rPr>
          <w:noProof/>
        </w:rPr>
        <w:t>szc</w:t>
      </w:r>
      <w:r w:rsidRPr="00987DDC">
        <w:rPr>
          <w:noProof/>
        </w:rPr>
        <w:t>zególności</w:t>
      </w:r>
      <w:bookmarkEnd w:id="32"/>
      <w:r w:rsidRPr="00987DDC">
        <w:rPr>
          <w:noProof/>
        </w:rPr>
        <w:t xml:space="preserve"> MŚP</w:t>
      </w:r>
    </w:p>
    <w:p w14:paraId="35E9C5A8" w14:textId="38526640" w:rsidR="004D4501" w:rsidRPr="00987DDC" w:rsidRDefault="00FE410F" w:rsidP="004D4501">
      <w:pPr>
        <w:pStyle w:val="Text3"/>
        <w:ind w:left="0"/>
        <w:rPr>
          <w:noProof/>
        </w:rPr>
      </w:pPr>
      <w:r w:rsidRPr="00987DDC">
        <w:rPr>
          <w:noProof/>
        </w:rPr>
        <w:t>RODO stworzyło równe warunki działania dla przedsiębiorstw działających na rynku wewnętrznym,</w:t>
      </w:r>
      <w:r w:rsidR="00987DDC" w:rsidRPr="00987DDC">
        <w:rPr>
          <w:noProof/>
        </w:rPr>
        <w:t xml:space="preserve"> a</w:t>
      </w:r>
      <w:r w:rsidR="00987DDC">
        <w:rPr>
          <w:noProof/>
        </w:rPr>
        <w:t> </w:t>
      </w:r>
      <w:r w:rsidR="00987DDC" w:rsidRPr="00987DDC">
        <w:rPr>
          <w:noProof/>
        </w:rPr>
        <w:t>neu</w:t>
      </w:r>
      <w:r w:rsidRPr="00987DDC">
        <w:rPr>
          <w:noProof/>
        </w:rPr>
        <w:t>tralne pod względem technologicznym</w:t>
      </w:r>
      <w:r w:rsidR="00987DDC" w:rsidRPr="00987DDC">
        <w:rPr>
          <w:noProof/>
        </w:rPr>
        <w:t xml:space="preserve"> i</w:t>
      </w:r>
      <w:r w:rsidR="00987DDC">
        <w:rPr>
          <w:noProof/>
        </w:rPr>
        <w:t> </w:t>
      </w:r>
      <w:r w:rsidR="00987DDC" w:rsidRPr="00987DDC">
        <w:rPr>
          <w:noProof/>
        </w:rPr>
        <w:t>spr</w:t>
      </w:r>
      <w:r w:rsidRPr="00987DDC">
        <w:rPr>
          <w:noProof/>
        </w:rPr>
        <w:t>zyjające innowacjom podejście pozwala przedsiębiorstwom na ograniczenie biurokracji oraz czerpanie korzyści</w:t>
      </w:r>
      <w:r w:rsidR="00987DDC" w:rsidRPr="00987DDC">
        <w:rPr>
          <w:noProof/>
        </w:rPr>
        <w:t xml:space="preserve"> z</w:t>
      </w:r>
      <w:r w:rsidR="00987DDC">
        <w:rPr>
          <w:noProof/>
        </w:rPr>
        <w:t> </w:t>
      </w:r>
      <w:r w:rsidR="00987DDC" w:rsidRPr="00987DDC">
        <w:rPr>
          <w:noProof/>
        </w:rPr>
        <w:t>wię</w:t>
      </w:r>
      <w:r w:rsidRPr="00987DDC">
        <w:rPr>
          <w:noProof/>
        </w:rPr>
        <w:t>kszego zaufania konsumentów (</w:t>
      </w:r>
      <w:r w:rsidRPr="00987DDC">
        <w:rPr>
          <w:noProof/>
          <w:vertAlign w:val="superscript"/>
        </w:rPr>
        <w:footnoteReference w:id="117"/>
      </w:r>
      <w:r w:rsidRPr="00987DDC">
        <w:rPr>
          <w:noProof/>
        </w:rPr>
        <w:t>). Wiele przedsiębiorstw opracowało wewnętrzną kulturę ochrony danych oraz postrzegania prywatności</w:t>
      </w:r>
      <w:r w:rsidR="00987DDC" w:rsidRPr="00987DDC">
        <w:rPr>
          <w:noProof/>
        </w:rPr>
        <w:t xml:space="preserve"> i</w:t>
      </w:r>
      <w:r w:rsidR="00987DDC">
        <w:rPr>
          <w:noProof/>
        </w:rPr>
        <w:t> </w:t>
      </w:r>
      <w:r w:rsidR="00987DDC" w:rsidRPr="00987DDC">
        <w:rPr>
          <w:noProof/>
        </w:rPr>
        <w:t>och</w:t>
      </w:r>
      <w:r w:rsidRPr="00987DDC">
        <w:rPr>
          <w:noProof/>
        </w:rPr>
        <w:t>rony danych jako kluczowych aspektów konkurencyjności. Przedsiębiorstwa cenią podejście oparte na analizie ryzyka zawarte w RODO jako zasadę przewodnią umożliwiającą elastyczność</w:t>
      </w:r>
      <w:r w:rsidR="00987DDC" w:rsidRPr="00987DDC">
        <w:rPr>
          <w:noProof/>
        </w:rPr>
        <w:t xml:space="preserve"> i</w:t>
      </w:r>
      <w:r w:rsidR="00987DDC">
        <w:rPr>
          <w:noProof/>
        </w:rPr>
        <w:t> </w:t>
      </w:r>
      <w:r w:rsidR="00987DDC" w:rsidRPr="00987DDC">
        <w:rPr>
          <w:noProof/>
        </w:rPr>
        <w:t>ska</w:t>
      </w:r>
      <w:r w:rsidRPr="00987DDC">
        <w:rPr>
          <w:noProof/>
        </w:rPr>
        <w:t>lowalność ich obowiązków (</w:t>
      </w:r>
      <w:r w:rsidRPr="00987DDC">
        <w:rPr>
          <w:rStyle w:val="FootnoteReference"/>
          <w:noProof/>
        </w:rPr>
        <w:footnoteReference w:id="118"/>
      </w:r>
      <w:r w:rsidRPr="00987DDC">
        <w:rPr>
          <w:noProof/>
        </w:rPr>
        <w:t>).</w:t>
      </w:r>
    </w:p>
    <w:p w14:paraId="097F88E8" w14:textId="38F33DF3" w:rsidR="006F0EA7" w:rsidRPr="00987DDC" w:rsidRDefault="006F0EA7" w:rsidP="00547296">
      <w:pPr>
        <w:pStyle w:val="Heading2"/>
        <w:rPr>
          <w:noProof/>
        </w:rPr>
      </w:pPr>
      <w:bookmarkStart w:id="33" w:name="_Toc165303758"/>
      <w:r w:rsidRPr="00987DDC">
        <w:rPr>
          <w:noProof/>
        </w:rPr>
        <w:t>Zestaw narzędzi dla przedsiębiorstw</w:t>
      </w:r>
      <w:bookmarkEnd w:id="33"/>
    </w:p>
    <w:p w14:paraId="4F50DA7D" w14:textId="5D8664C4" w:rsidR="006F0EA7" w:rsidRPr="00987DDC" w:rsidRDefault="00AB63FC" w:rsidP="00F9148F">
      <w:pPr>
        <w:pStyle w:val="Text3"/>
        <w:spacing w:line="259" w:lineRule="auto"/>
        <w:ind w:left="0"/>
        <w:rPr>
          <w:noProof/>
        </w:rPr>
      </w:pPr>
      <w:r w:rsidRPr="00987DDC">
        <w:rPr>
          <w:noProof/>
        </w:rPr>
        <w:t>RODO zapewnia zestaw instrumentów umożliwiających organizacjom elastyczne zarządzanie</w:t>
      </w:r>
      <w:r w:rsidR="00987DDC" w:rsidRPr="00987DDC">
        <w:rPr>
          <w:noProof/>
        </w:rPr>
        <w:t xml:space="preserve"> i</w:t>
      </w:r>
      <w:r w:rsidR="00987DDC">
        <w:rPr>
          <w:noProof/>
        </w:rPr>
        <w:t> </w:t>
      </w:r>
      <w:r w:rsidR="00987DDC" w:rsidRPr="00987DDC">
        <w:rPr>
          <w:noProof/>
        </w:rPr>
        <w:t>wyk</w:t>
      </w:r>
      <w:r w:rsidRPr="00987DDC">
        <w:rPr>
          <w:noProof/>
        </w:rPr>
        <w:t>azanie zgodności</w:t>
      </w:r>
      <w:r w:rsidR="00987DDC" w:rsidRPr="00987DDC">
        <w:rPr>
          <w:noProof/>
        </w:rPr>
        <w:t xml:space="preserve"> z</w:t>
      </w:r>
      <w:r w:rsidR="00987DDC">
        <w:rPr>
          <w:noProof/>
        </w:rPr>
        <w:t> </w:t>
      </w:r>
      <w:r w:rsidR="00987DDC" w:rsidRPr="00987DDC">
        <w:rPr>
          <w:noProof/>
        </w:rPr>
        <w:t>obo</w:t>
      </w:r>
      <w:r w:rsidRPr="00987DDC">
        <w:rPr>
          <w:noProof/>
        </w:rPr>
        <w:t>wiązującymi przepisami,</w:t>
      </w:r>
      <w:r w:rsidR="00987DDC" w:rsidRPr="00987DDC">
        <w:rPr>
          <w:noProof/>
        </w:rPr>
        <w:t xml:space="preserve"> w</w:t>
      </w:r>
      <w:r w:rsidR="00987DDC">
        <w:rPr>
          <w:noProof/>
        </w:rPr>
        <w:t> </w:t>
      </w:r>
      <w:r w:rsidR="00987DDC" w:rsidRPr="00987DDC">
        <w:rPr>
          <w:noProof/>
        </w:rPr>
        <w:t>tym</w:t>
      </w:r>
      <w:r w:rsidRPr="00987DDC">
        <w:rPr>
          <w:noProof/>
        </w:rPr>
        <w:t xml:space="preserve"> kodeksy postępowania, mechanizmy certyfikacji</w:t>
      </w:r>
      <w:r w:rsidR="00987DDC" w:rsidRPr="00987DDC">
        <w:rPr>
          <w:noProof/>
        </w:rPr>
        <w:t xml:space="preserve"> i</w:t>
      </w:r>
      <w:r w:rsidR="00987DDC">
        <w:rPr>
          <w:noProof/>
        </w:rPr>
        <w:t> </w:t>
      </w:r>
      <w:r w:rsidR="00987DDC" w:rsidRPr="00987DDC">
        <w:rPr>
          <w:noProof/>
        </w:rPr>
        <w:t>sta</w:t>
      </w:r>
      <w:r w:rsidRPr="00987DDC">
        <w:rPr>
          <w:noProof/>
        </w:rPr>
        <w:t>ndardowe klauzule umowne. Jak zapowiedziano</w:t>
      </w:r>
      <w:r w:rsidR="00987DDC" w:rsidRPr="00987DDC">
        <w:rPr>
          <w:noProof/>
        </w:rPr>
        <w:t xml:space="preserve"> w</w:t>
      </w:r>
      <w:r w:rsidR="00987DDC">
        <w:rPr>
          <w:noProof/>
        </w:rPr>
        <w:t> </w:t>
      </w:r>
      <w:r w:rsidR="00987DDC" w:rsidRPr="00987DDC">
        <w:rPr>
          <w:noProof/>
        </w:rPr>
        <w:t>spr</w:t>
      </w:r>
      <w:r w:rsidRPr="00987DDC">
        <w:rPr>
          <w:noProof/>
        </w:rPr>
        <w:t>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w:t>
      </w:r>
      <w:r w:rsidR="00987DDC" w:rsidRPr="00987DDC">
        <w:rPr>
          <w:noProof/>
        </w:rPr>
        <w:t xml:space="preserve"> w</w:t>
      </w:r>
      <w:r w:rsidR="00987DDC">
        <w:rPr>
          <w:noProof/>
        </w:rPr>
        <w:t> </w:t>
      </w:r>
      <w:r w:rsidR="00987DDC" w:rsidRPr="00987DDC">
        <w:rPr>
          <w:noProof/>
        </w:rPr>
        <w:t>2</w:t>
      </w:r>
      <w:r w:rsidRPr="00987DDC">
        <w:rPr>
          <w:noProof/>
        </w:rPr>
        <w:t>021</w:t>
      </w:r>
      <w:r w:rsidR="00987DDC" w:rsidRPr="00987DDC">
        <w:rPr>
          <w:noProof/>
        </w:rPr>
        <w:t> </w:t>
      </w:r>
      <w:r w:rsidRPr="00987DDC">
        <w:rPr>
          <w:noProof/>
        </w:rPr>
        <w:t>r. Komisja przyjęła standardowe klauzule umowne dotyczące stosunków między administratorami</w:t>
      </w:r>
      <w:r w:rsidR="00987DDC" w:rsidRPr="00987DDC">
        <w:rPr>
          <w:noProof/>
        </w:rPr>
        <w:t xml:space="preserve"> a</w:t>
      </w:r>
      <w:r w:rsidR="00987DDC">
        <w:rPr>
          <w:noProof/>
        </w:rPr>
        <w:t> </w:t>
      </w:r>
      <w:r w:rsidR="00987DDC" w:rsidRPr="00987DDC">
        <w:rPr>
          <w:noProof/>
        </w:rPr>
        <w:t>pod</w:t>
      </w:r>
      <w:r w:rsidRPr="00987DDC">
        <w:rPr>
          <w:noProof/>
        </w:rPr>
        <w:t>miotami przetwarzającymi (</w:t>
      </w:r>
      <w:r w:rsidRPr="00987DDC">
        <w:rPr>
          <w:rStyle w:val="FootnoteReference"/>
          <w:noProof/>
        </w:rPr>
        <w:footnoteReference w:id="119"/>
      </w:r>
      <w:r w:rsidRPr="00987DDC">
        <w:rPr>
          <w:noProof/>
        </w:rPr>
        <w:t>). Te standardowe klauzule umowne stanowią gotowe</w:t>
      </w:r>
      <w:r w:rsidR="00987DDC" w:rsidRPr="00987DDC">
        <w:rPr>
          <w:noProof/>
        </w:rPr>
        <w:t xml:space="preserve"> i</w:t>
      </w:r>
      <w:r w:rsidR="00987DDC">
        <w:rPr>
          <w:noProof/>
        </w:rPr>
        <w:t> </w:t>
      </w:r>
      <w:r w:rsidR="00987DDC" w:rsidRPr="00987DDC">
        <w:rPr>
          <w:noProof/>
        </w:rPr>
        <w:t>łat</w:t>
      </w:r>
      <w:r w:rsidRPr="00987DDC">
        <w:rPr>
          <w:noProof/>
        </w:rPr>
        <w:t>we do wdrożenia narzędzie dobrowolnego przestrzegania przepisów, które jest szczególnie przydatne dla MŚP lub organizacji, które mogą nie dysponować zasobami na potrzeby negocjowania indywidualnych umów</w:t>
      </w:r>
      <w:r w:rsidR="00987DDC" w:rsidRPr="00987DDC">
        <w:rPr>
          <w:noProof/>
        </w:rPr>
        <w:t xml:space="preserve"> z</w:t>
      </w:r>
      <w:r w:rsidR="00987DDC">
        <w:rPr>
          <w:noProof/>
        </w:rPr>
        <w:t> </w:t>
      </w:r>
      <w:r w:rsidR="00987DDC" w:rsidRPr="00987DDC">
        <w:rPr>
          <w:noProof/>
        </w:rPr>
        <w:t>par</w:t>
      </w:r>
      <w:r w:rsidRPr="00987DDC">
        <w:rPr>
          <w:noProof/>
        </w:rPr>
        <w:t>tnerami handlowymi. Przedsiębiorstwa przekazują rozmaite informacje zwrotne na temat stosowania standardowych klauzul umownych: niektóre przedsiębiorstwa (głównie MŚP) wykorzystują je</w:t>
      </w:r>
      <w:r w:rsidR="00987DDC" w:rsidRPr="00987DDC">
        <w:rPr>
          <w:noProof/>
        </w:rPr>
        <w:t xml:space="preserve"> w</w:t>
      </w:r>
      <w:r w:rsidR="00987DDC">
        <w:rPr>
          <w:noProof/>
        </w:rPr>
        <w:t> </w:t>
      </w:r>
      <w:r w:rsidR="00987DDC" w:rsidRPr="00987DDC">
        <w:rPr>
          <w:noProof/>
        </w:rPr>
        <w:t>cał</w:t>
      </w:r>
      <w:r w:rsidRPr="00987DDC">
        <w:rPr>
          <w:noProof/>
        </w:rPr>
        <w:t>ości lub częściowo, podczas gdy inne (głównie większe przedsiębiorstwa) zazwyczaj ich nie stosują, ponieważ wolą stosować własne klauzule.</w:t>
      </w:r>
    </w:p>
    <w:p w14:paraId="4CA2CDBC" w14:textId="1A8C7CAC" w:rsidR="00601727" w:rsidRPr="00987DDC" w:rsidRDefault="00ED1C09" w:rsidP="0029406C">
      <w:pPr>
        <w:pStyle w:val="Text3"/>
        <w:ind w:left="0"/>
        <w:rPr>
          <w:noProof/>
        </w:rPr>
      </w:pPr>
      <w:r w:rsidRPr="00987DDC">
        <w:rPr>
          <w:noProof/>
        </w:rPr>
        <w:t>Przedsiębiorstwa podkreślają, że kodeksy postępowania mają duży potencjał jako sektorowe</w:t>
      </w:r>
      <w:r w:rsidR="00987DDC" w:rsidRPr="00987DDC">
        <w:rPr>
          <w:noProof/>
        </w:rPr>
        <w:t xml:space="preserve"> i</w:t>
      </w:r>
      <w:r w:rsidR="00987DDC">
        <w:rPr>
          <w:noProof/>
        </w:rPr>
        <w:t> </w:t>
      </w:r>
      <w:r w:rsidR="00987DDC" w:rsidRPr="00987DDC">
        <w:rPr>
          <w:noProof/>
        </w:rPr>
        <w:t>opł</w:t>
      </w:r>
      <w:r w:rsidRPr="00987DDC">
        <w:rPr>
          <w:noProof/>
        </w:rPr>
        <w:t>acalne narzędzie służące przestrzeganiu przepisów (</w:t>
      </w:r>
      <w:r w:rsidRPr="00987DDC">
        <w:rPr>
          <w:rStyle w:val="FootnoteReference"/>
          <w:noProof/>
        </w:rPr>
        <w:footnoteReference w:id="120"/>
      </w:r>
      <w:r w:rsidRPr="00987DDC">
        <w:rPr>
          <w:noProof/>
        </w:rPr>
        <w:t>). Efekty prac nad kodeksami postępowania są jednak ograniczone (</w:t>
      </w:r>
      <w:r w:rsidRPr="00987DDC">
        <w:rPr>
          <w:rStyle w:val="FootnoteReference"/>
          <w:noProof/>
        </w:rPr>
        <w:footnoteReference w:id="121"/>
      </w:r>
      <w:r w:rsidRPr="00987DDC">
        <w:rPr>
          <w:noProof/>
        </w:rPr>
        <w:t>). Zgodnie</w:t>
      </w:r>
      <w:r w:rsidR="00987DDC" w:rsidRPr="00987DDC">
        <w:rPr>
          <w:noProof/>
        </w:rPr>
        <w:t xml:space="preserve"> z</w:t>
      </w:r>
      <w:r w:rsidR="00987DDC">
        <w:rPr>
          <w:noProof/>
        </w:rPr>
        <w:t> </w:t>
      </w:r>
      <w:r w:rsidR="00987DDC" w:rsidRPr="00987DDC">
        <w:rPr>
          <w:noProof/>
        </w:rPr>
        <w:t>inf</w:t>
      </w:r>
      <w:r w:rsidRPr="00987DDC">
        <w:rPr>
          <w:noProof/>
        </w:rPr>
        <w:t>ormacjami dostępnymi na chwilę obecną zatwierdzono tylko dwa ogólnounijne kodeksy (oba</w:t>
      </w:r>
      <w:r w:rsidR="00987DDC" w:rsidRPr="00987DDC">
        <w:rPr>
          <w:noProof/>
        </w:rPr>
        <w:t xml:space="preserve"> w</w:t>
      </w:r>
      <w:r w:rsidR="00987DDC">
        <w:rPr>
          <w:noProof/>
        </w:rPr>
        <w:t> </w:t>
      </w:r>
      <w:r w:rsidR="00987DDC" w:rsidRPr="00987DDC">
        <w:rPr>
          <w:noProof/>
        </w:rPr>
        <w:t>sek</w:t>
      </w:r>
      <w:r w:rsidRPr="00987DDC">
        <w:rPr>
          <w:noProof/>
        </w:rPr>
        <w:t>torze chmury obliczeniowej), natomiast na szczeblu krajowym zatwierdzono sześć kodeksów (</w:t>
      </w:r>
      <w:r w:rsidRPr="00987DDC">
        <w:rPr>
          <w:rStyle w:val="FootnoteReference"/>
          <w:noProof/>
        </w:rPr>
        <w:footnoteReference w:id="122"/>
      </w:r>
      <w:r w:rsidRPr="00987DDC">
        <w:rPr>
          <w:noProof/>
        </w:rPr>
        <w:t>). Zainteresowane strony wskazują uciążliwe wymogi (w tym potrzebę ustanowienia akredytowanego podmiotu monitorującego), brak zaangażowania ze strony organów ochrony danych oraz długotrwały proces zatwierdzania jako główne czynniki ograniczające stosowanie kodeksów postępowania (</w:t>
      </w:r>
      <w:r w:rsidRPr="00987DDC">
        <w:rPr>
          <w:rStyle w:val="FootnoteReference"/>
          <w:noProof/>
        </w:rPr>
        <w:footnoteReference w:id="123"/>
      </w:r>
      <w:r w:rsidRPr="00987DDC">
        <w:rPr>
          <w:noProof/>
        </w:rPr>
        <w:t xml:space="preserve">). </w:t>
      </w:r>
    </w:p>
    <w:p w14:paraId="655D6DEF" w14:textId="6FD7D1BF" w:rsidR="006D051D" w:rsidRPr="00987DDC" w:rsidRDefault="008C3D3D" w:rsidP="0029406C">
      <w:pPr>
        <w:pStyle w:val="Text3"/>
        <w:ind w:left="0"/>
        <w:rPr>
          <w:noProof/>
        </w:rPr>
      </w:pPr>
      <w:r w:rsidRPr="00987DDC">
        <w:rPr>
          <w:noProof/>
        </w:rPr>
        <w:t>Istnieje potrzeba zwiększenia przejrzystości procesu oraz jasnego określenia terminów zatwierdzania. Organy ochrony danych,</w:t>
      </w:r>
      <w:r w:rsidR="00987DDC" w:rsidRPr="00987DDC">
        <w:rPr>
          <w:noProof/>
        </w:rPr>
        <w:t xml:space="preserve"> a</w:t>
      </w:r>
      <w:r w:rsidR="00987DDC">
        <w:rPr>
          <w:noProof/>
        </w:rPr>
        <w:t> </w:t>
      </w:r>
      <w:r w:rsidR="00987DDC" w:rsidRPr="00987DDC">
        <w:rPr>
          <w:noProof/>
        </w:rPr>
        <w:t>w</w:t>
      </w:r>
      <w:r w:rsidR="00987DDC">
        <w:rPr>
          <w:noProof/>
        </w:rPr>
        <w:t> </w:t>
      </w:r>
      <w:r w:rsidR="00987DDC" w:rsidRPr="00987DDC">
        <w:rPr>
          <w:noProof/>
        </w:rPr>
        <w:t>prz</w:t>
      </w:r>
      <w:r w:rsidRPr="00987DDC">
        <w:rPr>
          <w:noProof/>
        </w:rPr>
        <w:t>ypadku kodeksów ogólnounijnych – EROD, powinny aktywniej zachęcać do opracowywania kodeksów postępowania poprzez współpracę ze stowarzyszeniami opracowującymi kodeksy. Pomoże to uporać się</w:t>
      </w:r>
      <w:r w:rsidR="00987DDC" w:rsidRPr="00987DDC">
        <w:rPr>
          <w:noProof/>
        </w:rPr>
        <w:t xml:space="preserve"> z</w:t>
      </w:r>
      <w:r w:rsidR="00987DDC">
        <w:rPr>
          <w:noProof/>
        </w:rPr>
        <w:t> </w:t>
      </w:r>
      <w:r w:rsidR="00987DDC" w:rsidRPr="00987DDC">
        <w:rPr>
          <w:noProof/>
        </w:rPr>
        <w:t>roz</w:t>
      </w:r>
      <w:r w:rsidRPr="00987DDC">
        <w:rPr>
          <w:noProof/>
        </w:rPr>
        <w:t>bieżnościami interpretacyjnymi oraz przyspieszyć proces zatwierdzania. Zainteresowane strony ubolewają nad dużymi opóźnieniami</w:t>
      </w:r>
      <w:r w:rsidR="00987DDC" w:rsidRPr="00987DDC">
        <w:rPr>
          <w:noProof/>
        </w:rPr>
        <w:t xml:space="preserve"> w</w:t>
      </w:r>
      <w:r w:rsidR="00987DDC">
        <w:rPr>
          <w:noProof/>
        </w:rPr>
        <w:t> </w:t>
      </w:r>
      <w:r w:rsidR="00987DDC" w:rsidRPr="00987DDC">
        <w:rPr>
          <w:noProof/>
        </w:rPr>
        <w:t>prz</w:t>
      </w:r>
      <w:r w:rsidRPr="00987DDC">
        <w:rPr>
          <w:noProof/>
        </w:rPr>
        <w:t>yjmowaniu kodeksów postępowania, które wynikają</w:t>
      </w:r>
      <w:r w:rsidR="00987DDC" w:rsidRPr="00987DDC">
        <w:rPr>
          <w:noProof/>
        </w:rPr>
        <w:t xml:space="preserve"> z</w:t>
      </w:r>
      <w:r w:rsidR="00987DDC">
        <w:rPr>
          <w:noProof/>
        </w:rPr>
        <w:t> </w:t>
      </w:r>
      <w:r w:rsidR="00987DDC" w:rsidRPr="00987DDC">
        <w:rPr>
          <w:noProof/>
        </w:rPr>
        <w:t>rów</w:t>
      </w:r>
      <w:r w:rsidRPr="00987DDC">
        <w:rPr>
          <w:noProof/>
        </w:rPr>
        <w:t>noległego omawiania różnych kwestii</w:t>
      </w:r>
      <w:r w:rsidR="00987DDC" w:rsidRPr="00987DDC">
        <w:rPr>
          <w:noProof/>
        </w:rPr>
        <w:t xml:space="preserve"> w</w:t>
      </w:r>
      <w:r w:rsidR="00987DDC">
        <w:rPr>
          <w:noProof/>
        </w:rPr>
        <w:t> </w:t>
      </w:r>
      <w:r w:rsidR="00987DDC" w:rsidRPr="00987DDC">
        <w:rPr>
          <w:noProof/>
        </w:rPr>
        <w:t>ram</w:t>
      </w:r>
      <w:r w:rsidRPr="00987DDC">
        <w:rPr>
          <w:noProof/>
        </w:rPr>
        <w:t>ach prac nad wytycznymi. Również przedsiębiorstwa zgłaszają, że certyfikacja nie jest powszechnie stosowana, ponieważ proces opracowywania jest powolny</w:t>
      </w:r>
      <w:r w:rsidR="00987DDC" w:rsidRPr="00987DDC">
        <w:rPr>
          <w:noProof/>
        </w:rPr>
        <w:t xml:space="preserve"> i</w:t>
      </w:r>
      <w:r w:rsidR="00987DDC">
        <w:rPr>
          <w:noProof/>
        </w:rPr>
        <w:t> </w:t>
      </w:r>
      <w:r w:rsidR="00987DDC" w:rsidRPr="00987DDC">
        <w:rPr>
          <w:noProof/>
        </w:rPr>
        <w:t>zło</w:t>
      </w:r>
      <w:r w:rsidRPr="00987DDC">
        <w:rPr>
          <w:noProof/>
        </w:rPr>
        <w:t>żony. Podobnie jak</w:t>
      </w:r>
      <w:r w:rsidR="00987DDC" w:rsidRPr="00987DDC">
        <w:rPr>
          <w:noProof/>
        </w:rPr>
        <w:t xml:space="preserve"> w</w:t>
      </w:r>
      <w:r w:rsidR="00987DDC">
        <w:rPr>
          <w:noProof/>
        </w:rPr>
        <w:t> </w:t>
      </w:r>
      <w:r w:rsidR="00987DDC" w:rsidRPr="00987DDC">
        <w:rPr>
          <w:noProof/>
        </w:rPr>
        <w:t>prz</w:t>
      </w:r>
      <w:r w:rsidRPr="00987DDC">
        <w:rPr>
          <w:noProof/>
        </w:rPr>
        <w:t>ypadku kodeksów postępowania organy ochrony danych powinny zapewnić jaśniej określone terminy przeglądu</w:t>
      </w:r>
      <w:r w:rsidR="00987DDC" w:rsidRPr="00987DDC">
        <w:rPr>
          <w:noProof/>
        </w:rPr>
        <w:t xml:space="preserve"> i</w:t>
      </w:r>
      <w:r w:rsidR="00987DDC">
        <w:rPr>
          <w:noProof/>
        </w:rPr>
        <w:t> </w:t>
      </w:r>
      <w:r w:rsidR="00987DDC" w:rsidRPr="00987DDC">
        <w:rPr>
          <w:noProof/>
        </w:rPr>
        <w:t>zat</w:t>
      </w:r>
      <w:r w:rsidRPr="00987DDC">
        <w:rPr>
          <w:noProof/>
        </w:rPr>
        <w:t xml:space="preserve">wierdzania certyfikacji. </w:t>
      </w:r>
    </w:p>
    <w:p w14:paraId="4EB33997" w14:textId="2D420940" w:rsidR="0029406C" w:rsidRPr="00987DDC" w:rsidRDefault="00330F3D" w:rsidP="0029406C">
      <w:pPr>
        <w:pStyle w:val="Text3"/>
        <w:ind w:left="0"/>
        <w:rPr>
          <w:noProof/>
        </w:rPr>
      </w:pPr>
      <w:r w:rsidRPr="00987DDC">
        <w:rPr>
          <w:noProof/>
        </w:rPr>
        <w:t>W swojej strategii na lata 2024–2027 EROD zobowiązała się do dalszego wspierania środków zgodności, takich jak certyfikacja</w:t>
      </w:r>
      <w:r w:rsidR="00987DDC" w:rsidRPr="00987DDC">
        <w:rPr>
          <w:noProof/>
        </w:rPr>
        <w:t xml:space="preserve"> i</w:t>
      </w:r>
      <w:r w:rsidR="00987DDC">
        <w:rPr>
          <w:noProof/>
        </w:rPr>
        <w:t> </w:t>
      </w:r>
      <w:r w:rsidR="00987DDC" w:rsidRPr="00987DDC">
        <w:rPr>
          <w:noProof/>
        </w:rPr>
        <w:t>kod</w:t>
      </w:r>
      <w:r w:rsidRPr="00987DDC">
        <w:rPr>
          <w:noProof/>
        </w:rPr>
        <w:t>eksy postępowania, m.in. poprzez współpracę</w:t>
      </w:r>
      <w:r w:rsidR="00987DDC" w:rsidRPr="00987DDC">
        <w:rPr>
          <w:noProof/>
        </w:rPr>
        <w:t xml:space="preserve"> z</w:t>
      </w:r>
      <w:r w:rsidR="00987DDC">
        <w:rPr>
          <w:noProof/>
        </w:rPr>
        <w:t> </w:t>
      </w:r>
      <w:r w:rsidR="00987DDC" w:rsidRPr="00987DDC">
        <w:rPr>
          <w:noProof/>
        </w:rPr>
        <w:t>klu</w:t>
      </w:r>
      <w:r w:rsidRPr="00987DDC">
        <w:rPr>
          <w:noProof/>
        </w:rPr>
        <w:t>czowymi grupami zainteresowanych stron</w:t>
      </w:r>
      <w:r w:rsidR="00987DDC" w:rsidRPr="00987DDC">
        <w:rPr>
          <w:noProof/>
        </w:rPr>
        <w:t xml:space="preserve"> w</w:t>
      </w:r>
      <w:r w:rsidR="00987DDC">
        <w:rPr>
          <w:noProof/>
        </w:rPr>
        <w:t> </w:t>
      </w:r>
      <w:r w:rsidR="00987DDC" w:rsidRPr="00987DDC">
        <w:rPr>
          <w:noProof/>
        </w:rPr>
        <w:t>zam</w:t>
      </w:r>
      <w:r w:rsidRPr="00987DDC">
        <w:rPr>
          <w:noProof/>
        </w:rPr>
        <w:t>iarze wyjaśniania,</w:t>
      </w:r>
      <w:r w:rsidR="00987DDC" w:rsidRPr="00987DDC">
        <w:rPr>
          <w:noProof/>
        </w:rPr>
        <w:t xml:space="preserve"> w</w:t>
      </w:r>
      <w:r w:rsidR="00987DDC">
        <w:rPr>
          <w:noProof/>
        </w:rPr>
        <w:t> </w:t>
      </w:r>
      <w:r w:rsidR="00987DDC" w:rsidRPr="00987DDC">
        <w:rPr>
          <w:noProof/>
        </w:rPr>
        <w:t>jak</w:t>
      </w:r>
      <w:r w:rsidRPr="00987DDC">
        <w:rPr>
          <w:noProof/>
        </w:rPr>
        <w:t>i sposób można wykorzystywać te narzędzia (</w:t>
      </w:r>
      <w:r w:rsidRPr="00987DDC">
        <w:rPr>
          <w:rStyle w:val="FootnoteReference"/>
          <w:noProof/>
        </w:rPr>
        <w:footnoteReference w:id="124"/>
      </w:r>
      <w:r w:rsidRPr="00987DDC">
        <w:rPr>
          <w:noProof/>
        </w:rPr>
        <w:t>).</w:t>
      </w:r>
    </w:p>
    <w:p w14:paraId="10114E0D" w14:textId="78F52375" w:rsidR="006F0EA7" w:rsidRPr="00987DDC" w:rsidRDefault="00266311" w:rsidP="00547296">
      <w:pPr>
        <w:pStyle w:val="Heading2"/>
        <w:rPr>
          <w:noProof/>
        </w:rPr>
      </w:pPr>
      <w:bookmarkStart w:id="34" w:name="_Toc165303759"/>
      <w:r w:rsidRPr="00987DDC">
        <w:rPr>
          <w:noProof/>
        </w:rPr>
        <w:t>Szczególne wyzwania dla MŚP</w:t>
      </w:r>
      <w:r w:rsidR="00987DDC" w:rsidRPr="00987DDC">
        <w:rPr>
          <w:noProof/>
        </w:rPr>
        <w:t xml:space="preserve"> i</w:t>
      </w:r>
      <w:r w:rsidR="00987DDC">
        <w:rPr>
          <w:noProof/>
        </w:rPr>
        <w:t> </w:t>
      </w:r>
      <w:r w:rsidR="00987DDC" w:rsidRPr="00987DDC">
        <w:rPr>
          <w:noProof/>
        </w:rPr>
        <w:t>mał</w:t>
      </w:r>
      <w:r w:rsidRPr="00987DDC">
        <w:rPr>
          <w:noProof/>
        </w:rPr>
        <w:t>ych podmiotów</w:t>
      </w:r>
      <w:bookmarkEnd w:id="34"/>
    </w:p>
    <w:p w14:paraId="07D74CFB" w14:textId="651AD519" w:rsidR="00BF7101" w:rsidRPr="00987DDC" w:rsidRDefault="00BF7101" w:rsidP="00BF7101">
      <w:pPr>
        <w:rPr>
          <w:noProof/>
        </w:rPr>
      </w:pPr>
      <w:r w:rsidRPr="00987DDC">
        <w:rPr>
          <w:noProof/>
        </w:rPr>
        <w:t>W sprawozdaniu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Komisja wezwała do zintensyfikowania wysiłków mających pomóc MŚP</w:t>
      </w:r>
      <w:r w:rsidR="00987DDC" w:rsidRPr="00987DDC">
        <w:rPr>
          <w:noProof/>
        </w:rPr>
        <w:t xml:space="preserve"> w</w:t>
      </w:r>
      <w:r w:rsidR="00987DDC">
        <w:rPr>
          <w:noProof/>
        </w:rPr>
        <w:t> </w:t>
      </w:r>
      <w:r w:rsidR="00987DDC" w:rsidRPr="00987DDC">
        <w:rPr>
          <w:noProof/>
        </w:rPr>
        <w:t>prz</w:t>
      </w:r>
      <w:r w:rsidRPr="00987DDC">
        <w:rPr>
          <w:noProof/>
        </w:rPr>
        <w:t>estrzeganiu RODO</w:t>
      </w:r>
      <w:r w:rsidR="00987DDC" w:rsidRPr="00987DDC">
        <w:rPr>
          <w:noProof/>
        </w:rPr>
        <w:t>. W</w:t>
      </w:r>
      <w:r w:rsidR="00987DDC">
        <w:rPr>
          <w:noProof/>
        </w:rPr>
        <w:t> </w:t>
      </w:r>
      <w:r w:rsidR="00987DDC" w:rsidRPr="00987DDC">
        <w:rPr>
          <w:noProof/>
        </w:rPr>
        <w:t>ost</w:t>
      </w:r>
      <w:r w:rsidRPr="00987DDC">
        <w:rPr>
          <w:noProof/>
        </w:rPr>
        <w:t>atnich latach organy ochrony danych i EROD kontynuowały prace nad narzędziami zapewniania zgodności dla MŚP – był one częściowo sfinansowane ze środków Komisji (</w:t>
      </w:r>
      <w:r w:rsidRPr="00987DDC">
        <w:rPr>
          <w:rStyle w:val="FootnoteReference"/>
          <w:noProof/>
        </w:rPr>
        <w:footnoteReference w:id="125"/>
      </w:r>
      <w:r w:rsidRPr="00987DDC">
        <w:rPr>
          <w:noProof/>
        </w:rPr>
        <w:t>)</w:t>
      </w:r>
      <w:r w:rsidR="00987DDC" w:rsidRPr="00987DDC">
        <w:rPr>
          <w:noProof/>
        </w:rPr>
        <w:t>. W</w:t>
      </w:r>
      <w:r w:rsidR="00987DDC">
        <w:rPr>
          <w:noProof/>
        </w:rPr>
        <w:t> </w:t>
      </w:r>
      <w:r w:rsidR="00987DDC" w:rsidRPr="00987DDC">
        <w:rPr>
          <w:noProof/>
        </w:rPr>
        <w:t>kwi</w:t>
      </w:r>
      <w:r w:rsidRPr="00987DDC">
        <w:rPr>
          <w:noProof/>
        </w:rPr>
        <w:t>etniu 2023</w:t>
      </w:r>
      <w:r w:rsidR="00987DDC" w:rsidRPr="00987DDC">
        <w:rPr>
          <w:noProof/>
        </w:rPr>
        <w:t> </w:t>
      </w:r>
      <w:r w:rsidRPr="00987DDC">
        <w:rPr>
          <w:noProof/>
        </w:rPr>
        <w:t>r. EROD opublikowała przewodnik dotyczący ochrony danych dla małych przedsiębiorstw (</w:t>
      </w:r>
      <w:r w:rsidRPr="00987DDC">
        <w:rPr>
          <w:rStyle w:val="FootnoteReference"/>
          <w:noProof/>
        </w:rPr>
        <w:footnoteReference w:id="126"/>
      </w:r>
      <w:r w:rsidRPr="00987DDC">
        <w:rPr>
          <w:noProof/>
        </w:rPr>
        <w:t>), który zawiera</w:t>
      </w:r>
      <w:r w:rsidRPr="00987DDC">
        <w:rPr>
          <w:rFonts w:ascii="PT Sans" w:hAnsi="PT Sans"/>
          <w:noProof/>
          <w:shd w:val="clear" w:color="auto" w:fill="FFFFFF"/>
        </w:rPr>
        <w:t xml:space="preserve"> </w:t>
      </w:r>
      <w:r w:rsidRPr="00987DDC">
        <w:rPr>
          <w:noProof/>
        </w:rPr>
        <w:t>praktyczne informacje dla MŚP przedstawione</w:t>
      </w:r>
      <w:r w:rsidR="00987DDC" w:rsidRPr="00987DDC">
        <w:rPr>
          <w:noProof/>
        </w:rPr>
        <w:t xml:space="preserve"> w</w:t>
      </w:r>
      <w:r w:rsidR="00987DDC">
        <w:rPr>
          <w:noProof/>
        </w:rPr>
        <w:t> </w:t>
      </w:r>
      <w:r w:rsidR="00987DDC" w:rsidRPr="00987DDC">
        <w:rPr>
          <w:noProof/>
        </w:rPr>
        <w:t>prz</w:t>
      </w:r>
      <w:r w:rsidRPr="00987DDC">
        <w:rPr>
          <w:noProof/>
        </w:rPr>
        <w:t>ystępnym</w:t>
      </w:r>
      <w:r w:rsidR="00987DDC" w:rsidRPr="00987DDC">
        <w:rPr>
          <w:noProof/>
        </w:rPr>
        <w:t xml:space="preserve"> i</w:t>
      </w:r>
      <w:r w:rsidR="00987DDC">
        <w:rPr>
          <w:noProof/>
        </w:rPr>
        <w:t> </w:t>
      </w:r>
      <w:r w:rsidR="00987DDC" w:rsidRPr="00987DDC">
        <w:rPr>
          <w:noProof/>
        </w:rPr>
        <w:t>łat</w:t>
      </w:r>
      <w:r w:rsidRPr="00987DDC">
        <w:rPr>
          <w:noProof/>
        </w:rPr>
        <w:t xml:space="preserve">wo zrozumiałym formacie. </w:t>
      </w:r>
    </w:p>
    <w:p w14:paraId="03403185" w14:textId="25E830AA" w:rsidR="00CB5282" w:rsidRPr="00987DDC" w:rsidRDefault="008F2F58" w:rsidP="00EF0A75">
      <w:pPr>
        <w:rPr>
          <w:noProof/>
        </w:rPr>
      </w:pPr>
      <w:r w:rsidRPr="00987DDC">
        <w:rPr>
          <w:noProof/>
        </w:rPr>
        <w:t>MŚP</w:t>
      </w:r>
      <w:r w:rsidR="00987DDC" w:rsidRPr="00987DDC">
        <w:rPr>
          <w:noProof/>
        </w:rPr>
        <w:t xml:space="preserve"> w</w:t>
      </w:r>
      <w:r w:rsidR="00987DDC">
        <w:rPr>
          <w:noProof/>
        </w:rPr>
        <w:t> </w:t>
      </w:r>
      <w:r w:rsidR="00987DDC" w:rsidRPr="00987DDC">
        <w:rPr>
          <w:noProof/>
        </w:rPr>
        <w:t>wie</w:t>
      </w:r>
      <w:r w:rsidRPr="00987DDC">
        <w:rPr>
          <w:noProof/>
        </w:rPr>
        <w:t>lu państwach członkowskich podkreślają korzyści płynące</w:t>
      </w:r>
      <w:r w:rsidR="00987DDC" w:rsidRPr="00987DDC">
        <w:rPr>
          <w:noProof/>
        </w:rPr>
        <w:t xml:space="preserve"> z</w:t>
      </w:r>
      <w:r w:rsidR="00987DDC">
        <w:rPr>
          <w:noProof/>
        </w:rPr>
        <w:t> </w:t>
      </w:r>
      <w:r w:rsidR="00987DDC" w:rsidRPr="00987DDC">
        <w:rPr>
          <w:noProof/>
        </w:rPr>
        <w:t>zin</w:t>
      </w:r>
      <w:r w:rsidRPr="00987DDC">
        <w:rPr>
          <w:noProof/>
        </w:rPr>
        <w:t>dywidualizowanego wsparcia ze strony lokalnych organów ochrony danych. Różne podejścia do podnoszenia świadomości oraz do wytycznych od organów ochrony danych oznaczają jednak, że</w:t>
      </w:r>
      <w:r w:rsidR="00987DDC" w:rsidRPr="00987DDC">
        <w:rPr>
          <w:noProof/>
        </w:rPr>
        <w:t xml:space="preserve"> w</w:t>
      </w:r>
      <w:r w:rsidR="00987DDC">
        <w:rPr>
          <w:noProof/>
        </w:rPr>
        <w:t> </w:t>
      </w:r>
      <w:r w:rsidR="00987DDC" w:rsidRPr="00987DDC">
        <w:rPr>
          <w:noProof/>
        </w:rPr>
        <w:t>nie</w:t>
      </w:r>
      <w:r w:rsidRPr="00987DDC">
        <w:rPr>
          <w:noProof/>
        </w:rPr>
        <w:t>których państwach członkowskich MŚP postrzegają przestrzeganie przepisów jako skomplikowane</w:t>
      </w:r>
      <w:r w:rsidR="00987DDC" w:rsidRPr="00987DDC">
        <w:rPr>
          <w:noProof/>
        </w:rPr>
        <w:t xml:space="preserve"> i</w:t>
      </w:r>
      <w:r w:rsidR="00987DDC">
        <w:rPr>
          <w:noProof/>
        </w:rPr>
        <w:t> </w:t>
      </w:r>
      <w:r w:rsidR="00987DDC" w:rsidRPr="00987DDC">
        <w:rPr>
          <w:noProof/>
        </w:rPr>
        <w:t>oba</w:t>
      </w:r>
      <w:r w:rsidRPr="00987DDC">
        <w:rPr>
          <w:noProof/>
        </w:rPr>
        <w:t>wiają się ich egzekwowania (</w:t>
      </w:r>
      <w:r w:rsidRPr="00987DDC">
        <w:rPr>
          <w:rStyle w:val="FootnoteReference"/>
          <w:noProof/>
        </w:rPr>
        <w:footnoteReference w:id="127"/>
      </w:r>
      <w:r w:rsidRPr="00987DDC">
        <w:rPr>
          <w:noProof/>
        </w:rPr>
        <w:t>). Organy ochrony danych powinny podwoić wysiłki, aby sprostać tym wyzwaniom, m.in. poprzez proaktywną współpracę z MŚP</w:t>
      </w:r>
      <w:r w:rsidR="00987DDC" w:rsidRPr="00987DDC">
        <w:rPr>
          <w:noProof/>
        </w:rPr>
        <w:t xml:space="preserve"> w</w:t>
      </w:r>
      <w:r w:rsidR="00987DDC">
        <w:rPr>
          <w:noProof/>
        </w:rPr>
        <w:t> </w:t>
      </w:r>
      <w:r w:rsidR="00987DDC" w:rsidRPr="00987DDC">
        <w:rPr>
          <w:noProof/>
        </w:rPr>
        <w:t>cel</w:t>
      </w:r>
      <w:r w:rsidRPr="00987DDC">
        <w:rPr>
          <w:noProof/>
        </w:rPr>
        <w:t>u rozwiania wszelkich nieuzasadnionych obaw związanych</w:t>
      </w:r>
      <w:r w:rsidR="00987DDC" w:rsidRPr="00987DDC">
        <w:rPr>
          <w:noProof/>
        </w:rPr>
        <w:t xml:space="preserve"> z</w:t>
      </w:r>
      <w:r w:rsidR="00987DDC">
        <w:rPr>
          <w:noProof/>
        </w:rPr>
        <w:t> </w:t>
      </w:r>
      <w:r w:rsidR="00987DDC" w:rsidRPr="00987DDC">
        <w:rPr>
          <w:noProof/>
        </w:rPr>
        <w:t>prz</w:t>
      </w:r>
      <w:r w:rsidRPr="00987DDC">
        <w:rPr>
          <w:noProof/>
        </w:rPr>
        <w:t>estrzeganiem przepisów. Organy ochrony danych powinny skupić się na zapewnieniu zindywidualizowanego wsparcia</w:t>
      </w:r>
      <w:r w:rsidR="00987DDC" w:rsidRPr="00987DDC">
        <w:rPr>
          <w:noProof/>
        </w:rPr>
        <w:t xml:space="preserve"> i</w:t>
      </w:r>
      <w:r w:rsidR="00987DDC">
        <w:rPr>
          <w:noProof/>
        </w:rPr>
        <w:t> </w:t>
      </w:r>
      <w:r w:rsidR="00987DDC" w:rsidRPr="00987DDC">
        <w:rPr>
          <w:noProof/>
        </w:rPr>
        <w:t>pra</w:t>
      </w:r>
      <w:r w:rsidRPr="00987DDC">
        <w:rPr>
          <w:noProof/>
        </w:rPr>
        <w:t>ktycznych narzędzi, takich jak szablony (np. do przeprowadzania ocen skutków dla ochrony danych), infolinie, obrazowe przykłady, listy kontrolne</w:t>
      </w:r>
      <w:r w:rsidR="00987DDC" w:rsidRPr="00987DDC">
        <w:rPr>
          <w:noProof/>
        </w:rPr>
        <w:t xml:space="preserve"> i</w:t>
      </w:r>
      <w:r w:rsidR="00987DDC">
        <w:rPr>
          <w:noProof/>
        </w:rPr>
        <w:t> </w:t>
      </w:r>
      <w:r w:rsidR="00987DDC" w:rsidRPr="00987DDC">
        <w:rPr>
          <w:noProof/>
        </w:rPr>
        <w:t>wyt</w:t>
      </w:r>
      <w:r w:rsidRPr="00987DDC">
        <w:rPr>
          <w:noProof/>
        </w:rPr>
        <w:t>yczne dotyczące konkretnych operacji przetwarzania (np. rozliczenia lub biuletyny informacyjne) oraz środków technicznych</w:t>
      </w:r>
      <w:r w:rsidR="00987DDC" w:rsidRPr="00987DDC">
        <w:rPr>
          <w:noProof/>
        </w:rPr>
        <w:t xml:space="preserve"> i</w:t>
      </w:r>
      <w:r w:rsidR="00987DDC">
        <w:rPr>
          <w:noProof/>
        </w:rPr>
        <w:t> </w:t>
      </w:r>
      <w:r w:rsidR="00987DDC" w:rsidRPr="00987DDC">
        <w:rPr>
          <w:noProof/>
        </w:rPr>
        <w:t>org</w:t>
      </w:r>
      <w:r w:rsidRPr="00987DDC">
        <w:rPr>
          <w:noProof/>
        </w:rPr>
        <w:t>anizacyjnych. Ponieważ większość MŚP nie dysponuje własną wiedzą fachową</w:t>
      </w:r>
      <w:r w:rsidR="00987DDC" w:rsidRPr="00987DDC">
        <w:rPr>
          <w:noProof/>
        </w:rPr>
        <w:t xml:space="preserve"> w</w:t>
      </w:r>
      <w:r w:rsidR="00987DDC">
        <w:rPr>
          <w:noProof/>
        </w:rPr>
        <w:t> </w:t>
      </w:r>
      <w:r w:rsidR="00987DDC" w:rsidRPr="00987DDC">
        <w:rPr>
          <w:noProof/>
        </w:rPr>
        <w:t>zak</w:t>
      </w:r>
      <w:r w:rsidRPr="00987DDC">
        <w:rPr>
          <w:noProof/>
        </w:rPr>
        <w:t>resie ochrony danych, wszelkie wytyczne skierowane do MŚP powinny być łatwo zrozumiałe dla osób bez przygotowania prawniczego (</w:t>
      </w:r>
      <w:r w:rsidRPr="00987DDC">
        <w:rPr>
          <w:rStyle w:val="FootnoteReference"/>
          <w:noProof/>
        </w:rPr>
        <w:footnoteReference w:id="128"/>
      </w:r>
      <w:r w:rsidRPr="00987DDC">
        <w:rPr>
          <w:noProof/>
        </w:rPr>
        <w:t xml:space="preserve">). </w:t>
      </w:r>
    </w:p>
    <w:p w14:paraId="39A1047C" w14:textId="2B3E91ED" w:rsidR="00D07EDC" w:rsidRPr="00987DDC" w:rsidRDefault="00A067BC" w:rsidP="00310F9A">
      <w:pPr>
        <w:rPr>
          <w:noProof/>
        </w:rPr>
      </w:pPr>
      <w:r w:rsidRPr="00987DDC">
        <w:rPr>
          <w:noProof/>
        </w:rPr>
        <w:t>Zgodnie</w:t>
      </w:r>
      <w:r w:rsidR="00987DDC" w:rsidRPr="00987DDC">
        <w:rPr>
          <w:noProof/>
        </w:rPr>
        <w:t xml:space="preserve"> z</w:t>
      </w:r>
      <w:r w:rsidR="00987DDC">
        <w:rPr>
          <w:noProof/>
        </w:rPr>
        <w:t> </w:t>
      </w:r>
      <w:r w:rsidR="00987DDC" w:rsidRPr="00987DDC">
        <w:rPr>
          <w:noProof/>
        </w:rPr>
        <w:t>pod</w:t>
      </w:r>
      <w:r w:rsidRPr="00987DDC">
        <w:rPr>
          <w:noProof/>
        </w:rPr>
        <w:t>ejściem opartym na analizie ryzyka określonym w RODO MŚP wykonujące czynności przetwarzania obarczone niskim ryzykiem nie ponoszą znacznego obciążenia regulacyjnego. Chociaż odstępstwo od wymogu prowadzenia rejestrów czynności przetwarzania (</w:t>
      </w:r>
      <w:r w:rsidRPr="00987DDC">
        <w:rPr>
          <w:rStyle w:val="FootnoteReference"/>
          <w:noProof/>
        </w:rPr>
        <w:footnoteReference w:id="129"/>
      </w:r>
      <w:r w:rsidRPr="00987DDC">
        <w:rPr>
          <w:noProof/>
        </w:rPr>
        <w:t>) ma zastosowanie</w:t>
      </w:r>
      <w:r w:rsidR="00987DDC" w:rsidRPr="00987DDC">
        <w:rPr>
          <w:noProof/>
        </w:rPr>
        <w:t xml:space="preserve"> w</w:t>
      </w:r>
      <w:r w:rsidR="00987DDC">
        <w:rPr>
          <w:noProof/>
        </w:rPr>
        <w:t> </w:t>
      </w:r>
      <w:r w:rsidR="00987DDC" w:rsidRPr="00987DDC">
        <w:rPr>
          <w:noProof/>
        </w:rPr>
        <w:t>ści</w:t>
      </w:r>
      <w:r w:rsidRPr="00987DDC">
        <w:rPr>
          <w:noProof/>
        </w:rPr>
        <w:t>śle określonych warunkach (</w:t>
      </w:r>
      <w:r w:rsidRPr="00987DDC">
        <w:rPr>
          <w:rStyle w:val="FootnoteReference"/>
          <w:noProof/>
        </w:rPr>
        <w:footnoteReference w:id="130"/>
      </w:r>
      <w:r w:rsidRPr="00987DDC">
        <w:rPr>
          <w:noProof/>
        </w:rPr>
        <w:t>), MŚP prowadzące przetwarzanie</w:t>
      </w:r>
      <w:r w:rsidR="00987DDC" w:rsidRPr="00987DDC">
        <w:rPr>
          <w:noProof/>
        </w:rPr>
        <w:t xml:space="preserve"> o</w:t>
      </w:r>
      <w:r w:rsidR="00987DDC">
        <w:rPr>
          <w:noProof/>
        </w:rPr>
        <w:t> </w:t>
      </w:r>
      <w:r w:rsidR="00987DDC" w:rsidRPr="00987DDC">
        <w:rPr>
          <w:noProof/>
        </w:rPr>
        <w:t>nis</w:t>
      </w:r>
      <w:r w:rsidRPr="00987DDC">
        <w:rPr>
          <w:noProof/>
        </w:rPr>
        <w:t xml:space="preserve">kim ryzyku mogą przestrzegać przepisów, prowadząc uproszczoną dokumentację opartą na szablonach dostarczonych przez organy ochrony danych. Ponadto takie rejestry należy postrzegać jako użyteczne narzędzie dla MŚP umożliwiające podsumowanie wykonywanych przez nie czynności przetwarzania. </w:t>
      </w:r>
    </w:p>
    <w:p w14:paraId="14B4C05D" w14:textId="0D5E7ADC" w:rsidR="009A3743" w:rsidRPr="00987DDC" w:rsidRDefault="009A3743" w:rsidP="00547296">
      <w:pPr>
        <w:pStyle w:val="Heading2"/>
        <w:rPr>
          <w:noProof/>
        </w:rPr>
      </w:pPr>
      <w:bookmarkStart w:id="35" w:name="_Toc165303760"/>
      <w:r w:rsidRPr="00987DDC">
        <w:rPr>
          <w:noProof/>
        </w:rPr>
        <w:t>Inspektorzy ochrony danych</w:t>
      </w:r>
      <w:bookmarkEnd w:id="35"/>
    </w:p>
    <w:p w14:paraId="618FFBB0" w14:textId="3572A156" w:rsidR="001D4F18" w:rsidRPr="00987DDC" w:rsidRDefault="00523B00" w:rsidP="009E76B9">
      <w:pPr>
        <w:pStyle w:val="Text3"/>
        <w:ind w:left="0"/>
        <w:rPr>
          <w:noProof/>
        </w:rPr>
      </w:pPr>
      <w:r w:rsidRPr="00987DDC">
        <w:rPr>
          <w:noProof/>
        </w:rPr>
        <w:t>Inspektorzy ochrony danych odgrywają ważną rolę</w:t>
      </w:r>
      <w:r w:rsidR="00987DDC" w:rsidRPr="00987DDC">
        <w:rPr>
          <w:noProof/>
        </w:rPr>
        <w:t xml:space="preserve"> w</w:t>
      </w:r>
      <w:r w:rsidR="00987DDC">
        <w:rPr>
          <w:noProof/>
        </w:rPr>
        <w:t> </w:t>
      </w:r>
      <w:r w:rsidR="00987DDC" w:rsidRPr="00987DDC">
        <w:rPr>
          <w:noProof/>
        </w:rPr>
        <w:t>zap</w:t>
      </w:r>
      <w:r w:rsidRPr="00987DDC">
        <w:rPr>
          <w:noProof/>
        </w:rPr>
        <w:t>ewnianiu zgodności</w:t>
      </w:r>
      <w:r w:rsidR="00987DDC" w:rsidRPr="00987DDC">
        <w:rPr>
          <w:noProof/>
        </w:rPr>
        <w:t xml:space="preserve"> z</w:t>
      </w:r>
      <w:r w:rsidR="00987DDC">
        <w:rPr>
          <w:noProof/>
        </w:rPr>
        <w:t> </w:t>
      </w:r>
      <w:r w:rsidR="00987DDC" w:rsidRPr="00987DDC">
        <w:rPr>
          <w:noProof/>
        </w:rPr>
        <w:t>prz</w:t>
      </w:r>
      <w:r w:rsidRPr="00987DDC">
        <w:rPr>
          <w:noProof/>
        </w:rPr>
        <w:t>episami RODO</w:t>
      </w:r>
      <w:r w:rsidR="00987DDC" w:rsidRPr="00987DDC">
        <w:rPr>
          <w:noProof/>
        </w:rPr>
        <w:t xml:space="preserve"> w</w:t>
      </w:r>
      <w:r w:rsidR="00987DDC">
        <w:rPr>
          <w:noProof/>
        </w:rPr>
        <w:t> </w:t>
      </w:r>
      <w:r w:rsidR="00987DDC" w:rsidRPr="00987DDC">
        <w:rPr>
          <w:noProof/>
        </w:rPr>
        <w:t>org</w:t>
      </w:r>
      <w:r w:rsidRPr="00987DDC">
        <w:rPr>
          <w:noProof/>
        </w:rPr>
        <w:t>anizacjach,</w:t>
      </w:r>
      <w:r w:rsidR="00987DDC" w:rsidRPr="00987DDC">
        <w:rPr>
          <w:noProof/>
        </w:rPr>
        <w:t xml:space="preserve"> w</w:t>
      </w:r>
      <w:r w:rsidR="00987DDC">
        <w:rPr>
          <w:noProof/>
        </w:rPr>
        <w:t> </w:t>
      </w:r>
      <w:r w:rsidR="00987DDC" w:rsidRPr="00987DDC">
        <w:rPr>
          <w:noProof/>
        </w:rPr>
        <w:t>któ</w:t>
      </w:r>
      <w:r w:rsidRPr="00987DDC">
        <w:rPr>
          <w:noProof/>
        </w:rPr>
        <w:t>rych pracują. Ogólnie rzecz ujmując, inspektorzy ochrony danych działający w UE posiadają wiedzę</w:t>
      </w:r>
      <w:r w:rsidR="00987DDC" w:rsidRPr="00987DDC">
        <w:rPr>
          <w:noProof/>
        </w:rPr>
        <w:t xml:space="preserve"> i</w:t>
      </w:r>
      <w:r w:rsidR="00987DDC">
        <w:rPr>
          <w:noProof/>
        </w:rPr>
        <w:t> </w:t>
      </w:r>
      <w:r w:rsidR="00987DDC" w:rsidRPr="00987DDC">
        <w:rPr>
          <w:noProof/>
        </w:rPr>
        <w:t>umi</w:t>
      </w:r>
      <w:r w:rsidRPr="00987DDC">
        <w:rPr>
          <w:noProof/>
        </w:rPr>
        <w:t>ejętności niezbędne do wykonywania swoich zadań zgodnie z RODO,</w:t>
      </w:r>
      <w:r w:rsidR="00987DDC" w:rsidRPr="00987DDC">
        <w:rPr>
          <w:noProof/>
        </w:rPr>
        <w:t xml:space="preserve"> a</w:t>
      </w:r>
      <w:r w:rsidR="00987DDC">
        <w:rPr>
          <w:noProof/>
        </w:rPr>
        <w:t> </w:t>
      </w:r>
      <w:r w:rsidR="00987DDC" w:rsidRPr="00987DDC">
        <w:rPr>
          <w:noProof/>
        </w:rPr>
        <w:t>ich</w:t>
      </w:r>
      <w:r w:rsidRPr="00987DDC">
        <w:rPr>
          <w:noProof/>
        </w:rPr>
        <w:t xml:space="preserve"> niezależność jest respektowana (</w:t>
      </w:r>
      <w:r w:rsidRPr="00987DDC">
        <w:rPr>
          <w:noProof/>
          <w:vertAlign w:val="superscript"/>
        </w:rPr>
        <w:footnoteReference w:id="131"/>
      </w:r>
      <w:r w:rsidRPr="00987DDC">
        <w:rPr>
          <w:noProof/>
        </w:rPr>
        <w:t>). Wciąż jednak istnieje kilka wyzwań,</w:t>
      </w:r>
      <w:r w:rsidR="00987DDC" w:rsidRPr="00987DDC">
        <w:rPr>
          <w:noProof/>
        </w:rPr>
        <w:t xml:space="preserve"> w</w:t>
      </w:r>
      <w:r w:rsidR="00987DDC">
        <w:rPr>
          <w:noProof/>
        </w:rPr>
        <w:t> </w:t>
      </w:r>
      <w:r w:rsidR="00987DDC" w:rsidRPr="00987DDC">
        <w:rPr>
          <w:noProof/>
        </w:rPr>
        <w:t>tym</w:t>
      </w:r>
      <w:r w:rsidRPr="00987DDC">
        <w:rPr>
          <w:noProof/>
        </w:rPr>
        <w:t>: (i) trudności</w:t>
      </w:r>
      <w:r w:rsidR="00987DDC" w:rsidRPr="00987DDC">
        <w:rPr>
          <w:noProof/>
        </w:rPr>
        <w:t xml:space="preserve"> w</w:t>
      </w:r>
      <w:r w:rsidR="00987DDC">
        <w:rPr>
          <w:noProof/>
        </w:rPr>
        <w:t> </w:t>
      </w:r>
      <w:r w:rsidR="00987DDC" w:rsidRPr="00987DDC">
        <w:rPr>
          <w:noProof/>
        </w:rPr>
        <w:t>pow</w:t>
      </w:r>
      <w:r w:rsidRPr="00987DDC">
        <w:rPr>
          <w:noProof/>
        </w:rPr>
        <w:t>oływaniu inspektorów ochrony danych dysponujących wymaganą wiedzą fachową; (ii) brak ogólnounijnych norm kształcenia</w:t>
      </w:r>
      <w:r w:rsidR="00987DDC" w:rsidRPr="00987DDC">
        <w:rPr>
          <w:noProof/>
        </w:rPr>
        <w:t xml:space="preserve"> i</w:t>
      </w:r>
      <w:r w:rsidR="00987DDC">
        <w:rPr>
          <w:noProof/>
        </w:rPr>
        <w:t> </w:t>
      </w:r>
      <w:r w:rsidR="00987DDC" w:rsidRPr="00987DDC">
        <w:rPr>
          <w:noProof/>
        </w:rPr>
        <w:t>szk</w:t>
      </w:r>
      <w:r w:rsidRPr="00987DDC">
        <w:rPr>
          <w:noProof/>
        </w:rPr>
        <w:t>olenia; (iii) brak odpowiedniej integracji inspektorów ochrony danych</w:t>
      </w:r>
      <w:r w:rsidR="00987DDC" w:rsidRPr="00987DDC">
        <w:rPr>
          <w:noProof/>
        </w:rPr>
        <w:t xml:space="preserve"> w</w:t>
      </w:r>
      <w:r w:rsidR="00987DDC">
        <w:rPr>
          <w:noProof/>
        </w:rPr>
        <w:t> </w:t>
      </w:r>
      <w:r w:rsidR="00987DDC" w:rsidRPr="00987DDC">
        <w:rPr>
          <w:noProof/>
        </w:rPr>
        <w:t>pro</w:t>
      </w:r>
      <w:r w:rsidRPr="00987DDC">
        <w:rPr>
          <w:noProof/>
        </w:rPr>
        <w:t>cesach organizacyjnych; (iv) brak zasobów; (v) dodatkowe zadania niezwiązane</w:t>
      </w:r>
      <w:r w:rsidR="00987DDC" w:rsidRPr="00987DDC">
        <w:rPr>
          <w:noProof/>
        </w:rPr>
        <w:t xml:space="preserve"> z</w:t>
      </w:r>
      <w:r w:rsidR="00987DDC">
        <w:rPr>
          <w:noProof/>
        </w:rPr>
        <w:t> </w:t>
      </w:r>
      <w:r w:rsidR="00987DDC" w:rsidRPr="00987DDC">
        <w:rPr>
          <w:noProof/>
        </w:rPr>
        <w:t>och</w:t>
      </w:r>
      <w:r w:rsidRPr="00987DDC">
        <w:rPr>
          <w:noProof/>
        </w:rPr>
        <w:t>roną danych; oraz (vi) niewystarczający staż pracy (</w:t>
      </w:r>
      <w:r w:rsidRPr="00987DDC">
        <w:rPr>
          <w:rStyle w:val="FootnoteReference"/>
          <w:noProof/>
        </w:rPr>
        <w:footnoteReference w:id="132"/>
      </w:r>
      <w:r w:rsidRPr="00987DDC">
        <w:rPr>
          <w:noProof/>
        </w:rPr>
        <w:t xml:space="preserve">). EROD zauważyła, że organy ochrony danych powinny </w:t>
      </w:r>
      <w:bookmarkStart w:id="37" w:name="_Hlk165036814"/>
      <w:r w:rsidRPr="00987DDC">
        <w:rPr>
          <w:noProof/>
        </w:rPr>
        <w:t>zintensyfikować działania uświadamiające,</w:t>
      </w:r>
      <w:r w:rsidR="00987DDC" w:rsidRPr="00987DDC">
        <w:rPr>
          <w:noProof/>
        </w:rPr>
        <w:t xml:space="preserve"> a</w:t>
      </w:r>
      <w:r w:rsidR="00987DDC">
        <w:rPr>
          <w:noProof/>
        </w:rPr>
        <w:t> </w:t>
      </w:r>
      <w:r w:rsidR="00987DDC" w:rsidRPr="00987DDC">
        <w:rPr>
          <w:noProof/>
        </w:rPr>
        <w:t>tak</w:t>
      </w:r>
      <w:r w:rsidRPr="00987DDC">
        <w:rPr>
          <w:noProof/>
        </w:rPr>
        <w:t>że działania informacyjne</w:t>
      </w:r>
      <w:r w:rsidR="00987DDC" w:rsidRPr="00987DDC">
        <w:rPr>
          <w:noProof/>
        </w:rPr>
        <w:t xml:space="preserve"> i</w:t>
      </w:r>
      <w:r w:rsidR="00987DDC">
        <w:rPr>
          <w:noProof/>
        </w:rPr>
        <w:t> </w:t>
      </w:r>
      <w:r w:rsidR="00987DDC" w:rsidRPr="00987DDC">
        <w:rPr>
          <w:noProof/>
        </w:rPr>
        <w:t>dzi</w:t>
      </w:r>
      <w:r w:rsidRPr="00987DDC">
        <w:rPr>
          <w:noProof/>
        </w:rPr>
        <w:t>ałania</w:t>
      </w:r>
      <w:r w:rsidR="00987DDC" w:rsidRPr="00987DDC">
        <w:rPr>
          <w:noProof/>
        </w:rPr>
        <w:t xml:space="preserve"> w</w:t>
      </w:r>
      <w:r w:rsidR="00987DDC">
        <w:rPr>
          <w:noProof/>
        </w:rPr>
        <w:t> </w:t>
      </w:r>
      <w:r w:rsidR="00987DDC" w:rsidRPr="00987DDC">
        <w:rPr>
          <w:noProof/>
        </w:rPr>
        <w:t>zak</w:t>
      </w:r>
      <w:r w:rsidRPr="00987DDC">
        <w:rPr>
          <w:noProof/>
        </w:rPr>
        <w:t>resie egzekwowania prawa, aby inspektorzy ochrony danych mogli wykonywać swoją funkcję zgodnie z RODO</w:t>
      </w:r>
      <w:bookmarkEnd w:id="37"/>
      <w:r w:rsidRPr="00987DDC">
        <w:rPr>
          <w:noProof/>
        </w:rPr>
        <w:t> (</w:t>
      </w:r>
      <w:r w:rsidRPr="00987DDC">
        <w:rPr>
          <w:noProof/>
          <w:vertAlign w:val="superscript"/>
        </w:rPr>
        <w:footnoteReference w:id="133"/>
      </w:r>
      <w:r w:rsidRPr="00987DDC">
        <w:rPr>
          <w:noProof/>
        </w:rPr>
        <w:t>).</w:t>
      </w:r>
    </w:p>
    <w:p w14:paraId="6A9411B9" w14:textId="0D51295D" w:rsidR="00224CD1" w:rsidRPr="00987DDC" w:rsidRDefault="00224CD1" w:rsidP="0003154B">
      <w:pPr>
        <w:pStyle w:val="Heading1"/>
        <w:rPr>
          <w:noProof/>
        </w:rPr>
      </w:pPr>
      <w:bookmarkStart w:id="38" w:name="_Toc165303761"/>
      <w:r w:rsidRPr="00987DDC">
        <w:rPr>
          <w:noProof/>
        </w:rPr>
        <w:t>RODO jako filar polityki UE</w:t>
      </w:r>
      <w:r w:rsidR="00987DDC" w:rsidRPr="00987DDC">
        <w:rPr>
          <w:noProof/>
        </w:rPr>
        <w:t xml:space="preserve"> w</w:t>
      </w:r>
      <w:r w:rsidR="00987DDC">
        <w:rPr>
          <w:noProof/>
        </w:rPr>
        <w:t> </w:t>
      </w:r>
      <w:r w:rsidR="00987DDC" w:rsidRPr="00987DDC">
        <w:rPr>
          <w:noProof/>
        </w:rPr>
        <w:t>sfe</w:t>
      </w:r>
      <w:r w:rsidRPr="00987DDC">
        <w:rPr>
          <w:noProof/>
        </w:rPr>
        <w:t>rze cyfrowej</w:t>
      </w:r>
      <w:bookmarkEnd w:id="38"/>
    </w:p>
    <w:p w14:paraId="4B75896B" w14:textId="44F59287" w:rsidR="00700214" w:rsidRPr="00987DDC" w:rsidRDefault="007D7B52" w:rsidP="00547296">
      <w:pPr>
        <w:pStyle w:val="Heading2"/>
        <w:rPr>
          <w:noProof/>
        </w:rPr>
      </w:pPr>
      <w:r w:rsidRPr="00987DDC">
        <w:rPr>
          <w:noProof/>
        </w:rPr>
        <w:t>Polityka cyfrowa oparta na RODO</w:t>
      </w:r>
    </w:p>
    <w:p w14:paraId="28EE65B6" w14:textId="6ACBC2E8" w:rsidR="006662F4" w:rsidRPr="00987DDC" w:rsidRDefault="008B3BA1" w:rsidP="008B3BA1">
      <w:pPr>
        <w:rPr>
          <w:noProof/>
        </w:rPr>
      </w:pPr>
      <w:r w:rsidRPr="00987DDC">
        <w:rPr>
          <w:noProof/>
        </w:rPr>
        <w:t>W sprawozdaniu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Komisja zobowiązała się do zapewnienia spójnego stosowania ram ochrony danych</w:t>
      </w:r>
      <w:r w:rsidR="00987DDC" w:rsidRPr="00987DDC">
        <w:rPr>
          <w:noProof/>
        </w:rPr>
        <w:t xml:space="preserve"> w</w:t>
      </w:r>
      <w:r w:rsidR="00987DDC">
        <w:rPr>
          <w:noProof/>
        </w:rPr>
        <w:t> </w:t>
      </w:r>
      <w:r w:rsidR="00987DDC" w:rsidRPr="00987DDC">
        <w:rPr>
          <w:noProof/>
        </w:rPr>
        <w:t>odn</w:t>
      </w:r>
      <w:r w:rsidRPr="00987DDC">
        <w:rPr>
          <w:noProof/>
        </w:rPr>
        <w:t>iesieniu do nowych technologii</w:t>
      </w:r>
      <w:r w:rsidR="00987DDC" w:rsidRPr="00987DDC">
        <w:rPr>
          <w:noProof/>
        </w:rPr>
        <w:t xml:space="preserve"> w</w:t>
      </w:r>
      <w:r w:rsidR="00987DDC">
        <w:rPr>
          <w:noProof/>
        </w:rPr>
        <w:t> </w:t>
      </w:r>
      <w:r w:rsidR="00987DDC" w:rsidRPr="00987DDC">
        <w:rPr>
          <w:noProof/>
        </w:rPr>
        <w:t>cel</w:t>
      </w:r>
      <w:r w:rsidRPr="00987DDC">
        <w:rPr>
          <w:noProof/>
        </w:rPr>
        <w:t>u wspierania innowacji</w:t>
      </w:r>
      <w:r w:rsidR="00987DDC" w:rsidRPr="00987DDC">
        <w:rPr>
          <w:noProof/>
        </w:rPr>
        <w:t xml:space="preserve"> i</w:t>
      </w:r>
      <w:r w:rsidR="00987DDC">
        <w:rPr>
          <w:noProof/>
        </w:rPr>
        <w:t> </w:t>
      </w:r>
      <w:r w:rsidR="00987DDC" w:rsidRPr="00987DDC">
        <w:rPr>
          <w:noProof/>
        </w:rPr>
        <w:t>roz</w:t>
      </w:r>
      <w:r w:rsidRPr="00987DDC">
        <w:rPr>
          <w:noProof/>
        </w:rPr>
        <w:t>woju technologicznego. Od tego czasu UE przyjęła szereg inicjatyw: niektóre</w:t>
      </w:r>
      <w:r w:rsidR="00987DDC" w:rsidRPr="00987DDC">
        <w:rPr>
          <w:noProof/>
        </w:rPr>
        <w:t xml:space="preserve"> z</w:t>
      </w:r>
      <w:r w:rsidR="00987DDC">
        <w:rPr>
          <w:noProof/>
        </w:rPr>
        <w:t> </w:t>
      </w:r>
      <w:r w:rsidR="00987DDC" w:rsidRPr="00987DDC">
        <w:rPr>
          <w:noProof/>
        </w:rPr>
        <w:t>nic</w:t>
      </w:r>
      <w:r w:rsidRPr="00987DDC">
        <w:rPr>
          <w:noProof/>
        </w:rPr>
        <w:t>h uzupełniają RODO lub określają,</w:t>
      </w:r>
      <w:r w:rsidR="00987DDC" w:rsidRPr="00987DDC">
        <w:rPr>
          <w:noProof/>
        </w:rPr>
        <w:t xml:space="preserve"> w</w:t>
      </w:r>
      <w:r w:rsidR="00987DDC">
        <w:rPr>
          <w:noProof/>
        </w:rPr>
        <w:t> </w:t>
      </w:r>
      <w:r w:rsidR="00987DDC" w:rsidRPr="00987DDC">
        <w:rPr>
          <w:noProof/>
        </w:rPr>
        <w:t>jak</w:t>
      </w:r>
      <w:r w:rsidRPr="00987DDC">
        <w:rPr>
          <w:noProof/>
        </w:rPr>
        <w:t>i sposób należy je stosować</w:t>
      </w:r>
      <w:r w:rsidR="00987DDC" w:rsidRPr="00987DDC">
        <w:rPr>
          <w:noProof/>
        </w:rPr>
        <w:t xml:space="preserve"> w</w:t>
      </w:r>
      <w:r w:rsidR="00987DDC">
        <w:rPr>
          <w:noProof/>
        </w:rPr>
        <w:t> </w:t>
      </w:r>
      <w:r w:rsidR="00987DDC" w:rsidRPr="00987DDC">
        <w:rPr>
          <w:noProof/>
        </w:rPr>
        <w:t>kon</w:t>
      </w:r>
      <w:r w:rsidRPr="00987DDC">
        <w:rPr>
          <w:noProof/>
        </w:rPr>
        <w:t>kretnych obszarach, aby osiągnąć określone cele, jak przedstawiono poniżej.</w:t>
      </w:r>
    </w:p>
    <w:p w14:paraId="40DF1D53" w14:textId="645F97F7" w:rsidR="00D96388" w:rsidRPr="00987DDC" w:rsidRDefault="130F7E69" w:rsidP="0003154B">
      <w:pPr>
        <w:pStyle w:val="ListParagraph"/>
        <w:numPr>
          <w:ilvl w:val="0"/>
          <w:numId w:val="29"/>
        </w:numPr>
        <w:ind w:left="360"/>
        <w:contextualSpacing w:val="0"/>
        <w:rPr>
          <w:noProof/>
        </w:rPr>
      </w:pPr>
      <w:r w:rsidRPr="00987DDC">
        <w:rPr>
          <w:noProof/>
        </w:rPr>
        <w:t>Akt</w:t>
      </w:r>
      <w:r w:rsidR="00987DDC" w:rsidRPr="00987DDC">
        <w:rPr>
          <w:noProof/>
        </w:rPr>
        <w:t xml:space="preserve"> o</w:t>
      </w:r>
      <w:r w:rsidR="00987DDC">
        <w:rPr>
          <w:noProof/>
        </w:rPr>
        <w:t> </w:t>
      </w:r>
      <w:r w:rsidR="00987DDC" w:rsidRPr="00987DDC">
        <w:rPr>
          <w:noProof/>
        </w:rPr>
        <w:t>usł</w:t>
      </w:r>
      <w:r w:rsidRPr="00987DDC">
        <w:rPr>
          <w:noProof/>
        </w:rPr>
        <w:t>ugach cyfrowych (</w:t>
      </w:r>
      <w:r w:rsidRPr="00987DDC">
        <w:rPr>
          <w:rStyle w:val="FootnoteReference"/>
          <w:noProof/>
        </w:rPr>
        <w:footnoteReference w:id="134"/>
      </w:r>
      <w:r w:rsidRPr="00987DDC">
        <w:rPr>
          <w:noProof/>
        </w:rPr>
        <w:t>), którego celem jest zapewnienie osobom fizycznym</w:t>
      </w:r>
      <w:r w:rsidR="00987DDC" w:rsidRPr="00987DDC">
        <w:rPr>
          <w:noProof/>
        </w:rPr>
        <w:t xml:space="preserve"> i</w:t>
      </w:r>
      <w:r w:rsidR="00987DDC">
        <w:rPr>
          <w:noProof/>
        </w:rPr>
        <w:t> </w:t>
      </w:r>
      <w:r w:rsidR="00987DDC" w:rsidRPr="00987DDC">
        <w:rPr>
          <w:noProof/>
        </w:rPr>
        <w:t>prz</w:t>
      </w:r>
      <w:r w:rsidRPr="00987DDC">
        <w:rPr>
          <w:noProof/>
        </w:rPr>
        <w:t>edsiębiorstwom bezpiecznego środowiska internetowego, zakazuje platformom internetowym wyświetlania reklam opartych na profilowaniu</w:t>
      </w:r>
      <w:r w:rsidR="00987DDC" w:rsidRPr="00987DDC">
        <w:rPr>
          <w:noProof/>
        </w:rPr>
        <w:t xml:space="preserve"> z</w:t>
      </w:r>
      <w:r w:rsidR="00987DDC">
        <w:rPr>
          <w:noProof/>
        </w:rPr>
        <w:t> </w:t>
      </w:r>
      <w:r w:rsidR="00987DDC" w:rsidRPr="00987DDC">
        <w:rPr>
          <w:noProof/>
        </w:rPr>
        <w:t>wyk</w:t>
      </w:r>
      <w:r w:rsidRPr="00987DDC">
        <w:rPr>
          <w:noProof/>
        </w:rPr>
        <w:t xml:space="preserve">orzystaniem „szczególnych kategorii danych osobowych” zdefiniowanych w RODO. </w:t>
      </w:r>
    </w:p>
    <w:p w14:paraId="6CCBB158" w14:textId="1F3303C6" w:rsidR="00C21BF2" w:rsidRPr="00987DDC" w:rsidRDefault="46AFC083" w:rsidP="0003154B">
      <w:pPr>
        <w:pStyle w:val="ListParagraph"/>
        <w:numPr>
          <w:ilvl w:val="0"/>
          <w:numId w:val="29"/>
        </w:numPr>
        <w:ind w:left="360"/>
        <w:contextualSpacing w:val="0"/>
        <w:rPr>
          <w:noProof/>
        </w:rPr>
      </w:pPr>
      <w:r w:rsidRPr="00987DDC">
        <w:rPr>
          <w:noProof/>
        </w:rPr>
        <w:t>Aby rynki cyfrowe stały się bardziej uczciwe</w:t>
      </w:r>
      <w:r w:rsidR="00987DDC" w:rsidRPr="00987DDC">
        <w:rPr>
          <w:noProof/>
        </w:rPr>
        <w:t xml:space="preserve"> i</w:t>
      </w:r>
      <w:r w:rsidR="00987DDC">
        <w:rPr>
          <w:noProof/>
        </w:rPr>
        <w:t> </w:t>
      </w:r>
      <w:r w:rsidR="00987DDC" w:rsidRPr="00987DDC">
        <w:rPr>
          <w:noProof/>
        </w:rPr>
        <w:t>kon</w:t>
      </w:r>
      <w:r w:rsidRPr="00987DDC">
        <w:rPr>
          <w:noProof/>
        </w:rPr>
        <w:t>testowalne, akt</w:t>
      </w:r>
      <w:r w:rsidR="00987DDC" w:rsidRPr="00987DDC">
        <w:rPr>
          <w:noProof/>
        </w:rPr>
        <w:t xml:space="preserve"> o</w:t>
      </w:r>
      <w:r w:rsidR="00987DDC">
        <w:rPr>
          <w:noProof/>
        </w:rPr>
        <w:t> </w:t>
      </w:r>
      <w:r w:rsidR="00987DDC" w:rsidRPr="00987DDC">
        <w:rPr>
          <w:noProof/>
        </w:rPr>
        <w:t>ryn</w:t>
      </w:r>
      <w:r w:rsidRPr="00987DDC">
        <w:rPr>
          <w:noProof/>
        </w:rPr>
        <w:t>kach cyfrowych (</w:t>
      </w:r>
      <w:r w:rsidRPr="00987DDC">
        <w:rPr>
          <w:rStyle w:val="FootnoteReference"/>
          <w:noProof/>
        </w:rPr>
        <w:footnoteReference w:id="135"/>
      </w:r>
      <w:r w:rsidRPr="00987DDC">
        <w:rPr>
          <w:noProof/>
        </w:rPr>
        <w:t>) zakazuje podmiotom wyznaczonym jako „strażnicy dostępu” łączenia</w:t>
      </w:r>
      <w:r w:rsidR="00987DDC" w:rsidRPr="00987DDC">
        <w:rPr>
          <w:noProof/>
        </w:rPr>
        <w:t xml:space="preserve"> i</w:t>
      </w:r>
      <w:r w:rsidR="00987DDC">
        <w:rPr>
          <w:noProof/>
        </w:rPr>
        <w:t> </w:t>
      </w:r>
      <w:r w:rsidR="00987DDC" w:rsidRPr="00987DDC">
        <w:rPr>
          <w:noProof/>
        </w:rPr>
        <w:t>wyk</w:t>
      </w:r>
      <w:r w:rsidRPr="00987DDC">
        <w:rPr>
          <w:noProof/>
        </w:rPr>
        <w:t>orzystywania danych osobowych pozyskiwanych za pośrednictwem ich podstawowych usług platformowych</w:t>
      </w:r>
      <w:r w:rsidR="00987DDC" w:rsidRPr="00987DDC">
        <w:rPr>
          <w:noProof/>
        </w:rPr>
        <w:t xml:space="preserve"> w</w:t>
      </w:r>
      <w:r w:rsidR="00987DDC">
        <w:rPr>
          <w:noProof/>
        </w:rPr>
        <w:t> </w:t>
      </w:r>
      <w:r w:rsidR="00987DDC" w:rsidRPr="00987DDC">
        <w:rPr>
          <w:noProof/>
        </w:rPr>
        <w:t>ram</w:t>
      </w:r>
      <w:r w:rsidRPr="00987DDC">
        <w:rPr>
          <w:noProof/>
        </w:rPr>
        <w:t>ach innych usług, chyba że użytkownik wyraził na to zgodę zgodnie</w:t>
      </w:r>
      <w:r w:rsidR="00987DDC" w:rsidRPr="00987DDC">
        <w:rPr>
          <w:noProof/>
        </w:rPr>
        <w:t xml:space="preserve"> z</w:t>
      </w:r>
      <w:r w:rsidR="00987DDC">
        <w:rPr>
          <w:noProof/>
        </w:rPr>
        <w:t> </w:t>
      </w:r>
      <w:r w:rsidR="00987DDC" w:rsidRPr="00987DDC">
        <w:rPr>
          <w:noProof/>
        </w:rPr>
        <w:t>def</w:t>
      </w:r>
      <w:r w:rsidRPr="00987DDC">
        <w:rPr>
          <w:noProof/>
        </w:rPr>
        <w:t xml:space="preserve">inicją w RODO. </w:t>
      </w:r>
    </w:p>
    <w:p w14:paraId="048A59DD" w14:textId="51E0D4EA" w:rsidR="00C21BF2" w:rsidRPr="00987DDC" w:rsidRDefault="12E70539" w:rsidP="0003154B">
      <w:pPr>
        <w:pStyle w:val="ListParagraph"/>
        <w:numPr>
          <w:ilvl w:val="0"/>
          <w:numId w:val="29"/>
        </w:numPr>
        <w:ind w:left="360"/>
        <w:contextualSpacing w:val="0"/>
        <w:rPr>
          <w:noProof/>
        </w:rPr>
      </w:pPr>
      <w:r w:rsidRPr="00987DDC">
        <w:rPr>
          <w:noProof/>
        </w:rPr>
        <w:t>W akcie</w:t>
      </w:r>
      <w:r w:rsidR="00987DDC" w:rsidRPr="00987DDC">
        <w:rPr>
          <w:noProof/>
        </w:rPr>
        <w:t xml:space="preserve"> w</w:t>
      </w:r>
      <w:r w:rsidR="00987DDC">
        <w:rPr>
          <w:noProof/>
        </w:rPr>
        <w:t> </w:t>
      </w:r>
      <w:r w:rsidR="00987DDC" w:rsidRPr="00987DDC">
        <w:rPr>
          <w:noProof/>
        </w:rPr>
        <w:t>spr</w:t>
      </w:r>
      <w:r w:rsidRPr="00987DDC">
        <w:rPr>
          <w:noProof/>
        </w:rPr>
        <w:t>awie sztucznej inteligencji (</w:t>
      </w:r>
      <w:r w:rsidRPr="00987DDC">
        <w:rPr>
          <w:rStyle w:val="FootnoteReference"/>
          <w:noProof/>
        </w:rPr>
        <w:footnoteReference w:id="136"/>
      </w:r>
      <w:r w:rsidRPr="00987DDC">
        <w:rPr>
          <w:noProof/>
        </w:rPr>
        <w:t>) określono unijne przepisy</w:t>
      </w:r>
      <w:r w:rsidR="00987DDC" w:rsidRPr="00987DDC">
        <w:rPr>
          <w:noProof/>
        </w:rPr>
        <w:t xml:space="preserve"> o</w:t>
      </w:r>
      <w:r w:rsidR="00987DDC">
        <w:rPr>
          <w:noProof/>
        </w:rPr>
        <w:t> </w:t>
      </w:r>
      <w:r w:rsidR="00987DDC" w:rsidRPr="00987DDC">
        <w:rPr>
          <w:noProof/>
        </w:rPr>
        <w:t>och</w:t>
      </w:r>
      <w:r w:rsidRPr="00987DDC">
        <w:rPr>
          <w:noProof/>
        </w:rPr>
        <w:t>ronie danych</w:t>
      </w:r>
      <w:r w:rsidR="00987DDC" w:rsidRPr="00987DDC">
        <w:rPr>
          <w:noProof/>
        </w:rPr>
        <w:t xml:space="preserve"> w</w:t>
      </w:r>
      <w:r w:rsidR="00987DDC">
        <w:rPr>
          <w:noProof/>
        </w:rPr>
        <w:t> </w:t>
      </w:r>
      <w:r w:rsidR="00987DDC" w:rsidRPr="00987DDC">
        <w:rPr>
          <w:noProof/>
        </w:rPr>
        <w:t>kon</w:t>
      </w:r>
      <w:r w:rsidRPr="00987DDC">
        <w:rPr>
          <w:noProof/>
        </w:rPr>
        <w:t>kretnych obszarach,</w:t>
      </w:r>
      <w:r w:rsidR="00987DDC" w:rsidRPr="00987DDC">
        <w:rPr>
          <w:noProof/>
        </w:rPr>
        <w:t xml:space="preserve"> w</w:t>
      </w:r>
      <w:r w:rsidR="00987DDC">
        <w:rPr>
          <w:noProof/>
        </w:rPr>
        <w:t> </w:t>
      </w:r>
      <w:r w:rsidR="00987DDC" w:rsidRPr="00987DDC">
        <w:rPr>
          <w:noProof/>
        </w:rPr>
        <w:t>któ</w:t>
      </w:r>
      <w:r w:rsidRPr="00987DDC">
        <w:rPr>
          <w:noProof/>
        </w:rPr>
        <w:t>rych wykorzystuje się sztuczną inteligencję, na przykład</w:t>
      </w:r>
      <w:r w:rsidR="00987DDC" w:rsidRPr="00987DDC">
        <w:rPr>
          <w:noProof/>
        </w:rPr>
        <w:t xml:space="preserve"> w</w:t>
      </w:r>
      <w:r w:rsidR="00987DDC">
        <w:rPr>
          <w:noProof/>
        </w:rPr>
        <w:t> </w:t>
      </w:r>
      <w:r w:rsidR="00987DDC" w:rsidRPr="00987DDC">
        <w:rPr>
          <w:noProof/>
        </w:rPr>
        <w:t>sys</w:t>
      </w:r>
      <w:r w:rsidRPr="00987DDC">
        <w:rPr>
          <w:noProof/>
        </w:rPr>
        <w:t>temach zdalnej identyfikacji biometrycznej, przetwarzania szczególnych kategorii danych</w:t>
      </w:r>
      <w:r w:rsidR="00987DDC" w:rsidRPr="00987DDC">
        <w:rPr>
          <w:noProof/>
        </w:rPr>
        <w:t xml:space="preserve"> w</w:t>
      </w:r>
      <w:r w:rsidR="00987DDC">
        <w:rPr>
          <w:noProof/>
        </w:rPr>
        <w:t> </w:t>
      </w:r>
      <w:r w:rsidR="00987DDC" w:rsidRPr="00987DDC">
        <w:rPr>
          <w:noProof/>
        </w:rPr>
        <w:t>cel</w:t>
      </w:r>
      <w:r w:rsidRPr="00987DDC">
        <w:rPr>
          <w:noProof/>
        </w:rPr>
        <w:t>u wykrywania stronniczości oraz dalszego przetwarzania danych osobowych</w:t>
      </w:r>
      <w:r w:rsidR="00987DDC" w:rsidRPr="00987DDC">
        <w:rPr>
          <w:noProof/>
        </w:rPr>
        <w:t xml:space="preserve"> w</w:t>
      </w:r>
      <w:r w:rsidR="00987DDC">
        <w:rPr>
          <w:noProof/>
        </w:rPr>
        <w:t> </w:t>
      </w:r>
      <w:r w:rsidR="00987DDC" w:rsidRPr="00987DDC">
        <w:rPr>
          <w:noProof/>
        </w:rPr>
        <w:t>pia</w:t>
      </w:r>
      <w:r w:rsidRPr="00987DDC">
        <w:rPr>
          <w:noProof/>
        </w:rPr>
        <w:t>skownicach regulacyjnych.</w:t>
      </w:r>
    </w:p>
    <w:p w14:paraId="0A677F84" w14:textId="14D9F9B6" w:rsidR="005A4CF5" w:rsidRPr="00987DDC" w:rsidRDefault="5C29E1FE" w:rsidP="0003154B">
      <w:pPr>
        <w:pStyle w:val="ListParagraph"/>
        <w:numPr>
          <w:ilvl w:val="0"/>
          <w:numId w:val="29"/>
        </w:numPr>
        <w:ind w:left="360"/>
        <w:contextualSpacing w:val="0"/>
        <w:rPr>
          <w:noProof/>
        </w:rPr>
      </w:pPr>
      <w:r w:rsidRPr="00987DDC">
        <w:rPr>
          <w:noProof/>
        </w:rPr>
        <w:t>Dyrektywa</w:t>
      </w:r>
      <w:r w:rsidR="00987DDC" w:rsidRPr="00987DDC">
        <w:rPr>
          <w:noProof/>
        </w:rPr>
        <w:t xml:space="preserve"> w</w:t>
      </w:r>
      <w:r w:rsidR="00987DDC">
        <w:rPr>
          <w:noProof/>
        </w:rPr>
        <w:t> </w:t>
      </w:r>
      <w:r w:rsidR="00987DDC" w:rsidRPr="00987DDC">
        <w:rPr>
          <w:noProof/>
        </w:rPr>
        <w:t>spr</w:t>
      </w:r>
      <w:r w:rsidRPr="00987DDC">
        <w:rPr>
          <w:noProof/>
        </w:rPr>
        <w:t>awie pracy za pośrednictwem platform internetowych (</w:t>
      </w:r>
      <w:r w:rsidRPr="00987DDC">
        <w:rPr>
          <w:rStyle w:val="FootnoteReference"/>
          <w:noProof/>
        </w:rPr>
        <w:footnoteReference w:id="137"/>
      </w:r>
      <w:r w:rsidRPr="00987DDC">
        <w:rPr>
          <w:noProof/>
        </w:rPr>
        <w:t>) uzupełnia RODO</w:t>
      </w:r>
      <w:r w:rsidR="00987DDC" w:rsidRPr="00987DDC">
        <w:rPr>
          <w:noProof/>
        </w:rPr>
        <w:t xml:space="preserve"> w</w:t>
      </w:r>
      <w:r w:rsidR="00987DDC">
        <w:rPr>
          <w:noProof/>
        </w:rPr>
        <w:t> </w:t>
      </w:r>
      <w:r w:rsidR="00987DDC" w:rsidRPr="00987DDC">
        <w:rPr>
          <w:noProof/>
        </w:rPr>
        <w:t>obs</w:t>
      </w:r>
      <w:r w:rsidRPr="00987DDC">
        <w:rPr>
          <w:noProof/>
        </w:rPr>
        <w:t>zarze zatrudnienia, ustanawiając przepisy dotyczące zautomatyzowanych systemów monitorujących</w:t>
      </w:r>
      <w:r w:rsidR="00987DDC" w:rsidRPr="00987DDC">
        <w:rPr>
          <w:noProof/>
        </w:rPr>
        <w:t xml:space="preserve"> i</w:t>
      </w:r>
      <w:r w:rsidR="00987DDC">
        <w:rPr>
          <w:noProof/>
        </w:rPr>
        <w:t> </w:t>
      </w:r>
      <w:r w:rsidR="00987DDC" w:rsidRPr="00987DDC">
        <w:rPr>
          <w:noProof/>
        </w:rPr>
        <w:t>dec</w:t>
      </w:r>
      <w:r w:rsidRPr="00987DDC">
        <w:rPr>
          <w:noProof/>
        </w:rPr>
        <w:t>yzyjnych wykorzystywanych przez cyfrowe platformy pracy,</w:t>
      </w:r>
      <w:r w:rsidR="00987DDC" w:rsidRPr="00987DDC">
        <w:rPr>
          <w:noProof/>
        </w:rPr>
        <w:t xml:space="preserve"> a</w:t>
      </w:r>
      <w:r w:rsidR="00987DDC">
        <w:rPr>
          <w:noProof/>
        </w:rPr>
        <w:t> </w:t>
      </w:r>
      <w:r w:rsidR="00987DDC" w:rsidRPr="00987DDC">
        <w:rPr>
          <w:noProof/>
        </w:rPr>
        <w:t>w</w:t>
      </w:r>
      <w:r w:rsidR="00987DDC">
        <w:rPr>
          <w:noProof/>
        </w:rPr>
        <w:t> </w:t>
      </w:r>
      <w:r w:rsidR="00987DDC" w:rsidRPr="00987DDC">
        <w:rPr>
          <w:noProof/>
        </w:rPr>
        <w:t>szc</w:t>
      </w:r>
      <w:r w:rsidRPr="00987DDC">
        <w:rPr>
          <w:noProof/>
        </w:rPr>
        <w:t>zególności ograniczenia dotyczące przetwarzania danych osobowych, przejrzystości sprawowania nadzoru przez człowieka oraz weryfikowania</w:t>
      </w:r>
      <w:r w:rsidR="00987DDC" w:rsidRPr="00987DDC">
        <w:rPr>
          <w:noProof/>
        </w:rPr>
        <w:t xml:space="preserve"> i</w:t>
      </w:r>
      <w:r w:rsidR="00987DDC">
        <w:rPr>
          <w:noProof/>
        </w:rPr>
        <w:t> </w:t>
      </w:r>
      <w:r w:rsidR="00987DDC" w:rsidRPr="00987DDC">
        <w:rPr>
          <w:noProof/>
        </w:rPr>
        <w:t>moż</w:t>
      </w:r>
      <w:r w:rsidRPr="00987DDC">
        <w:rPr>
          <w:noProof/>
        </w:rPr>
        <w:t xml:space="preserve">liwości przenoszenia. </w:t>
      </w:r>
    </w:p>
    <w:p w14:paraId="28E4559A" w14:textId="553C1D32" w:rsidR="00D96388" w:rsidRPr="00987DDC" w:rsidRDefault="3183FA1B" w:rsidP="0003154B">
      <w:pPr>
        <w:pStyle w:val="ListParagraph"/>
        <w:numPr>
          <w:ilvl w:val="0"/>
          <w:numId w:val="29"/>
        </w:numPr>
        <w:ind w:left="360"/>
        <w:contextualSpacing w:val="0"/>
        <w:rPr>
          <w:noProof/>
        </w:rPr>
      </w:pPr>
      <w:r w:rsidRPr="00987DDC">
        <w:rPr>
          <w:noProof/>
        </w:rPr>
        <w:t>Rozporządzenie</w:t>
      </w:r>
      <w:r w:rsidR="00987DDC" w:rsidRPr="00987DDC">
        <w:rPr>
          <w:noProof/>
        </w:rPr>
        <w:t xml:space="preserve"> w</w:t>
      </w:r>
      <w:r w:rsidR="00987DDC">
        <w:rPr>
          <w:noProof/>
        </w:rPr>
        <w:t> </w:t>
      </w:r>
      <w:r w:rsidR="00987DDC" w:rsidRPr="00987DDC">
        <w:rPr>
          <w:noProof/>
        </w:rPr>
        <w:t>spr</w:t>
      </w:r>
      <w:r w:rsidRPr="00987DDC">
        <w:rPr>
          <w:noProof/>
        </w:rPr>
        <w:t>awie reklamy politycznej (</w:t>
      </w:r>
      <w:r w:rsidRPr="00987DDC">
        <w:rPr>
          <w:rStyle w:val="FootnoteReference"/>
          <w:noProof/>
        </w:rPr>
        <w:footnoteReference w:id="138"/>
      </w:r>
      <w:r w:rsidRPr="00987DDC">
        <w:rPr>
          <w:noProof/>
        </w:rPr>
        <w:t>) zakazuje wykorzystywania szczególnych kategorii danych osobowych</w:t>
      </w:r>
      <w:r w:rsidR="00987DDC" w:rsidRPr="00987DDC">
        <w:rPr>
          <w:noProof/>
        </w:rPr>
        <w:t xml:space="preserve"> w</w:t>
      </w:r>
      <w:r w:rsidR="00987DDC">
        <w:rPr>
          <w:noProof/>
        </w:rPr>
        <w:t> </w:t>
      </w:r>
      <w:r w:rsidR="00987DDC" w:rsidRPr="00987DDC">
        <w:rPr>
          <w:noProof/>
        </w:rPr>
        <w:t>rek</w:t>
      </w:r>
      <w:r w:rsidRPr="00987DDC">
        <w:rPr>
          <w:noProof/>
        </w:rPr>
        <w:t>lamie politycznej</w:t>
      </w:r>
      <w:r w:rsidR="00987DDC" w:rsidRPr="00987DDC">
        <w:rPr>
          <w:noProof/>
        </w:rPr>
        <w:t xml:space="preserve"> i</w:t>
      </w:r>
      <w:r w:rsidR="00987DDC">
        <w:rPr>
          <w:noProof/>
        </w:rPr>
        <w:t> </w:t>
      </w:r>
      <w:r w:rsidR="00987DDC" w:rsidRPr="00987DDC">
        <w:rPr>
          <w:noProof/>
        </w:rPr>
        <w:t>wym</w:t>
      </w:r>
      <w:r w:rsidRPr="00987DDC">
        <w:rPr>
          <w:noProof/>
        </w:rPr>
        <w:t>aga zwiększenia przejrzystości</w:t>
      </w:r>
      <w:r w:rsidR="00987DDC" w:rsidRPr="00987DDC">
        <w:rPr>
          <w:noProof/>
        </w:rPr>
        <w:t xml:space="preserve"> w</w:t>
      </w:r>
      <w:r w:rsidR="00987DDC">
        <w:rPr>
          <w:noProof/>
        </w:rPr>
        <w:t> </w:t>
      </w:r>
      <w:r w:rsidR="00987DDC" w:rsidRPr="00987DDC">
        <w:rPr>
          <w:noProof/>
        </w:rPr>
        <w:t>zak</w:t>
      </w:r>
      <w:r w:rsidRPr="00987DDC">
        <w:rPr>
          <w:noProof/>
        </w:rPr>
        <w:t>resie stosowanych technik targetowania</w:t>
      </w:r>
      <w:r w:rsidR="00987DDC" w:rsidRPr="00987DDC">
        <w:rPr>
          <w:noProof/>
        </w:rPr>
        <w:t xml:space="preserve"> i</w:t>
      </w:r>
      <w:r w:rsidR="00987DDC">
        <w:rPr>
          <w:noProof/>
        </w:rPr>
        <w:t> </w:t>
      </w:r>
      <w:r w:rsidR="00987DDC" w:rsidRPr="00987DDC">
        <w:rPr>
          <w:noProof/>
        </w:rPr>
        <w:t>zwi</w:t>
      </w:r>
      <w:r w:rsidRPr="00987DDC">
        <w:rPr>
          <w:noProof/>
        </w:rPr>
        <w:t xml:space="preserve">ększania ich wpływu. </w:t>
      </w:r>
    </w:p>
    <w:p w14:paraId="0E03F8A5" w14:textId="3271C83B" w:rsidR="00D96388" w:rsidRPr="00987DDC" w:rsidRDefault="1842039F" w:rsidP="0003154B">
      <w:pPr>
        <w:pStyle w:val="ListParagraph"/>
        <w:numPr>
          <w:ilvl w:val="0"/>
          <w:numId w:val="29"/>
        </w:numPr>
        <w:ind w:left="360"/>
        <w:contextualSpacing w:val="0"/>
        <w:rPr>
          <w:noProof/>
        </w:rPr>
      </w:pPr>
      <w:r w:rsidRPr="00987DDC">
        <w:rPr>
          <w:noProof/>
        </w:rPr>
        <w:t>Rozporządzenie</w:t>
      </w:r>
      <w:r w:rsidR="00987DDC" w:rsidRPr="00987DDC">
        <w:rPr>
          <w:noProof/>
        </w:rPr>
        <w:t xml:space="preserve"> w</w:t>
      </w:r>
      <w:r w:rsidR="00987DDC">
        <w:rPr>
          <w:noProof/>
        </w:rPr>
        <w:t> </w:t>
      </w:r>
      <w:r w:rsidR="00987DDC" w:rsidRPr="00987DDC">
        <w:rPr>
          <w:noProof/>
        </w:rPr>
        <w:t>spr</w:t>
      </w:r>
      <w:r w:rsidRPr="00987DDC">
        <w:rPr>
          <w:noProof/>
        </w:rPr>
        <w:t>awie europejskiej tożsamości cyfrowej umożliwia stworzenie uniwersalnego, godnego zaufania</w:t>
      </w:r>
      <w:r w:rsidR="00987DDC" w:rsidRPr="00987DDC">
        <w:rPr>
          <w:noProof/>
        </w:rPr>
        <w:t xml:space="preserve"> i</w:t>
      </w:r>
      <w:r w:rsidR="00987DDC">
        <w:rPr>
          <w:noProof/>
        </w:rPr>
        <w:t> </w:t>
      </w:r>
      <w:r w:rsidR="00987DDC" w:rsidRPr="00987DDC">
        <w:rPr>
          <w:noProof/>
        </w:rPr>
        <w:t>bez</w:t>
      </w:r>
      <w:r w:rsidRPr="00987DDC">
        <w:rPr>
          <w:noProof/>
        </w:rPr>
        <w:t>piecznego europejskiego portfela tożsamości cyfrowej. Umożliwi to osobom fizycznym poświadczanie atrybutów osobistych, takich jak prawa jazdy, dyplomy</w:t>
      </w:r>
      <w:r w:rsidR="00987DDC" w:rsidRPr="00987DDC">
        <w:rPr>
          <w:noProof/>
        </w:rPr>
        <w:t xml:space="preserve"> i</w:t>
      </w:r>
      <w:r w:rsidR="00987DDC">
        <w:rPr>
          <w:noProof/>
        </w:rPr>
        <w:t> </w:t>
      </w:r>
      <w:r w:rsidR="00987DDC" w:rsidRPr="00987DDC">
        <w:rPr>
          <w:noProof/>
        </w:rPr>
        <w:t>rac</w:t>
      </w:r>
      <w:r w:rsidRPr="00987DDC">
        <w:rPr>
          <w:noProof/>
        </w:rPr>
        <w:t>hunki bankowe, przy zachowaniu pełnej kontroli nad ich danymi osobowymi</w:t>
      </w:r>
      <w:r w:rsidR="00987DDC" w:rsidRPr="00987DDC">
        <w:rPr>
          <w:noProof/>
        </w:rPr>
        <w:t xml:space="preserve"> i</w:t>
      </w:r>
      <w:r w:rsidR="00987DDC">
        <w:rPr>
          <w:noProof/>
        </w:rPr>
        <w:t> </w:t>
      </w:r>
      <w:r w:rsidR="00987DDC" w:rsidRPr="00987DDC">
        <w:rPr>
          <w:noProof/>
        </w:rPr>
        <w:t>bez</w:t>
      </w:r>
      <w:r w:rsidRPr="00987DDC">
        <w:rPr>
          <w:noProof/>
        </w:rPr>
        <w:t xml:space="preserve"> niepotrzebnej wymiany danych. </w:t>
      </w:r>
    </w:p>
    <w:p w14:paraId="7AEFDB16" w14:textId="31690E36" w:rsidR="0094717F" w:rsidRPr="00987DDC" w:rsidRDefault="1D382783" w:rsidP="00D564A1">
      <w:pPr>
        <w:rPr>
          <w:noProof/>
        </w:rPr>
      </w:pPr>
      <w:r w:rsidRPr="00987DDC">
        <w:rPr>
          <w:noProof/>
        </w:rPr>
        <w:t>Wniosek dotyczący rozporządzenia</w:t>
      </w:r>
      <w:r w:rsidR="00987DDC" w:rsidRPr="00987DDC">
        <w:rPr>
          <w:noProof/>
        </w:rPr>
        <w:t xml:space="preserve"> w</w:t>
      </w:r>
      <w:r w:rsidR="00987DDC">
        <w:rPr>
          <w:noProof/>
        </w:rPr>
        <w:t> </w:t>
      </w:r>
      <w:r w:rsidR="00987DDC" w:rsidRPr="00987DDC">
        <w:rPr>
          <w:noProof/>
        </w:rPr>
        <w:t>spr</w:t>
      </w:r>
      <w:r w:rsidRPr="00987DDC">
        <w:rPr>
          <w:noProof/>
        </w:rPr>
        <w:t>awie e-prywatności (</w:t>
      </w:r>
      <w:r w:rsidRPr="00987DDC">
        <w:rPr>
          <w:rStyle w:val="FootnoteReference"/>
          <w:noProof/>
        </w:rPr>
        <w:footnoteReference w:id="139"/>
      </w:r>
      <w:r w:rsidRPr="00987DDC">
        <w:rPr>
          <w:noProof/>
        </w:rPr>
        <w:t>), który ma zastąpić obecną dyrektywę o e-prywatności (</w:t>
      </w:r>
      <w:r w:rsidRPr="00987DDC">
        <w:rPr>
          <w:noProof/>
          <w:vertAlign w:val="superscript"/>
        </w:rPr>
        <w:footnoteReference w:id="140"/>
      </w:r>
      <w:r w:rsidRPr="00987DDC">
        <w:rPr>
          <w:noProof/>
        </w:rPr>
        <w:t>) i uzupełnić ramy prawne dotyczące prywatności</w:t>
      </w:r>
      <w:r w:rsidR="00987DDC" w:rsidRPr="00987DDC">
        <w:rPr>
          <w:noProof/>
        </w:rPr>
        <w:t xml:space="preserve"> i</w:t>
      </w:r>
      <w:r w:rsidR="00987DDC">
        <w:rPr>
          <w:noProof/>
        </w:rPr>
        <w:t> </w:t>
      </w:r>
      <w:r w:rsidR="00987DDC" w:rsidRPr="00987DDC">
        <w:rPr>
          <w:noProof/>
        </w:rPr>
        <w:t>och</w:t>
      </w:r>
      <w:r w:rsidRPr="00987DDC">
        <w:rPr>
          <w:noProof/>
        </w:rPr>
        <w:t>rony danych, jest przedmiotem negocjacji od kilku lat. Należy zastanowić się nad kolejnymi krokami</w:t>
      </w:r>
      <w:r w:rsidR="00987DDC" w:rsidRPr="00987DDC">
        <w:rPr>
          <w:noProof/>
        </w:rPr>
        <w:t xml:space="preserve"> w</w:t>
      </w:r>
      <w:r w:rsidR="00987DDC">
        <w:rPr>
          <w:noProof/>
        </w:rPr>
        <w:t> </w:t>
      </w:r>
      <w:r w:rsidR="00987DDC" w:rsidRPr="00987DDC">
        <w:rPr>
          <w:noProof/>
        </w:rPr>
        <w:t>ram</w:t>
      </w:r>
      <w:r w:rsidRPr="00987DDC">
        <w:rPr>
          <w:noProof/>
        </w:rPr>
        <w:t>ach tej inicjatywy,</w:t>
      </w:r>
      <w:r w:rsidR="00987DDC" w:rsidRPr="00987DDC">
        <w:rPr>
          <w:noProof/>
        </w:rPr>
        <w:t xml:space="preserve"> w</w:t>
      </w:r>
      <w:r w:rsidR="00987DDC">
        <w:rPr>
          <w:noProof/>
        </w:rPr>
        <w:t> </w:t>
      </w:r>
      <w:r w:rsidR="00987DDC" w:rsidRPr="00987DDC">
        <w:rPr>
          <w:noProof/>
        </w:rPr>
        <w:t>tym</w:t>
      </w:r>
      <w:r w:rsidRPr="00987DDC">
        <w:rPr>
          <w:noProof/>
        </w:rPr>
        <w:t xml:space="preserve"> nad jej związkiem z RODO.</w:t>
      </w:r>
    </w:p>
    <w:p w14:paraId="7ED00134" w14:textId="2CE249E4" w:rsidR="0017452A" w:rsidRPr="00987DDC" w:rsidRDefault="00CB0B2B" w:rsidP="00D564A1">
      <w:pPr>
        <w:rPr>
          <w:noProof/>
        </w:rPr>
      </w:pPr>
      <w:r w:rsidRPr="00987DDC">
        <w:rPr>
          <w:noProof/>
        </w:rPr>
        <w:t>Akt</w:t>
      </w:r>
      <w:r w:rsidR="00987DDC" w:rsidRPr="00987DDC">
        <w:rPr>
          <w:noProof/>
        </w:rPr>
        <w:t xml:space="preserve"> w</w:t>
      </w:r>
      <w:r w:rsidR="00987DDC">
        <w:rPr>
          <w:noProof/>
        </w:rPr>
        <w:t> </w:t>
      </w:r>
      <w:r w:rsidR="00987DDC" w:rsidRPr="00987DDC">
        <w:rPr>
          <w:noProof/>
        </w:rPr>
        <w:t>spr</w:t>
      </w:r>
      <w:r w:rsidRPr="00987DDC">
        <w:rPr>
          <w:noProof/>
        </w:rPr>
        <w:t>awie Interoperacyjnej Europy (</w:t>
      </w:r>
      <w:r w:rsidRPr="00987DDC">
        <w:rPr>
          <w:rStyle w:val="FootnoteReference"/>
          <w:noProof/>
        </w:rPr>
        <w:footnoteReference w:id="141"/>
      </w:r>
      <w:r w:rsidRPr="00987DDC">
        <w:rPr>
          <w:noProof/>
        </w:rPr>
        <w:t>) ma na celu zapewnienie interoperacyjności cyfrowych usług publicznych</w:t>
      </w:r>
      <w:r w:rsidR="00987DDC" w:rsidRPr="00987DDC">
        <w:rPr>
          <w:noProof/>
        </w:rPr>
        <w:t xml:space="preserve"> w</w:t>
      </w:r>
      <w:r w:rsidR="00987DDC">
        <w:rPr>
          <w:noProof/>
        </w:rPr>
        <w:t> </w:t>
      </w:r>
      <w:r w:rsidR="00987DDC" w:rsidRPr="00987DDC">
        <w:rPr>
          <w:noProof/>
        </w:rPr>
        <w:t>cał</w:t>
      </w:r>
      <w:r w:rsidRPr="00987DDC">
        <w:rPr>
          <w:noProof/>
        </w:rPr>
        <w:t>ej UE. Ułatwia on współpracę między organami ochrony danych,</w:t>
      </w:r>
      <w:r w:rsidR="00987DDC" w:rsidRPr="00987DDC">
        <w:rPr>
          <w:noProof/>
        </w:rPr>
        <w:t xml:space="preserve"> w</w:t>
      </w:r>
      <w:r w:rsidR="00987DDC">
        <w:rPr>
          <w:noProof/>
        </w:rPr>
        <w:t> </w:t>
      </w:r>
      <w:r w:rsidR="00987DDC" w:rsidRPr="00987DDC">
        <w:rPr>
          <w:noProof/>
        </w:rPr>
        <w:t>szc</w:t>
      </w:r>
      <w:r w:rsidRPr="00987DDC">
        <w:rPr>
          <w:noProof/>
        </w:rPr>
        <w:t>zególności poprzez piaskownice regulacyjne interoperacyjności.</w:t>
      </w:r>
    </w:p>
    <w:p w14:paraId="71B71196" w14:textId="41B20F74" w:rsidR="00D779D6" w:rsidRPr="00987DDC" w:rsidRDefault="333BDB09" w:rsidP="00D47EC9">
      <w:pPr>
        <w:rPr>
          <w:noProof/>
        </w:rPr>
      </w:pPr>
      <w:r w:rsidRPr="00987DDC">
        <w:rPr>
          <w:noProof/>
        </w:rPr>
        <w:t>Szereg inicjatyw UE zapewnia podstawy prawne przetwarzania danych osobowych przez podmioty prywatne do celów zapobiegania przestępczości, prowadzenia postępowań przygotowawczych, wykrywania lub ścigania przestępstw. Wszelkie takie przepisy muszą być starannie ukierunkowane, aby zminimalizować ingerencję</w:t>
      </w:r>
      <w:r w:rsidR="00987DDC" w:rsidRPr="00987DDC">
        <w:rPr>
          <w:noProof/>
        </w:rPr>
        <w:t xml:space="preserve"> w</w:t>
      </w:r>
      <w:r w:rsidR="00987DDC">
        <w:rPr>
          <w:noProof/>
        </w:rPr>
        <w:t> </w:t>
      </w:r>
      <w:r w:rsidR="00987DDC" w:rsidRPr="00987DDC">
        <w:rPr>
          <w:noProof/>
        </w:rPr>
        <w:t>pra</w:t>
      </w:r>
      <w:r w:rsidRPr="00987DDC">
        <w:rPr>
          <w:noProof/>
        </w:rPr>
        <w:t>wo do ochrony danych osobowych</w:t>
      </w:r>
      <w:r w:rsidR="00987DDC" w:rsidRPr="00987DDC">
        <w:rPr>
          <w:noProof/>
        </w:rPr>
        <w:t xml:space="preserve"> i</w:t>
      </w:r>
      <w:r w:rsidR="00987DDC">
        <w:rPr>
          <w:noProof/>
        </w:rPr>
        <w:t> </w:t>
      </w:r>
      <w:r w:rsidR="00987DDC" w:rsidRPr="00987DDC">
        <w:rPr>
          <w:noProof/>
        </w:rPr>
        <w:t>być</w:t>
      </w:r>
      <w:r w:rsidRPr="00987DDC">
        <w:rPr>
          <w:noProof/>
        </w:rPr>
        <w:t xml:space="preserve"> proporcjonalne do zamierzonego celu (</w:t>
      </w:r>
      <w:r w:rsidRPr="00987DDC">
        <w:rPr>
          <w:rStyle w:val="FootnoteReference"/>
          <w:noProof/>
        </w:rPr>
        <w:footnoteReference w:id="142"/>
      </w:r>
      <w:r w:rsidRPr="00987DDC">
        <w:rPr>
          <w:noProof/>
        </w:rPr>
        <w:t>). Karta, RODO</w:t>
      </w:r>
      <w:r w:rsidR="00987DDC" w:rsidRPr="00987DDC">
        <w:rPr>
          <w:noProof/>
        </w:rPr>
        <w:t xml:space="preserve"> i</w:t>
      </w:r>
      <w:r w:rsidR="00987DDC">
        <w:rPr>
          <w:noProof/>
        </w:rPr>
        <w:t> </w:t>
      </w:r>
      <w:r w:rsidR="00987DDC" w:rsidRPr="00987DDC">
        <w:rPr>
          <w:noProof/>
        </w:rPr>
        <w:t>orz</w:t>
      </w:r>
      <w:r w:rsidRPr="00987DDC">
        <w:rPr>
          <w:noProof/>
        </w:rPr>
        <w:t>ecznictwo Trybunału Sprawiedliwości stanowią ramy,</w:t>
      </w:r>
      <w:r w:rsidR="00987DDC" w:rsidRPr="00987DDC">
        <w:rPr>
          <w:noProof/>
        </w:rPr>
        <w:t xml:space="preserve"> w</w:t>
      </w:r>
      <w:r w:rsidR="00987DDC">
        <w:rPr>
          <w:noProof/>
        </w:rPr>
        <w:t> </w:t>
      </w:r>
      <w:r w:rsidR="00987DDC" w:rsidRPr="00987DDC">
        <w:rPr>
          <w:noProof/>
        </w:rPr>
        <w:t>odn</w:t>
      </w:r>
      <w:r w:rsidRPr="00987DDC">
        <w:rPr>
          <w:noProof/>
        </w:rPr>
        <w:t>iesieniu do których należy dokonywać oceny tych inicjatyw. Proponowany pakiet dotyczący przeciwdziałania praniu pieniędzy (</w:t>
      </w:r>
      <w:r w:rsidRPr="00987DDC">
        <w:rPr>
          <w:rStyle w:val="FootnoteReference"/>
          <w:noProof/>
        </w:rPr>
        <w:footnoteReference w:id="143"/>
      </w:r>
      <w:r w:rsidRPr="00987DDC">
        <w:rPr>
          <w:noProof/>
        </w:rPr>
        <w:t>) zawiera istotne zabezpieczenia</w:t>
      </w:r>
      <w:r w:rsidR="00987DDC" w:rsidRPr="00987DDC">
        <w:rPr>
          <w:noProof/>
        </w:rPr>
        <w:t xml:space="preserve"> w</w:t>
      </w:r>
      <w:r w:rsidR="00987DDC">
        <w:rPr>
          <w:noProof/>
        </w:rPr>
        <w:t> </w:t>
      </w:r>
      <w:r w:rsidR="00987DDC" w:rsidRPr="00987DDC">
        <w:rPr>
          <w:noProof/>
        </w:rPr>
        <w:t>zak</w:t>
      </w:r>
      <w:r w:rsidRPr="00987DDC">
        <w:rPr>
          <w:noProof/>
        </w:rPr>
        <w:t>resie ochrony danych osobowych, bez uszczerbku dla celu, jakim jest ograniczenie ryzyka związanego</w:t>
      </w:r>
      <w:r w:rsidR="00987DDC" w:rsidRPr="00987DDC">
        <w:rPr>
          <w:noProof/>
        </w:rPr>
        <w:t xml:space="preserve"> z</w:t>
      </w:r>
      <w:r w:rsidR="00987DDC">
        <w:rPr>
          <w:noProof/>
        </w:rPr>
        <w:t> </w:t>
      </w:r>
      <w:r w:rsidR="00987DDC" w:rsidRPr="00987DDC">
        <w:rPr>
          <w:noProof/>
        </w:rPr>
        <w:t>pra</w:t>
      </w:r>
      <w:r w:rsidRPr="00987DDC">
        <w:rPr>
          <w:noProof/>
        </w:rPr>
        <w:t>niem pieniędzy</w:t>
      </w:r>
      <w:r w:rsidR="00987DDC" w:rsidRPr="00987DDC">
        <w:rPr>
          <w:noProof/>
        </w:rPr>
        <w:t xml:space="preserve"> i</w:t>
      </w:r>
      <w:r w:rsidR="00987DDC">
        <w:rPr>
          <w:noProof/>
        </w:rPr>
        <w:t> </w:t>
      </w:r>
      <w:r w:rsidR="00987DDC" w:rsidRPr="00987DDC">
        <w:rPr>
          <w:noProof/>
        </w:rPr>
        <w:t>fin</w:t>
      </w:r>
      <w:r w:rsidRPr="00987DDC">
        <w:rPr>
          <w:noProof/>
        </w:rPr>
        <w:t>ansowaniem terroryzmu oraz skuteczne wykrywanie nielegalnych prób niewłaściwego wykorzystania systemu finansowego UE.</w:t>
      </w:r>
    </w:p>
    <w:p w14:paraId="3498E968" w14:textId="64660A66" w:rsidR="004A2BCC" w:rsidRPr="00987DDC" w:rsidRDefault="00AE573B" w:rsidP="00D47EC9">
      <w:pPr>
        <w:rPr>
          <w:noProof/>
        </w:rPr>
      </w:pPr>
      <w:r w:rsidRPr="00987DDC">
        <w:rPr>
          <w:noProof/>
        </w:rPr>
        <w:t>W tym kontekście Rada podkreśliła, że wszelkie nowe przepisy UE zawierające przepisy dotyczące przetwarzania danych osobowych powinny być spójne z RODO</w:t>
      </w:r>
      <w:r w:rsidR="00987DDC" w:rsidRPr="00987DDC">
        <w:rPr>
          <w:noProof/>
        </w:rPr>
        <w:t xml:space="preserve"> i</w:t>
      </w:r>
      <w:r w:rsidR="00987DDC">
        <w:rPr>
          <w:noProof/>
        </w:rPr>
        <w:t> </w:t>
      </w:r>
      <w:r w:rsidR="00987DDC" w:rsidRPr="00987DDC">
        <w:rPr>
          <w:noProof/>
        </w:rPr>
        <w:t>orz</w:t>
      </w:r>
      <w:r w:rsidRPr="00987DDC">
        <w:rPr>
          <w:noProof/>
        </w:rPr>
        <w:t>ecznictwem Trybunału Sprawiedliwości.</w:t>
      </w:r>
    </w:p>
    <w:p w14:paraId="5E59B66D" w14:textId="014E15D7" w:rsidR="00812D00" w:rsidRPr="00987DDC" w:rsidRDefault="00A05224" w:rsidP="00547296">
      <w:pPr>
        <w:pStyle w:val="Heading2"/>
        <w:rPr>
          <w:noProof/>
        </w:rPr>
      </w:pPr>
      <w:r w:rsidRPr="00987DDC">
        <w:rPr>
          <w:noProof/>
        </w:rPr>
        <w:t xml:space="preserve">Ramy prawne służące usprawnieniu wymiany danych </w:t>
      </w:r>
    </w:p>
    <w:p w14:paraId="643381F4" w14:textId="67137A48" w:rsidR="000E4291" w:rsidRPr="00987DDC" w:rsidRDefault="000E4291" w:rsidP="000E4291">
      <w:pPr>
        <w:rPr>
          <w:noProof/>
        </w:rPr>
      </w:pPr>
      <w:bookmarkStart w:id="39" w:name="_Hlk159852666"/>
      <w:r w:rsidRPr="00987DDC">
        <w:rPr>
          <w:noProof/>
        </w:rPr>
        <w:t>Strategia</w:t>
      </w:r>
      <w:r w:rsidR="00987DDC" w:rsidRPr="00987DDC">
        <w:rPr>
          <w:noProof/>
        </w:rPr>
        <w:t xml:space="preserve"> w</w:t>
      </w:r>
      <w:r w:rsidR="00987DDC">
        <w:rPr>
          <w:noProof/>
        </w:rPr>
        <w:t> </w:t>
      </w:r>
      <w:r w:rsidR="00987DDC" w:rsidRPr="00987DDC">
        <w:rPr>
          <w:noProof/>
        </w:rPr>
        <w:t>zak</w:t>
      </w:r>
      <w:r w:rsidRPr="00987DDC">
        <w:rPr>
          <w:noProof/>
        </w:rPr>
        <w:t>resie danych ma na celu stworzenie jednolitego rynku danych,</w:t>
      </w:r>
      <w:r w:rsidR="00987DDC" w:rsidRPr="00987DDC">
        <w:rPr>
          <w:noProof/>
        </w:rPr>
        <w:t xml:space="preserve"> w</w:t>
      </w:r>
      <w:r w:rsidR="00987DDC">
        <w:rPr>
          <w:noProof/>
        </w:rPr>
        <w:t> </w:t>
      </w:r>
      <w:r w:rsidR="00987DDC" w:rsidRPr="00987DDC">
        <w:rPr>
          <w:noProof/>
        </w:rPr>
        <w:t>ram</w:t>
      </w:r>
      <w:r w:rsidRPr="00987DDC">
        <w:rPr>
          <w:noProof/>
        </w:rPr>
        <w:t>ach którego dane przepływają swobodnie wewnątrz UE</w:t>
      </w:r>
      <w:r w:rsidR="00987DDC" w:rsidRPr="00987DDC">
        <w:rPr>
          <w:noProof/>
        </w:rPr>
        <w:t xml:space="preserve"> i</w:t>
      </w:r>
      <w:r w:rsidR="00987DDC">
        <w:rPr>
          <w:noProof/>
        </w:rPr>
        <w:t> </w:t>
      </w:r>
      <w:r w:rsidR="00987DDC" w:rsidRPr="00987DDC">
        <w:rPr>
          <w:noProof/>
        </w:rPr>
        <w:t>mię</w:t>
      </w:r>
      <w:r w:rsidRPr="00987DDC">
        <w:rPr>
          <w:noProof/>
        </w:rPr>
        <w:t>dzy sektorami</w:t>
      </w:r>
      <w:r w:rsidR="00987DDC" w:rsidRPr="00987DDC">
        <w:rPr>
          <w:noProof/>
        </w:rPr>
        <w:t xml:space="preserve"> z</w:t>
      </w:r>
      <w:r w:rsidR="00987DDC">
        <w:rPr>
          <w:noProof/>
        </w:rPr>
        <w:t> </w:t>
      </w:r>
      <w:r w:rsidR="00987DDC" w:rsidRPr="00987DDC">
        <w:rPr>
          <w:noProof/>
        </w:rPr>
        <w:t>kor</w:t>
      </w:r>
      <w:r w:rsidRPr="00987DDC">
        <w:rPr>
          <w:noProof/>
        </w:rPr>
        <w:t>zyścią dla przedsiębiorstw, naukowców</w:t>
      </w:r>
      <w:r w:rsidR="00987DDC" w:rsidRPr="00987DDC">
        <w:rPr>
          <w:noProof/>
        </w:rPr>
        <w:t xml:space="preserve"> i</w:t>
      </w:r>
      <w:r w:rsidR="00987DDC">
        <w:rPr>
          <w:noProof/>
        </w:rPr>
        <w:t> </w:t>
      </w:r>
      <w:r w:rsidR="00987DDC" w:rsidRPr="00987DDC">
        <w:rPr>
          <w:noProof/>
        </w:rPr>
        <w:t>adm</w:t>
      </w:r>
      <w:r w:rsidRPr="00987DDC">
        <w:rPr>
          <w:noProof/>
        </w:rPr>
        <w:t>inistracji publicznej. Głównym celem strategii</w:t>
      </w:r>
      <w:r w:rsidR="00987DDC" w:rsidRPr="00987DDC">
        <w:rPr>
          <w:noProof/>
        </w:rPr>
        <w:t xml:space="preserve"> w</w:t>
      </w:r>
      <w:r w:rsidR="00987DDC">
        <w:rPr>
          <w:noProof/>
        </w:rPr>
        <w:t> </w:t>
      </w:r>
      <w:r w:rsidR="00987DDC" w:rsidRPr="00987DDC">
        <w:rPr>
          <w:noProof/>
        </w:rPr>
        <w:t>zak</w:t>
      </w:r>
      <w:r w:rsidRPr="00987DDC">
        <w:rPr>
          <w:noProof/>
        </w:rPr>
        <w:t>resie danych jest stworzenie wspólnych europejskich przestrzeni danych, które ułatwiają łączenie danych, dostęp do nich oraz ich wymianę. Jeżeli chodzi</w:t>
      </w:r>
      <w:r w:rsidR="00987DDC" w:rsidRPr="00987DDC">
        <w:rPr>
          <w:noProof/>
        </w:rPr>
        <w:t xml:space="preserve"> o</w:t>
      </w:r>
      <w:r w:rsidR="00987DDC">
        <w:rPr>
          <w:noProof/>
        </w:rPr>
        <w:t> </w:t>
      </w:r>
      <w:r w:rsidR="00987DDC" w:rsidRPr="00987DDC">
        <w:rPr>
          <w:noProof/>
        </w:rPr>
        <w:t>dan</w:t>
      </w:r>
      <w:r w:rsidRPr="00987DDC">
        <w:rPr>
          <w:noProof/>
        </w:rPr>
        <w:t>e osobowe, RODO zapewnia ramy dla wszystkich inicjatyw dążących do zwiększania swobodnego przepływu danych w UE, co samo</w:t>
      </w:r>
      <w:r w:rsidR="00987DDC" w:rsidRPr="00987DDC">
        <w:rPr>
          <w:noProof/>
        </w:rPr>
        <w:t xml:space="preserve"> w</w:t>
      </w:r>
      <w:r w:rsidR="00987DDC">
        <w:rPr>
          <w:noProof/>
        </w:rPr>
        <w:t> </w:t>
      </w:r>
      <w:r w:rsidR="00987DDC" w:rsidRPr="00987DDC">
        <w:rPr>
          <w:noProof/>
        </w:rPr>
        <w:t>sob</w:t>
      </w:r>
      <w:r w:rsidRPr="00987DDC">
        <w:rPr>
          <w:noProof/>
        </w:rPr>
        <w:t>ie jest celem RODO. Jeżeli chodzi</w:t>
      </w:r>
      <w:r w:rsidR="00987DDC" w:rsidRPr="00987DDC">
        <w:rPr>
          <w:noProof/>
        </w:rPr>
        <w:t xml:space="preserve"> o</w:t>
      </w:r>
      <w:r w:rsidR="00987DDC">
        <w:rPr>
          <w:noProof/>
        </w:rPr>
        <w:t> </w:t>
      </w:r>
      <w:r w:rsidR="00987DDC" w:rsidRPr="00987DDC">
        <w:rPr>
          <w:noProof/>
        </w:rPr>
        <w:t>dan</w:t>
      </w:r>
      <w:r w:rsidRPr="00987DDC">
        <w:rPr>
          <w:noProof/>
        </w:rPr>
        <w:t>e osobowe, środki ochrony przewidziane w RODO nie są przedmiotem dyskusji.</w:t>
      </w:r>
    </w:p>
    <w:p w14:paraId="04099135" w14:textId="7A0B1B52" w:rsidR="0002183A" w:rsidRPr="00987DDC" w:rsidRDefault="18F2B2E6" w:rsidP="000E4291">
      <w:pPr>
        <w:rPr>
          <w:noProof/>
        </w:rPr>
      </w:pPr>
      <w:r w:rsidRPr="00987DDC">
        <w:rPr>
          <w:noProof/>
        </w:rPr>
        <w:t>Akt</w:t>
      </w:r>
      <w:r w:rsidR="00987DDC" w:rsidRPr="00987DDC">
        <w:rPr>
          <w:noProof/>
        </w:rPr>
        <w:t xml:space="preserve"> w</w:t>
      </w:r>
      <w:r w:rsidR="00987DDC">
        <w:rPr>
          <w:noProof/>
        </w:rPr>
        <w:t> </w:t>
      </w:r>
      <w:r w:rsidR="00987DDC" w:rsidRPr="00987DDC">
        <w:rPr>
          <w:noProof/>
        </w:rPr>
        <w:t>spr</w:t>
      </w:r>
      <w:r w:rsidRPr="00987DDC">
        <w:rPr>
          <w:noProof/>
        </w:rPr>
        <w:t>awie zarządzania danymi (</w:t>
      </w:r>
      <w:r w:rsidRPr="00987DDC">
        <w:rPr>
          <w:rStyle w:val="FootnoteReference"/>
          <w:noProof/>
        </w:rPr>
        <w:footnoteReference w:id="144"/>
      </w:r>
      <w:r w:rsidRPr="00987DDC">
        <w:rPr>
          <w:noProof/>
        </w:rPr>
        <w:t>)</w:t>
      </w:r>
      <w:r w:rsidR="00987DDC" w:rsidRPr="00987DDC">
        <w:rPr>
          <w:noProof/>
        </w:rPr>
        <w:t xml:space="preserve"> i</w:t>
      </w:r>
      <w:r w:rsidR="00987DDC">
        <w:rPr>
          <w:noProof/>
        </w:rPr>
        <w:t> </w:t>
      </w:r>
      <w:r w:rsidR="00987DDC" w:rsidRPr="00987DDC">
        <w:rPr>
          <w:noProof/>
        </w:rPr>
        <w:t>akt w</w:t>
      </w:r>
      <w:r w:rsidR="00987DDC">
        <w:rPr>
          <w:noProof/>
        </w:rPr>
        <w:t> </w:t>
      </w:r>
      <w:r w:rsidR="00987DDC" w:rsidRPr="00987DDC">
        <w:rPr>
          <w:noProof/>
        </w:rPr>
        <w:t>spr</w:t>
      </w:r>
      <w:r w:rsidRPr="00987DDC">
        <w:rPr>
          <w:noProof/>
        </w:rPr>
        <w:t>awie danych (</w:t>
      </w:r>
      <w:r w:rsidRPr="00987DDC">
        <w:rPr>
          <w:rStyle w:val="FootnoteReference"/>
          <w:noProof/>
        </w:rPr>
        <w:footnoteReference w:id="145"/>
      </w:r>
      <w:r w:rsidRPr="00987DDC">
        <w:rPr>
          <w:noProof/>
        </w:rPr>
        <w:t>) stanowią filary strategii</w:t>
      </w:r>
      <w:r w:rsidR="00987DDC" w:rsidRPr="00987DDC">
        <w:rPr>
          <w:noProof/>
        </w:rPr>
        <w:t xml:space="preserve"> w</w:t>
      </w:r>
      <w:r w:rsidR="00987DDC">
        <w:rPr>
          <w:noProof/>
        </w:rPr>
        <w:t> </w:t>
      </w:r>
      <w:r w:rsidR="00987DDC" w:rsidRPr="00987DDC">
        <w:rPr>
          <w:noProof/>
        </w:rPr>
        <w:t>zak</w:t>
      </w:r>
      <w:r w:rsidRPr="00987DDC">
        <w:rPr>
          <w:noProof/>
        </w:rPr>
        <w:t>resie danych</w:t>
      </w:r>
      <w:r w:rsidR="00987DDC" w:rsidRPr="00987DDC">
        <w:rPr>
          <w:noProof/>
        </w:rPr>
        <w:t>. W</w:t>
      </w:r>
      <w:r w:rsidR="00987DDC">
        <w:rPr>
          <w:noProof/>
        </w:rPr>
        <w:t> </w:t>
      </w:r>
      <w:bookmarkStart w:id="40" w:name="_Hlk160200540"/>
      <w:r w:rsidR="00987DDC" w:rsidRPr="00987DDC">
        <w:rPr>
          <w:noProof/>
        </w:rPr>
        <w:t>akc</w:t>
      </w:r>
      <w:r w:rsidRPr="00987DDC">
        <w:rPr>
          <w:noProof/>
        </w:rPr>
        <w:t>ie</w:t>
      </w:r>
      <w:r w:rsidR="00987DDC" w:rsidRPr="00987DDC">
        <w:rPr>
          <w:noProof/>
        </w:rPr>
        <w:t xml:space="preserve"> w</w:t>
      </w:r>
      <w:r w:rsidR="00987DDC">
        <w:rPr>
          <w:noProof/>
        </w:rPr>
        <w:t> </w:t>
      </w:r>
      <w:r w:rsidR="00987DDC" w:rsidRPr="00987DDC">
        <w:rPr>
          <w:noProof/>
        </w:rPr>
        <w:t>spr</w:t>
      </w:r>
      <w:r w:rsidRPr="00987DDC">
        <w:rPr>
          <w:noProof/>
        </w:rPr>
        <w:t>awie zarządzania danymi określono konkretne przepisy</w:t>
      </w:r>
      <w:r w:rsidR="00987DDC" w:rsidRPr="00987DDC">
        <w:rPr>
          <w:noProof/>
        </w:rPr>
        <w:t xml:space="preserve"> w</w:t>
      </w:r>
      <w:r w:rsidR="00987DDC">
        <w:rPr>
          <w:noProof/>
        </w:rPr>
        <w:t> </w:t>
      </w:r>
      <w:r w:rsidR="00987DDC" w:rsidRPr="00987DDC">
        <w:rPr>
          <w:noProof/>
        </w:rPr>
        <w:t>kon</w:t>
      </w:r>
      <w:r w:rsidRPr="00987DDC">
        <w:rPr>
          <w:noProof/>
        </w:rPr>
        <w:t>tekście ponownego wykorzystywania danych sektora publicznego zawierających dane osobowe, określono ramy legislacyjne dotyczące usług pośrednictwa danych –</w:t>
      </w:r>
      <w:r w:rsidR="00987DDC" w:rsidRPr="00987DDC">
        <w:rPr>
          <w:noProof/>
        </w:rPr>
        <w:t xml:space="preserve"> w</w:t>
      </w:r>
      <w:r w:rsidR="00987DDC">
        <w:rPr>
          <w:noProof/>
        </w:rPr>
        <w:t> </w:t>
      </w:r>
      <w:r w:rsidR="00987DDC" w:rsidRPr="00987DDC">
        <w:rPr>
          <w:noProof/>
        </w:rPr>
        <w:t>tym</w:t>
      </w:r>
      <w:r w:rsidRPr="00987DDC">
        <w:rPr>
          <w:noProof/>
        </w:rPr>
        <w:t xml:space="preserve"> serwisów służących do zarządzania danymi osobowymi (PIMS) lub chmur danych osobowych oferowanych, by umożliwić osobom, których dane dotyczą, korzystanie</w:t>
      </w:r>
      <w:r w:rsidR="00987DDC" w:rsidRPr="00987DDC">
        <w:rPr>
          <w:noProof/>
        </w:rPr>
        <w:t xml:space="preserve"> z</w:t>
      </w:r>
      <w:r w:rsidR="00987DDC">
        <w:rPr>
          <w:noProof/>
        </w:rPr>
        <w:t> </w:t>
      </w:r>
      <w:r w:rsidR="00987DDC" w:rsidRPr="00987DDC">
        <w:rPr>
          <w:noProof/>
        </w:rPr>
        <w:t>ich</w:t>
      </w:r>
      <w:r w:rsidRPr="00987DDC">
        <w:rPr>
          <w:noProof/>
        </w:rPr>
        <w:t xml:space="preserve"> praw przewidzianych w RODO</w:t>
      </w:r>
      <w:bookmarkEnd w:id="40"/>
      <w:r w:rsidR="00987DDC" w:rsidRPr="00987DDC">
        <w:rPr>
          <w:noProof/>
        </w:rPr>
        <w:t>. W</w:t>
      </w:r>
      <w:r w:rsidR="00987DDC">
        <w:rPr>
          <w:noProof/>
        </w:rPr>
        <w:t> </w:t>
      </w:r>
      <w:r w:rsidR="00987DDC" w:rsidRPr="00987DDC">
        <w:rPr>
          <w:noProof/>
        </w:rPr>
        <w:t>akc</w:t>
      </w:r>
      <w:r w:rsidRPr="00987DDC">
        <w:rPr>
          <w:noProof/>
        </w:rPr>
        <w:t>ie określono również warunki korzystania</w:t>
      </w:r>
      <w:r w:rsidR="00987DDC" w:rsidRPr="00987DDC">
        <w:rPr>
          <w:noProof/>
        </w:rPr>
        <w:t xml:space="preserve"> z</w:t>
      </w:r>
      <w:r w:rsidR="00987DDC">
        <w:rPr>
          <w:noProof/>
        </w:rPr>
        <w:t> </w:t>
      </w:r>
      <w:r w:rsidR="00987DDC" w:rsidRPr="00987DDC">
        <w:rPr>
          <w:noProof/>
        </w:rPr>
        <w:t>dan</w:t>
      </w:r>
      <w:r w:rsidRPr="00987DDC">
        <w:rPr>
          <w:noProof/>
        </w:rPr>
        <w:t>ych</w:t>
      </w:r>
      <w:r w:rsidR="00987DDC" w:rsidRPr="00987DDC">
        <w:rPr>
          <w:noProof/>
        </w:rPr>
        <w:t xml:space="preserve"> z</w:t>
      </w:r>
      <w:r w:rsidR="00987DDC">
        <w:rPr>
          <w:noProof/>
        </w:rPr>
        <w:t> </w:t>
      </w:r>
      <w:r w:rsidR="00987DDC" w:rsidRPr="00987DDC">
        <w:rPr>
          <w:noProof/>
        </w:rPr>
        <w:t>pob</w:t>
      </w:r>
      <w:r w:rsidRPr="00987DDC">
        <w:rPr>
          <w:noProof/>
        </w:rPr>
        <w:t>udek altruistycznych. Akt</w:t>
      </w:r>
      <w:r w:rsidR="00987DDC" w:rsidRPr="00987DDC">
        <w:rPr>
          <w:noProof/>
        </w:rPr>
        <w:t xml:space="preserve"> w</w:t>
      </w:r>
      <w:r w:rsidR="00987DDC">
        <w:rPr>
          <w:noProof/>
        </w:rPr>
        <w:t> </w:t>
      </w:r>
      <w:r w:rsidR="00987DDC" w:rsidRPr="00987DDC">
        <w:rPr>
          <w:noProof/>
        </w:rPr>
        <w:t>spr</w:t>
      </w:r>
      <w:r w:rsidRPr="00987DDC">
        <w:rPr>
          <w:noProof/>
        </w:rPr>
        <w:t>awie danych wzmacnia kontrolę osób, których dane dotyczą, nad danymi generowanymi przez nie</w:t>
      </w:r>
      <w:r w:rsidR="00987DDC" w:rsidRPr="00987DDC">
        <w:rPr>
          <w:noProof/>
        </w:rPr>
        <w:t xml:space="preserve"> w</w:t>
      </w:r>
      <w:r w:rsidR="00987DDC">
        <w:rPr>
          <w:noProof/>
        </w:rPr>
        <w:t> </w:t>
      </w:r>
      <w:r w:rsidR="00987DDC" w:rsidRPr="00987DDC">
        <w:rPr>
          <w:noProof/>
        </w:rPr>
        <w:t>dro</w:t>
      </w:r>
      <w:r w:rsidRPr="00987DDC">
        <w:rPr>
          <w:noProof/>
        </w:rPr>
        <w:t>dze użytkowania urządzeń inteligentnych, które posiadają, wynajmują lub dzierżawią, poprzez wprowadzenie wymogów technicznych dotyczących dostępu do danych</w:t>
      </w:r>
      <w:r w:rsidR="00987DDC" w:rsidRPr="00987DDC">
        <w:rPr>
          <w:noProof/>
        </w:rPr>
        <w:t xml:space="preserve"> i</w:t>
      </w:r>
      <w:r w:rsidR="00987DDC">
        <w:rPr>
          <w:noProof/>
        </w:rPr>
        <w:t> </w:t>
      </w:r>
      <w:r w:rsidR="00987DDC" w:rsidRPr="00987DDC">
        <w:rPr>
          <w:noProof/>
        </w:rPr>
        <w:t>ich</w:t>
      </w:r>
      <w:r w:rsidRPr="00987DDC">
        <w:rPr>
          <w:noProof/>
        </w:rPr>
        <w:t xml:space="preserve"> przenoszenia. </w:t>
      </w:r>
    </w:p>
    <w:p w14:paraId="53D2C78C" w14:textId="6A76EF26" w:rsidR="000E4291" w:rsidRPr="00987DDC" w:rsidRDefault="18F2B2E6" w:rsidP="000B7CDE">
      <w:pPr>
        <w:rPr>
          <w:noProof/>
        </w:rPr>
      </w:pPr>
      <w:r w:rsidRPr="00987DDC">
        <w:rPr>
          <w:noProof/>
        </w:rPr>
        <w:t>Europejska przestrzeń danych dotyczących zdrowia (EHDS) (</w:t>
      </w:r>
      <w:r w:rsidRPr="00987DDC">
        <w:rPr>
          <w:noProof/>
          <w:vertAlign w:val="superscript"/>
        </w:rPr>
        <w:footnoteReference w:id="146"/>
      </w:r>
      <w:r w:rsidRPr="00987DDC">
        <w:rPr>
          <w:noProof/>
        </w:rPr>
        <w:t>) odzwierciedla szczególne potrzeby zidentyfikowane</w:t>
      </w:r>
      <w:r w:rsidR="00987DDC" w:rsidRPr="00987DDC">
        <w:rPr>
          <w:noProof/>
        </w:rPr>
        <w:t xml:space="preserve"> w</w:t>
      </w:r>
      <w:r w:rsidR="00987DDC">
        <w:rPr>
          <w:noProof/>
        </w:rPr>
        <w:t> </w:t>
      </w:r>
      <w:r w:rsidR="00987DDC" w:rsidRPr="00987DDC">
        <w:rPr>
          <w:noProof/>
        </w:rPr>
        <w:t>sek</w:t>
      </w:r>
      <w:r w:rsidRPr="00987DDC">
        <w:rPr>
          <w:noProof/>
        </w:rPr>
        <w:t>torze danych dotyczących zdrowia,</w:t>
      </w:r>
      <w:r w:rsidR="00987DDC" w:rsidRPr="00987DDC">
        <w:rPr>
          <w:noProof/>
        </w:rPr>
        <w:t xml:space="preserve"> a</w:t>
      </w:r>
      <w:r w:rsidR="00987DDC">
        <w:rPr>
          <w:noProof/>
        </w:rPr>
        <w:t> </w:t>
      </w:r>
      <w:r w:rsidR="00987DDC" w:rsidRPr="00987DDC">
        <w:rPr>
          <w:noProof/>
        </w:rPr>
        <w:t>jed</w:t>
      </w:r>
      <w:r w:rsidRPr="00987DDC">
        <w:rPr>
          <w:noProof/>
        </w:rPr>
        <w:t>nocześnie opiera się na RODO. Umożliwia ona osobom fizycznym łatwy dostęp do własnych danych dotyczących zdrowia</w:t>
      </w:r>
      <w:r w:rsidR="00987DDC" w:rsidRPr="00987DDC">
        <w:rPr>
          <w:noProof/>
        </w:rPr>
        <w:t xml:space="preserve"> w</w:t>
      </w:r>
      <w:r w:rsidR="00987DDC">
        <w:rPr>
          <w:noProof/>
        </w:rPr>
        <w:t> </w:t>
      </w:r>
      <w:r w:rsidR="00987DDC" w:rsidRPr="00987DDC">
        <w:rPr>
          <w:noProof/>
        </w:rPr>
        <w:t>for</w:t>
      </w:r>
      <w:r w:rsidRPr="00987DDC">
        <w:rPr>
          <w:noProof/>
        </w:rPr>
        <w:t>macie elektronicznym</w:t>
      </w:r>
      <w:r w:rsidR="00987DDC" w:rsidRPr="00987DDC">
        <w:rPr>
          <w:noProof/>
        </w:rPr>
        <w:t xml:space="preserve"> i</w:t>
      </w:r>
      <w:r w:rsidR="00987DDC">
        <w:rPr>
          <w:noProof/>
        </w:rPr>
        <w:t> </w:t>
      </w:r>
      <w:r w:rsidR="00987DDC" w:rsidRPr="00987DDC">
        <w:rPr>
          <w:noProof/>
        </w:rPr>
        <w:t>udo</w:t>
      </w:r>
      <w:r w:rsidRPr="00987DDC">
        <w:rPr>
          <w:noProof/>
        </w:rPr>
        <w:t>stępnianie ich pracownikom służby zdrowia, także</w:t>
      </w:r>
      <w:r w:rsidR="00987DDC" w:rsidRPr="00987DDC">
        <w:rPr>
          <w:noProof/>
        </w:rPr>
        <w:t xml:space="preserve"> w</w:t>
      </w:r>
      <w:r w:rsidR="00987DDC">
        <w:rPr>
          <w:noProof/>
        </w:rPr>
        <w:t> </w:t>
      </w:r>
      <w:r w:rsidR="00987DDC" w:rsidRPr="00987DDC">
        <w:rPr>
          <w:noProof/>
        </w:rPr>
        <w:t>inn</w:t>
      </w:r>
      <w:r w:rsidRPr="00987DDC">
        <w:rPr>
          <w:noProof/>
        </w:rPr>
        <w:t>ych państwach członkowskich, polepszając świadczenie opieki zdrowotnej</w:t>
      </w:r>
      <w:r w:rsidR="00987DDC" w:rsidRPr="00987DDC">
        <w:rPr>
          <w:noProof/>
        </w:rPr>
        <w:t xml:space="preserve"> i</w:t>
      </w:r>
      <w:r w:rsidR="00987DDC">
        <w:rPr>
          <w:noProof/>
        </w:rPr>
        <w:t> </w:t>
      </w:r>
      <w:r w:rsidR="00987DDC" w:rsidRPr="00987DDC">
        <w:rPr>
          <w:noProof/>
        </w:rPr>
        <w:t>zwi</w:t>
      </w:r>
      <w:r w:rsidRPr="00987DDC">
        <w:rPr>
          <w:noProof/>
        </w:rPr>
        <w:t>ększając kontrolę pacjentów nad ich danymi. Wprowadza również wspólne ramy prawne ponownego wykorzystywania danych dotyczących zdrowia do celów takich jak badania naukowe, innowacje</w:t>
      </w:r>
      <w:r w:rsidR="00987DDC" w:rsidRPr="00987DDC">
        <w:rPr>
          <w:noProof/>
        </w:rPr>
        <w:t xml:space="preserve"> i</w:t>
      </w:r>
      <w:r w:rsidR="00987DDC">
        <w:rPr>
          <w:noProof/>
        </w:rPr>
        <w:t> </w:t>
      </w:r>
      <w:r w:rsidR="00987DDC" w:rsidRPr="00987DDC">
        <w:rPr>
          <w:noProof/>
        </w:rPr>
        <w:t>zdr</w:t>
      </w:r>
      <w:r w:rsidRPr="00987DDC">
        <w:rPr>
          <w:noProof/>
        </w:rPr>
        <w:t>owie publiczne, na podstawie zezwolenia wydanego przez organ ds. dostępu do danych dotyczących zdrowia</w:t>
      </w:r>
      <w:r w:rsidR="00987DDC" w:rsidRPr="00987DDC">
        <w:rPr>
          <w:noProof/>
        </w:rPr>
        <w:t>. W</w:t>
      </w:r>
      <w:r w:rsidR="00987DDC">
        <w:rPr>
          <w:noProof/>
        </w:rPr>
        <w:t> </w:t>
      </w:r>
      <w:r w:rsidR="00987DDC" w:rsidRPr="00987DDC">
        <w:rPr>
          <w:noProof/>
        </w:rPr>
        <w:t>tro</w:t>
      </w:r>
      <w:r w:rsidRPr="00987DDC">
        <w:rPr>
          <w:noProof/>
        </w:rPr>
        <w:t>sce</w:t>
      </w:r>
      <w:r w:rsidR="00987DDC" w:rsidRPr="00987DDC">
        <w:rPr>
          <w:noProof/>
        </w:rPr>
        <w:t xml:space="preserve"> o</w:t>
      </w:r>
      <w:r w:rsidR="00987DDC">
        <w:rPr>
          <w:noProof/>
        </w:rPr>
        <w:t> </w:t>
      </w:r>
      <w:r w:rsidR="00987DDC" w:rsidRPr="00987DDC">
        <w:rPr>
          <w:noProof/>
        </w:rPr>
        <w:t>och</w:t>
      </w:r>
      <w:r w:rsidRPr="00987DDC">
        <w:rPr>
          <w:noProof/>
        </w:rPr>
        <w:t>ronę danych osobowych europejska przestrzeń danych dotyczących zdrowia zapewni wiarygodne otoczenie</w:t>
      </w:r>
      <w:r w:rsidR="00987DDC" w:rsidRPr="00987DDC">
        <w:rPr>
          <w:noProof/>
        </w:rPr>
        <w:t xml:space="preserve"> z</w:t>
      </w:r>
      <w:r w:rsidR="00987DDC">
        <w:rPr>
          <w:noProof/>
        </w:rPr>
        <w:t> </w:t>
      </w:r>
      <w:r w:rsidR="00987DDC" w:rsidRPr="00987DDC">
        <w:rPr>
          <w:noProof/>
        </w:rPr>
        <w:t>bez</w:t>
      </w:r>
      <w:r w:rsidRPr="00987DDC">
        <w:rPr>
          <w:noProof/>
        </w:rPr>
        <w:t>piecznym dostępem do danych dotyczących zdrowia</w:t>
      </w:r>
      <w:r w:rsidR="00987DDC" w:rsidRPr="00987DDC">
        <w:rPr>
          <w:noProof/>
        </w:rPr>
        <w:t xml:space="preserve"> i</w:t>
      </w:r>
      <w:r w:rsidR="00987DDC">
        <w:rPr>
          <w:noProof/>
        </w:rPr>
        <w:t> </w:t>
      </w:r>
      <w:r w:rsidR="00987DDC" w:rsidRPr="00987DDC">
        <w:rPr>
          <w:noProof/>
        </w:rPr>
        <w:t>ich</w:t>
      </w:r>
      <w:r w:rsidRPr="00987DDC">
        <w:rPr>
          <w:noProof/>
        </w:rPr>
        <w:t xml:space="preserve"> bezpiecznym przetwarzaniem. Komisja nadal wspiera prace nad rozwojem wspólnych europejskich przestrzeni danych</w:t>
      </w:r>
      <w:r w:rsidR="00987DDC" w:rsidRPr="00987DDC">
        <w:rPr>
          <w:noProof/>
        </w:rPr>
        <w:t xml:space="preserve"> w</w:t>
      </w:r>
      <w:r w:rsidR="00987DDC">
        <w:rPr>
          <w:noProof/>
        </w:rPr>
        <w:t> </w:t>
      </w:r>
      <w:r w:rsidR="00987DDC" w:rsidRPr="00987DDC">
        <w:rPr>
          <w:noProof/>
        </w:rPr>
        <w:t>1</w:t>
      </w:r>
      <w:r w:rsidRPr="00987DDC">
        <w:rPr>
          <w:noProof/>
        </w:rPr>
        <w:t>4 sektorach, wdrażając nowe ramy legislacyjne</w:t>
      </w:r>
      <w:r w:rsidR="00987DDC" w:rsidRPr="00987DDC">
        <w:rPr>
          <w:noProof/>
        </w:rPr>
        <w:t xml:space="preserve"> i</w:t>
      </w:r>
      <w:r w:rsidR="00987DDC">
        <w:rPr>
          <w:noProof/>
        </w:rPr>
        <w:t> </w:t>
      </w:r>
      <w:r w:rsidR="00987DDC" w:rsidRPr="00987DDC">
        <w:rPr>
          <w:noProof/>
        </w:rPr>
        <w:t>fin</w:t>
      </w:r>
      <w:r w:rsidRPr="00987DDC">
        <w:rPr>
          <w:noProof/>
        </w:rPr>
        <w:t>ansując inicjatywy sektorowe.</w:t>
      </w:r>
    </w:p>
    <w:p w14:paraId="7DAAB62D" w14:textId="4E75D7E9" w:rsidR="00F736D6" w:rsidRPr="00987DDC" w:rsidRDefault="00F736D6" w:rsidP="00547296">
      <w:pPr>
        <w:pStyle w:val="Heading2"/>
        <w:rPr>
          <w:noProof/>
        </w:rPr>
      </w:pPr>
      <w:bookmarkStart w:id="41" w:name="_Toc165303764"/>
      <w:r w:rsidRPr="00987DDC">
        <w:rPr>
          <w:noProof/>
        </w:rPr>
        <w:t>Zarządzanie nowymi przepisami dotyczącymi rynku cyfrowego</w:t>
      </w:r>
      <w:bookmarkEnd w:id="41"/>
    </w:p>
    <w:p w14:paraId="2D7CCAEA" w14:textId="73859EA6" w:rsidR="003A6ECE" w:rsidRPr="00987DDC" w:rsidRDefault="14927FB5" w:rsidP="003A6ECE">
      <w:pPr>
        <w:rPr>
          <w:i/>
          <w:iCs/>
          <w:noProof/>
        </w:rPr>
      </w:pPr>
      <w:r w:rsidRPr="00987DDC">
        <w:rPr>
          <w:noProof/>
        </w:rPr>
        <w:t>Rozwój przepisów dotyczących rynku cyfrowego wymaga ścisłej współpracy</w:t>
      </w:r>
      <w:r w:rsidR="00987DDC" w:rsidRPr="00987DDC">
        <w:rPr>
          <w:noProof/>
        </w:rPr>
        <w:t xml:space="preserve"> w</w:t>
      </w:r>
      <w:r w:rsidR="00987DDC">
        <w:rPr>
          <w:noProof/>
        </w:rPr>
        <w:t> </w:t>
      </w:r>
      <w:r w:rsidR="00987DDC" w:rsidRPr="00987DDC">
        <w:rPr>
          <w:noProof/>
        </w:rPr>
        <w:t>róż</w:t>
      </w:r>
      <w:r w:rsidRPr="00987DDC">
        <w:rPr>
          <w:noProof/>
        </w:rPr>
        <w:t>nych dziedzinach regulacyjnych (</w:t>
      </w:r>
      <w:r w:rsidRPr="00987DDC">
        <w:rPr>
          <w:rStyle w:val="FootnoteReference"/>
          <w:noProof/>
        </w:rPr>
        <w:footnoteReference w:id="147"/>
      </w:r>
      <w:r w:rsidRPr="00987DDC">
        <w:rPr>
          <w:noProof/>
        </w:rPr>
        <w:t>). Taka współpraca jest konieczna tym bardziej, że kwestie ochrony danych</w:t>
      </w:r>
      <w:r w:rsidR="00987DDC" w:rsidRPr="00987DDC">
        <w:rPr>
          <w:noProof/>
        </w:rPr>
        <w:t xml:space="preserve"> w</w:t>
      </w:r>
      <w:r w:rsidR="00987DDC">
        <w:rPr>
          <w:noProof/>
        </w:rPr>
        <w:t> </w:t>
      </w:r>
      <w:r w:rsidR="00987DDC" w:rsidRPr="00987DDC">
        <w:rPr>
          <w:noProof/>
        </w:rPr>
        <w:t>cor</w:t>
      </w:r>
      <w:r w:rsidRPr="00987DDC">
        <w:rPr>
          <w:noProof/>
        </w:rPr>
        <w:t>az większym stopniu przeplatają się</w:t>
      </w:r>
      <w:r w:rsidR="00987DDC" w:rsidRPr="00987DDC">
        <w:rPr>
          <w:noProof/>
        </w:rPr>
        <w:t xml:space="preserve"> z</w:t>
      </w:r>
      <w:r w:rsidR="00987DDC">
        <w:rPr>
          <w:noProof/>
        </w:rPr>
        <w:t> </w:t>
      </w:r>
      <w:r w:rsidR="00987DDC" w:rsidRPr="00987DDC">
        <w:rPr>
          <w:noProof/>
        </w:rPr>
        <w:t>kwe</w:t>
      </w:r>
      <w:r w:rsidRPr="00987DDC">
        <w:rPr>
          <w:noProof/>
        </w:rPr>
        <w:t>stiami np.</w:t>
      </w:r>
      <w:r w:rsidR="00987DDC" w:rsidRPr="00987DDC">
        <w:rPr>
          <w:noProof/>
        </w:rPr>
        <w:t xml:space="preserve"> z</w:t>
      </w:r>
      <w:r w:rsidR="00987DDC">
        <w:rPr>
          <w:noProof/>
        </w:rPr>
        <w:t> </w:t>
      </w:r>
      <w:r w:rsidR="00987DDC" w:rsidRPr="00987DDC">
        <w:rPr>
          <w:noProof/>
        </w:rPr>
        <w:t>dzi</w:t>
      </w:r>
      <w:r w:rsidRPr="00987DDC">
        <w:rPr>
          <w:noProof/>
        </w:rPr>
        <w:t>edziny prawa konkurencji, prawa ochrony konsumentów, przepisów dotyczących rynków cyfrowych, regulacji łączności elektronicznej</w:t>
      </w:r>
      <w:r w:rsidR="00987DDC" w:rsidRPr="00987DDC">
        <w:rPr>
          <w:noProof/>
        </w:rPr>
        <w:t xml:space="preserve"> i</w:t>
      </w:r>
      <w:r w:rsidR="00987DDC">
        <w:rPr>
          <w:noProof/>
        </w:rPr>
        <w:t> </w:t>
      </w:r>
      <w:r w:rsidR="00987DDC" w:rsidRPr="00987DDC">
        <w:rPr>
          <w:noProof/>
        </w:rPr>
        <w:t>cyb</w:t>
      </w:r>
      <w:r w:rsidRPr="00987DDC">
        <w:rPr>
          <w:noProof/>
        </w:rPr>
        <w:t>erbezpieczeństwa</w:t>
      </w:r>
      <w:bookmarkEnd w:id="39"/>
      <w:r w:rsidRPr="00987DDC">
        <w:rPr>
          <w:noProof/>
        </w:rPr>
        <w:t>. Ma to miejsce na przykład</w:t>
      </w:r>
      <w:r w:rsidR="00987DDC" w:rsidRPr="00987DDC">
        <w:rPr>
          <w:noProof/>
        </w:rPr>
        <w:t xml:space="preserve"> w</w:t>
      </w:r>
      <w:r w:rsidR="00987DDC">
        <w:rPr>
          <w:noProof/>
        </w:rPr>
        <w:t> </w:t>
      </w:r>
      <w:r w:rsidR="00987DDC" w:rsidRPr="00987DDC">
        <w:rPr>
          <w:noProof/>
        </w:rPr>
        <w:t>prz</w:t>
      </w:r>
      <w:r w:rsidRPr="00987DDC">
        <w:rPr>
          <w:noProof/>
        </w:rPr>
        <w:t>ypadku oceny zgodności</w:t>
      </w:r>
      <w:r w:rsidR="00987DDC" w:rsidRPr="00987DDC">
        <w:rPr>
          <w:noProof/>
        </w:rPr>
        <w:t xml:space="preserve"> z</w:t>
      </w:r>
      <w:r w:rsidR="00987DDC">
        <w:rPr>
          <w:noProof/>
        </w:rPr>
        <w:t> </w:t>
      </w:r>
      <w:r w:rsidR="00987DDC" w:rsidRPr="00987DDC">
        <w:rPr>
          <w:noProof/>
        </w:rPr>
        <w:t>pra</w:t>
      </w:r>
      <w:r w:rsidRPr="00987DDC">
        <w:rPr>
          <w:noProof/>
        </w:rPr>
        <w:t>wem Unii modeli typu „Wyraź zgodę albo płać”.</w:t>
      </w:r>
    </w:p>
    <w:p w14:paraId="223CABA2" w14:textId="7A0D25D2" w:rsidR="00686C38" w:rsidRPr="00987DDC" w:rsidRDefault="7C8949E9" w:rsidP="003A6ECE">
      <w:pPr>
        <w:rPr>
          <w:noProof/>
        </w:rPr>
      </w:pPr>
      <w:r w:rsidRPr="00987DDC">
        <w:rPr>
          <w:noProof/>
        </w:rPr>
        <w:t>W niektórych przypadkach zadanie organów ochrony danych polega na egzekwowaniu przepisów szczegółowych nowych unijnych przepisów dotyczących rynku cyfrowego (</w:t>
      </w:r>
      <w:r w:rsidRPr="00987DDC">
        <w:rPr>
          <w:rStyle w:val="FootnoteReference"/>
          <w:noProof/>
        </w:rPr>
        <w:footnoteReference w:id="148"/>
      </w:r>
      <w:r w:rsidRPr="00987DDC">
        <w:rPr>
          <w:noProof/>
        </w:rPr>
        <w:t>). Nowe przepisy dotyczące rynku cyfrowego tworzą również dostosowane do potrzeb struktury skupiające właściwe organy regulacyjne</w:t>
      </w:r>
      <w:r w:rsidR="00987DDC" w:rsidRPr="00987DDC">
        <w:rPr>
          <w:noProof/>
        </w:rPr>
        <w:t xml:space="preserve"> w</w:t>
      </w:r>
      <w:r w:rsidR="00987DDC">
        <w:rPr>
          <w:noProof/>
        </w:rPr>
        <w:t> </w:t>
      </w:r>
      <w:r w:rsidR="00987DDC" w:rsidRPr="00987DDC">
        <w:rPr>
          <w:noProof/>
        </w:rPr>
        <w:t>cel</w:t>
      </w:r>
      <w:r w:rsidRPr="00987DDC">
        <w:rPr>
          <w:noProof/>
        </w:rPr>
        <w:t>u zapewnienia spójnego egzekwowania przepisów, takie jak grupa wysokiego szczebla ds. aktu</w:t>
      </w:r>
      <w:r w:rsidR="00987DDC" w:rsidRPr="00987DDC">
        <w:rPr>
          <w:noProof/>
        </w:rPr>
        <w:t xml:space="preserve"> o</w:t>
      </w:r>
      <w:r w:rsidR="00987DDC">
        <w:rPr>
          <w:noProof/>
        </w:rPr>
        <w:t> </w:t>
      </w:r>
      <w:r w:rsidR="00987DDC" w:rsidRPr="00987DDC">
        <w:rPr>
          <w:noProof/>
        </w:rPr>
        <w:t>ryn</w:t>
      </w:r>
      <w:r w:rsidRPr="00987DDC">
        <w:rPr>
          <w:noProof/>
        </w:rPr>
        <w:t>kach cyfrowych, Europejska Rada ds. Innowacji</w:t>
      </w:r>
      <w:r w:rsidR="00987DDC" w:rsidRPr="00987DDC">
        <w:rPr>
          <w:noProof/>
        </w:rPr>
        <w:t xml:space="preserve"> w</w:t>
      </w:r>
      <w:r w:rsidR="00987DDC">
        <w:rPr>
          <w:noProof/>
        </w:rPr>
        <w:t> </w:t>
      </w:r>
      <w:r w:rsidR="00987DDC" w:rsidRPr="00987DDC">
        <w:rPr>
          <w:noProof/>
        </w:rPr>
        <w:t>zak</w:t>
      </w:r>
      <w:r w:rsidRPr="00987DDC">
        <w:rPr>
          <w:noProof/>
        </w:rPr>
        <w:t>resie Danych (ustanowiona na podstawie aktu</w:t>
      </w:r>
      <w:r w:rsidR="00987DDC" w:rsidRPr="00987DDC">
        <w:rPr>
          <w:noProof/>
        </w:rPr>
        <w:t xml:space="preserve"> w</w:t>
      </w:r>
      <w:r w:rsidR="00987DDC">
        <w:rPr>
          <w:noProof/>
        </w:rPr>
        <w:t> </w:t>
      </w:r>
      <w:r w:rsidR="00987DDC" w:rsidRPr="00987DDC">
        <w:rPr>
          <w:noProof/>
        </w:rPr>
        <w:t>spr</w:t>
      </w:r>
      <w:r w:rsidRPr="00987DDC">
        <w:rPr>
          <w:noProof/>
        </w:rPr>
        <w:t>awie zarządzania danymi) oraz Europejska Rada ds. Usług Cyfrowych (ustanowiona na podstawie aktu</w:t>
      </w:r>
      <w:r w:rsidR="00987DDC" w:rsidRPr="00987DDC">
        <w:rPr>
          <w:noProof/>
        </w:rPr>
        <w:t xml:space="preserve"> o</w:t>
      </w:r>
      <w:r w:rsidR="00987DDC">
        <w:rPr>
          <w:noProof/>
        </w:rPr>
        <w:t> </w:t>
      </w:r>
      <w:r w:rsidR="00987DDC" w:rsidRPr="00987DDC">
        <w:rPr>
          <w:noProof/>
        </w:rPr>
        <w:t>usł</w:t>
      </w:r>
      <w:r w:rsidRPr="00987DDC">
        <w:rPr>
          <w:noProof/>
        </w:rPr>
        <w:t>ugach cyfrowych)</w:t>
      </w:r>
      <w:r w:rsidR="00987DDC" w:rsidRPr="00987DDC">
        <w:rPr>
          <w:noProof/>
        </w:rPr>
        <w:t>. W</w:t>
      </w:r>
      <w:r w:rsidR="00987DDC">
        <w:rPr>
          <w:noProof/>
        </w:rPr>
        <w:t> </w:t>
      </w:r>
      <w:r w:rsidR="00987DDC" w:rsidRPr="00987DDC">
        <w:rPr>
          <w:noProof/>
        </w:rPr>
        <w:t>dyr</w:t>
      </w:r>
      <w:r w:rsidRPr="00987DDC">
        <w:rPr>
          <w:noProof/>
        </w:rPr>
        <w:t>ektywie NIS 2 (</w:t>
      </w:r>
      <w:r w:rsidRPr="00987DDC">
        <w:rPr>
          <w:rStyle w:val="FootnoteReference"/>
          <w:noProof/>
        </w:rPr>
        <w:footnoteReference w:id="149"/>
      </w:r>
      <w:r w:rsidRPr="00987DDC">
        <w:rPr>
          <w:noProof/>
        </w:rPr>
        <w:t>) określono bardziej szczegółowe przepisy dotyczące współpracy między organami regulacyjnymi</w:t>
      </w:r>
      <w:r w:rsidR="00987DDC" w:rsidRPr="00987DDC">
        <w:rPr>
          <w:noProof/>
        </w:rPr>
        <w:t xml:space="preserve"> a</w:t>
      </w:r>
      <w:r w:rsidR="00987DDC">
        <w:rPr>
          <w:noProof/>
        </w:rPr>
        <w:t> </w:t>
      </w:r>
      <w:r w:rsidR="00987DDC" w:rsidRPr="00987DDC">
        <w:rPr>
          <w:noProof/>
        </w:rPr>
        <w:t>org</w:t>
      </w:r>
      <w:r w:rsidRPr="00987DDC">
        <w:rPr>
          <w:noProof/>
        </w:rPr>
        <w:t>anami ochrony danych</w:t>
      </w:r>
      <w:r w:rsidR="00987DDC" w:rsidRPr="00987DDC">
        <w:rPr>
          <w:noProof/>
        </w:rPr>
        <w:t xml:space="preserve"> w</w:t>
      </w:r>
      <w:r w:rsidR="00987DDC">
        <w:rPr>
          <w:noProof/>
        </w:rPr>
        <w:t> </w:t>
      </w:r>
      <w:r w:rsidR="00987DDC" w:rsidRPr="00987DDC">
        <w:rPr>
          <w:noProof/>
        </w:rPr>
        <w:t>zak</w:t>
      </w:r>
      <w:r w:rsidRPr="00987DDC">
        <w:rPr>
          <w:noProof/>
        </w:rPr>
        <w:t xml:space="preserve">resie obsługi incydentów bezpieczeństwa, które stanowią naruszenie ochrony danych osobowych. </w:t>
      </w:r>
    </w:p>
    <w:p w14:paraId="4FE5D31E" w14:textId="2FB20FBA" w:rsidR="00E60B24" w:rsidRPr="00987DDC" w:rsidRDefault="14927FB5" w:rsidP="003A6ECE">
      <w:pPr>
        <w:rPr>
          <w:noProof/>
        </w:rPr>
      </w:pPr>
      <w:r w:rsidRPr="00987DDC">
        <w:rPr>
          <w:noProof/>
        </w:rPr>
        <w:t>Poza tymi formalnymi strukturami organy ochrony danych podejmują kroki</w:t>
      </w:r>
      <w:r w:rsidR="00987DDC" w:rsidRPr="00987DDC">
        <w:rPr>
          <w:noProof/>
        </w:rPr>
        <w:t xml:space="preserve"> w</w:t>
      </w:r>
      <w:r w:rsidR="00987DDC">
        <w:rPr>
          <w:noProof/>
        </w:rPr>
        <w:t> </w:t>
      </w:r>
      <w:r w:rsidR="00987DDC" w:rsidRPr="00987DDC">
        <w:rPr>
          <w:noProof/>
        </w:rPr>
        <w:t>cel</w:t>
      </w:r>
      <w:r w:rsidRPr="00987DDC">
        <w:rPr>
          <w:noProof/>
        </w:rPr>
        <w:t>u zapewnienia komplementarności</w:t>
      </w:r>
      <w:r w:rsidR="00987DDC" w:rsidRPr="00987DDC">
        <w:rPr>
          <w:noProof/>
        </w:rPr>
        <w:t xml:space="preserve"> i</w:t>
      </w:r>
      <w:r w:rsidR="00987DDC">
        <w:rPr>
          <w:noProof/>
        </w:rPr>
        <w:t> </w:t>
      </w:r>
      <w:r w:rsidR="00987DDC" w:rsidRPr="00987DDC">
        <w:rPr>
          <w:noProof/>
        </w:rPr>
        <w:t>spó</w:t>
      </w:r>
      <w:r w:rsidRPr="00987DDC">
        <w:rPr>
          <w:noProof/>
        </w:rPr>
        <w:t>jności ich działań</w:t>
      </w:r>
      <w:r w:rsidR="00987DDC" w:rsidRPr="00987DDC">
        <w:rPr>
          <w:noProof/>
        </w:rPr>
        <w:t xml:space="preserve"> z</w:t>
      </w:r>
      <w:r w:rsidR="00987DDC">
        <w:rPr>
          <w:noProof/>
        </w:rPr>
        <w:t> </w:t>
      </w:r>
      <w:r w:rsidR="00987DDC" w:rsidRPr="00987DDC">
        <w:rPr>
          <w:noProof/>
        </w:rPr>
        <w:t>inn</w:t>
      </w:r>
      <w:r w:rsidRPr="00987DDC">
        <w:rPr>
          <w:noProof/>
        </w:rPr>
        <w:t>ymi obszarami regulacyjnymi</w:t>
      </w:r>
      <w:r w:rsidR="00987DDC" w:rsidRPr="00987DDC">
        <w:rPr>
          <w:noProof/>
        </w:rPr>
        <w:t>. W</w:t>
      </w:r>
      <w:r w:rsidR="00987DDC">
        <w:rPr>
          <w:noProof/>
        </w:rPr>
        <w:t> </w:t>
      </w:r>
      <w:r w:rsidR="00987DDC" w:rsidRPr="00987DDC">
        <w:rPr>
          <w:noProof/>
        </w:rPr>
        <w:t>lip</w:t>
      </w:r>
      <w:r w:rsidRPr="00987DDC">
        <w:rPr>
          <w:noProof/>
        </w:rPr>
        <w:t>cu 2020</w:t>
      </w:r>
      <w:r w:rsidR="00987DDC" w:rsidRPr="00987DDC">
        <w:rPr>
          <w:noProof/>
        </w:rPr>
        <w:t> </w:t>
      </w:r>
      <w:r w:rsidRPr="00987DDC">
        <w:rPr>
          <w:noProof/>
        </w:rPr>
        <w:t>r. organy ochrony konsumentów</w:t>
      </w:r>
      <w:r w:rsidR="00987DDC" w:rsidRPr="00987DDC">
        <w:rPr>
          <w:noProof/>
        </w:rPr>
        <w:t xml:space="preserve"> i</w:t>
      </w:r>
      <w:r w:rsidR="00987DDC">
        <w:rPr>
          <w:noProof/>
        </w:rPr>
        <w:t> </w:t>
      </w:r>
      <w:r w:rsidR="00987DDC" w:rsidRPr="00987DDC">
        <w:rPr>
          <w:noProof/>
        </w:rPr>
        <w:t>och</w:t>
      </w:r>
      <w:r w:rsidRPr="00987DDC">
        <w:rPr>
          <w:noProof/>
        </w:rPr>
        <w:t>rony danych utworzyły „grupę wolontariuszy”</w:t>
      </w:r>
      <w:r w:rsidR="00987DDC" w:rsidRPr="00987DDC">
        <w:rPr>
          <w:noProof/>
        </w:rPr>
        <w:t xml:space="preserve"> w</w:t>
      </w:r>
      <w:r w:rsidR="00987DDC">
        <w:rPr>
          <w:noProof/>
        </w:rPr>
        <w:t> </w:t>
      </w:r>
      <w:r w:rsidR="00987DDC" w:rsidRPr="00987DDC">
        <w:rPr>
          <w:noProof/>
        </w:rPr>
        <w:t>cel</w:t>
      </w:r>
      <w:r w:rsidRPr="00987DDC">
        <w:rPr>
          <w:noProof/>
        </w:rPr>
        <w:t>u określenia najlepszych praktyk</w:t>
      </w:r>
      <w:r w:rsidR="00987DDC" w:rsidRPr="00987DDC">
        <w:rPr>
          <w:noProof/>
        </w:rPr>
        <w:t xml:space="preserve"> i</w:t>
      </w:r>
      <w:r w:rsidR="00987DDC">
        <w:rPr>
          <w:noProof/>
        </w:rPr>
        <w:t> </w:t>
      </w:r>
      <w:r w:rsidR="00987DDC" w:rsidRPr="00987DDC">
        <w:rPr>
          <w:noProof/>
        </w:rPr>
        <w:t>wym</w:t>
      </w:r>
      <w:r w:rsidRPr="00987DDC">
        <w:rPr>
          <w:noProof/>
        </w:rPr>
        <w:t>iany doświadczeń</w:t>
      </w:r>
      <w:r w:rsidR="00987DDC" w:rsidRPr="00987DDC">
        <w:rPr>
          <w:noProof/>
        </w:rPr>
        <w:t xml:space="preserve"> w</w:t>
      </w:r>
      <w:r w:rsidR="00987DDC">
        <w:rPr>
          <w:noProof/>
        </w:rPr>
        <w:t> </w:t>
      </w:r>
      <w:r w:rsidR="00987DDC" w:rsidRPr="00987DDC">
        <w:rPr>
          <w:noProof/>
        </w:rPr>
        <w:t>zak</w:t>
      </w:r>
      <w:r w:rsidRPr="00987DDC">
        <w:rPr>
          <w:noProof/>
        </w:rPr>
        <w:t>resie egzekwowania prawa. Organy ochrony danych nadal uczestniczą we wspólnych warsztatach</w:t>
      </w:r>
      <w:r w:rsidR="00987DDC" w:rsidRPr="00987DDC">
        <w:rPr>
          <w:noProof/>
        </w:rPr>
        <w:t xml:space="preserve"> z</w:t>
      </w:r>
      <w:r w:rsidR="00987DDC">
        <w:rPr>
          <w:noProof/>
        </w:rPr>
        <w:t> </w:t>
      </w:r>
      <w:r w:rsidR="00987DDC" w:rsidRPr="00987DDC">
        <w:rPr>
          <w:noProof/>
        </w:rPr>
        <w:t>sie</w:t>
      </w:r>
      <w:r w:rsidRPr="00987DDC">
        <w:rPr>
          <w:noProof/>
        </w:rPr>
        <w:t>cią współpracy</w:t>
      </w:r>
      <w:r w:rsidR="00987DDC" w:rsidRPr="00987DDC">
        <w:rPr>
          <w:noProof/>
        </w:rPr>
        <w:t xml:space="preserve"> w</w:t>
      </w:r>
      <w:r w:rsidR="00987DDC">
        <w:rPr>
          <w:noProof/>
        </w:rPr>
        <w:t> </w:t>
      </w:r>
      <w:r w:rsidR="00987DDC" w:rsidRPr="00987DDC">
        <w:rPr>
          <w:noProof/>
        </w:rPr>
        <w:t>zak</w:t>
      </w:r>
      <w:r w:rsidRPr="00987DDC">
        <w:rPr>
          <w:noProof/>
        </w:rPr>
        <w:t>resie ochrony konsumenta. W 2023</w:t>
      </w:r>
      <w:r w:rsidR="00987DDC" w:rsidRPr="00987DDC">
        <w:rPr>
          <w:noProof/>
        </w:rPr>
        <w:t> </w:t>
      </w:r>
      <w:r w:rsidRPr="00987DDC">
        <w:rPr>
          <w:noProof/>
        </w:rPr>
        <w:t>r. EROD powołała grupę zadaniową ds. wzajemnych zależności między ochroną danych, konkurencją</w:t>
      </w:r>
      <w:r w:rsidR="00987DDC" w:rsidRPr="00987DDC">
        <w:rPr>
          <w:noProof/>
        </w:rPr>
        <w:t xml:space="preserve"> i</w:t>
      </w:r>
      <w:r w:rsidR="00987DDC">
        <w:rPr>
          <w:noProof/>
        </w:rPr>
        <w:t> </w:t>
      </w:r>
      <w:r w:rsidR="00987DDC" w:rsidRPr="00987DDC">
        <w:rPr>
          <w:noProof/>
        </w:rPr>
        <w:t>och</w:t>
      </w:r>
      <w:r w:rsidRPr="00987DDC">
        <w:rPr>
          <w:noProof/>
        </w:rPr>
        <w:t xml:space="preserve">roną konsumenta. </w:t>
      </w:r>
    </w:p>
    <w:p w14:paraId="2C5D9EA8" w14:textId="0C8E41A6" w:rsidR="000B1486" w:rsidRPr="00987DDC" w:rsidRDefault="52932741" w:rsidP="002464D4">
      <w:pPr>
        <w:rPr>
          <w:noProof/>
        </w:rPr>
      </w:pPr>
      <w:r w:rsidRPr="00987DDC">
        <w:rPr>
          <w:noProof/>
        </w:rPr>
        <w:t>Chociaż zmiany te są pozytywne, potrzebne są bardziej ustrukturyzowane</w:t>
      </w:r>
      <w:r w:rsidR="00987DDC" w:rsidRPr="00987DDC">
        <w:rPr>
          <w:noProof/>
        </w:rPr>
        <w:t xml:space="preserve"> i</w:t>
      </w:r>
      <w:r w:rsidR="00987DDC">
        <w:rPr>
          <w:noProof/>
        </w:rPr>
        <w:t> </w:t>
      </w:r>
      <w:r w:rsidR="00987DDC" w:rsidRPr="00987DDC">
        <w:rPr>
          <w:noProof/>
        </w:rPr>
        <w:t>sku</w:t>
      </w:r>
      <w:r w:rsidRPr="00987DDC">
        <w:rPr>
          <w:noProof/>
        </w:rPr>
        <w:t>teczne środki współpracy,</w:t>
      </w:r>
      <w:r w:rsidR="00987DDC" w:rsidRPr="00987DDC">
        <w:rPr>
          <w:noProof/>
        </w:rPr>
        <w:t xml:space="preserve"> w</w:t>
      </w:r>
      <w:r w:rsidR="00987DDC">
        <w:rPr>
          <w:noProof/>
        </w:rPr>
        <w:t> </w:t>
      </w:r>
      <w:r w:rsidR="00987DDC" w:rsidRPr="00987DDC">
        <w:rPr>
          <w:noProof/>
        </w:rPr>
        <w:t>szc</w:t>
      </w:r>
      <w:r w:rsidRPr="00987DDC">
        <w:rPr>
          <w:noProof/>
        </w:rPr>
        <w:t>zególności</w:t>
      </w:r>
      <w:r w:rsidR="00987DDC" w:rsidRPr="00987DDC">
        <w:rPr>
          <w:noProof/>
        </w:rPr>
        <w:t xml:space="preserve"> w</w:t>
      </w:r>
      <w:r w:rsidR="00987DDC">
        <w:rPr>
          <w:noProof/>
        </w:rPr>
        <w:t> </w:t>
      </w:r>
      <w:r w:rsidR="00987DDC" w:rsidRPr="00987DDC">
        <w:rPr>
          <w:noProof/>
        </w:rPr>
        <w:t>cel</w:t>
      </w:r>
      <w:r w:rsidRPr="00987DDC">
        <w:rPr>
          <w:noProof/>
        </w:rPr>
        <w:t>u zaradzenia sytuacjom, które dotykają dużą liczbę osób w UE</w:t>
      </w:r>
      <w:r w:rsidR="00987DDC" w:rsidRPr="00987DDC">
        <w:rPr>
          <w:noProof/>
        </w:rPr>
        <w:t xml:space="preserve"> i</w:t>
      </w:r>
      <w:r w:rsidR="00987DDC">
        <w:rPr>
          <w:noProof/>
        </w:rPr>
        <w:t> </w:t>
      </w:r>
      <w:r w:rsidR="00987DDC" w:rsidRPr="00987DDC">
        <w:rPr>
          <w:noProof/>
        </w:rPr>
        <w:t>ang</w:t>
      </w:r>
      <w:r w:rsidRPr="00987DDC">
        <w:rPr>
          <w:noProof/>
        </w:rPr>
        <w:t>ażują wiele organów regulacyjnych (</w:t>
      </w:r>
      <w:r w:rsidRPr="00987DDC">
        <w:rPr>
          <w:rStyle w:val="FootnoteReference"/>
          <w:noProof/>
        </w:rPr>
        <w:footnoteReference w:id="150"/>
      </w:r>
      <w:r w:rsidRPr="00987DDC">
        <w:rPr>
          <w:noProof/>
        </w:rPr>
        <w:t>).</w:t>
      </w:r>
      <w:r w:rsidRPr="00987DDC">
        <w:rPr>
          <w:i/>
          <w:noProof/>
        </w:rPr>
        <w:t xml:space="preserve"> </w:t>
      </w:r>
      <w:r w:rsidRPr="00987DDC">
        <w:rPr>
          <w:noProof/>
        </w:rPr>
        <w:t>Wszelkie takie struktury mają zapewniać, by organy przez cały czas pozostawały odpowiedzialne za wszelkie kwestie dotyczące zgodności</w:t>
      </w:r>
      <w:r w:rsidR="00987DDC" w:rsidRPr="00987DDC">
        <w:rPr>
          <w:noProof/>
        </w:rPr>
        <w:t xml:space="preserve"> z</w:t>
      </w:r>
      <w:r w:rsidR="00987DDC">
        <w:rPr>
          <w:noProof/>
        </w:rPr>
        <w:t> </w:t>
      </w:r>
      <w:r w:rsidR="00987DDC" w:rsidRPr="00987DDC">
        <w:rPr>
          <w:noProof/>
        </w:rPr>
        <w:t>prz</w:t>
      </w:r>
      <w:r w:rsidRPr="00987DDC">
        <w:rPr>
          <w:noProof/>
        </w:rPr>
        <w:t>episami</w:t>
      </w:r>
      <w:r w:rsidR="00987DDC" w:rsidRPr="00987DDC">
        <w:rPr>
          <w:noProof/>
        </w:rPr>
        <w:t xml:space="preserve"> w</w:t>
      </w:r>
      <w:r w:rsidR="00987DDC">
        <w:rPr>
          <w:noProof/>
        </w:rPr>
        <w:t> </w:t>
      </w:r>
      <w:r w:rsidR="00987DDC" w:rsidRPr="00987DDC">
        <w:rPr>
          <w:noProof/>
        </w:rPr>
        <w:t>ram</w:t>
      </w:r>
      <w:r w:rsidRPr="00987DDC">
        <w:rPr>
          <w:noProof/>
        </w:rPr>
        <w:t>ach ich kompetencji. Państwa członkowskie powinny również dążyć do zapewnienia odpowiedniej współpracy na szczeblu krajowym (</w:t>
      </w:r>
      <w:r w:rsidRPr="00987DDC">
        <w:rPr>
          <w:rStyle w:val="FootnoteReference"/>
          <w:noProof/>
        </w:rPr>
        <w:footnoteReference w:id="151"/>
      </w:r>
      <w:r w:rsidRPr="00987DDC">
        <w:rPr>
          <w:noProof/>
        </w:rPr>
        <w:t xml:space="preserve">). </w:t>
      </w:r>
    </w:p>
    <w:p w14:paraId="259EE213" w14:textId="601CD281" w:rsidR="00224CD1" w:rsidRPr="00987DDC" w:rsidRDefault="009A078E" w:rsidP="0003154B">
      <w:pPr>
        <w:pStyle w:val="Heading1"/>
        <w:rPr>
          <w:noProof/>
        </w:rPr>
      </w:pPr>
      <w:r w:rsidRPr="00987DDC">
        <w:rPr>
          <w:noProof/>
        </w:rPr>
        <w:t>Międzynarodowe przekazywanie danych</w:t>
      </w:r>
      <w:r w:rsidR="00987DDC" w:rsidRPr="00987DDC">
        <w:rPr>
          <w:noProof/>
        </w:rPr>
        <w:t xml:space="preserve"> i</w:t>
      </w:r>
      <w:r w:rsidR="00987DDC">
        <w:rPr>
          <w:noProof/>
        </w:rPr>
        <w:t> </w:t>
      </w:r>
      <w:r w:rsidR="00987DDC" w:rsidRPr="00987DDC">
        <w:rPr>
          <w:noProof/>
        </w:rPr>
        <w:t>ogó</w:t>
      </w:r>
      <w:r w:rsidRPr="00987DDC">
        <w:rPr>
          <w:noProof/>
        </w:rPr>
        <w:t>lnoświatowa współpraca</w:t>
      </w:r>
    </w:p>
    <w:p w14:paraId="0DE5BAB9" w14:textId="3078C750" w:rsidR="00AF1E50" w:rsidRPr="00987DDC" w:rsidRDefault="00AF1E50" w:rsidP="00547296">
      <w:pPr>
        <w:pStyle w:val="Heading2"/>
        <w:rPr>
          <w:noProof/>
        </w:rPr>
      </w:pPr>
      <w:r w:rsidRPr="00987DDC">
        <w:rPr>
          <w:noProof/>
        </w:rPr>
        <w:t>Zestaw narzędzi do przekazywania danych określony w RODO</w:t>
      </w:r>
    </w:p>
    <w:p w14:paraId="56187614" w14:textId="7B2EA782" w:rsidR="00174177" w:rsidRPr="00987DDC" w:rsidRDefault="0097312A" w:rsidP="00DD7FA3">
      <w:pPr>
        <w:pStyle w:val="Text2"/>
        <w:ind w:left="0"/>
        <w:rPr>
          <w:noProof/>
        </w:rPr>
      </w:pPr>
      <w:r w:rsidRPr="00987DDC">
        <w:rPr>
          <w:noProof/>
        </w:rPr>
        <w:t>Przepływy danych stały się integralną częścią cyfrowej transformacji społeczeństwa</w:t>
      </w:r>
      <w:r w:rsidR="00987DDC" w:rsidRPr="00987DDC">
        <w:rPr>
          <w:noProof/>
        </w:rPr>
        <w:t xml:space="preserve"> i</w:t>
      </w:r>
      <w:r w:rsidR="00987DDC">
        <w:rPr>
          <w:noProof/>
        </w:rPr>
        <w:t> </w:t>
      </w:r>
      <w:r w:rsidR="00987DDC" w:rsidRPr="00987DDC">
        <w:rPr>
          <w:noProof/>
        </w:rPr>
        <w:t>glo</w:t>
      </w:r>
      <w:r w:rsidRPr="00987DDC">
        <w:rPr>
          <w:noProof/>
        </w:rPr>
        <w:t>balizacji gospodarki. Obecnie, bardziej niż kiedykolwiek wcześniej, poszanowanie prywatności jest warunkiem stabilnych, bezpiecznych</w:t>
      </w:r>
      <w:r w:rsidR="00987DDC" w:rsidRPr="00987DDC">
        <w:rPr>
          <w:noProof/>
        </w:rPr>
        <w:t xml:space="preserve"> i</w:t>
      </w:r>
      <w:r w:rsidR="00987DDC">
        <w:rPr>
          <w:noProof/>
        </w:rPr>
        <w:t> </w:t>
      </w:r>
      <w:r w:rsidR="00987DDC" w:rsidRPr="00987DDC">
        <w:rPr>
          <w:noProof/>
        </w:rPr>
        <w:t>kon</w:t>
      </w:r>
      <w:r w:rsidRPr="00987DDC">
        <w:rPr>
          <w:noProof/>
        </w:rPr>
        <w:t>kurencyjnych przepływów handlowych,</w:t>
      </w:r>
      <w:r w:rsidR="00987DDC" w:rsidRPr="00987DDC">
        <w:rPr>
          <w:noProof/>
        </w:rPr>
        <w:t xml:space="preserve"> a</w:t>
      </w:r>
      <w:r w:rsidR="00987DDC">
        <w:rPr>
          <w:noProof/>
        </w:rPr>
        <w:t> </w:t>
      </w:r>
      <w:r w:rsidR="00987DDC" w:rsidRPr="00987DDC">
        <w:rPr>
          <w:noProof/>
        </w:rPr>
        <w:t>tak</w:t>
      </w:r>
      <w:r w:rsidRPr="00987DDC">
        <w:rPr>
          <w:noProof/>
        </w:rPr>
        <w:t>że czynnikiem sprzyjającym wielu formom współpracy międzynarodowej. Zestaw narzędzi do przekazywania danych przewidziany</w:t>
      </w:r>
      <w:r w:rsidR="00987DDC" w:rsidRPr="00987DDC">
        <w:rPr>
          <w:noProof/>
        </w:rPr>
        <w:t xml:space="preserve"> w</w:t>
      </w:r>
      <w:r w:rsidR="00987DDC">
        <w:rPr>
          <w:noProof/>
        </w:rPr>
        <w:t> </w:t>
      </w:r>
      <w:r w:rsidR="00987DDC" w:rsidRPr="00987DDC">
        <w:rPr>
          <w:noProof/>
        </w:rPr>
        <w:t>roz</w:t>
      </w:r>
      <w:r w:rsidRPr="00987DDC">
        <w:rPr>
          <w:noProof/>
        </w:rPr>
        <w:t>dziale V RODO oferuje szereg instrumentów na różne scenariusze przekazywania, przy jednoczesnym zapewnieniu wysokiego poziomu ochrony danych podczas opuszczania UE.</w:t>
      </w:r>
      <w:r w:rsidRPr="00987DDC">
        <w:rPr>
          <w:noProof/>
          <w:sz w:val="27"/>
          <w:shd w:val="clear" w:color="auto" w:fill="FFFFFF"/>
        </w:rPr>
        <w:t xml:space="preserve"> </w:t>
      </w:r>
    </w:p>
    <w:p w14:paraId="3C898B0A" w14:textId="6A8BCEDD" w:rsidR="00DE7E57" w:rsidRPr="00987DDC" w:rsidRDefault="00105766" w:rsidP="00DD7FA3">
      <w:pPr>
        <w:pStyle w:val="Text2"/>
        <w:ind w:left="0"/>
        <w:rPr>
          <w:noProof/>
        </w:rPr>
      </w:pPr>
      <w:r w:rsidRPr="00987DDC">
        <w:rPr>
          <w:noProof/>
        </w:rPr>
        <w:t>Od czasu sprawozdania</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wymogi dotyczące przekazywania danych określone</w:t>
      </w:r>
      <w:r w:rsidR="00987DDC" w:rsidRPr="00987DDC">
        <w:rPr>
          <w:noProof/>
        </w:rPr>
        <w:t xml:space="preserve"> w</w:t>
      </w:r>
      <w:r w:rsidR="00987DDC">
        <w:rPr>
          <w:noProof/>
        </w:rPr>
        <w:t> </w:t>
      </w:r>
      <w:r w:rsidR="00987DDC" w:rsidRPr="00987DDC">
        <w:rPr>
          <w:noProof/>
        </w:rPr>
        <w:t>uni</w:t>
      </w:r>
      <w:r w:rsidRPr="00987DDC">
        <w:rPr>
          <w:noProof/>
        </w:rPr>
        <w:t>jnych przepisach</w:t>
      </w:r>
      <w:r w:rsidR="00987DDC" w:rsidRPr="00987DDC">
        <w:rPr>
          <w:noProof/>
        </w:rPr>
        <w:t xml:space="preserve"> o</w:t>
      </w:r>
      <w:r w:rsidR="00987DDC">
        <w:rPr>
          <w:noProof/>
        </w:rPr>
        <w:t> </w:t>
      </w:r>
      <w:r w:rsidR="00987DDC" w:rsidRPr="00987DDC">
        <w:rPr>
          <w:noProof/>
        </w:rPr>
        <w:t>och</w:t>
      </w:r>
      <w:r w:rsidRPr="00987DDC">
        <w:rPr>
          <w:noProof/>
        </w:rPr>
        <w:t>ronie danych zostały doprecyzowane,</w:t>
      </w:r>
      <w:r w:rsidR="00987DDC" w:rsidRPr="00987DDC">
        <w:rPr>
          <w:noProof/>
        </w:rPr>
        <w:t xml:space="preserve"> a</w:t>
      </w:r>
      <w:r w:rsidR="00987DDC">
        <w:rPr>
          <w:noProof/>
        </w:rPr>
        <w:t> </w:t>
      </w:r>
      <w:r w:rsidR="00987DDC" w:rsidRPr="00987DDC">
        <w:rPr>
          <w:noProof/>
        </w:rPr>
        <w:t>zes</w:t>
      </w:r>
      <w:r w:rsidRPr="00987DDC">
        <w:rPr>
          <w:noProof/>
        </w:rPr>
        <w:t>taw narzędzi do przekazywania danych ewoluował. Ważne doprecyzowanie dotyczy pojęcia „międzynarodowego przekazywania danych”, które EROD (</w:t>
      </w:r>
      <w:r w:rsidRPr="00987DDC">
        <w:rPr>
          <w:rStyle w:val="FootnoteReference"/>
          <w:noProof/>
        </w:rPr>
        <w:footnoteReference w:id="152"/>
      </w:r>
      <w:r w:rsidRPr="00987DDC">
        <w:rPr>
          <w:noProof/>
        </w:rPr>
        <w:t>) zdefiniowała jako obejmujące każde ujawnienie przez administratora lub podmiot przetwarzający danych osobowych, których przetwarzanie podlega RODO, innemu administratorowi lub podmiotowi przetwarzającemu</w:t>
      </w:r>
      <w:r w:rsidR="00987DDC" w:rsidRPr="00987DDC">
        <w:rPr>
          <w:noProof/>
        </w:rPr>
        <w:t xml:space="preserve"> w</w:t>
      </w:r>
      <w:r w:rsidR="00987DDC">
        <w:rPr>
          <w:noProof/>
        </w:rPr>
        <w:t> </w:t>
      </w:r>
      <w:r w:rsidR="00987DDC" w:rsidRPr="00987DDC">
        <w:rPr>
          <w:noProof/>
        </w:rPr>
        <w:t>pań</w:t>
      </w:r>
      <w:r w:rsidRPr="00987DDC">
        <w:rPr>
          <w:noProof/>
        </w:rPr>
        <w:t>stwie trzecim, niezależnie od tego, czy przetwarzanie przez drugą stronę podlega RODO (</w:t>
      </w:r>
      <w:r w:rsidRPr="00987DDC">
        <w:rPr>
          <w:rStyle w:val="FootnoteReference"/>
          <w:noProof/>
        </w:rPr>
        <w:footnoteReference w:id="153"/>
      </w:r>
      <w:r w:rsidRPr="00987DDC">
        <w:rPr>
          <w:noProof/>
        </w:rPr>
        <w:t>). Te wytyczne EROD były szczególnie ważne dla zapewnienia europejskim administratorom</w:t>
      </w:r>
      <w:r w:rsidR="00987DDC" w:rsidRPr="00987DDC">
        <w:rPr>
          <w:noProof/>
        </w:rPr>
        <w:t xml:space="preserve"> i</w:t>
      </w:r>
      <w:r w:rsidR="00987DDC">
        <w:rPr>
          <w:noProof/>
        </w:rPr>
        <w:t> </w:t>
      </w:r>
      <w:r w:rsidR="00987DDC" w:rsidRPr="00987DDC">
        <w:rPr>
          <w:noProof/>
        </w:rPr>
        <w:t>pod</w:t>
      </w:r>
      <w:r w:rsidRPr="00987DDC">
        <w:rPr>
          <w:noProof/>
        </w:rPr>
        <w:t>miotom przetwarzającym pewności prawa co do scenariuszy,</w:t>
      </w:r>
      <w:r w:rsidR="00987DDC" w:rsidRPr="00987DDC">
        <w:rPr>
          <w:noProof/>
        </w:rPr>
        <w:t xml:space="preserve"> w</w:t>
      </w:r>
      <w:r w:rsidR="00987DDC">
        <w:rPr>
          <w:noProof/>
        </w:rPr>
        <w:t> </w:t>
      </w:r>
      <w:r w:rsidR="00987DDC" w:rsidRPr="00987DDC">
        <w:rPr>
          <w:noProof/>
        </w:rPr>
        <w:t>któ</w:t>
      </w:r>
      <w:r w:rsidRPr="00987DDC">
        <w:rPr>
          <w:noProof/>
        </w:rPr>
        <w:t>rych potrzebne jest narzędzie do przekazywania zgodnie</w:t>
      </w:r>
      <w:r w:rsidR="00987DDC" w:rsidRPr="00987DDC">
        <w:rPr>
          <w:noProof/>
        </w:rPr>
        <w:t xml:space="preserve"> z</w:t>
      </w:r>
      <w:r w:rsidR="00987DDC">
        <w:rPr>
          <w:noProof/>
        </w:rPr>
        <w:t> </w:t>
      </w:r>
      <w:r w:rsidR="00987DDC" w:rsidRPr="00987DDC">
        <w:rPr>
          <w:noProof/>
        </w:rPr>
        <w:t>roz</w:t>
      </w:r>
      <w:r w:rsidRPr="00987DDC">
        <w:rPr>
          <w:noProof/>
        </w:rPr>
        <w:t xml:space="preserve">działem V RODO. </w:t>
      </w:r>
    </w:p>
    <w:p w14:paraId="6BD1C60F" w14:textId="0898C2BC" w:rsidR="001163D1" w:rsidRPr="00987DDC" w:rsidRDefault="00CF0A57" w:rsidP="004100BA">
      <w:pPr>
        <w:pStyle w:val="Text3"/>
        <w:ind w:left="0"/>
        <w:rPr>
          <w:noProof/>
        </w:rPr>
      </w:pPr>
      <w:r w:rsidRPr="00987DDC">
        <w:rPr>
          <w:noProof/>
        </w:rPr>
        <w:t>Również Trybunał Sprawiedliwości</w:t>
      </w:r>
      <w:r w:rsidR="00987DDC" w:rsidRPr="00987DDC">
        <w:rPr>
          <w:noProof/>
        </w:rPr>
        <w:t xml:space="preserve"> w</w:t>
      </w:r>
      <w:r w:rsidR="00987DDC">
        <w:rPr>
          <w:noProof/>
        </w:rPr>
        <w:t> </w:t>
      </w:r>
      <w:r w:rsidR="00987DDC" w:rsidRPr="00987DDC">
        <w:rPr>
          <w:noProof/>
        </w:rPr>
        <w:t>wyr</w:t>
      </w:r>
      <w:r w:rsidRPr="00987DDC">
        <w:rPr>
          <w:noProof/>
        </w:rPr>
        <w:t>oku</w:t>
      </w:r>
      <w:r w:rsidR="00987DDC" w:rsidRPr="00987DDC">
        <w:rPr>
          <w:noProof/>
        </w:rPr>
        <w:t xml:space="preserve"> w</w:t>
      </w:r>
      <w:r w:rsidR="00987DDC">
        <w:rPr>
          <w:noProof/>
        </w:rPr>
        <w:t> </w:t>
      </w:r>
      <w:r w:rsidR="00987DDC" w:rsidRPr="00987DDC">
        <w:rPr>
          <w:noProof/>
        </w:rPr>
        <w:t>spr</w:t>
      </w:r>
      <w:r w:rsidRPr="00987DDC">
        <w:rPr>
          <w:noProof/>
        </w:rPr>
        <w:t>awie Schrems II (</w:t>
      </w:r>
      <w:r w:rsidRPr="00987DDC">
        <w:rPr>
          <w:rStyle w:val="FootnoteReference"/>
          <w:noProof/>
        </w:rPr>
        <w:footnoteReference w:id="154"/>
      </w:r>
      <w:r w:rsidRPr="00987DDC">
        <w:rPr>
          <w:noProof/>
        </w:rPr>
        <w:t>) przedstawił dalsze wyjaśnienia</w:t>
      </w:r>
      <w:r w:rsidR="00987DDC" w:rsidRPr="00987DDC">
        <w:rPr>
          <w:noProof/>
        </w:rPr>
        <w:t xml:space="preserve"> w</w:t>
      </w:r>
      <w:r w:rsidR="00987DDC">
        <w:rPr>
          <w:noProof/>
        </w:rPr>
        <w:t> </w:t>
      </w:r>
      <w:r w:rsidR="00987DDC" w:rsidRPr="00987DDC">
        <w:rPr>
          <w:noProof/>
        </w:rPr>
        <w:t>spr</w:t>
      </w:r>
      <w:r w:rsidRPr="00987DDC">
        <w:rPr>
          <w:noProof/>
        </w:rPr>
        <w:t>awie ochrony, jaką należy zapewnić za pomocą różnych instrumentów do przekazywania danych, aby zagwarantować, że poziom ochrony przewidziany w RODO nie zostanie naruszony (</w:t>
      </w:r>
      <w:r w:rsidRPr="00987DDC">
        <w:rPr>
          <w:rStyle w:val="FootnoteReference"/>
          <w:noProof/>
        </w:rPr>
        <w:footnoteReference w:id="155"/>
      </w:r>
      <w:r w:rsidRPr="00987DDC">
        <w:rPr>
          <w:noProof/>
        </w:rPr>
        <w:t>)</w:t>
      </w:r>
      <w:r w:rsidR="00987DDC" w:rsidRPr="00987DDC">
        <w:rPr>
          <w:noProof/>
        </w:rPr>
        <w:t>. W</w:t>
      </w:r>
      <w:r w:rsidR="00987DDC">
        <w:rPr>
          <w:noProof/>
        </w:rPr>
        <w:t> </w:t>
      </w:r>
      <w:r w:rsidR="00987DDC" w:rsidRPr="00987DDC">
        <w:rPr>
          <w:noProof/>
        </w:rPr>
        <w:t>szc</w:t>
      </w:r>
      <w:r w:rsidRPr="00987DDC">
        <w:rPr>
          <w:noProof/>
        </w:rPr>
        <w:t>zególności instrumenty te muszą zapewniać osobom fizycznym, których dane są przekazywane poza UE, poziom ochrony merytorycznie równoważny poziomowi gwarantowanemu w UE (</w:t>
      </w:r>
      <w:r w:rsidRPr="00987DDC">
        <w:rPr>
          <w:rStyle w:val="FootnoteReference"/>
          <w:noProof/>
        </w:rPr>
        <w:footnoteReference w:id="156"/>
      </w:r>
      <w:r w:rsidRPr="00987DDC">
        <w:rPr>
          <w:noProof/>
        </w:rPr>
        <w:t>). Obowiązkiem unijnego podmiotu przekazującego dane jest ocena, czy tak właśnie jest, biorąc pod uwagę szczególne okoliczności przekazywania (</w:t>
      </w:r>
      <w:r w:rsidRPr="00987DDC">
        <w:rPr>
          <w:rStyle w:val="FootnoteReference"/>
          <w:noProof/>
        </w:rPr>
        <w:footnoteReference w:id="157"/>
      </w:r>
      <w:r w:rsidRPr="00987DDC">
        <w:rPr>
          <w:noProof/>
        </w:rPr>
        <w:t xml:space="preserve">). </w:t>
      </w:r>
    </w:p>
    <w:p w14:paraId="60A81819" w14:textId="0B4BE47C" w:rsidR="004100BA" w:rsidRPr="00987DDC" w:rsidRDefault="004100BA" w:rsidP="004100BA">
      <w:pPr>
        <w:pStyle w:val="Text3"/>
        <w:ind w:left="0"/>
        <w:rPr>
          <w:noProof/>
        </w:rPr>
      </w:pPr>
      <w:r w:rsidRPr="00987DDC">
        <w:rPr>
          <w:noProof/>
        </w:rPr>
        <w:t>Aby ocenić poziom ochrony, podmioty przekazujące dane muszą wziąć pod uwagę zarówno zabezpieczenia</w:t>
      </w:r>
      <w:r w:rsidR="00987DDC" w:rsidRPr="00987DDC">
        <w:rPr>
          <w:noProof/>
        </w:rPr>
        <w:t xml:space="preserve"> w</w:t>
      </w:r>
      <w:r w:rsidR="00987DDC">
        <w:rPr>
          <w:noProof/>
        </w:rPr>
        <w:t> </w:t>
      </w:r>
      <w:r w:rsidR="00987DDC" w:rsidRPr="00987DDC">
        <w:rPr>
          <w:noProof/>
        </w:rPr>
        <w:t>zak</w:t>
      </w:r>
      <w:r w:rsidRPr="00987DDC">
        <w:rPr>
          <w:noProof/>
        </w:rPr>
        <w:t>resie ochrony danych określone</w:t>
      </w:r>
      <w:r w:rsidR="00987DDC" w:rsidRPr="00987DDC">
        <w:rPr>
          <w:noProof/>
        </w:rPr>
        <w:t xml:space="preserve"> w</w:t>
      </w:r>
      <w:r w:rsidR="00987DDC">
        <w:rPr>
          <w:noProof/>
        </w:rPr>
        <w:t> </w:t>
      </w:r>
      <w:r w:rsidR="00987DDC" w:rsidRPr="00987DDC">
        <w:rPr>
          <w:noProof/>
        </w:rPr>
        <w:t>ins</w:t>
      </w:r>
      <w:r w:rsidRPr="00987DDC">
        <w:rPr>
          <w:noProof/>
        </w:rPr>
        <w:t>trumencie przekazywania zawartym</w:t>
      </w:r>
      <w:r w:rsidR="00987DDC" w:rsidRPr="00987DDC">
        <w:rPr>
          <w:noProof/>
        </w:rPr>
        <w:t xml:space="preserve"> z</w:t>
      </w:r>
      <w:r w:rsidR="00987DDC">
        <w:rPr>
          <w:noProof/>
        </w:rPr>
        <w:t> </w:t>
      </w:r>
      <w:r w:rsidR="00987DDC" w:rsidRPr="00987DDC">
        <w:rPr>
          <w:noProof/>
        </w:rPr>
        <w:t>pod</w:t>
      </w:r>
      <w:r w:rsidRPr="00987DDC">
        <w:rPr>
          <w:noProof/>
        </w:rPr>
        <w:t>miotem odbierającym dane spoza UE (np. umowa), jak</w:t>
      </w:r>
      <w:r w:rsidR="00987DDC" w:rsidRPr="00987DDC">
        <w:rPr>
          <w:noProof/>
        </w:rPr>
        <w:t xml:space="preserve"> i</w:t>
      </w:r>
      <w:r w:rsidR="00987DDC">
        <w:rPr>
          <w:noProof/>
        </w:rPr>
        <w:t> </w:t>
      </w:r>
      <w:r w:rsidR="00987DDC" w:rsidRPr="00987DDC">
        <w:rPr>
          <w:noProof/>
        </w:rPr>
        <w:t>ist</w:t>
      </w:r>
      <w:r w:rsidRPr="00987DDC">
        <w:rPr>
          <w:noProof/>
        </w:rPr>
        <w:t>otne elementy systemu prawnego państwa,</w:t>
      </w:r>
      <w:r w:rsidR="00987DDC" w:rsidRPr="00987DDC">
        <w:rPr>
          <w:noProof/>
        </w:rPr>
        <w:t xml:space="preserve"> w</w:t>
      </w:r>
      <w:r w:rsidR="00987DDC">
        <w:rPr>
          <w:noProof/>
        </w:rPr>
        <w:t> </w:t>
      </w:r>
      <w:r w:rsidR="00987DDC" w:rsidRPr="00987DDC">
        <w:rPr>
          <w:noProof/>
        </w:rPr>
        <w:t>któ</w:t>
      </w:r>
      <w:r w:rsidRPr="00987DDC">
        <w:rPr>
          <w:noProof/>
        </w:rPr>
        <w:t>rym znajduje się podmiot odbierający dane,</w:t>
      </w:r>
      <w:r w:rsidR="00987DDC" w:rsidRPr="00987DDC">
        <w:rPr>
          <w:noProof/>
        </w:rPr>
        <w:t xml:space="preserve"> w</w:t>
      </w:r>
      <w:r w:rsidR="00987DDC">
        <w:rPr>
          <w:noProof/>
        </w:rPr>
        <w:t> </w:t>
      </w:r>
      <w:r w:rsidR="00987DDC" w:rsidRPr="00987DDC">
        <w:rPr>
          <w:noProof/>
        </w:rPr>
        <w:t>szc</w:t>
      </w:r>
      <w:r w:rsidRPr="00987DDC">
        <w:rPr>
          <w:noProof/>
        </w:rPr>
        <w:t>zególności</w:t>
      </w:r>
      <w:r w:rsidR="00987DDC" w:rsidRPr="00987DDC">
        <w:rPr>
          <w:noProof/>
        </w:rPr>
        <w:t xml:space="preserve"> w</w:t>
      </w:r>
      <w:r w:rsidR="00987DDC">
        <w:rPr>
          <w:noProof/>
        </w:rPr>
        <w:t> </w:t>
      </w:r>
      <w:r w:rsidR="00987DDC" w:rsidRPr="00987DDC">
        <w:rPr>
          <w:noProof/>
        </w:rPr>
        <w:t>odn</w:t>
      </w:r>
      <w:r w:rsidRPr="00987DDC">
        <w:rPr>
          <w:noProof/>
        </w:rPr>
        <w:t>iesieniu do ewentualnego dostępu organów władzy publicznej tego państwa (</w:t>
      </w:r>
      <w:r w:rsidRPr="00987DDC">
        <w:rPr>
          <w:rStyle w:val="FootnoteReference"/>
          <w:noProof/>
        </w:rPr>
        <w:footnoteReference w:id="158"/>
      </w:r>
      <w:r w:rsidRPr="00987DDC">
        <w:rPr>
          <w:noProof/>
        </w:rPr>
        <w:t>). Te ostatnie elementy należy analizować</w:t>
      </w:r>
      <w:r w:rsidR="00987DDC" w:rsidRPr="00987DDC">
        <w:rPr>
          <w:noProof/>
        </w:rPr>
        <w:t xml:space="preserve"> w</w:t>
      </w:r>
      <w:r w:rsidR="00987DDC">
        <w:rPr>
          <w:noProof/>
        </w:rPr>
        <w:t> </w:t>
      </w:r>
      <w:r w:rsidR="00987DDC" w:rsidRPr="00987DDC">
        <w:rPr>
          <w:noProof/>
        </w:rPr>
        <w:t>świ</w:t>
      </w:r>
      <w:r w:rsidRPr="00987DDC">
        <w:rPr>
          <w:noProof/>
        </w:rPr>
        <w:t>etle kryteriów oceny stwierdzających odpowiedni stopień ochrony, określonych</w:t>
      </w:r>
      <w:r w:rsidR="00987DDC" w:rsidRPr="00987DDC">
        <w:rPr>
          <w:noProof/>
        </w:rPr>
        <w:t xml:space="preserve"> w</w:t>
      </w:r>
      <w:r w:rsidR="00987DDC">
        <w:rPr>
          <w:noProof/>
        </w:rPr>
        <w:t> </w:t>
      </w:r>
      <w:r w:rsidR="00987DDC" w:rsidRPr="00987DDC">
        <w:rPr>
          <w:noProof/>
        </w:rPr>
        <w:t>art</w:t>
      </w:r>
      <w:r w:rsidRPr="00987DDC">
        <w:rPr>
          <w:noProof/>
        </w:rPr>
        <w:t>.</w:t>
      </w:r>
      <w:r w:rsidR="00987DDC" w:rsidRPr="00987DDC">
        <w:rPr>
          <w:noProof/>
        </w:rPr>
        <w:t> </w:t>
      </w:r>
      <w:r w:rsidRPr="00987DDC">
        <w:rPr>
          <w:noProof/>
        </w:rPr>
        <w:t>45 RODO. Trybunał doprecyzował również te kryteria,</w:t>
      </w:r>
      <w:r w:rsidR="00987DDC" w:rsidRPr="00987DDC">
        <w:rPr>
          <w:noProof/>
        </w:rPr>
        <w:t xml:space="preserve"> w</w:t>
      </w:r>
      <w:r w:rsidR="00987DDC">
        <w:rPr>
          <w:noProof/>
        </w:rPr>
        <w:t> </w:t>
      </w:r>
      <w:r w:rsidR="00987DDC" w:rsidRPr="00987DDC">
        <w:rPr>
          <w:noProof/>
        </w:rPr>
        <w:t>szc</w:t>
      </w:r>
      <w:r w:rsidRPr="00987DDC">
        <w:rPr>
          <w:noProof/>
        </w:rPr>
        <w:t>zególności</w:t>
      </w:r>
      <w:r w:rsidR="00987DDC" w:rsidRPr="00987DDC">
        <w:rPr>
          <w:noProof/>
        </w:rPr>
        <w:t xml:space="preserve"> w</w:t>
      </w:r>
      <w:r w:rsidR="00987DDC">
        <w:rPr>
          <w:noProof/>
        </w:rPr>
        <w:t> </w:t>
      </w:r>
      <w:r w:rsidR="00987DDC" w:rsidRPr="00987DDC">
        <w:rPr>
          <w:noProof/>
        </w:rPr>
        <w:t>odn</w:t>
      </w:r>
      <w:r w:rsidRPr="00987DDC">
        <w:rPr>
          <w:noProof/>
        </w:rPr>
        <w:t>iesieniu do przepisów dotyczących dostępu organów publicznych do danych osobowych do celów egzekwowania prawa</w:t>
      </w:r>
      <w:r w:rsidR="00987DDC" w:rsidRPr="00987DDC">
        <w:rPr>
          <w:noProof/>
        </w:rPr>
        <w:t xml:space="preserve"> i</w:t>
      </w:r>
      <w:r w:rsidR="00987DDC">
        <w:rPr>
          <w:noProof/>
        </w:rPr>
        <w:t> </w:t>
      </w:r>
      <w:r w:rsidR="00987DDC" w:rsidRPr="00987DDC">
        <w:rPr>
          <w:noProof/>
        </w:rPr>
        <w:t>bez</w:t>
      </w:r>
      <w:r w:rsidRPr="00987DDC">
        <w:rPr>
          <w:noProof/>
        </w:rPr>
        <w:t>pieczeństwa narodowego.</w:t>
      </w:r>
    </w:p>
    <w:p w14:paraId="561AEED3" w14:textId="41F83EB7" w:rsidR="00DE7E57" w:rsidRPr="00987DDC" w:rsidRDefault="00DE7E57" w:rsidP="00DD7FA3">
      <w:pPr>
        <w:pStyle w:val="Text2"/>
        <w:ind w:left="0"/>
        <w:rPr>
          <w:noProof/>
        </w:rPr>
      </w:pPr>
      <w:r w:rsidRPr="00987DDC">
        <w:rPr>
          <w:noProof/>
        </w:rPr>
        <w:t>Interpretacja ta znalazła również odzwierciedlenie</w:t>
      </w:r>
      <w:r w:rsidR="00987DDC" w:rsidRPr="00987DDC">
        <w:rPr>
          <w:noProof/>
        </w:rPr>
        <w:t xml:space="preserve"> w</w:t>
      </w:r>
      <w:r w:rsidR="00987DDC">
        <w:rPr>
          <w:noProof/>
        </w:rPr>
        <w:t> </w:t>
      </w:r>
      <w:r w:rsidR="00987DDC" w:rsidRPr="00987DDC">
        <w:rPr>
          <w:noProof/>
        </w:rPr>
        <w:t>wyt</w:t>
      </w:r>
      <w:r w:rsidRPr="00987DDC">
        <w:rPr>
          <w:noProof/>
        </w:rPr>
        <w:t>ycznych EROD aktualizujących „odpowiedni stopień ochrony przekazywanych danych osobowych” (</w:t>
      </w:r>
      <w:r w:rsidRPr="00987DDC">
        <w:rPr>
          <w:rStyle w:val="FootnoteReference"/>
          <w:noProof/>
        </w:rPr>
        <w:footnoteReference w:id="159"/>
      </w:r>
      <w:r w:rsidRPr="00987DDC">
        <w:rPr>
          <w:noProof/>
        </w:rPr>
        <w:t>) (które zawierały wytyczne dotyczące elementów, które Komisja musi uwzględnić przy przeprowadzaniu oceny, czy stopień ochrony jest odpowiedni). EROD przyjęła również nowe wytyczne zawierające dalsze wyjaśnienia dotyczące: (i) elementów, które mają brać pod uwagę poszczególne podmioty przekazujące dane przy ocenie poziomu ochrony; (ii) przeglądu potencjalnych źródeł, które można wykorzystać; oraz (iii) przykładów możliwych środków uzupełniających (np. zabezpieczeń umownych</w:t>
      </w:r>
      <w:r w:rsidR="00987DDC" w:rsidRPr="00987DDC">
        <w:rPr>
          <w:noProof/>
        </w:rPr>
        <w:t xml:space="preserve"> i</w:t>
      </w:r>
      <w:r w:rsidR="00987DDC">
        <w:rPr>
          <w:noProof/>
        </w:rPr>
        <w:t> </w:t>
      </w:r>
      <w:r w:rsidR="00987DDC" w:rsidRPr="00987DDC">
        <w:rPr>
          <w:noProof/>
        </w:rPr>
        <w:t>tec</w:t>
      </w:r>
      <w:r w:rsidRPr="00987DDC">
        <w:rPr>
          <w:noProof/>
        </w:rPr>
        <w:t>hnicznych) (</w:t>
      </w:r>
      <w:r w:rsidRPr="00987DDC">
        <w:rPr>
          <w:rStyle w:val="FootnoteReference"/>
          <w:noProof/>
        </w:rPr>
        <w:footnoteReference w:id="160"/>
      </w:r>
      <w:r w:rsidRPr="00987DDC">
        <w:rPr>
          <w:noProof/>
        </w:rPr>
        <w:t>)</w:t>
      </w:r>
      <w:r w:rsidR="00987DDC" w:rsidRPr="00987DDC">
        <w:rPr>
          <w:noProof/>
        </w:rPr>
        <w:t>. W</w:t>
      </w:r>
      <w:r w:rsidR="00987DDC">
        <w:rPr>
          <w:noProof/>
        </w:rPr>
        <w:t> </w:t>
      </w:r>
      <w:r w:rsidR="00987DDC" w:rsidRPr="00987DDC">
        <w:rPr>
          <w:noProof/>
        </w:rPr>
        <w:t>wyt</w:t>
      </w:r>
      <w:r w:rsidRPr="00987DDC">
        <w:rPr>
          <w:noProof/>
        </w:rPr>
        <w:t>ycznych podkreślono, że każda ocena przeprowadzana przez podmioty przekazujące dane jest niepowtarzalna i że</w:t>
      </w:r>
      <w:r w:rsidR="00987DDC" w:rsidRPr="00987DDC">
        <w:rPr>
          <w:noProof/>
        </w:rPr>
        <w:t xml:space="preserve"> w</w:t>
      </w:r>
      <w:r w:rsidR="00987DDC">
        <w:rPr>
          <w:noProof/>
        </w:rPr>
        <w:t> </w:t>
      </w:r>
      <w:r w:rsidR="00987DDC" w:rsidRPr="00987DDC">
        <w:rPr>
          <w:noProof/>
        </w:rPr>
        <w:t>zwi</w:t>
      </w:r>
      <w:r w:rsidRPr="00987DDC">
        <w:rPr>
          <w:noProof/>
        </w:rPr>
        <w:t>ązku</w:t>
      </w:r>
      <w:r w:rsidR="00987DDC" w:rsidRPr="00987DDC">
        <w:rPr>
          <w:noProof/>
        </w:rPr>
        <w:t xml:space="preserve"> z</w:t>
      </w:r>
      <w:r w:rsidR="00987DDC">
        <w:rPr>
          <w:noProof/>
        </w:rPr>
        <w:t> </w:t>
      </w:r>
      <w:r w:rsidR="00987DDC" w:rsidRPr="00987DDC">
        <w:rPr>
          <w:noProof/>
        </w:rPr>
        <w:t>tym</w:t>
      </w:r>
      <w:r w:rsidRPr="00987DDC">
        <w:rPr>
          <w:noProof/>
        </w:rPr>
        <w:t xml:space="preserve"> powinni oni uwzględniać szczególne cechy każdego przekazania, które mogą się różnić</w:t>
      </w:r>
      <w:r w:rsidR="00987DDC" w:rsidRPr="00987DDC">
        <w:rPr>
          <w:noProof/>
        </w:rPr>
        <w:t xml:space="preserve"> w</w:t>
      </w:r>
      <w:r w:rsidR="00987DDC">
        <w:rPr>
          <w:noProof/>
        </w:rPr>
        <w:t> </w:t>
      </w:r>
      <w:r w:rsidR="00987DDC" w:rsidRPr="00987DDC">
        <w:rPr>
          <w:noProof/>
        </w:rPr>
        <w:t>zal</w:t>
      </w:r>
      <w:r w:rsidRPr="00987DDC">
        <w:rPr>
          <w:noProof/>
        </w:rPr>
        <w:t>eżności od celu przekazania danych, rodzajów zaangażowanych podmiotów, sektora,</w:t>
      </w:r>
      <w:r w:rsidR="00987DDC" w:rsidRPr="00987DDC">
        <w:rPr>
          <w:noProof/>
        </w:rPr>
        <w:t xml:space="preserve"> w</w:t>
      </w:r>
      <w:r w:rsidR="00987DDC">
        <w:rPr>
          <w:noProof/>
        </w:rPr>
        <w:t> </w:t>
      </w:r>
      <w:r w:rsidR="00987DDC" w:rsidRPr="00987DDC">
        <w:rPr>
          <w:noProof/>
        </w:rPr>
        <w:t>któ</w:t>
      </w:r>
      <w:r w:rsidRPr="00987DDC">
        <w:rPr>
          <w:noProof/>
        </w:rPr>
        <w:t>rym następuje przekazanie, kategorii przekazywanych danych osobowych itp. (</w:t>
      </w:r>
      <w:r w:rsidRPr="00987DDC">
        <w:rPr>
          <w:rStyle w:val="FootnoteReference"/>
          <w:noProof/>
        </w:rPr>
        <w:footnoteReference w:id="161"/>
      </w:r>
      <w:r w:rsidRPr="00987DDC">
        <w:rPr>
          <w:noProof/>
        </w:rPr>
        <w:t xml:space="preserve">). </w:t>
      </w:r>
    </w:p>
    <w:p w14:paraId="0216C948" w14:textId="571AD18E" w:rsidR="00B87A2D" w:rsidRPr="00987DDC" w:rsidRDefault="00B1343F" w:rsidP="00DD7FA3">
      <w:pPr>
        <w:pStyle w:val="Text2"/>
        <w:ind w:left="0"/>
        <w:rPr>
          <w:noProof/>
        </w:rPr>
      </w:pPr>
      <w:r w:rsidRPr="00987DDC">
        <w:rPr>
          <w:noProof/>
        </w:rPr>
        <w:t>Biorąc pod uwagę te różne wyjaśnienia dotyczące wymogów</w:t>
      </w:r>
      <w:r w:rsidR="00987DDC" w:rsidRPr="00987DDC">
        <w:rPr>
          <w:noProof/>
        </w:rPr>
        <w:t xml:space="preserve"> w</w:t>
      </w:r>
      <w:r w:rsidR="00987DDC">
        <w:rPr>
          <w:noProof/>
        </w:rPr>
        <w:t> </w:t>
      </w:r>
      <w:r w:rsidR="00987DDC" w:rsidRPr="00987DDC">
        <w:rPr>
          <w:noProof/>
        </w:rPr>
        <w:t>zak</w:t>
      </w:r>
      <w:r w:rsidRPr="00987DDC">
        <w:rPr>
          <w:noProof/>
        </w:rPr>
        <w:t>resie międzynarodowego przekazywania danych,</w:t>
      </w:r>
      <w:r w:rsidR="00987DDC" w:rsidRPr="00987DDC">
        <w:rPr>
          <w:noProof/>
        </w:rPr>
        <w:t xml:space="preserve"> w</w:t>
      </w:r>
      <w:r w:rsidR="00987DDC">
        <w:rPr>
          <w:noProof/>
        </w:rPr>
        <w:t> </w:t>
      </w:r>
      <w:r w:rsidR="00987DDC" w:rsidRPr="00987DDC">
        <w:rPr>
          <w:noProof/>
        </w:rPr>
        <w:t>ost</w:t>
      </w:r>
      <w:r w:rsidRPr="00987DDC">
        <w:rPr>
          <w:noProof/>
        </w:rPr>
        <w:t>atnich latach podjęto istotne kroki</w:t>
      </w:r>
      <w:r w:rsidR="00987DDC" w:rsidRPr="00987DDC">
        <w:rPr>
          <w:noProof/>
        </w:rPr>
        <w:t xml:space="preserve"> w</w:t>
      </w:r>
      <w:r w:rsidR="00987DDC">
        <w:rPr>
          <w:noProof/>
        </w:rPr>
        <w:t> </w:t>
      </w:r>
      <w:r w:rsidR="00987DDC" w:rsidRPr="00987DDC">
        <w:rPr>
          <w:noProof/>
        </w:rPr>
        <w:t>cel</w:t>
      </w:r>
      <w:r w:rsidRPr="00987DDC">
        <w:rPr>
          <w:noProof/>
        </w:rPr>
        <w:t>u dalszego rozwoju</w:t>
      </w:r>
      <w:r w:rsidR="00987DDC" w:rsidRPr="00987DDC">
        <w:rPr>
          <w:noProof/>
        </w:rPr>
        <w:t xml:space="preserve"> i</w:t>
      </w:r>
      <w:r w:rsidR="00987DDC">
        <w:rPr>
          <w:noProof/>
        </w:rPr>
        <w:t> </w:t>
      </w:r>
      <w:r w:rsidR="00987DDC" w:rsidRPr="00987DDC">
        <w:rPr>
          <w:noProof/>
        </w:rPr>
        <w:t>wyk</w:t>
      </w:r>
      <w:r w:rsidRPr="00987DDC">
        <w:rPr>
          <w:noProof/>
        </w:rPr>
        <w:t>orzystania</w:t>
      </w:r>
      <w:r w:rsidR="00987DDC" w:rsidRPr="00987DDC">
        <w:rPr>
          <w:noProof/>
        </w:rPr>
        <w:t xml:space="preserve"> w</w:t>
      </w:r>
      <w:r w:rsidR="00987DDC">
        <w:rPr>
          <w:noProof/>
        </w:rPr>
        <w:t> </w:t>
      </w:r>
      <w:r w:rsidR="00987DDC" w:rsidRPr="00987DDC">
        <w:rPr>
          <w:noProof/>
        </w:rPr>
        <w:t>pra</w:t>
      </w:r>
      <w:r w:rsidRPr="00987DDC">
        <w:rPr>
          <w:noProof/>
        </w:rPr>
        <w:t xml:space="preserve">ktyce zestawu narzędzi do przekazywania danych określonych w RODO. </w:t>
      </w:r>
    </w:p>
    <w:p w14:paraId="1C595C1D" w14:textId="3FC9B00C" w:rsidR="00AF1E50" w:rsidRPr="00987DDC" w:rsidRDefault="00AF1E50" w:rsidP="000E65C1">
      <w:pPr>
        <w:pStyle w:val="Heading3"/>
        <w:rPr>
          <w:noProof/>
        </w:rPr>
      </w:pPr>
      <w:r w:rsidRPr="00987DDC">
        <w:rPr>
          <w:noProof/>
        </w:rPr>
        <w:t>Decyzje stwierdzające odpowiedni stopień ochrony</w:t>
      </w:r>
    </w:p>
    <w:p w14:paraId="642018D8" w14:textId="35FA8E3C" w:rsidR="00DE7E57" w:rsidRPr="00987DDC" w:rsidRDefault="0097312A" w:rsidP="00CF0A57">
      <w:pPr>
        <w:pStyle w:val="Text2"/>
        <w:ind w:left="0"/>
        <w:rPr>
          <w:noProof/>
        </w:rPr>
      </w:pPr>
      <w:r w:rsidRPr="00987DDC">
        <w:rPr>
          <w:noProof/>
        </w:rPr>
        <w:t>Jak odzwierciedlono również</w:t>
      </w:r>
      <w:r w:rsidR="00987DDC" w:rsidRPr="00987DDC">
        <w:rPr>
          <w:noProof/>
        </w:rPr>
        <w:t xml:space="preserve"> w</w:t>
      </w:r>
      <w:r w:rsidR="00987DDC">
        <w:rPr>
          <w:noProof/>
        </w:rPr>
        <w:t> </w:t>
      </w:r>
      <w:r w:rsidR="00987DDC" w:rsidRPr="00987DDC">
        <w:rPr>
          <w:noProof/>
        </w:rPr>
        <w:t>inf</w:t>
      </w:r>
      <w:r w:rsidRPr="00987DDC">
        <w:rPr>
          <w:noProof/>
        </w:rPr>
        <w:t>ormacjach zwrotnych otrzymanych od zainteresowanych stron, decyzje stwierdzające odpowiedni stopień ochrony wciąż odgrywają kluczową rolę</w:t>
      </w:r>
      <w:r w:rsidR="00987DDC" w:rsidRPr="00987DDC">
        <w:rPr>
          <w:noProof/>
        </w:rPr>
        <w:t xml:space="preserve"> w</w:t>
      </w:r>
      <w:r w:rsidR="00987DDC">
        <w:rPr>
          <w:noProof/>
        </w:rPr>
        <w:t> </w:t>
      </w:r>
      <w:r w:rsidR="00987DDC" w:rsidRPr="00987DDC">
        <w:rPr>
          <w:noProof/>
        </w:rPr>
        <w:t>zes</w:t>
      </w:r>
      <w:r w:rsidRPr="00987DDC">
        <w:rPr>
          <w:noProof/>
        </w:rPr>
        <w:t>tawie narzędzi do przekazywania danych przewidzianym w RODO (</w:t>
      </w:r>
      <w:r w:rsidRPr="00987DDC">
        <w:rPr>
          <w:rStyle w:val="FootnoteReference"/>
          <w:noProof/>
        </w:rPr>
        <w:footnoteReference w:id="162"/>
      </w:r>
      <w:r w:rsidRPr="00987DDC">
        <w:rPr>
          <w:noProof/>
        </w:rPr>
        <w:t>), zapewniając proste</w:t>
      </w:r>
      <w:r w:rsidR="00987DDC" w:rsidRPr="00987DDC">
        <w:rPr>
          <w:noProof/>
        </w:rPr>
        <w:t xml:space="preserve"> i</w:t>
      </w:r>
      <w:r w:rsidR="00987DDC">
        <w:rPr>
          <w:noProof/>
        </w:rPr>
        <w:t> </w:t>
      </w:r>
      <w:r w:rsidR="00987DDC" w:rsidRPr="00987DDC">
        <w:rPr>
          <w:noProof/>
        </w:rPr>
        <w:t>kom</w:t>
      </w:r>
      <w:r w:rsidRPr="00987DDC">
        <w:rPr>
          <w:noProof/>
        </w:rPr>
        <w:t>pleksowe rozwiązanie</w:t>
      </w:r>
      <w:r w:rsidR="00987DDC" w:rsidRPr="00987DDC">
        <w:rPr>
          <w:noProof/>
        </w:rPr>
        <w:t xml:space="preserve"> w</w:t>
      </w:r>
      <w:r w:rsidR="00987DDC">
        <w:rPr>
          <w:noProof/>
        </w:rPr>
        <w:t> </w:t>
      </w:r>
      <w:r w:rsidR="00987DDC" w:rsidRPr="00987DDC">
        <w:rPr>
          <w:noProof/>
        </w:rPr>
        <w:t>zak</w:t>
      </w:r>
      <w:r w:rsidRPr="00987DDC">
        <w:rPr>
          <w:noProof/>
        </w:rPr>
        <w:t>resie przekazywania danych bez konieczności zapewnienia przez podmiot przekazujący dane dalszych zabezpieczeń czy uzyskania jakiegokolwiek zezwolenia. Dzięki umożliwieniu swobodnego przepływu danych osobowych decyzje te otworzyły kanały handlowe dla podmiotów z UE, również dzięki uzupełnianiu</w:t>
      </w:r>
      <w:r w:rsidR="00987DDC" w:rsidRPr="00987DDC">
        <w:rPr>
          <w:noProof/>
        </w:rPr>
        <w:t xml:space="preserve"> i</w:t>
      </w:r>
      <w:r w:rsidR="00987DDC">
        <w:rPr>
          <w:noProof/>
        </w:rPr>
        <w:t> </w:t>
      </w:r>
      <w:r w:rsidR="00987DDC" w:rsidRPr="00987DDC">
        <w:rPr>
          <w:noProof/>
        </w:rPr>
        <w:t>zwi</w:t>
      </w:r>
      <w:r w:rsidRPr="00987DDC">
        <w:rPr>
          <w:noProof/>
        </w:rPr>
        <w:t>ększaniu korzyści płynących</w:t>
      </w:r>
      <w:r w:rsidR="00987DDC" w:rsidRPr="00987DDC">
        <w:rPr>
          <w:noProof/>
        </w:rPr>
        <w:t xml:space="preserve"> z</w:t>
      </w:r>
      <w:r w:rsidR="00987DDC">
        <w:rPr>
          <w:noProof/>
        </w:rPr>
        <w:t> </w:t>
      </w:r>
      <w:r w:rsidR="00987DDC" w:rsidRPr="00987DDC">
        <w:rPr>
          <w:noProof/>
        </w:rPr>
        <w:t>umó</w:t>
      </w:r>
      <w:r w:rsidRPr="00987DDC">
        <w:rPr>
          <w:noProof/>
        </w:rPr>
        <w:t>w handlowych oraz ułatwiły współpracę</w:t>
      </w:r>
      <w:r w:rsidR="00987DDC" w:rsidRPr="00987DDC">
        <w:rPr>
          <w:noProof/>
        </w:rPr>
        <w:t xml:space="preserve"> z</w:t>
      </w:r>
      <w:r w:rsidR="00987DDC">
        <w:rPr>
          <w:noProof/>
        </w:rPr>
        <w:t> </w:t>
      </w:r>
      <w:r w:rsidR="00987DDC" w:rsidRPr="00987DDC">
        <w:rPr>
          <w:noProof/>
        </w:rPr>
        <w:t>par</w:t>
      </w:r>
      <w:r w:rsidRPr="00987DDC">
        <w:rPr>
          <w:noProof/>
        </w:rPr>
        <w:t>tnerami zagranicznymi</w:t>
      </w:r>
      <w:r w:rsidR="00987DDC" w:rsidRPr="00987DDC">
        <w:rPr>
          <w:noProof/>
        </w:rPr>
        <w:t xml:space="preserve"> w</w:t>
      </w:r>
      <w:r w:rsidR="00987DDC">
        <w:rPr>
          <w:noProof/>
        </w:rPr>
        <w:t> </w:t>
      </w:r>
      <w:r w:rsidR="00987DDC" w:rsidRPr="00987DDC">
        <w:rPr>
          <w:noProof/>
        </w:rPr>
        <w:t>wie</w:t>
      </w:r>
      <w:r w:rsidRPr="00987DDC">
        <w:rPr>
          <w:noProof/>
        </w:rPr>
        <w:t>lu dziedzinach, od współpracy regulacyjnej po badania.</w:t>
      </w:r>
    </w:p>
    <w:p w14:paraId="6303B1A3" w14:textId="4C21237F" w:rsidR="00E84FF8" w:rsidRPr="00987DDC" w:rsidRDefault="00231B8A" w:rsidP="00DD7FA3">
      <w:pPr>
        <w:pStyle w:val="Text3"/>
        <w:ind w:left="0"/>
        <w:rPr>
          <w:noProof/>
        </w:rPr>
      </w:pPr>
      <w:r w:rsidRPr="00987DDC">
        <w:rPr>
          <w:noProof/>
        </w:rPr>
        <w:t>Od czasu sprawozdania</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liczba państw, które wprowadziły nowoczesne przepisy</w:t>
      </w:r>
      <w:r w:rsidR="00987DDC" w:rsidRPr="00987DDC">
        <w:rPr>
          <w:noProof/>
        </w:rPr>
        <w:t xml:space="preserve"> o</w:t>
      </w:r>
      <w:r w:rsidR="00987DDC">
        <w:rPr>
          <w:noProof/>
        </w:rPr>
        <w:t> </w:t>
      </w:r>
      <w:r w:rsidR="00987DDC" w:rsidRPr="00987DDC">
        <w:rPr>
          <w:noProof/>
        </w:rPr>
        <w:t>och</w:t>
      </w:r>
      <w:r w:rsidRPr="00987DDC">
        <w:rPr>
          <w:noProof/>
        </w:rPr>
        <w:t>ronie danych – przewidujące m.in. kluczowe zasady ochrony danych, prawa indywidualne oraz skuteczne egzekwowanie przepisów przez niezależne organy regulacyjne – nadal rośnie. Tendencja ta (</w:t>
      </w:r>
      <w:r w:rsidRPr="00987DDC">
        <w:rPr>
          <w:rStyle w:val="FootnoteReference"/>
          <w:noProof/>
        </w:rPr>
        <w:footnoteReference w:id="163"/>
      </w:r>
      <w:r w:rsidRPr="00987DDC">
        <w:rPr>
          <w:noProof/>
        </w:rPr>
        <w:t>) sprawiła też, że Komisja mogła zintensyfikować prace</w:t>
      </w:r>
      <w:r w:rsidR="00987DDC" w:rsidRPr="00987DDC">
        <w:rPr>
          <w:noProof/>
        </w:rPr>
        <w:t xml:space="preserve"> w</w:t>
      </w:r>
      <w:r w:rsidR="00987DDC">
        <w:rPr>
          <w:noProof/>
        </w:rPr>
        <w:t> </w:t>
      </w:r>
      <w:r w:rsidR="00987DDC" w:rsidRPr="00987DDC">
        <w:rPr>
          <w:noProof/>
        </w:rPr>
        <w:t>zak</w:t>
      </w:r>
      <w:r w:rsidRPr="00987DDC">
        <w:rPr>
          <w:noProof/>
        </w:rPr>
        <w:t>resie odpowiedniego stopnia ochrony. Obejmuje to przyjęcie decyzji stwierdzającej odpowiedni stopień ochrony</w:t>
      </w:r>
      <w:r w:rsidR="00987DDC" w:rsidRPr="00987DDC">
        <w:rPr>
          <w:noProof/>
        </w:rPr>
        <w:t xml:space="preserve"> w</w:t>
      </w:r>
      <w:r w:rsidR="00987DDC">
        <w:rPr>
          <w:noProof/>
        </w:rPr>
        <w:t> </w:t>
      </w:r>
      <w:r w:rsidR="00987DDC" w:rsidRPr="00987DDC">
        <w:rPr>
          <w:noProof/>
        </w:rPr>
        <w:t>odn</w:t>
      </w:r>
      <w:r w:rsidRPr="00987DDC">
        <w:rPr>
          <w:noProof/>
        </w:rPr>
        <w:t>iesieniu do Zjednoczonego Królestwa (</w:t>
      </w:r>
      <w:r w:rsidRPr="00987DDC">
        <w:rPr>
          <w:rStyle w:val="FootnoteReference"/>
          <w:noProof/>
        </w:rPr>
        <w:footnoteReference w:id="164"/>
      </w:r>
      <w:r w:rsidRPr="00987DDC">
        <w:rPr>
          <w:noProof/>
        </w:rPr>
        <w:t>), która ma kluczowe znaczenie dla zapewnienia właściwego funkcjonowania poszczególnych umów zawartych ze Zjednoczonym Królestwem po brexicie. Aby decyzja stwierdzająca odpowiedni stopień ochrony nie ulegała dezaktualizacji, zawiera ona „klauzulę wygaśnięcia”, zgodnie</w:t>
      </w:r>
      <w:r w:rsidR="00987DDC" w:rsidRPr="00987DDC">
        <w:rPr>
          <w:noProof/>
        </w:rPr>
        <w:t xml:space="preserve"> z</w:t>
      </w:r>
      <w:r w:rsidR="00987DDC">
        <w:rPr>
          <w:noProof/>
        </w:rPr>
        <w:t> </w:t>
      </w:r>
      <w:r w:rsidR="00987DDC" w:rsidRPr="00987DDC">
        <w:rPr>
          <w:noProof/>
        </w:rPr>
        <w:t>któ</w:t>
      </w:r>
      <w:r w:rsidRPr="00987DDC">
        <w:rPr>
          <w:noProof/>
        </w:rPr>
        <w:t>rą decyzja wygasa</w:t>
      </w:r>
      <w:r w:rsidR="00987DDC" w:rsidRPr="00987DDC">
        <w:rPr>
          <w:noProof/>
        </w:rPr>
        <w:t xml:space="preserve"> w</w:t>
      </w:r>
      <w:r w:rsidR="00987DDC">
        <w:rPr>
          <w:noProof/>
        </w:rPr>
        <w:t> </w:t>
      </w:r>
      <w:r w:rsidR="00987DDC" w:rsidRPr="00987DDC">
        <w:rPr>
          <w:noProof/>
        </w:rPr>
        <w:t>2</w:t>
      </w:r>
      <w:r w:rsidRPr="00987DDC">
        <w:rPr>
          <w:noProof/>
        </w:rPr>
        <w:t>025</w:t>
      </w:r>
      <w:r w:rsidR="00987DDC" w:rsidRPr="00987DDC">
        <w:rPr>
          <w:noProof/>
        </w:rPr>
        <w:t> </w:t>
      </w:r>
      <w:r w:rsidRPr="00987DDC">
        <w:rPr>
          <w:noProof/>
        </w:rPr>
        <w:t>r., po czym może zostać odnowiona, jeżeli poziom ochrony będzie nadal odpowiedni. Komisja przyjęła również decyzję stwierdzającą odpowiedni stopień ochrony</w:t>
      </w:r>
      <w:r w:rsidR="00987DDC" w:rsidRPr="00987DDC">
        <w:rPr>
          <w:noProof/>
        </w:rPr>
        <w:t xml:space="preserve"> w</w:t>
      </w:r>
      <w:r w:rsidR="00987DDC">
        <w:rPr>
          <w:noProof/>
        </w:rPr>
        <w:t> </w:t>
      </w:r>
      <w:r w:rsidR="00987DDC" w:rsidRPr="00987DDC">
        <w:rPr>
          <w:noProof/>
        </w:rPr>
        <w:t>odn</w:t>
      </w:r>
      <w:r w:rsidRPr="00987DDC">
        <w:rPr>
          <w:noProof/>
        </w:rPr>
        <w:t>iesieniu do Republiki Korei (</w:t>
      </w:r>
      <w:r w:rsidRPr="00987DDC">
        <w:rPr>
          <w:rStyle w:val="FootnoteReference"/>
          <w:noProof/>
        </w:rPr>
        <w:footnoteReference w:id="165"/>
      </w:r>
      <w:r w:rsidRPr="00987DDC">
        <w:rPr>
          <w:noProof/>
        </w:rPr>
        <w:t>), która stanowi uzupełnienie umowy</w:t>
      </w:r>
      <w:r w:rsidR="00987DDC" w:rsidRPr="00987DDC">
        <w:rPr>
          <w:noProof/>
        </w:rPr>
        <w:t xml:space="preserve"> o</w:t>
      </w:r>
      <w:r w:rsidR="00987DDC">
        <w:rPr>
          <w:noProof/>
        </w:rPr>
        <w:t> </w:t>
      </w:r>
      <w:r w:rsidR="00987DDC" w:rsidRPr="00987DDC">
        <w:rPr>
          <w:noProof/>
        </w:rPr>
        <w:t>wol</w:t>
      </w:r>
      <w:r w:rsidRPr="00987DDC">
        <w:rPr>
          <w:noProof/>
        </w:rPr>
        <w:t>nym handlu między UE</w:t>
      </w:r>
      <w:r w:rsidR="00987DDC" w:rsidRPr="00987DDC">
        <w:rPr>
          <w:noProof/>
        </w:rPr>
        <w:t xml:space="preserve"> a</w:t>
      </w:r>
      <w:r w:rsidR="00987DDC">
        <w:rPr>
          <w:noProof/>
        </w:rPr>
        <w:t> </w:t>
      </w:r>
      <w:r w:rsidR="00987DDC" w:rsidRPr="00987DDC">
        <w:rPr>
          <w:noProof/>
        </w:rPr>
        <w:t>Kor</w:t>
      </w:r>
      <w:r w:rsidRPr="00987DDC">
        <w:rPr>
          <w:noProof/>
        </w:rPr>
        <w:t>eą</w:t>
      </w:r>
      <w:r w:rsidR="00987DDC" w:rsidRPr="00987DDC">
        <w:rPr>
          <w:noProof/>
        </w:rPr>
        <w:t xml:space="preserve"> w</w:t>
      </w:r>
      <w:r w:rsidR="00987DDC">
        <w:rPr>
          <w:noProof/>
        </w:rPr>
        <w:t> </w:t>
      </w:r>
      <w:r w:rsidR="00987DDC" w:rsidRPr="00987DDC">
        <w:rPr>
          <w:noProof/>
        </w:rPr>
        <w:t>spr</w:t>
      </w:r>
      <w:r w:rsidRPr="00987DDC">
        <w:rPr>
          <w:noProof/>
        </w:rPr>
        <w:t>awie przepływu danych osobowych</w:t>
      </w:r>
      <w:r w:rsidR="00987DDC" w:rsidRPr="00987DDC">
        <w:rPr>
          <w:noProof/>
        </w:rPr>
        <w:t xml:space="preserve"> i</w:t>
      </w:r>
      <w:r w:rsidR="00987DDC">
        <w:rPr>
          <w:noProof/>
        </w:rPr>
        <w:t> </w:t>
      </w:r>
      <w:r w:rsidR="00987DDC" w:rsidRPr="00987DDC">
        <w:rPr>
          <w:noProof/>
        </w:rPr>
        <w:t>uła</w:t>
      </w:r>
      <w:r w:rsidRPr="00987DDC">
        <w:rPr>
          <w:noProof/>
        </w:rPr>
        <w:t>twia współpracę regulacyjną. Pierwszy przegląd decyzji stwierdzającej odpowiedni stopień ochrony zaplanowano na koniec 2024</w:t>
      </w:r>
      <w:r w:rsidR="00987DDC" w:rsidRPr="00987DDC">
        <w:rPr>
          <w:noProof/>
        </w:rPr>
        <w:t> </w:t>
      </w:r>
      <w:r w:rsidRPr="00987DDC">
        <w:rPr>
          <w:noProof/>
        </w:rPr>
        <w:t xml:space="preserve">r. </w:t>
      </w:r>
    </w:p>
    <w:p w14:paraId="5D2DE096" w14:textId="538CDD0B" w:rsidR="00BB675D" w:rsidRPr="00987DDC" w:rsidRDefault="00C915CF" w:rsidP="008D05A5">
      <w:pPr>
        <w:pStyle w:val="Text3"/>
        <w:ind w:left="0"/>
        <w:rPr>
          <w:noProof/>
        </w:rPr>
      </w:pPr>
      <w:r w:rsidRPr="00987DDC">
        <w:rPr>
          <w:noProof/>
        </w:rPr>
        <w:t>Ponadto po unieważnieniu decyzji stwierdzającej odpowiedni stopień ochrony</w:t>
      </w:r>
      <w:r w:rsidR="00987DDC" w:rsidRPr="00987DDC">
        <w:rPr>
          <w:noProof/>
        </w:rPr>
        <w:t xml:space="preserve"> w</w:t>
      </w:r>
      <w:r w:rsidR="00987DDC">
        <w:rPr>
          <w:noProof/>
        </w:rPr>
        <w:t> </w:t>
      </w:r>
      <w:r w:rsidR="00987DDC" w:rsidRPr="00987DDC">
        <w:rPr>
          <w:noProof/>
        </w:rPr>
        <w:t>odn</w:t>
      </w:r>
      <w:r w:rsidRPr="00987DDC">
        <w:rPr>
          <w:noProof/>
        </w:rPr>
        <w:t>iesieniu do Tarczy Prywatności UE-USA Komisja rozpoczęła rozmowy</w:t>
      </w:r>
      <w:r w:rsidR="00987DDC" w:rsidRPr="00987DDC">
        <w:rPr>
          <w:noProof/>
        </w:rPr>
        <w:t xml:space="preserve"> z</w:t>
      </w:r>
      <w:r w:rsidR="00987DDC">
        <w:rPr>
          <w:noProof/>
        </w:rPr>
        <w:t> </w:t>
      </w:r>
      <w:r w:rsidR="00987DDC" w:rsidRPr="00987DDC">
        <w:rPr>
          <w:noProof/>
        </w:rPr>
        <w:t>rzą</w:t>
      </w:r>
      <w:r w:rsidRPr="00987DDC">
        <w:rPr>
          <w:noProof/>
        </w:rPr>
        <w:t>dem Stanów Zjednoczonych (USA)</w:t>
      </w:r>
      <w:r w:rsidR="00987DDC" w:rsidRPr="00987DDC">
        <w:rPr>
          <w:noProof/>
        </w:rPr>
        <w:t xml:space="preserve"> w</w:t>
      </w:r>
      <w:r w:rsidR="00987DDC">
        <w:rPr>
          <w:noProof/>
        </w:rPr>
        <w:t> </w:t>
      </w:r>
      <w:r w:rsidR="00987DDC" w:rsidRPr="00987DDC">
        <w:rPr>
          <w:noProof/>
        </w:rPr>
        <w:t>cel</w:t>
      </w:r>
      <w:r w:rsidRPr="00987DDC">
        <w:rPr>
          <w:noProof/>
        </w:rPr>
        <w:t>u przygotowania kolejnego porozumienia zgodnie</w:t>
      </w:r>
      <w:r w:rsidR="00987DDC" w:rsidRPr="00987DDC">
        <w:rPr>
          <w:noProof/>
        </w:rPr>
        <w:t xml:space="preserve"> z</w:t>
      </w:r>
      <w:r w:rsidR="00987DDC">
        <w:rPr>
          <w:noProof/>
        </w:rPr>
        <w:t> </w:t>
      </w:r>
      <w:r w:rsidR="00987DDC" w:rsidRPr="00987DDC">
        <w:rPr>
          <w:noProof/>
        </w:rPr>
        <w:t>wym</w:t>
      </w:r>
      <w:r w:rsidRPr="00987DDC">
        <w:rPr>
          <w:noProof/>
        </w:rPr>
        <w:t>ogami objaśnionymi przez Trybunał (</w:t>
      </w:r>
      <w:r w:rsidRPr="00987DDC">
        <w:rPr>
          <w:rStyle w:val="FootnoteReference"/>
          <w:noProof/>
        </w:rPr>
        <w:footnoteReference w:id="166"/>
      </w:r>
      <w:r w:rsidRPr="00987DDC">
        <w:rPr>
          <w:noProof/>
        </w:rPr>
        <w:t>). Prezydent USA przyjął nowe rozporządzenie wykonawcze zwiększające zabezpieczenia</w:t>
      </w:r>
      <w:r w:rsidR="00987DDC" w:rsidRPr="00987DDC">
        <w:rPr>
          <w:noProof/>
        </w:rPr>
        <w:t xml:space="preserve"> w</w:t>
      </w:r>
      <w:r w:rsidR="00987DDC">
        <w:rPr>
          <w:noProof/>
        </w:rPr>
        <w:t> </w:t>
      </w:r>
      <w:r w:rsidR="00987DDC" w:rsidRPr="00987DDC">
        <w:rPr>
          <w:noProof/>
        </w:rPr>
        <w:t>kon</w:t>
      </w:r>
      <w:r w:rsidRPr="00987DDC">
        <w:rPr>
          <w:noProof/>
        </w:rPr>
        <w:t>tekście działań USA</w:t>
      </w:r>
      <w:r w:rsidR="00987DDC" w:rsidRPr="00987DDC">
        <w:rPr>
          <w:noProof/>
        </w:rPr>
        <w:t xml:space="preserve"> w</w:t>
      </w:r>
      <w:r w:rsidR="00987DDC">
        <w:rPr>
          <w:noProof/>
        </w:rPr>
        <w:t> </w:t>
      </w:r>
      <w:r w:rsidR="00987DDC" w:rsidRPr="00987DDC">
        <w:rPr>
          <w:noProof/>
        </w:rPr>
        <w:t>obs</w:t>
      </w:r>
      <w:r w:rsidRPr="00987DDC">
        <w:rPr>
          <w:noProof/>
        </w:rPr>
        <w:t>zarze rozpoznania radioelektronicznego,</w:t>
      </w:r>
      <w:r w:rsidR="00987DDC" w:rsidRPr="00987DDC">
        <w:rPr>
          <w:noProof/>
        </w:rPr>
        <w:t xml:space="preserve"> w</w:t>
      </w:r>
      <w:r w:rsidR="00987DDC">
        <w:rPr>
          <w:noProof/>
        </w:rPr>
        <w:t> </w:t>
      </w:r>
      <w:r w:rsidR="00987DDC" w:rsidRPr="00987DDC">
        <w:rPr>
          <w:noProof/>
        </w:rPr>
        <w:t>któ</w:t>
      </w:r>
      <w:r w:rsidRPr="00987DDC">
        <w:rPr>
          <w:noProof/>
        </w:rPr>
        <w:t>rym wprowadzono nowe wiążące</w:t>
      </w:r>
      <w:r w:rsidR="00987DDC" w:rsidRPr="00987DDC">
        <w:rPr>
          <w:noProof/>
        </w:rPr>
        <w:t xml:space="preserve"> i</w:t>
      </w:r>
      <w:r w:rsidR="00987DDC">
        <w:rPr>
          <w:noProof/>
        </w:rPr>
        <w:t> </w:t>
      </w:r>
      <w:r w:rsidR="00987DDC" w:rsidRPr="00987DDC">
        <w:rPr>
          <w:noProof/>
        </w:rPr>
        <w:t>moż</w:t>
      </w:r>
      <w:r w:rsidRPr="00987DDC">
        <w:rPr>
          <w:noProof/>
        </w:rPr>
        <w:t>liwe do wyegzekwowania zabezpieczenia, aby zapewnić dostęp do danych na potrzeby bezpieczeństwa narodowego jedynie</w:t>
      </w:r>
      <w:r w:rsidR="00987DDC" w:rsidRPr="00987DDC">
        <w:rPr>
          <w:noProof/>
        </w:rPr>
        <w:t xml:space="preserve"> w</w:t>
      </w:r>
      <w:r w:rsidR="00987DDC">
        <w:rPr>
          <w:noProof/>
        </w:rPr>
        <w:t> </w:t>
      </w:r>
      <w:r w:rsidR="00987DDC" w:rsidRPr="00987DDC">
        <w:rPr>
          <w:noProof/>
        </w:rPr>
        <w:t>nie</w:t>
      </w:r>
      <w:r w:rsidRPr="00987DDC">
        <w:rPr>
          <w:noProof/>
        </w:rPr>
        <w:t>zbędnym</w:t>
      </w:r>
      <w:r w:rsidR="00987DDC" w:rsidRPr="00987DDC">
        <w:rPr>
          <w:noProof/>
        </w:rPr>
        <w:t xml:space="preserve"> i</w:t>
      </w:r>
      <w:r w:rsidR="00987DDC">
        <w:rPr>
          <w:noProof/>
        </w:rPr>
        <w:t> </w:t>
      </w:r>
      <w:r w:rsidR="00987DDC" w:rsidRPr="00987DDC">
        <w:rPr>
          <w:noProof/>
        </w:rPr>
        <w:t>pro</w:t>
      </w:r>
      <w:r w:rsidRPr="00987DDC">
        <w:rPr>
          <w:noProof/>
        </w:rPr>
        <w:t>porcjonalnym zakresie oraz zapewnić Europejczykom możliwość skutecznego dochodzenia roszczeń. Na tej podstawie Komisja przyjęła decyzję stwierdzającą odpowiedni stopień ochrony danych osobowych zapewniony</w:t>
      </w:r>
      <w:r w:rsidR="00987DDC" w:rsidRPr="00987DDC">
        <w:rPr>
          <w:noProof/>
        </w:rPr>
        <w:t xml:space="preserve"> w</w:t>
      </w:r>
      <w:r w:rsidR="00987DDC">
        <w:rPr>
          <w:noProof/>
        </w:rPr>
        <w:t> </w:t>
      </w:r>
      <w:r w:rsidR="00987DDC" w:rsidRPr="00987DDC">
        <w:rPr>
          <w:noProof/>
        </w:rPr>
        <w:t>ram</w:t>
      </w:r>
      <w:r w:rsidRPr="00987DDC">
        <w:rPr>
          <w:noProof/>
        </w:rPr>
        <w:t>ach ochrony danych UE–USA (DPF) (</w:t>
      </w:r>
      <w:r w:rsidRPr="00987DDC">
        <w:rPr>
          <w:rStyle w:val="FootnoteReference"/>
          <w:noProof/>
        </w:rPr>
        <w:footnoteReference w:id="167"/>
      </w:r>
      <w:r w:rsidRPr="00987DDC">
        <w:rPr>
          <w:noProof/>
        </w:rPr>
        <w:t>), umożliwiając swobodny przepływ danych osobowych z UE do przedsiębiorstw z USA przystępujących do DPF. Ponieważ zabezpieczenia wprowadzone przez rząd USA</w:t>
      </w:r>
      <w:r w:rsidR="00987DDC" w:rsidRPr="00987DDC">
        <w:rPr>
          <w:noProof/>
        </w:rPr>
        <w:t xml:space="preserve"> w</w:t>
      </w:r>
      <w:r w:rsidR="00987DDC">
        <w:rPr>
          <w:noProof/>
        </w:rPr>
        <w:t> </w:t>
      </w:r>
      <w:r w:rsidR="00987DDC" w:rsidRPr="00987DDC">
        <w:rPr>
          <w:noProof/>
        </w:rPr>
        <w:t>obs</w:t>
      </w:r>
      <w:r w:rsidRPr="00987DDC">
        <w:rPr>
          <w:noProof/>
        </w:rPr>
        <w:t>zarze bezpieczeństwa narodowego mają zastosowanie do wszystkich przypadków przekazywania danych przedsiębiorstwom w USA, niezależnie od zastosowanego mechanizmu przekazywania danych przewidzianego w RODO, znacznie ułatwiono korzystanie</w:t>
      </w:r>
      <w:r w:rsidR="00987DDC" w:rsidRPr="00987DDC">
        <w:rPr>
          <w:noProof/>
        </w:rPr>
        <w:t xml:space="preserve"> z</w:t>
      </w:r>
      <w:r w:rsidR="00987DDC">
        <w:rPr>
          <w:noProof/>
        </w:rPr>
        <w:t> </w:t>
      </w:r>
      <w:r w:rsidR="00987DDC" w:rsidRPr="00987DDC">
        <w:rPr>
          <w:noProof/>
        </w:rPr>
        <w:t>inn</w:t>
      </w:r>
      <w:r w:rsidRPr="00987DDC">
        <w:rPr>
          <w:noProof/>
        </w:rPr>
        <w:t>ych narzędzi, takich jak standardowe klauzule umowne</w:t>
      </w:r>
      <w:r w:rsidR="00987DDC" w:rsidRPr="00987DDC">
        <w:rPr>
          <w:noProof/>
        </w:rPr>
        <w:t xml:space="preserve"> i</w:t>
      </w:r>
      <w:r w:rsidR="00987DDC">
        <w:rPr>
          <w:noProof/>
        </w:rPr>
        <w:t> </w:t>
      </w:r>
      <w:r w:rsidR="00987DDC" w:rsidRPr="00987DDC">
        <w:rPr>
          <w:noProof/>
        </w:rPr>
        <w:t>wią</w:t>
      </w:r>
      <w:r w:rsidRPr="00987DDC">
        <w:rPr>
          <w:noProof/>
        </w:rPr>
        <w:t>żące reguły korporacyjne. Pierwszy przegląd funkcjonowania DPF zostanie przeprowadzony latem 2024</w:t>
      </w:r>
      <w:r w:rsidR="00987DDC" w:rsidRPr="00987DDC">
        <w:rPr>
          <w:noProof/>
        </w:rPr>
        <w:t> </w:t>
      </w:r>
      <w:r w:rsidRPr="00987DDC">
        <w:rPr>
          <w:noProof/>
        </w:rPr>
        <w:t>r.</w:t>
      </w:r>
      <w:r w:rsidR="00987DDC" w:rsidRPr="00987DDC">
        <w:rPr>
          <w:noProof/>
        </w:rPr>
        <w:t xml:space="preserve"> w</w:t>
      </w:r>
      <w:r w:rsidR="00987DDC">
        <w:rPr>
          <w:noProof/>
        </w:rPr>
        <w:t> </w:t>
      </w:r>
      <w:r w:rsidR="00987DDC" w:rsidRPr="00987DDC">
        <w:rPr>
          <w:noProof/>
        </w:rPr>
        <w:t>cel</w:t>
      </w:r>
      <w:r w:rsidRPr="00987DDC">
        <w:rPr>
          <w:noProof/>
        </w:rPr>
        <w:t>u sprawdzenia, czy wszystkie istotne elementy zostały</w:t>
      </w:r>
      <w:r w:rsidR="00987DDC" w:rsidRPr="00987DDC">
        <w:rPr>
          <w:noProof/>
        </w:rPr>
        <w:t xml:space="preserve"> w</w:t>
      </w:r>
      <w:r w:rsidR="00987DDC">
        <w:rPr>
          <w:noProof/>
        </w:rPr>
        <w:t> </w:t>
      </w:r>
      <w:r w:rsidR="00987DDC" w:rsidRPr="00987DDC">
        <w:rPr>
          <w:noProof/>
        </w:rPr>
        <w:t>peł</w:t>
      </w:r>
      <w:r w:rsidRPr="00987DDC">
        <w:rPr>
          <w:noProof/>
        </w:rPr>
        <w:t>ni wdrożone</w:t>
      </w:r>
      <w:r w:rsidR="00987DDC" w:rsidRPr="00987DDC">
        <w:rPr>
          <w:noProof/>
        </w:rPr>
        <w:t xml:space="preserve"> w</w:t>
      </w:r>
      <w:r w:rsidR="00987DDC">
        <w:rPr>
          <w:noProof/>
        </w:rPr>
        <w:t> </w:t>
      </w:r>
      <w:r w:rsidR="00987DDC" w:rsidRPr="00987DDC">
        <w:rPr>
          <w:noProof/>
        </w:rPr>
        <w:t>ram</w:t>
      </w:r>
      <w:r w:rsidRPr="00987DDC">
        <w:rPr>
          <w:noProof/>
        </w:rPr>
        <w:t>ach prawnych USA</w:t>
      </w:r>
      <w:r w:rsidR="00987DDC" w:rsidRPr="00987DDC">
        <w:rPr>
          <w:noProof/>
        </w:rPr>
        <w:t xml:space="preserve"> i</w:t>
      </w:r>
      <w:r w:rsidR="00987DDC">
        <w:rPr>
          <w:noProof/>
        </w:rPr>
        <w:t> </w:t>
      </w:r>
      <w:r w:rsidR="00987DDC" w:rsidRPr="00987DDC">
        <w:rPr>
          <w:noProof/>
        </w:rPr>
        <w:t>czy</w:t>
      </w:r>
      <w:r w:rsidRPr="00987DDC">
        <w:rPr>
          <w:noProof/>
        </w:rPr>
        <w:t xml:space="preserve"> skutecznie funkcjonują one</w:t>
      </w:r>
      <w:r w:rsidR="00987DDC" w:rsidRPr="00987DDC">
        <w:rPr>
          <w:noProof/>
        </w:rPr>
        <w:t xml:space="preserve"> w</w:t>
      </w:r>
      <w:r w:rsidR="00987DDC">
        <w:rPr>
          <w:noProof/>
        </w:rPr>
        <w:t> </w:t>
      </w:r>
      <w:r w:rsidR="00987DDC" w:rsidRPr="00987DDC">
        <w:rPr>
          <w:noProof/>
        </w:rPr>
        <w:t>pra</w:t>
      </w:r>
      <w:r w:rsidRPr="00987DDC">
        <w:rPr>
          <w:noProof/>
        </w:rPr>
        <w:t>ktyce.</w:t>
      </w:r>
    </w:p>
    <w:p w14:paraId="510F90AB" w14:textId="0BC493A5" w:rsidR="00BB675D" w:rsidRPr="00987DDC" w:rsidRDefault="00BB675D" w:rsidP="00DD7FA3">
      <w:pPr>
        <w:pStyle w:val="Text3"/>
        <w:ind w:left="0"/>
        <w:rPr>
          <w:noProof/>
        </w:rPr>
      </w:pPr>
      <w:r w:rsidRPr="00987DDC">
        <w:rPr>
          <w:noProof/>
        </w:rPr>
        <w:t>Obecnie trwają negocjacje</w:t>
      </w:r>
      <w:r w:rsidR="00987DDC" w:rsidRPr="00987DDC">
        <w:rPr>
          <w:noProof/>
        </w:rPr>
        <w:t xml:space="preserve"> w</w:t>
      </w:r>
      <w:r w:rsidR="00987DDC">
        <w:rPr>
          <w:noProof/>
        </w:rPr>
        <w:t> </w:t>
      </w:r>
      <w:r w:rsidR="00987DDC" w:rsidRPr="00987DDC">
        <w:rPr>
          <w:noProof/>
        </w:rPr>
        <w:t>spr</w:t>
      </w:r>
      <w:r w:rsidRPr="00987DDC">
        <w:rPr>
          <w:noProof/>
        </w:rPr>
        <w:t>awie odpowiedniego stopnia ochrony danych osobowych</w:t>
      </w:r>
      <w:r w:rsidR="00987DDC" w:rsidRPr="00987DDC">
        <w:rPr>
          <w:noProof/>
        </w:rPr>
        <w:t xml:space="preserve"> z</w:t>
      </w:r>
      <w:r w:rsidR="00987DDC">
        <w:rPr>
          <w:noProof/>
        </w:rPr>
        <w:t> </w:t>
      </w:r>
      <w:r w:rsidR="00987DDC" w:rsidRPr="00987DDC">
        <w:rPr>
          <w:noProof/>
        </w:rPr>
        <w:t>Bra</w:t>
      </w:r>
      <w:r w:rsidRPr="00987DDC">
        <w:rPr>
          <w:noProof/>
        </w:rPr>
        <w:t>zylią</w:t>
      </w:r>
      <w:r w:rsidR="00987DDC" w:rsidRPr="00987DDC">
        <w:rPr>
          <w:noProof/>
        </w:rPr>
        <w:t xml:space="preserve"> i</w:t>
      </w:r>
      <w:r w:rsidR="00987DDC">
        <w:rPr>
          <w:noProof/>
        </w:rPr>
        <w:t> </w:t>
      </w:r>
      <w:r w:rsidR="00987DDC" w:rsidRPr="00987DDC">
        <w:rPr>
          <w:noProof/>
        </w:rPr>
        <w:t>Ken</w:t>
      </w:r>
      <w:r w:rsidRPr="00987DDC">
        <w:rPr>
          <w:noProof/>
        </w:rPr>
        <w:t>ią,</w:t>
      </w:r>
      <w:r w:rsidR="00987DDC" w:rsidRPr="00987DDC">
        <w:rPr>
          <w:noProof/>
        </w:rPr>
        <w:t xml:space="preserve"> a</w:t>
      </w:r>
      <w:r w:rsidR="00987DDC">
        <w:rPr>
          <w:noProof/>
        </w:rPr>
        <w:t> </w:t>
      </w:r>
      <w:r w:rsidR="00987DDC" w:rsidRPr="00987DDC">
        <w:rPr>
          <w:noProof/>
        </w:rPr>
        <w:t>tak</w:t>
      </w:r>
      <w:r w:rsidRPr="00987DDC">
        <w:rPr>
          <w:noProof/>
        </w:rPr>
        <w:t>że – po raz pierwszy –</w:t>
      </w:r>
      <w:r w:rsidR="00987DDC" w:rsidRPr="00987DDC">
        <w:rPr>
          <w:noProof/>
        </w:rPr>
        <w:t xml:space="preserve"> z</w:t>
      </w:r>
      <w:r w:rsidR="00987DDC">
        <w:rPr>
          <w:noProof/>
        </w:rPr>
        <w:t> </w:t>
      </w:r>
      <w:r w:rsidR="00987DDC" w:rsidRPr="00987DDC">
        <w:rPr>
          <w:noProof/>
        </w:rPr>
        <w:t>kil</w:t>
      </w:r>
      <w:r w:rsidRPr="00987DDC">
        <w:rPr>
          <w:noProof/>
        </w:rPr>
        <w:t>koma organizacjami międzynarodowymi (rozmowy na temat odpowiedniego stopnia ochrony są na przykład na zaawansowanym etapie</w:t>
      </w:r>
      <w:r w:rsidR="00987DDC" w:rsidRPr="00987DDC">
        <w:rPr>
          <w:noProof/>
        </w:rPr>
        <w:t xml:space="preserve"> z</w:t>
      </w:r>
      <w:r w:rsidR="00987DDC">
        <w:rPr>
          <w:noProof/>
        </w:rPr>
        <w:t> </w:t>
      </w:r>
      <w:r w:rsidR="00987DDC" w:rsidRPr="00987DDC">
        <w:rPr>
          <w:noProof/>
        </w:rPr>
        <w:t>Eur</w:t>
      </w:r>
      <w:r w:rsidRPr="00987DDC">
        <w:rPr>
          <w:noProof/>
        </w:rPr>
        <w:t>opejską Organizacją Patentową) (</w:t>
      </w:r>
      <w:r w:rsidRPr="00987DDC">
        <w:rPr>
          <w:rStyle w:val="FootnoteReference"/>
          <w:noProof/>
        </w:rPr>
        <w:footnoteReference w:id="168"/>
      </w:r>
      <w:r w:rsidRPr="00987DDC">
        <w:rPr>
          <w:noProof/>
        </w:rPr>
        <w:t>). Zgodnie</w:t>
      </w:r>
      <w:r w:rsidR="00987DDC" w:rsidRPr="00987DDC">
        <w:rPr>
          <w:noProof/>
        </w:rPr>
        <w:t xml:space="preserve"> z</w:t>
      </w:r>
      <w:r w:rsidR="00987DDC">
        <w:rPr>
          <w:noProof/>
        </w:rPr>
        <w:t> </w:t>
      </w:r>
      <w:r w:rsidR="00987DDC" w:rsidRPr="00987DDC">
        <w:rPr>
          <w:noProof/>
        </w:rPr>
        <w:t>ape</w:t>
      </w:r>
      <w:r w:rsidRPr="00987DDC">
        <w:rPr>
          <w:noProof/>
        </w:rPr>
        <w:t>lami różnych zainteresowanych stron (</w:t>
      </w:r>
      <w:r w:rsidRPr="00987DDC">
        <w:rPr>
          <w:rStyle w:val="FootnoteReference"/>
          <w:noProof/>
        </w:rPr>
        <w:footnoteReference w:id="169"/>
      </w:r>
      <w:r w:rsidRPr="00987DDC">
        <w:rPr>
          <w:noProof/>
        </w:rPr>
        <w:t>) Komisja aktywnie zaangażowała się</w:t>
      </w:r>
      <w:r w:rsidR="00987DDC" w:rsidRPr="00987DDC">
        <w:rPr>
          <w:noProof/>
        </w:rPr>
        <w:t xml:space="preserve"> w</w:t>
      </w:r>
      <w:r w:rsidR="00987DDC">
        <w:rPr>
          <w:noProof/>
        </w:rPr>
        <w:t> </w:t>
      </w:r>
      <w:r w:rsidR="00987DDC" w:rsidRPr="00987DDC">
        <w:rPr>
          <w:noProof/>
        </w:rPr>
        <w:t>wst</w:t>
      </w:r>
      <w:r w:rsidRPr="00987DDC">
        <w:rPr>
          <w:noProof/>
        </w:rPr>
        <w:t>ępne rozmowy</w:t>
      </w:r>
      <w:r w:rsidR="00987DDC" w:rsidRPr="00987DDC">
        <w:rPr>
          <w:noProof/>
        </w:rPr>
        <w:t xml:space="preserve"> z</w:t>
      </w:r>
      <w:r w:rsidR="00987DDC">
        <w:rPr>
          <w:noProof/>
        </w:rPr>
        <w:t> </w:t>
      </w:r>
      <w:r w:rsidR="00987DDC" w:rsidRPr="00987DDC">
        <w:rPr>
          <w:noProof/>
        </w:rPr>
        <w:t>kra</w:t>
      </w:r>
      <w:r w:rsidRPr="00987DDC">
        <w:rPr>
          <w:noProof/>
        </w:rPr>
        <w:t>jami</w:t>
      </w:r>
      <w:r w:rsidR="00987DDC" w:rsidRPr="00987DDC">
        <w:rPr>
          <w:noProof/>
        </w:rPr>
        <w:t xml:space="preserve"> w</w:t>
      </w:r>
      <w:r w:rsidR="00987DDC">
        <w:rPr>
          <w:noProof/>
        </w:rPr>
        <w:t> </w:t>
      </w:r>
      <w:r w:rsidR="00987DDC" w:rsidRPr="00987DDC">
        <w:rPr>
          <w:noProof/>
        </w:rPr>
        <w:t>róż</w:t>
      </w:r>
      <w:r w:rsidRPr="00987DDC">
        <w:rPr>
          <w:noProof/>
        </w:rPr>
        <w:t xml:space="preserve">nych regionach świata. </w:t>
      </w:r>
    </w:p>
    <w:p w14:paraId="6EBB487B" w14:textId="67AB6AD7" w:rsidR="00E84FF8" w:rsidRPr="00987DDC" w:rsidRDefault="00636B9B" w:rsidP="00DD7FA3">
      <w:pPr>
        <w:pStyle w:val="Text3"/>
        <w:ind w:left="0"/>
        <w:rPr>
          <w:noProof/>
        </w:rPr>
      </w:pPr>
      <w:r w:rsidRPr="00987DDC">
        <w:rPr>
          <w:noProof/>
        </w:rPr>
        <w:t>Komisja stale monitoruje również rozwój sytuacji</w:t>
      </w:r>
      <w:r w:rsidR="00987DDC" w:rsidRPr="00987DDC">
        <w:rPr>
          <w:noProof/>
        </w:rPr>
        <w:t xml:space="preserve"> w</w:t>
      </w:r>
      <w:r w:rsidR="00987DDC">
        <w:rPr>
          <w:noProof/>
        </w:rPr>
        <w:t> </w:t>
      </w:r>
      <w:r w:rsidR="00987DDC" w:rsidRPr="00987DDC">
        <w:rPr>
          <w:noProof/>
        </w:rPr>
        <w:t>pań</w:t>
      </w:r>
      <w:r w:rsidRPr="00987DDC">
        <w:rPr>
          <w:noProof/>
        </w:rPr>
        <w:t>stwach, które już korzystają</w:t>
      </w:r>
      <w:r w:rsidR="00987DDC" w:rsidRPr="00987DDC">
        <w:rPr>
          <w:noProof/>
        </w:rPr>
        <w:t xml:space="preserve"> z</w:t>
      </w:r>
      <w:r w:rsidR="00987DDC">
        <w:rPr>
          <w:noProof/>
        </w:rPr>
        <w:t> </w:t>
      </w:r>
      <w:r w:rsidR="00987DDC" w:rsidRPr="00987DDC">
        <w:rPr>
          <w:noProof/>
        </w:rPr>
        <w:t>ust</w:t>
      </w:r>
      <w:r w:rsidRPr="00987DDC">
        <w:rPr>
          <w:noProof/>
        </w:rPr>
        <w:t>aleń dotyczących odpowiedniego stopnia ochrony,</w:t>
      </w:r>
      <w:r w:rsidR="00987DDC" w:rsidRPr="00987DDC">
        <w:rPr>
          <w:noProof/>
        </w:rPr>
        <w:t xml:space="preserve"> i</w:t>
      </w:r>
      <w:r w:rsidR="00987DDC">
        <w:rPr>
          <w:noProof/>
        </w:rPr>
        <w:t> </w:t>
      </w:r>
      <w:r w:rsidR="00987DDC" w:rsidRPr="00987DDC">
        <w:rPr>
          <w:noProof/>
        </w:rPr>
        <w:t>dok</w:t>
      </w:r>
      <w:r w:rsidRPr="00987DDC">
        <w:rPr>
          <w:noProof/>
        </w:rPr>
        <w:t>onuje okresowego przeglądu istniejących decyzji, zgodnie ze swoimi odpowiednimi obowiązkami wynikającymi z RODO (</w:t>
      </w:r>
      <w:r w:rsidRPr="00987DDC">
        <w:rPr>
          <w:rStyle w:val="FootnoteReference"/>
          <w:noProof/>
        </w:rPr>
        <w:footnoteReference w:id="170"/>
      </w:r>
      <w:r w:rsidRPr="00987DDC">
        <w:rPr>
          <w:noProof/>
        </w:rPr>
        <w:t>)</w:t>
      </w:r>
      <w:r w:rsidR="00987DDC" w:rsidRPr="00987DDC">
        <w:rPr>
          <w:noProof/>
        </w:rPr>
        <w:t>. W</w:t>
      </w:r>
      <w:r w:rsidR="00987DDC">
        <w:rPr>
          <w:noProof/>
        </w:rPr>
        <w:t> </w:t>
      </w:r>
      <w:r w:rsidR="00987DDC" w:rsidRPr="00987DDC">
        <w:rPr>
          <w:noProof/>
        </w:rPr>
        <w:t>kwi</w:t>
      </w:r>
      <w:r w:rsidRPr="00987DDC">
        <w:rPr>
          <w:noProof/>
        </w:rPr>
        <w:t>etniu 2023</w:t>
      </w:r>
      <w:r w:rsidR="00987DDC" w:rsidRPr="00987DDC">
        <w:rPr>
          <w:noProof/>
        </w:rPr>
        <w:t> </w:t>
      </w:r>
      <w:r w:rsidRPr="00987DDC">
        <w:rPr>
          <w:noProof/>
        </w:rPr>
        <w:t>r. Komisja przyjęła sprawozdanie</w:t>
      </w:r>
      <w:r w:rsidR="00987DDC" w:rsidRPr="00987DDC">
        <w:rPr>
          <w:noProof/>
        </w:rPr>
        <w:t xml:space="preserve"> z</w:t>
      </w:r>
      <w:r w:rsidR="00987DDC">
        <w:rPr>
          <w:noProof/>
        </w:rPr>
        <w:t> </w:t>
      </w:r>
      <w:r w:rsidR="00987DDC" w:rsidRPr="00987DDC">
        <w:rPr>
          <w:noProof/>
        </w:rPr>
        <w:t>pie</w:t>
      </w:r>
      <w:r w:rsidRPr="00987DDC">
        <w:rPr>
          <w:noProof/>
        </w:rPr>
        <w:t>rwszego okresowego przeglądu decyzji stwierdzającej odpowiedni stopień ochrony</w:t>
      </w:r>
      <w:r w:rsidR="00987DDC" w:rsidRPr="00987DDC">
        <w:rPr>
          <w:noProof/>
        </w:rPr>
        <w:t xml:space="preserve"> w</w:t>
      </w:r>
      <w:r w:rsidR="00987DDC">
        <w:rPr>
          <w:noProof/>
        </w:rPr>
        <w:t> </w:t>
      </w:r>
      <w:r w:rsidR="00987DDC" w:rsidRPr="00987DDC">
        <w:rPr>
          <w:noProof/>
        </w:rPr>
        <w:t>odn</w:t>
      </w:r>
      <w:r w:rsidRPr="00987DDC">
        <w:rPr>
          <w:noProof/>
        </w:rPr>
        <w:t>iesieniu do Japonii (</w:t>
      </w:r>
      <w:r w:rsidRPr="00987DDC">
        <w:rPr>
          <w:rStyle w:val="FootnoteReference"/>
          <w:noProof/>
        </w:rPr>
        <w:footnoteReference w:id="171"/>
      </w:r>
      <w:r w:rsidRPr="00987DDC">
        <w:rPr>
          <w:noProof/>
        </w:rPr>
        <w:t>),</w:t>
      </w:r>
      <w:r w:rsidR="00987DDC" w:rsidRPr="00987DDC">
        <w:rPr>
          <w:noProof/>
        </w:rPr>
        <w:t xml:space="preserve"> w</w:t>
      </w:r>
      <w:r w:rsidR="00987DDC">
        <w:rPr>
          <w:noProof/>
        </w:rPr>
        <w:t> </w:t>
      </w:r>
      <w:r w:rsidR="00987DDC" w:rsidRPr="00987DDC">
        <w:rPr>
          <w:noProof/>
        </w:rPr>
        <w:t>któ</w:t>
      </w:r>
      <w:r w:rsidRPr="00987DDC">
        <w:rPr>
          <w:noProof/>
        </w:rPr>
        <w:t>rym stwierdziła, że Japonia nadal zapewnia odpowiedni poziom ochrony (</w:t>
      </w:r>
      <w:r w:rsidRPr="00987DDC">
        <w:rPr>
          <w:rStyle w:val="FootnoteReference"/>
          <w:noProof/>
        </w:rPr>
        <w:footnoteReference w:id="172"/>
      </w:r>
      <w:r w:rsidRPr="00987DDC">
        <w:rPr>
          <w:noProof/>
        </w:rPr>
        <w:t>)</w:t>
      </w:r>
      <w:r w:rsidR="00987DDC" w:rsidRPr="00987DDC">
        <w:rPr>
          <w:noProof/>
        </w:rPr>
        <w:t>. W</w:t>
      </w:r>
      <w:r w:rsidR="00987DDC">
        <w:rPr>
          <w:noProof/>
        </w:rPr>
        <w:t> </w:t>
      </w:r>
      <w:r w:rsidR="00987DDC" w:rsidRPr="00987DDC">
        <w:rPr>
          <w:noProof/>
        </w:rPr>
        <w:t>prz</w:t>
      </w:r>
      <w:r w:rsidRPr="00987DDC">
        <w:rPr>
          <w:noProof/>
        </w:rPr>
        <w:t xml:space="preserve">eglądzie wykazano, że od czasu przyjęcia wzajemnych decyzji stwierdzających odpowiedni stopień ochrony unijne oraz japońskie ramy ochrony danych stały się jeszcze bardziej zbieżne. </w:t>
      </w:r>
    </w:p>
    <w:p w14:paraId="75AB471F" w14:textId="04761501" w:rsidR="00A04B0B" w:rsidRPr="00987DDC" w:rsidRDefault="000905DC" w:rsidP="00DD7FA3">
      <w:pPr>
        <w:pStyle w:val="Text3"/>
        <w:ind w:left="0"/>
        <w:rPr>
          <w:noProof/>
        </w:rPr>
      </w:pPr>
      <w:r w:rsidRPr="00987DDC">
        <w:rPr>
          <w:noProof/>
        </w:rPr>
        <w:t>Ponadto zgodnie</w:t>
      </w:r>
      <w:r w:rsidR="00987DDC" w:rsidRPr="00987DDC">
        <w:rPr>
          <w:noProof/>
        </w:rPr>
        <w:t xml:space="preserve"> z</w:t>
      </w:r>
      <w:r w:rsidR="00987DDC">
        <w:rPr>
          <w:noProof/>
        </w:rPr>
        <w:t> </w:t>
      </w:r>
      <w:r w:rsidR="00987DDC" w:rsidRPr="00987DDC">
        <w:rPr>
          <w:noProof/>
        </w:rPr>
        <w:t>art</w:t>
      </w:r>
      <w:r w:rsidRPr="00987DDC">
        <w:rPr>
          <w:noProof/>
        </w:rPr>
        <w:t>.</w:t>
      </w:r>
      <w:r w:rsidR="00987DDC" w:rsidRPr="00987DDC">
        <w:rPr>
          <w:noProof/>
        </w:rPr>
        <w:t> </w:t>
      </w:r>
      <w:r w:rsidRPr="00987DDC">
        <w:rPr>
          <w:noProof/>
        </w:rPr>
        <w:t>97 RODO</w:t>
      </w:r>
      <w:r w:rsidR="00987DDC" w:rsidRPr="00987DDC">
        <w:rPr>
          <w:noProof/>
        </w:rPr>
        <w:t xml:space="preserve"> w</w:t>
      </w:r>
      <w:r w:rsidR="00987DDC">
        <w:rPr>
          <w:noProof/>
        </w:rPr>
        <w:t> </w:t>
      </w:r>
      <w:r w:rsidR="00987DDC" w:rsidRPr="00987DDC">
        <w:rPr>
          <w:noProof/>
        </w:rPr>
        <w:t>ram</w:t>
      </w:r>
      <w:r w:rsidRPr="00987DDC">
        <w:rPr>
          <w:noProof/>
        </w:rPr>
        <w:t>ach oceny stosowania</w:t>
      </w:r>
      <w:r w:rsidR="00987DDC" w:rsidRPr="00987DDC">
        <w:rPr>
          <w:noProof/>
        </w:rPr>
        <w:t xml:space="preserve"> i</w:t>
      </w:r>
      <w:r w:rsidR="00987DDC">
        <w:rPr>
          <w:noProof/>
        </w:rPr>
        <w:t> </w:t>
      </w:r>
      <w:r w:rsidR="00987DDC" w:rsidRPr="00987DDC">
        <w:rPr>
          <w:noProof/>
        </w:rPr>
        <w:t>fun</w:t>
      </w:r>
      <w:r w:rsidRPr="00987DDC">
        <w:rPr>
          <w:noProof/>
        </w:rPr>
        <w:t>kcjonowania RODO</w:t>
      </w:r>
      <w:r w:rsidR="00987DDC" w:rsidRPr="00987DDC">
        <w:rPr>
          <w:noProof/>
        </w:rPr>
        <w:t xml:space="preserve"> w</w:t>
      </w:r>
      <w:r w:rsidR="00987DDC">
        <w:rPr>
          <w:noProof/>
        </w:rPr>
        <w:t> </w:t>
      </w:r>
      <w:r w:rsidR="00987DDC" w:rsidRPr="00987DDC">
        <w:rPr>
          <w:noProof/>
        </w:rPr>
        <w:t>2</w:t>
      </w:r>
      <w:r w:rsidRPr="00987DDC">
        <w:rPr>
          <w:noProof/>
        </w:rPr>
        <w:t>020</w:t>
      </w:r>
      <w:r w:rsidR="00987DDC" w:rsidRPr="00987DDC">
        <w:rPr>
          <w:noProof/>
        </w:rPr>
        <w:t> </w:t>
      </w:r>
      <w:r w:rsidRPr="00987DDC">
        <w:rPr>
          <w:noProof/>
        </w:rPr>
        <w:t>r. rozpoczęto pierwszy przegląd 11 decyzji stwierdzających odpowiedni stopień ochrony (</w:t>
      </w:r>
      <w:r w:rsidRPr="00987DDC">
        <w:rPr>
          <w:rStyle w:val="FootnoteReference"/>
          <w:noProof/>
        </w:rPr>
        <w:footnoteReference w:id="173"/>
      </w:r>
      <w:r w:rsidRPr="00987DDC">
        <w:rPr>
          <w:noProof/>
        </w:rPr>
        <w:t>) przyjętych na podstawie poprzednich unijnych ram ochrony danych (dyrektywy</w:t>
      </w:r>
      <w:r w:rsidR="00987DDC" w:rsidRPr="00987DDC">
        <w:rPr>
          <w:noProof/>
        </w:rPr>
        <w:t xml:space="preserve"> o</w:t>
      </w:r>
      <w:r w:rsidR="00987DDC">
        <w:rPr>
          <w:noProof/>
        </w:rPr>
        <w:t> </w:t>
      </w:r>
      <w:r w:rsidR="00987DDC" w:rsidRPr="00987DDC">
        <w:rPr>
          <w:noProof/>
        </w:rPr>
        <w:t>och</w:t>
      </w:r>
      <w:r w:rsidRPr="00987DDC">
        <w:rPr>
          <w:noProof/>
        </w:rPr>
        <w:t>ronie danych). Zakończenie tego aspektu kontroli odroczono, przede wszystkim</w:t>
      </w:r>
      <w:r w:rsidR="00987DDC" w:rsidRPr="00987DDC">
        <w:rPr>
          <w:noProof/>
        </w:rPr>
        <w:t xml:space="preserve"> w</w:t>
      </w:r>
      <w:r w:rsidR="00987DDC">
        <w:rPr>
          <w:noProof/>
        </w:rPr>
        <w:t> </w:t>
      </w:r>
      <w:r w:rsidR="00987DDC" w:rsidRPr="00987DDC">
        <w:rPr>
          <w:noProof/>
        </w:rPr>
        <w:t>cel</w:t>
      </w:r>
      <w:r w:rsidRPr="00987DDC">
        <w:rPr>
          <w:noProof/>
        </w:rPr>
        <w:t>u uwzględnienia wyroku Trybunału Sprawiedliwości</w:t>
      </w:r>
      <w:r w:rsidR="00987DDC" w:rsidRPr="00987DDC">
        <w:rPr>
          <w:noProof/>
        </w:rPr>
        <w:t xml:space="preserve"> w</w:t>
      </w:r>
      <w:r w:rsidR="00987DDC">
        <w:rPr>
          <w:noProof/>
        </w:rPr>
        <w:t> </w:t>
      </w:r>
      <w:r w:rsidR="00987DDC" w:rsidRPr="00987DDC">
        <w:rPr>
          <w:noProof/>
        </w:rPr>
        <w:t>spr</w:t>
      </w:r>
      <w:r w:rsidRPr="00987DDC">
        <w:rPr>
          <w:noProof/>
        </w:rPr>
        <w:t>awie Schrems II oraz późniejszej wykładni dokonanej przez EROD. Powyższe wyjaśnienia Trybunału dotyczące kluczowych elementów standardu odpowiedniego stopnia ochrony doprowadziły do szczegółowej wymiany informacji</w:t>
      </w:r>
      <w:r w:rsidR="00987DDC" w:rsidRPr="00987DDC">
        <w:rPr>
          <w:noProof/>
        </w:rPr>
        <w:t xml:space="preserve"> z</w:t>
      </w:r>
      <w:r w:rsidR="00987DDC">
        <w:rPr>
          <w:noProof/>
        </w:rPr>
        <w:t> </w:t>
      </w:r>
      <w:r w:rsidR="00987DDC" w:rsidRPr="00987DDC">
        <w:rPr>
          <w:noProof/>
        </w:rPr>
        <w:t>zai</w:t>
      </w:r>
      <w:r w:rsidRPr="00987DDC">
        <w:rPr>
          <w:noProof/>
        </w:rPr>
        <w:t>nteresowanymi państwami</w:t>
      </w:r>
      <w:r w:rsidR="00987DDC" w:rsidRPr="00987DDC">
        <w:rPr>
          <w:noProof/>
        </w:rPr>
        <w:t xml:space="preserve"> i</w:t>
      </w:r>
      <w:r w:rsidR="00987DDC">
        <w:rPr>
          <w:noProof/>
        </w:rPr>
        <w:t> </w:t>
      </w:r>
      <w:r w:rsidR="00987DDC" w:rsidRPr="00987DDC">
        <w:rPr>
          <w:noProof/>
        </w:rPr>
        <w:t>ter</w:t>
      </w:r>
      <w:r w:rsidRPr="00987DDC">
        <w:rPr>
          <w:noProof/>
        </w:rPr>
        <w:t>ytoriami na temat istotnych aspektów ich ram prawnych,</w:t>
      </w:r>
      <w:r w:rsidR="00987DDC" w:rsidRPr="00987DDC">
        <w:rPr>
          <w:noProof/>
        </w:rPr>
        <w:t xml:space="preserve"> a</w:t>
      </w:r>
      <w:r w:rsidR="00987DDC">
        <w:rPr>
          <w:noProof/>
        </w:rPr>
        <w:t> </w:t>
      </w:r>
      <w:r w:rsidR="00987DDC" w:rsidRPr="00987DDC">
        <w:rPr>
          <w:noProof/>
        </w:rPr>
        <w:t>tak</w:t>
      </w:r>
      <w:r w:rsidRPr="00987DDC">
        <w:rPr>
          <w:noProof/>
        </w:rPr>
        <w:t>że mechanizmów nadzoru</w:t>
      </w:r>
      <w:r w:rsidR="00987DDC" w:rsidRPr="00987DDC">
        <w:rPr>
          <w:noProof/>
        </w:rPr>
        <w:t xml:space="preserve"> i</w:t>
      </w:r>
      <w:r w:rsidR="00987DDC">
        <w:rPr>
          <w:noProof/>
        </w:rPr>
        <w:t> </w:t>
      </w:r>
      <w:r w:rsidR="00987DDC" w:rsidRPr="00987DDC">
        <w:rPr>
          <w:noProof/>
        </w:rPr>
        <w:t>egz</w:t>
      </w:r>
      <w:r w:rsidRPr="00987DDC">
        <w:rPr>
          <w:noProof/>
        </w:rPr>
        <w:t xml:space="preserve">ekwowania prawa. </w:t>
      </w:r>
    </w:p>
    <w:p w14:paraId="5670B1DA" w14:textId="2123A982" w:rsidR="00C915CF" w:rsidRPr="00987DDC" w:rsidRDefault="00206244" w:rsidP="00DD7FA3">
      <w:pPr>
        <w:pStyle w:val="Text3"/>
        <w:ind w:left="0"/>
        <w:rPr>
          <w:noProof/>
        </w:rPr>
      </w:pPr>
      <w:r w:rsidRPr="00987DDC">
        <w:rPr>
          <w:noProof/>
        </w:rPr>
        <w:t>15 stycznia 2024</w:t>
      </w:r>
      <w:r w:rsidR="00987DDC" w:rsidRPr="00987DDC">
        <w:rPr>
          <w:noProof/>
        </w:rPr>
        <w:t> </w:t>
      </w:r>
      <w:r w:rsidRPr="00987DDC">
        <w:rPr>
          <w:noProof/>
        </w:rPr>
        <w:t>r. Komisja opublikowała sprawozdanie dotyczące tych 11 decyzji wraz ze szczegółowymi sprawozdaniami krajowymi,</w:t>
      </w:r>
      <w:r w:rsidR="00987DDC" w:rsidRPr="00987DDC">
        <w:rPr>
          <w:noProof/>
        </w:rPr>
        <w:t xml:space="preserve"> w</w:t>
      </w:r>
      <w:r w:rsidR="00987DDC">
        <w:rPr>
          <w:noProof/>
        </w:rPr>
        <w:t> </w:t>
      </w:r>
      <w:r w:rsidR="00987DDC" w:rsidRPr="00987DDC">
        <w:rPr>
          <w:noProof/>
        </w:rPr>
        <w:t>któ</w:t>
      </w:r>
      <w:r w:rsidRPr="00987DDC">
        <w:rPr>
          <w:noProof/>
        </w:rPr>
        <w:t>rych opisano rozwój sytuacji</w:t>
      </w:r>
      <w:r w:rsidR="00987DDC" w:rsidRPr="00987DDC">
        <w:rPr>
          <w:noProof/>
        </w:rPr>
        <w:t xml:space="preserve"> w</w:t>
      </w:r>
      <w:r w:rsidR="00987DDC">
        <w:rPr>
          <w:noProof/>
        </w:rPr>
        <w:t> </w:t>
      </w:r>
      <w:r w:rsidR="00987DDC" w:rsidRPr="00987DDC">
        <w:rPr>
          <w:noProof/>
        </w:rPr>
        <w:t>każ</w:t>
      </w:r>
      <w:r w:rsidRPr="00987DDC">
        <w:rPr>
          <w:noProof/>
        </w:rPr>
        <w:t>dym</w:t>
      </w:r>
      <w:r w:rsidR="00987DDC" w:rsidRPr="00987DDC">
        <w:rPr>
          <w:noProof/>
        </w:rPr>
        <w:t xml:space="preserve"> z</w:t>
      </w:r>
      <w:r w:rsidR="00987DDC">
        <w:rPr>
          <w:noProof/>
        </w:rPr>
        <w:t> </w:t>
      </w:r>
      <w:r w:rsidR="00987DDC" w:rsidRPr="00987DDC">
        <w:rPr>
          <w:noProof/>
        </w:rPr>
        <w:t>pań</w:t>
      </w:r>
      <w:r w:rsidRPr="00987DDC">
        <w:rPr>
          <w:noProof/>
        </w:rPr>
        <w:t>stw</w:t>
      </w:r>
      <w:r w:rsidR="00987DDC" w:rsidRPr="00987DDC">
        <w:rPr>
          <w:noProof/>
        </w:rPr>
        <w:t xml:space="preserve"> i</w:t>
      </w:r>
      <w:r w:rsidR="00987DDC">
        <w:rPr>
          <w:noProof/>
        </w:rPr>
        <w:t> </w:t>
      </w:r>
      <w:r w:rsidR="00987DDC" w:rsidRPr="00987DDC">
        <w:rPr>
          <w:noProof/>
        </w:rPr>
        <w:t>ter</w:t>
      </w:r>
      <w:r w:rsidRPr="00987DDC">
        <w:rPr>
          <w:noProof/>
        </w:rPr>
        <w:t>ytoriów od czasu przyjęcia decyzji stwierdzających odpowiedni stopień ochrony,</w:t>
      </w:r>
      <w:r w:rsidR="00987DDC" w:rsidRPr="00987DDC">
        <w:rPr>
          <w:noProof/>
        </w:rPr>
        <w:t xml:space="preserve"> a</w:t>
      </w:r>
      <w:r w:rsidR="00987DDC">
        <w:rPr>
          <w:noProof/>
        </w:rPr>
        <w:t> </w:t>
      </w:r>
      <w:r w:rsidR="00987DDC" w:rsidRPr="00987DDC">
        <w:rPr>
          <w:noProof/>
        </w:rPr>
        <w:t>tak</w:t>
      </w:r>
      <w:r w:rsidRPr="00987DDC">
        <w:rPr>
          <w:noProof/>
        </w:rPr>
        <w:t>że przepisy regulujące dostęp organów publicznych do danych,</w:t>
      </w:r>
      <w:r w:rsidR="00987DDC" w:rsidRPr="00987DDC">
        <w:rPr>
          <w:noProof/>
        </w:rPr>
        <w:t xml:space="preserve"> w</w:t>
      </w:r>
      <w:r w:rsidR="00987DDC">
        <w:rPr>
          <w:noProof/>
        </w:rPr>
        <w:t> </w:t>
      </w:r>
      <w:r w:rsidR="00987DDC" w:rsidRPr="00987DDC">
        <w:rPr>
          <w:noProof/>
        </w:rPr>
        <w:t>szc</w:t>
      </w:r>
      <w:r w:rsidRPr="00987DDC">
        <w:rPr>
          <w:noProof/>
        </w:rPr>
        <w:t>zególności do celów egzekwowania prawa</w:t>
      </w:r>
      <w:r w:rsidR="00987DDC" w:rsidRPr="00987DDC">
        <w:rPr>
          <w:noProof/>
        </w:rPr>
        <w:t xml:space="preserve"> i</w:t>
      </w:r>
      <w:r w:rsidR="00987DDC">
        <w:rPr>
          <w:noProof/>
        </w:rPr>
        <w:t> </w:t>
      </w:r>
      <w:r w:rsidR="00987DDC" w:rsidRPr="00987DDC">
        <w:rPr>
          <w:noProof/>
        </w:rPr>
        <w:t>bez</w:t>
      </w:r>
      <w:r w:rsidRPr="00987DDC">
        <w:rPr>
          <w:noProof/>
        </w:rPr>
        <w:t>pieczeństwa narodowego (</w:t>
      </w:r>
      <w:r w:rsidRPr="00987DDC">
        <w:rPr>
          <w:rStyle w:val="FootnoteReference"/>
          <w:noProof/>
        </w:rPr>
        <w:footnoteReference w:id="174"/>
      </w:r>
      <w:r w:rsidRPr="00987DDC">
        <w:rPr>
          <w:noProof/>
        </w:rPr>
        <w:t>)</w:t>
      </w:r>
      <w:r w:rsidR="00987DDC" w:rsidRPr="00987DDC">
        <w:rPr>
          <w:noProof/>
        </w:rPr>
        <w:t>. W</w:t>
      </w:r>
      <w:r w:rsidR="00987DDC">
        <w:rPr>
          <w:noProof/>
        </w:rPr>
        <w:t> </w:t>
      </w:r>
      <w:r w:rsidR="00987DDC" w:rsidRPr="00987DDC">
        <w:rPr>
          <w:noProof/>
        </w:rPr>
        <w:t>spr</w:t>
      </w:r>
      <w:r w:rsidRPr="00987DDC">
        <w:rPr>
          <w:noProof/>
        </w:rPr>
        <w:t>awozdaniu stwierdzono, że wszystkie 11 państw</w:t>
      </w:r>
      <w:r w:rsidR="00987DDC" w:rsidRPr="00987DDC">
        <w:rPr>
          <w:noProof/>
        </w:rPr>
        <w:t xml:space="preserve"> i</w:t>
      </w:r>
      <w:r w:rsidR="00987DDC">
        <w:rPr>
          <w:noProof/>
        </w:rPr>
        <w:t> </w:t>
      </w:r>
      <w:r w:rsidR="00987DDC" w:rsidRPr="00987DDC">
        <w:rPr>
          <w:noProof/>
        </w:rPr>
        <w:t>ter</w:t>
      </w:r>
      <w:r w:rsidRPr="00987DDC">
        <w:rPr>
          <w:noProof/>
        </w:rPr>
        <w:t>ytoriów nadal zapewnia odpowiedni poziom ochrony danych osobowych przekazywanych z UE. Świadczy to</w:t>
      </w:r>
      <w:r w:rsidR="00987DDC" w:rsidRPr="00987DDC">
        <w:rPr>
          <w:noProof/>
        </w:rPr>
        <w:t xml:space="preserve"> o</w:t>
      </w:r>
      <w:r w:rsidR="00987DDC">
        <w:rPr>
          <w:noProof/>
        </w:rPr>
        <w:t> </w:t>
      </w:r>
      <w:r w:rsidR="00987DDC" w:rsidRPr="00987DDC">
        <w:rPr>
          <w:noProof/>
        </w:rPr>
        <w:t>tym</w:t>
      </w:r>
      <w:r w:rsidRPr="00987DDC">
        <w:rPr>
          <w:noProof/>
        </w:rPr>
        <w:t>, że wszystkie zainteresowane kraje</w:t>
      </w:r>
      <w:r w:rsidR="00987DDC" w:rsidRPr="00987DDC">
        <w:rPr>
          <w:noProof/>
        </w:rPr>
        <w:t xml:space="preserve"> i</w:t>
      </w:r>
      <w:r w:rsidR="00987DDC">
        <w:rPr>
          <w:noProof/>
        </w:rPr>
        <w:t> </w:t>
      </w:r>
      <w:r w:rsidR="00987DDC" w:rsidRPr="00987DDC">
        <w:rPr>
          <w:noProof/>
        </w:rPr>
        <w:t>ter</w:t>
      </w:r>
      <w:r w:rsidRPr="00987DDC">
        <w:rPr>
          <w:noProof/>
        </w:rPr>
        <w:t>ytoria na różne sposoby unowocześniły</w:t>
      </w:r>
      <w:r w:rsidR="00987DDC" w:rsidRPr="00987DDC">
        <w:rPr>
          <w:noProof/>
        </w:rPr>
        <w:t xml:space="preserve"> i</w:t>
      </w:r>
      <w:r w:rsidR="00987DDC">
        <w:rPr>
          <w:noProof/>
        </w:rPr>
        <w:t> </w:t>
      </w:r>
      <w:r w:rsidR="00987DDC" w:rsidRPr="00987DDC">
        <w:rPr>
          <w:noProof/>
        </w:rPr>
        <w:t>wzm</w:t>
      </w:r>
      <w:r w:rsidRPr="00987DDC">
        <w:rPr>
          <w:noProof/>
        </w:rPr>
        <w:t>ocniły swoje ramy prawne dotyczące prywatności. Ponadto</w:t>
      </w:r>
      <w:r w:rsidR="00987DDC" w:rsidRPr="00987DDC">
        <w:rPr>
          <w:noProof/>
        </w:rPr>
        <w:t xml:space="preserve"> w</w:t>
      </w:r>
      <w:r w:rsidR="00987DDC">
        <w:rPr>
          <w:noProof/>
        </w:rPr>
        <w:t> </w:t>
      </w:r>
      <w:r w:rsidR="00987DDC" w:rsidRPr="00987DDC">
        <w:rPr>
          <w:noProof/>
        </w:rPr>
        <w:t>cel</w:t>
      </w:r>
      <w:r w:rsidRPr="00987DDC">
        <w:rPr>
          <w:noProof/>
        </w:rPr>
        <w:t>u wyeliminowania istotnych różnic</w:t>
      </w:r>
      <w:r w:rsidR="00987DDC" w:rsidRPr="00987DDC">
        <w:rPr>
          <w:noProof/>
        </w:rPr>
        <w:t xml:space="preserve"> w</w:t>
      </w:r>
      <w:r w:rsidR="00987DDC">
        <w:rPr>
          <w:noProof/>
        </w:rPr>
        <w:t> </w:t>
      </w:r>
      <w:r w:rsidR="00987DDC" w:rsidRPr="00987DDC">
        <w:rPr>
          <w:noProof/>
        </w:rPr>
        <w:t>poz</w:t>
      </w:r>
      <w:r w:rsidRPr="00987DDC">
        <w:rPr>
          <w:noProof/>
        </w:rPr>
        <w:t>iomie ochrony wynegocjowano</w:t>
      </w:r>
      <w:r w:rsidR="00987DDC" w:rsidRPr="00987DDC">
        <w:rPr>
          <w:noProof/>
        </w:rPr>
        <w:t xml:space="preserve"> i</w:t>
      </w:r>
      <w:r w:rsidR="00987DDC">
        <w:rPr>
          <w:noProof/>
        </w:rPr>
        <w:t> </w:t>
      </w:r>
      <w:r w:rsidR="00987DDC" w:rsidRPr="00987DDC">
        <w:rPr>
          <w:noProof/>
        </w:rPr>
        <w:t>uzg</w:t>
      </w:r>
      <w:r w:rsidRPr="00987DDC">
        <w:rPr>
          <w:noProof/>
        </w:rPr>
        <w:t>odniono</w:t>
      </w:r>
      <w:r w:rsidR="00987DDC" w:rsidRPr="00987DDC">
        <w:rPr>
          <w:noProof/>
        </w:rPr>
        <w:t xml:space="preserve"> z</w:t>
      </w:r>
      <w:r w:rsidR="00987DDC">
        <w:rPr>
          <w:noProof/>
        </w:rPr>
        <w:t> </w:t>
      </w:r>
      <w:r w:rsidR="00987DDC" w:rsidRPr="00987DDC">
        <w:rPr>
          <w:noProof/>
        </w:rPr>
        <w:t>nie</w:t>
      </w:r>
      <w:r w:rsidRPr="00987DDC">
        <w:rPr>
          <w:noProof/>
        </w:rPr>
        <w:t>którymi</w:t>
      </w:r>
      <w:r w:rsidR="00987DDC" w:rsidRPr="00987DDC">
        <w:rPr>
          <w:noProof/>
        </w:rPr>
        <w:t xml:space="preserve"> z</w:t>
      </w:r>
      <w:r w:rsidR="00987DDC">
        <w:rPr>
          <w:noProof/>
        </w:rPr>
        <w:t> </w:t>
      </w:r>
      <w:r w:rsidR="00987DDC" w:rsidRPr="00987DDC">
        <w:rPr>
          <w:noProof/>
        </w:rPr>
        <w:t>tyc</w:t>
      </w:r>
      <w:r w:rsidRPr="00987DDC">
        <w:rPr>
          <w:noProof/>
        </w:rPr>
        <w:t>h państw</w:t>
      </w:r>
      <w:r w:rsidR="00987DDC" w:rsidRPr="00987DDC">
        <w:rPr>
          <w:noProof/>
        </w:rPr>
        <w:t xml:space="preserve"> i</w:t>
      </w:r>
      <w:r w:rsidR="00987DDC">
        <w:rPr>
          <w:noProof/>
        </w:rPr>
        <w:t> </w:t>
      </w:r>
      <w:r w:rsidR="00987DDC" w:rsidRPr="00987DDC">
        <w:rPr>
          <w:noProof/>
        </w:rPr>
        <w:t>ter</w:t>
      </w:r>
      <w:r w:rsidRPr="00987DDC">
        <w:rPr>
          <w:noProof/>
        </w:rPr>
        <w:t>ytoriów dodatkowe zabezpieczenia dotyczące danych osobowych przekazywanych</w:t>
      </w:r>
      <w:r w:rsidR="00987DDC" w:rsidRPr="00987DDC">
        <w:rPr>
          <w:noProof/>
        </w:rPr>
        <w:t xml:space="preserve"> z</w:t>
      </w:r>
      <w:r w:rsidR="00987DDC">
        <w:rPr>
          <w:noProof/>
        </w:rPr>
        <w:t> </w:t>
      </w:r>
      <w:r w:rsidR="00987DDC" w:rsidRPr="00987DDC">
        <w:rPr>
          <w:noProof/>
        </w:rPr>
        <w:t>Eur</w:t>
      </w:r>
      <w:r w:rsidRPr="00987DDC">
        <w:rPr>
          <w:noProof/>
        </w:rPr>
        <w:t>opy, gdy było to konieczne do zapewnienia ciągłości decyzji stwierdzającej odpowiedni stopień ochrony.</w:t>
      </w:r>
    </w:p>
    <w:p w14:paraId="4D0BD68D" w14:textId="36F0FF9A" w:rsidR="0097312A" w:rsidRPr="00987DDC" w:rsidRDefault="00B531C9" w:rsidP="00DD7FA3">
      <w:pPr>
        <w:pStyle w:val="Text3"/>
        <w:ind w:left="0"/>
        <w:rPr>
          <w:noProof/>
        </w:rPr>
      </w:pPr>
      <w:r w:rsidRPr="00987DDC">
        <w:rPr>
          <w:noProof/>
        </w:rPr>
        <w:t>W przeglądach tych wykazano również, że decyzje stwierdzające odpowiedni stopień ochrony nie stanowiły „punktu końcowego”, lecz podstawę ściślejszej współpracy</w:t>
      </w:r>
      <w:r w:rsidR="00987DDC" w:rsidRPr="00987DDC">
        <w:rPr>
          <w:noProof/>
        </w:rPr>
        <w:t xml:space="preserve"> i</w:t>
      </w:r>
      <w:r w:rsidR="00987DDC">
        <w:rPr>
          <w:noProof/>
        </w:rPr>
        <w:t> </w:t>
      </w:r>
      <w:r w:rsidR="00987DDC" w:rsidRPr="00987DDC">
        <w:rPr>
          <w:noProof/>
        </w:rPr>
        <w:t>dal</w:t>
      </w:r>
      <w:r w:rsidRPr="00987DDC">
        <w:rPr>
          <w:noProof/>
        </w:rPr>
        <w:t>szej konwergencji regulacyjnej między UE</w:t>
      </w:r>
      <w:r w:rsidR="00987DDC" w:rsidRPr="00987DDC">
        <w:rPr>
          <w:noProof/>
        </w:rPr>
        <w:t xml:space="preserve"> a</w:t>
      </w:r>
      <w:r w:rsidR="00987DDC">
        <w:rPr>
          <w:noProof/>
        </w:rPr>
        <w:t> </w:t>
      </w:r>
      <w:r w:rsidR="00987DDC" w:rsidRPr="00987DDC">
        <w:rPr>
          <w:noProof/>
        </w:rPr>
        <w:t>par</w:t>
      </w:r>
      <w:r w:rsidRPr="00987DDC">
        <w:rPr>
          <w:noProof/>
        </w:rPr>
        <w:t>tnerami</w:t>
      </w:r>
      <w:r w:rsidR="00987DDC" w:rsidRPr="00987DDC">
        <w:rPr>
          <w:noProof/>
        </w:rPr>
        <w:t xml:space="preserve"> o</w:t>
      </w:r>
      <w:r w:rsidR="00987DDC">
        <w:rPr>
          <w:noProof/>
        </w:rPr>
        <w:t> </w:t>
      </w:r>
      <w:r w:rsidR="00987DDC" w:rsidRPr="00987DDC">
        <w:rPr>
          <w:noProof/>
        </w:rPr>
        <w:t>pod</w:t>
      </w:r>
      <w:r w:rsidRPr="00987DDC">
        <w:rPr>
          <w:noProof/>
        </w:rPr>
        <w:t>obnych poglądach. Na przykład</w:t>
      </w:r>
      <w:r w:rsidR="00987DDC" w:rsidRPr="00987DDC">
        <w:rPr>
          <w:noProof/>
        </w:rPr>
        <w:t xml:space="preserve"> w</w:t>
      </w:r>
      <w:r w:rsidR="00987DDC">
        <w:rPr>
          <w:noProof/>
        </w:rPr>
        <w:t> </w:t>
      </w:r>
      <w:r w:rsidR="00987DDC" w:rsidRPr="00987DDC">
        <w:rPr>
          <w:noProof/>
        </w:rPr>
        <w:t>spr</w:t>
      </w:r>
      <w:r w:rsidRPr="00987DDC">
        <w:rPr>
          <w:noProof/>
        </w:rPr>
        <w:t>awozdaniu</w:t>
      </w:r>
      <w:r w:rsidR="00987DDC" w:rsidRPr="00987DDC">
        <w:rPr>
          <w:noProof/>
        </w:rPr>
        <w:t xml:space="preserve"> z</w:t>
      </w:r>
      <w:r w:rsidR="00987DDC">
        <w:rPr>
          <w:noProof/>
        </w:rPr>
        <w:t> </w:t>
      </w:r>
      <w:r w:rsidR="00987DDC" w:rsidRPr="00987DDC">
        <w:rPr>
          <w:noProof/>
        </w:rPr>
        <w:t>pie</w:t>
      </w:r>
      <w:r w:rsidRPr="00987DDC">
        <w:rPr>
          <w:noProof/>
        </w:rPr>
        <w:t>rwszego przeglądu decyzji stwierdzającej odpowiedni stopień ochrony</w:t>
      </w:r>
      <w:r w:rsidR="00987DDC" w:rsidRPr="00987DDC">
        <w:rPr>
          <w:noProof/>
        </w:rPr>
        <w:t xml:space="preserve"> w</w:t>
      </w:r>
      <w:r w:rsidR="00987DDC">
        <w:rPr>
          <w:noProof/>
        </w:rPr>
        <w:t> </w:t>
      </w:r>
      <w:r w:rsidR="00987DDC" w:rsidRPr="00987DDC">
        <w:rPr>
          <w:noProof/>
        </w:rPr>
        <w:t>Jap</w:t>
      </w:r>
      <w:r w:rsidRPr="00987DDC">
        <w:rPr>
          <w:noProof/>
        </w:rPr>
        <w:t>onii uznano, że dalsze wzmocnienie japońskich ram ochrony danych może utorować drogę do rozszerzenia decyzji stwierdzającej odpowiedni stopień ochrony poza wymianę handlową, tak aby objąć nią transfery obecnie wyłączone</w:t>
      </w:r>
      <w:r w:rsidR="00987DDC" w:rsidRPr="00987DDC">
        <w:rPr>
          <w:noProof/>
        </w:rPr>
        <w:t xml:space="preserve"> z</w:t>
      </w:r>
      <w:r w:rsidR="00987DDC">
        <w:rPr>
          <w:noProof/>
        </w:rPr>
        <w:t> </w:t>
      </w:r>
      <w:r w:rsidR="00987DDC" w:rsidRPr="00987DDC">
        <w:rPr>
          <w:noProof/>
        </w:rPr>
        <w:t>jej</w:t>
      </w:r>
      <w:r w:rsidRPr="00987DDC">
        <w:rPr>
          <w:noProof/>
        </w:rPr>
        <w:t xml:space="preserve"> zakresu, np.</w:t>
      </w:r>
      <w:r w:rsidR="00987DDC" w:rsidRPr="00987DDC">
        <w:rPr>
          <w:noProof/>
        </w:rPr>
        <w:t xml:space="preserve"> w</w:t>
      </w:r>
      <w:r w:rsidR="00987DDC">
        <w:rPr>
          <w:noProof/>
        </w:rPr>
        <w:t> </w:t>
      </w:r>
      <w:r w:rsidR="00987DDC" w:rsidRPr="00987DDC">
        <w:rPr>
          <w:noProof/>
        </w:rPr>
        <w:t>dzi</w:t>
      </w:r>
      <w:r w:rsidRPr="00987DDC">
        <w:rPr>
          <w:noProof/>
        </w:rPr>
        <w:t>edzinie współpracy regulacyjnej</w:t>
      </w:r>
      <w:r w:rsidR="00987DDC" w:rsidRPr="00987DDC">
        <w:rPr>
          <w:noProof/>
        </w:rPr>
        <w:t xml:space="preserve"> i</w:t>
      </w:r>
      <w:r w:rsidR="00987DDC">
        <w:rPr>
          <w:noProof/>
        </w:rPr>
        <w:t> </w:t>
      </w:r>
      <w:r w:rsidR="00987DDC" w:rsidRPr="00987DDC">
        <w:rPr>
          <w:noProof/>
        </w:rPr>
        <w:t>bad</w:t>
      </w:r>
      <w:r w:rsidRPr="00987DDC">
        <w:rPr>
          <w:noProof/>
        </w:rPr>
        <w:t>ań. Trwają rozmowy badające możliwości takiego ewentualnego przedłużenia. Ogólnie rzecz biorąc, decyzje stwierdzające odpowiedni stopień ochrony stały się strategicznym elementem całokształtu stosunków UE</w:t>
      </w:r>
      <w:r w:rsidR="00987DDC" w:rsidRPr="00987DDC">
        <w:rPr>
          <w:noProof/>
        </w:rPr>
        <w:t xml:space="preserve"> z</w:t>
      </w:r>
      <w:r w:rsidR="00987DDC">
        <w:rPr>
          <w:noProof/>
        </w:rPr>
        <w:t> </w:t>
      </w:r>
      <w:r w:rsidR="00987DDC" w:rsidRPr="00987DDC">
        <w:rPr>
          <w:noProof/>
        </w:rPr>
        <w:t>tym</w:t>
      </w:r>
      <w:r w:rsidRPr="00987DDC">
        <w:rPr>
          <w:noProof/>
        </w:rPr>
        <w:t>i partnerami zagranicznymi</w:t>
      </w:r>
      <w:r w:rsidR="00987DDC" w:rsidRPr="00987DDC">
        <w:rPr>
          <w:noProof/>
        </w:rPr>
        <w:t xml:space="preserve"> i</w:t>
      </w:r>
      <w:r w:rsidR="00987DDC">
        <w:rPr>
          <w:noProof/>
        </w:rPr>
        <w:t> </w:t>
      </w:r>
      <w:r w:rsidR="00987DDC" w:rsidRPr="00987DDC">
        <w:rPr>
          <w:noProof/>
        </w:rPr>
        <w:t>uzn</w:t>
      </w:r>
      <w:r w:rsidRPr="00987DDC">
        <w:rPr>
          <w:noProof/>
        </w:rPr>
        <w:t>aje się je za główny czynnik umożliwiający pogłębienie współpracy</w:t>
      </w:r>
      <w:r w:rsidR="00987DDC" w:rsidRPr="00987DDC">
        <w:rPr>
          <w:noProof/>
        </w:rPr>
        <w:t xml:space="preserve"> w</w:t>
      </w:r>
      <w:r w:rsidR="00987DDC">
        <w:rPr>
          <w:noProof/>
        </w:rPr>
        <w:t> </w:t>
      </w:r>
      <w:r w:rsidR="00987DDC" w:rsidRPr="00987DDC">
        <w:rPr>
          <w:noProof/>
        </w:rPr>
        <w:t>wie</w:t>
      </w:r>
      <w:r w:rsidRPr="00987DDC">
        <w:rPr>
          <w:noProof/>
        </w:rPr>
        <w:t xml:space="preserve">lu dziedzinach. </w:t>
      </w:r>
    </w:p>
    <w:p w14:paraId="282887F6" w14:textId="4CC8BC3F" w:rsidR="00B000F1" w:rsidRPr="00987DDC" w:rsidRDefault="00B000F1" w:rsidP="00DD7FA3">
      <w:pPr>
        <w:pStyle w:val="Text3"/>
        <w:ind w:left="0"/>
        <w:rPr>
          <w:noProof/>
        </w:rPr>
      </w:pPr>
      <w:r w:rsidRPr="00987DDC">
        <w:rPr>
          <w:noProof/>
        </w:rPr>
        <w:t>Oprócz zapewnienia solidnej podstawy do zacieśnienia współpracy dwustronnej coraz większa sieć krajów</w:t>
      </w:r>
      <w:r w:rsidR="00987DDC" w:rsidRPr="00987DDC">
        <w:rPr>
          <w:noProof/>
        </w:rPr>
        <w:t xml:space="preserve"> i</w:t>
      </w:r>
      <w:r w:rsidR="00987DDC">
        <w:rPr>
          <w:noProof/>
        </w:rPr>
        <w:t> </w:t>
      </w:r>
      <w:r w:rsidR="00987DDC" w:rsidRPr="00987DDC">
        <w:rPr>
          <w:noProof/>
        </w:rPr>
        <w:t>ter</w:t>
      </w:r>
      <w:r w:rsidRPr="00987DDC">
        <w:rPr>
          <w:noProof/>
        </w:rPr>
        <w:t>ytoriów,</w:t>
      </w:r>
      <w:r w:rsidR="00987DDC" w:rsidRPr="00987DDC">
        <w:rPr>
          <w:noProof/>
        </w:rPr>
        <w:t xml:space="preserve"> w</w:t>
      </w:r>
      <w:r w:rsidR="00987DDC">
        <w:rPr>
          <w:noProof/>
        </w:rPr>
        <w:t> </w:t>
      </w:r>
      <w:r w:rsidR="00987DDC" w:rsidRPr="00987DDC">
        <w:rPr>
          <w:noProof/>
        </w:rPr>
        <w:t>odn</w:t>
      </w:r>
      <w:r w:rsidRPr="00987DDC">
        <w:rPr>
          <w:noProof/>
        </w:rPr>
        <w:t>iesieniu do których UE przyjęła decyzję stwierdzającą odpowiedni stopień ochrony, stwarza nowe możliwości maksymalizacji korzyści płynących</w:t>
      </w:r>
      <w:r w:rsidR="00987DDC" w:rsidRPr="00987DDC">
        <w:rPr>
          <w:noProof/>
        </w:rPr>
        <w:t xml:space="preserve"> z</w:t>
      </w:r>
      <w:r w:rsidR="00987DDC">
        <w:rPr>
          <w:noProof/>
        </w:rPr>
        <w:t> </w:t>
      </w:r>
      <w:r w:rsidR="00987DDC" w:rsidRPr="00987DDC">
        <w:rPr>
          <w:noProof/>
        </w:rPr>
        <w:t>bez</w:t>
      </w:r>
      <w:r w:rsidRPr="00987DDC">
        <w:rPr>
          <w:noProof/>
        </w:rPr>
        <w:t>piecznego</w:t>
      </w:r>
      <w:r w:rsidR="00987DDC" w:rsidRPr="00987DDC">
        <w:rPr>
          <w:noProof/>
        </w:rPr>
        <w:t xml:space="preserve"> i</w:t>
      </w:r>
      <w:r w:rsidR="00987DDC">
        <w:rPr>
          <w:noProof/>
        </w:rPr>
        <w:t> </w:t>
      </w:r>
      <w:r w:rsidR="00987DDC" w:rsidRPr="00987DDC">
        <w:rPr>
          <w:noProof/>
        </w:rPr>
        <w:t>swo</w:t>
      </w:r>
      <w:r w:rsidRPr="00987DDC">
        <w:rPr>
          <w:noProof/>
        </w:rPr>
        <w:t>bodnego przepływu danych oraz ściślejszej współpracy między partnerami</w:t>
      </w:r>
      <w:r w:rsidR="00987DDC" w:rsidRPr="00987DDC">
        <w:rPr>
          <w:noProof/>
        </w:rPr>
        <w:t xml:space="preserve"> o</w:t>
      </w:r>
      <w:r w:rsidR="00987DDC">
        <w:rPr>
          <w:noProof/>
        </w:rPr>
        <w:t> </w:t>
      </w:r>
      <w:r w:rsidR="00987DDC" w:rsidRPr="00987DDC">
        <w:rPr>
          <w:noProof/>
        </w:rPr>
        <w:t>pod</w:t>
      </w:r>
      <w:r w:rsidRPr="00987DDC">
        <w:rPr>
          <w:noProof/>
        </w:rPr>
        <w:t>obnych poglądach</w:t>
      </w:r>
      <w:r w:rsidR="00987DDC" w:rsidRPr="00987DDC">
        <w:rPr>
          <w:noProof/>
        </w:rPr>
        <w:t xml:space="preserve"> w</w:t>
      </w:r>
      <w:r w:rsidR="00987DDC">
        <w:rPr>
          <w:noProof/>
        </w:rPr>
        <w:t> </w:t>
      </w:r>
      <w:r w:rsidR="00987DDC" w:rsidRPr="00987DDC">
        <w:rPr>
          <w:noProof/>
        </w:rPr>
        <w:t>zak</w:t>
      </w:r>
      <w:r w:rsidRPr="00987DDC">
        <w:rPr>
          <w:noProof/>
        </w:rPr>
        <w:t>resie egzekwowania przepisów</w:t>
      </w:r>
      <w:r w:rsidR="00987DDC" w:rsidRPr="00987DDC">
        <w:rPr>
          <w:noProof/>
        </w:rPr>
        <w:t xml:space="preserve"> o</w:t>
      </w:r>
      <w:r w:rsidR="00987DDC">
        <w:rPr>
          <w:noProof/>
        </w:rPr>
        <w:t> </w:t>
      </w:r>
      <w:r w:rsidR="00987DDC" w:rsidRPr="00987DDC">
        <w:rPr>
          <w:noProof/>
        </w:rPr>
        <w:t>och</w:t>
      </w:r>
      <w:r w:rsidRPr="00987DDC">
        <w:rPr>
          <w:noProof/>
        </w:rPr>
        <w:t>ronie danych</w:t>
      </w:r>
      <w:r w:rsidR="00987DDC" w:rsidRPr="00987DDC">
        <w:rPr>
          <w:noProof/>
        </w:rPr>
        <w:t>. W</w:t>
      </w:r>
      <w:r w:rsidR="00987DDC">
        <w:rPr>
          <w:noProof/>
        </w:rPr>
        <w:t> </w:t>
      </w:r>
      <w:r w:rsidR="00987DDC" w:rsidRPr="00987DDC">
        <w:rPr>
          <w:noProof/>
        </w:rPr>
        <w:t>mar</w:t>
      </w:r>
      <w:r w:rsidRPr="00987DDC">
        <w:rPr>
          <w:noProof/>
        </w:rPr>
        <w:t>cu 2024</w:t>
      </w:r>
      <w:r w:rsidR="00987DDC" w:rsidRPr="00987DDC">
        <w:rPr>
          <w:noProof/>
        </w:rPr>
        <w:t> </w:t>
      </w:r>
      <w:r w:rsidRPr="00987DDC">
        <w:rPr>
          <w:noProof/>
        </w:rPr>
        <w:t>r. Komisja była gospodarzem pierwszego</w:t>
      </w:r>
      <w:r w:rsidR="00987DDC" w:rsidRPr="00987DDC">
        <w:rPr>
          <w:noProof/>
        </w:rPr>
        <w:t xml:space="preserve"> w</w:t>
      </w:r>
      <w:r w:rsidR="00987DDC">
        <w:rPr>
          <w:noProof/>
        </w:rPr>
        <w:t> </w:t>
      </w:r>
      <w:r w:rsidR="00987DDC" w:rsidRPr="00987DDC">
        <w:rPr>
          <w:noProof/>
        </w:rPr>
        <w:t>his</w:t>
      </w:r>
      <w:r w:rsidRPr="00987DDC">
        <w:rPr>
          <w:noProof/>
        </w:rPr>
        <w:t>torii posiedzenia wysokiego szczebla poświęconego bezpiecznym przepływom danych,</w:t>
      </w:r>
      <w:r w:rsidR="00987DDC" w:rsidRPr="00987DDC">
        <w:rPr>
          <w:noProof/>
        </w:rPr>
        <w:t xml:space="preserve"> w</w:t>
      </w:r>
      <w:r w:rsidR="00987DDC">
        <w:rPr>
          <w:noProof/>
        </w:rPr>
        <w:t> </w:t>
      </w:r>
      <w:r w:rsidR="00987DDC" w:rsidRPr="00987DDC">
        <w:rPr>
          <w:noProof/>
        </w:rPr>
        <w:t>któ</w:t>
      </w:r>
      <w:r w:rsidRPr="00987DDC">
        <w:rPr>
          <w:noProof/>
        </w:rPr>
        <w:t>rym wzięli udział odpowiedzialni ministrowie oraz szefowie organów ochrony danych</w:t>
      </w:r>
      <w:r w:rsidR="00987DDC" w:rsidRPr="00987DDC">
        <w:rPr>
          <w:noProof/>
        </w:rPr>
        <w:t xml:space="preserve"> z</w:t>
      </w:r>
      <w:r w:rsidR="00987DDC">
        <w:rPr>
          <w:noProof/>
        </w:rPr>
        <w:t> </w:t>
      </w:r>
      <w:r w:rsidR="00987DDC" w:rsidRPr="00987DDC">
        <w:rPr>
          <w:noProof/>
        </w:rPr>
        <w:t>1</w:t>
      </w:r>
      <w:r w:rsidRPr="00987DDC">
        <w:rPr>
          <w:noProof/>
        </w:rPr>
        <w:t>5 krajów</w:t>
      </w:r>
      <w:r w:rsidR="00987DDC" w:rsidRPr="00987DDC">
        <w:rPr>
          <w:noProof/>
        </w:rPr>
        <w:t xml:space="preserve"> i</w:t>
      </w:r>
      <w:r w:rsidR="00987DDC">
        <w:rPr>
          <w:noProof/>
        </w:rPr>
        <w:t> </w:t>
      </w:r>
      <w:r w:rsidR="00987DDC" w:rsidRPr="00987DDC">
        <w:rPr>
          <w:noProof/>
        </w:rPr>
        <w:t>ter</w:t>
      </w:r>
      <w:r w:rsidRPr="00987DDC">
        <w:rPr>
          <w:noProof/>
        </w:rPr>
        <w:t>ytoriów,</w:t>
      </w:r>
      <w:r w:rsidR="00987DDC" w:rsidRPr="00987DDC">
        <w:rPr>
          <w:noProof/>
        </w:rPr>
        <w:t xml:space="preserve"> w</w:t>
      </w:r>
      <w:r w:rsidR="00987DDC">
        <w:rPr>
          <w:noProof/>
        </w:rPr>
        <w:t> </w:t>
      </w:r>
      <w:r w:rsidR="00987DDC" w:rsidRPr="00987DDC">
        <w:rPr>
          <w:noProof/>
        </w:rPr>
        <w:t>odn</w:t>
      </w:r>
      <w:r w:rsidRPr="00987DDC">
        <w:rPr>
          <w:noProof/>
        </w:rPr>
        <w:t>iesieniu do których UE przyjęła decyzję stwierdzającą odpowiedni stopień ochrony,</w:t>
      </w:r>
      <w:r w:rsidR="00987DDC" w:rsidRPr="00987DDC">
        <w:rPr>
          <w:noProof/>
        </w:rPr>
        <w:t xml:space="preserve"> a</w:t>
      </w:r>
      <w:r w:rsidR="00987DDC">
        <w:rPr>
          <w:noProof/>
        </w:rPr>
        <w:t> </w:t>
      </w:r>
      <w:r w:rsidR="00987DDC" w:rsidRPr="00987DDC">
        <w:rPr>
          <w:noProof/>
        </w:rPr>
        <w:t>tak</w:t>
      </w:r>
      <w:r w:rsidRPr="00987DDC">
        <w:rPr>
          <w:noProof/>
        </w:rPr>
        <w:t>że przewodniczący Europejskiej Rady Ochrony Danych (</w:t>
      </w:r>
      <w:r w:rsidRPr="00987DDC">
        <w:rPr>
          <w:rStyle w:val="FootnoteReference"/>
          <w:noProof/>
        </w:rPr>
        <w:footnoteReference w:id="175"/>
      </w:r>
      <w:r w:rsidRPr="00987DDC">
        <w:rPr>
          <w:noProof/>
        </w:rPr>
        <w:t>). Na posiedzeniu określono kilka konkretnych działań, nad którymi trwają dalsze prace</w:t>
      </w:r>
      <w:r w:rsidR="00987DDC" w:rsidRPr="00987DDC">
        <w:rPr>
          <w:noProof/>
        </w:rPr>
        <w:t xml:space="preserve"> w</w:t>
      </w:r>
      <w:r w:rsidR="00987DDC">
        <w:rPr>
          <w:noProof/>
        </w:rPr>
        <w:t> </w:t>
      </w:r>
      <w:r w:rsidR="00987DDC" w:rsidRPr="00987DDC">
        <w:rPr>
          <w:noProof/>
        </w:rPr>
        <w:t>ram</w:t>
      </w:r>
      <w:r w:rsidRPr="00987DDC">
        <w:rPr>
          <w:noProof/>
        </w:rPr>
        <w:t>ach tej grupy.</w:t>
      </w:r>
    </w:p>
    <w:p w14:paraId="07108D5F" w14:textId="5F9B5436" w:rsidR="0041051C" w:rsidRPr="00987DDC" w:rsidRDefault="000E6A77" w:rsidP="00DD7FA3">
      <w:pPr>
        <w:pStyle w:val="Text3"/>
        <w:ind w:left="0"/>
        <w:rPr>
          <w:noProof/>
        </w:rPr>
      </w:pPr>
      <w:r w:rsidRPr="00987DDC">
        <w:rPr>
          <w:noProof/>
        </w:rPr>
        <w:t>Mówiąc ogólniej, dzięki wywoływanemu „efektowi sieciowemu” decyzje stwierdzające odpowiedni stopień ochrony przyjęte przez Komisję Europejską mają coraz większe znaczenie również poza UE, ponieważ umożliwiają nie tylko swobodny przepływ danych między 30 gospodarkami EOG, ale także między dużo większą liczbą jurysdykcji na całym świecie uznawanych przez państwa,</w:t>
      </w:r>
      <w:r w:rsidR="00987DDC" w:rsidRPr="00987DDC">
        <w:rPr>
          <w:noProof/>
        </w:rPr>
        <w:t xml:space="preserve"> w</w:t>
      </w:r>
      <w:r w:rsidR="00987DDC">
        <w:rPr>
          <w:noProof/>
        </w:rPr>
        <w:t> </w:t>
      </w:r>
      <w:r w:rsidR="00987DDC" w:rsidRPr="00987DDC">
        <w:rPr>
          <w:noProof/>
        </w:rPr>
        <w:t>odn</w:t>
      </w:r>
      <w:r w:rsidRPr="00987DDC">
        <w:rPr>
          <w:noProof/>
        </w:rPr>
        <w:t>iesieniu do których wydano unijne decyzje stwierdzające odpowiedni stopień ochrony, za „bezpieczne miejsca docelowe” na podstawie ich własnych przepisów</w:t>
      </w:r>
      <w:r w:rsidR="00987DDC" w:rsidRPr="00987DDC">
        <w:rPr>
          <w:noProof/>
        </w:rPr>
        <w:t xml:space="preserve"> o</w:t>
      </w:r>
      <w:r w:rsidR="00987DDC">
        <w:rPr>
          <w:noProof/>
        </w:rPr>
        <w:t> </w:t>
      </w:r>
      <w:r w:rsidR="00987DDC" w:rsidRPr="00987DDC">
        <w:rPr>
          <w:noProof/>
        </w:rPr>
        <w:t>och</w:t>
      </w:r>
      <w:r w:rsidRPr="00987DDC">
        <w:rPr>
          <w:noProof/>
        </w:rPr>
        <w:t>ronie danych (</w:t>
      </w:r>
      <w:r w:rsidRPr="00987DDC">
        <w:rPr>
          <w:rStyle w:val="FootnoteReference"/>
          <w:noProof/>
        </w:rPr>
        <w:footnoteReference w:id="176"/>
      </w:r>
      <w:r w:rsidRPr="00987DDC">
        <w:rPr>
          <w:noProof/>
        </w:rPr>
        <w:t>).</w:t>
      </w:r>
    </w:p>
    <w:p w14:paraId="1EFD7FE3" w14:textId="39E1579B" w:rsidR="000561E3" w:rsidRPr="00987DDC" w:rsidRDefault="000561E3" w:rsidP="000E65C1">
      <w:pPr>
        <w:pStyle w:val="Heading3"/>
        <w:rPr>
          <w:noProof/>
        </w:rPr>
      </w:pPr>
      <w:r w:rsidRPr="00987DDC">
        <w:rPr>
          <w:noProof/>
        </w:rPr>
        <w:t>Instrumenty zapewniające odpowiednie zabezpieczenia</w:t>
      </w:r>
    </w:p>
    <w:p w14:paraId="5127D85F" w14:textId="11E2126A" w:rsidR="000561E3" w:rsidRPr="00987DDC" w:rsidRDefault="000E0D6C" w:rsidP="00DD7FA3">
      <w:pPr>
        <w:pStyle w:val="Text3"/>
        <w:ind w:left="0"/>
        <w:rPr>
          <w:noProof/>
        </w:rPr>
      </w:pPr>
      <w:r w:rsidRPr="00987DDC">
        <w:rPr>
          <w:noProof/>
        </w:rPr>
        <w:t>Od czasu sprawozdania</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opracowano dodatkowe narzędzia zapewniające odpowiednie zabezpieczenia oraz wydano praktyczne wytyczne</w:t>
      </w:r>
      <w:r w:rsidR="00987DDC" w:rsidRPr="00987DDC">
        <w:rPr>
          <w:noProof/>
        </w:rPr>
        <w:t xml:space="preserve"> w</w:t>
      </w:r>
      <w:r w:rsidR="00987DDC">
        <w:rPr>
          <w:noProof/>
        </w:rPr>
        <w:t> </w:t>
      </w:r>
      <w:r w:rsidR="00987DDC" w:rsidRPr="00987DDC">
        <w:rPr>
          <w:noProof/>
        </w:rPr>
        <w:t>cel</w:t>
      </w:r>
      <w:r w:rsidRPr="00987DDC">
        <w:rPr>
          <w:noProof/>
        </w:rPr>
        <w:t>u ułatwienia ich stosowania.</w:t>
      </w:r>
    </w:p>
    <w:p w14:paraId="6FC108A7" w14:textId="1B872130" w:rsidR="00527807" w:rsidRPr="00987DDC" w:rsidRDefault="00C550FF" w:rsidP="00DD7FA3">
      <w:pPr>
        <w:pStyle w:val="Text3"/>
        <w:ind w:left="0"/>
        <w:rPr>
          <w:noProof/>
        </w:rPr>
      </w:pPr>
      <w:r w:rsidRPr="00987DDC">
        <w:rPr>
          <w:noProof/>
        </w:rPr>
        <w:t>Zgodnie</w:t>
      </w:r>
      <w:r w:rsidR="00987DDC" w:rsidRPr="00987DDC">
        <w:rPr>
          <w:noProof/>
        </w:rPr>
        <w:t xml:space="preserve"> z</w:t>
      </w:r>
      <w:r w:rsidR="00987DDC">
        <w:rPr>
          <w:noProof/>
        </w:rPr>
        <w:t> </w:t>
      </w:r>
      <w:r w:rsidR="00987DDC" w:rsidRPr="00987DDC">
        <w:rPr>
          <w:noProof/>
        </w:rPr>
        <w:t>zap</w:t>
      </w:r>
      <w:r w:rsidRPr="00987DDC">
        <w:rPr>
          <w:noProof/>
        </w:rPr>
        <w:t>owiedzią zawartą</w:t>
      </w:r>
      <w:r w:rsidR="00987DDC" w:rsidRPr="00987DDC">
        <w:rPr>
          <w:noProof/>
        </w:rPr>
        <w:t xml:space="preserve"> w</w:t>
      </w:r>
      <w:r w:rsidR="00987DDC">
        <w:rPr>
          <w:noProof/>
        </w:rPr>
        <w:t> </w:t>
      </w:r>
      <w:r w:rsidR="00987DDC" w:rsidRPr="00987DDC">
        <w:rPr>
          <w:noProof/>
        </w:rPr>
        <w:t>spr</w:t>
      </w:r>
      <w:r w:rsidRPr="00987DDC">
        <w:rPr>
          <w:noProof/>
        </w:rPr>
        <w:t>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Komisja przyjęła zaktualizowane standardowe klauzule umowne (</w:t>
      </w:r>
      <w:r w:rsidRPr="00987DDC">
        <w:rPr>
          <w:rStyle w:val="FootnoteReference"/>
          <w:noProof/>
        </w:rPr>
        <w:footnoteReference w:id="177"/>
      </w:r>
      <w:r w:rsidRPr="00987DDC">
        <w:rPr>
          <w:noProof/>
        </w:rPr>
        <w:t>), opracowane</w:t>
      </w:r>
      <w:r w:rsidR="00987DDC" w:rsidRPr="00987DDC">
        <w:rPr>
          <w:noProof/>
        </w:rPr>
        <w:t xml:space="preserve"> w</w:t>
      </w:r>
      <w:r w:rsidR="00987DDC">
        <w:rPr>
          <w:noProof/>
        </w:rPr>
        <w:t> </w:t>
      </w:r>
      <w:r w:rsidR="00987DDC" w:rsidRPr="00987DDC">
        <w:rPr>
          <w:noProof/>
        </w:rPr>
        <w:t>duż</w:t>
      </w:r>
      <w:r w:rsidRPr="00987DDC">
        <w:rPr>
          <w:noProof/>
        </w:rPr>
        <w:t>ym stopniu</w:t>
      </w:r>
      <w:r w:rsidR="00987DDC" w:rsidRPr="00987DDC">
        <w:rPr>
          <w:noProof/>
        </w:rPr>
        <w:t xml:space="preserve"> w</w:t>
      </w:r>
      <w:r w:rsidR="00987DDC">
        <w:rPr>
          <w:noProof/>
        </w:rPr>
        <w:t> </w:t>
      </w:r>
      <w:r w:rsidR="00987DDC" w:rsidRPr="00987DDC">
        <w:rPr>
          <w:noProof/>
        </w:rPr>
        <w:t>opa</w:t>
      </w:r>
      <w:r w:rsidRPr="00987DDC">
        <w:rPr>
          <w:noProof/>
        </w:rPr>
        <w:t>rciu</w:t>
      </w:r>
      <w:r w:rsidR="00987DDC" w:rsidRPr="00987DDC">
        <w:rPr>
          <w:noProof/>
        </w:rPr>
        <w:t xml:space="preserve"> o</w:t>
      </w:r>
      <w:r w:rsidR="00987DDC">
        <w:rPr>
          <w:noProof/>
        </w:rPr>
        <w:t> </w:t>
      </w:r>
      <w:r w:rsidR="00987DDC" w:rsidRPr="00987DDC">
        <w:rPr>
          <w:noProof/>
        </w:rPr>
        <w:t>inf</w:t>
      </w:r>
      <w:r w:rsidRPr="00987DDC">
        <w:rPr>
          <w:noProof/>
        </w:rPr>
        <w:t>ormacje zwrotne od różnych zainteresowanych stron (</w:t>
      </w:r>
      <w:r w:rsidRPr="00987DDC">
        <w:rPr>
          <w:rStyle w:val="FootnoteReference"/>
          <w:noProof/>
        </w:rPr>
        <w:footnoteReference w:id="178"/>
      </w:r>
      <w:r w:rsidRPr="00987DDC">
        <w:rPr>
          <w:noProof/>
        </w:rPr>
        <w:t>). Nowe standardowe klauzule umowne zastąpiły trzy zestawy standardowych klauzul umownych przyjętych na podstawie dyrektywy</w:t>
      </w:r>
      <w:r w:rsidR="00987DDC" w:rsidRPr="00987DDC">
        <w:rPr>
          <w:noProof/>
        </w:rPr>
        <w:t xml:space="preserve"> o</w:t>
      </w:r>
      <w:r w:rsidR="00987DDC">
        <w:rPr>
          <w:noProof/>
        </w:rPr>
        <w:t> </w:t>
      </w:r>
      <w:r w:rsidR="00987DDC" w:rsidRPr="00987DDC">
        <w:rPr>
          <w:noProof/>
        </w:rPr>
        <w:t>och</w:t>
      </w:r>
      <w:r w:rsidRPr="00987DDC">
        <w:rPr>
          <w:noProof/>
        </w:rPr>
        <w:t>ronie danych. Najważniejsze zmiany obejmują: (i) zaktualizowane zabezpieczenia zgodnie z RODO; (ii) podejście modułowe</w:t>
      </w:r>
      <w:r w:rsidR="00987DDC" w:rsidRPr="00987DDC">
        <w:rPr>
          <w:noProof/>
        </w:rPr>
        <w:t xml:space="preserve"> z</w:t>
      </w:r>
      <w:r w:rsidR="00987DDC">
        <w:rPr>
          <w:noProof/>
        </w:rPr>
        <w:t> </w:t>
      </w:r>
      <w:r w:rsidR="00987DDC" w:rsidRPr="00987DDC">
        <w:rPr>
          <w:noProof/>
        </w:rPr>
        <w:t>jed</w:t>
      </w:r>
      <w:r w:rsidRPr="00987DDC">
        <w:rPr>
          <w:noProof/>
        </w:rPr>
        <w:t>nym punktem kompleksowej obsługi uwzględniającym szeroką gamę scenariuszy przekazywania danych; (iii) większą elastyczność</w:t>
      </w:r>
      <w:r w:rsidR="00987DDC" w:rsidRPr="00987DDC">
        <w:rPr>
          <w:noProof/>
        </w:rPr>
        <w:t xml:space="preserve"> w</w:t>
      </w:r>
      <w:r w:rsidR="00987DDC">
        <w:rPr>
          <w:noProof/>
        </w:rPr>
        <w:t> </w:t>
      </w:r>
      <w:r w:rsidR="00987DDC" w:rsidRPr="00987DDC">
        <w:rPr>
          <w:noProof/>
        </w:rPr>
        <w:t>sto</w:t>
      </w:r>
      <w:r w:rsidRPr="00987DDC">
        <w:rPr>
          <w:noProof/>
        </w:rPr>
        <w:t>sowaniu standardowych klauzul umownych przez wiele stron; oraz (iv) praktyczny zestaw narzędzi umożliwiający spełnienie wymogów zawartych</w:t>
      </w:r>
      <w:r w:rsidR="00987DDC" w:rsidRPr="00987DDC">
        <w:rPr>
          <w:noProof/>
        </w:rPr>
        <w:t xml:space="preserve"> w</w:t>
      </w:r>
      <w:r w:rsidR="00987DDC">
        <w:rPr>
          <w:noProof/>
        </w:rPr>
        <w:t> </w:t>
      </w:r>
      <w:r w:rsidR="00987DDC" w:rsidRPr="00987DDC">
        <w:rPr>
          <w:noProof/>
        </w:rPr>
        <w:t>wyr</w:t>
      </w:r>
      <w:r w:rsidRPr="00987DDC">
        <w:rPr>
          <w:noProof/>
        </w:rPr>
        <w:t>oku</w:t>
      </w:r>
      <w:r w:rsidR="00987DDC" w:rsidRPr="00987DDC">
        <w:rPr>
          <w:noProof/>
        </w:rPr>
        <w:t xml:space="preserve"> w</w:t>
      </w:r>
      <w:r w:rsidR="00987DDC">
        <w:rPr>
          <w:noProof/>
        </w:rPr>
        <w:t> </w:t>
      </w:r>
      <w:r w:rsidR="00987DDC" w:rsidRPr="00987DDC">
        <w:rPr>
          <w:noProof/>
        </w:rPr>
        <w:t>spr</w:t>
      </w:r>
      <w:r w:rsidRPr="00987DDC">
        <w:rPr>
          <w:noProof/>
        </w:rPr>
        <w:t>awie Schrems II.</w:t>
      </w:r>
    </w:p>
    <w:p w14:paraId="4DF236A0" w14:textId="397381DE" w:rsidR="00C550FF" w:rsidRPr="00987DDC" w:rsidRDefault="00F60845" w:rsidP="00DD7FA3">
      <w:pPr>
        <w:pStyle w:val="Text3"/>
        <w:ind w:left="0"/>
        <w:rPr>
          <w:noProof/>
        </w:rPr>
      </w:pPr>
      <w:r w:rsidRPr="00987DDC">
        <w:rPr>
          <w:noProof/>
        </w:rPr>
        <w:t>Zainteresowane strony</w:t>
      </w:r>
      <w:r w:rsidR="00987DDC" w:rsidRPr="00987DDC">
        <w:rPr>
          <w:noProof/>
        </w:rPr>
        <w:t xml:space="preserve"> z</w:t>
      </w:r>
      <w:r w:rsidR="00987DDC">
        <w:rPr>
          <w:noProof/>
        </w:rPr>
        <w:t> </w:t>
      </w:r>
      <w:r w:rsidR="00987DDC" w:rsidRPr="00987DDC">
        <w:rPr>
          <w:noProof/>
        </w:rPr>
        <w:t>zad</w:t>
      </w:r>
      <w:r w:rsidRPr="00987DDC">
        <w:rPr>
          <w:noProof/>
        </w:rPr>
        <w:t>owoleniem przyjęły zaktualizowane standardowe klauzule umowne,</w:t>
      </w:r>
      <w:r w:rsidR="00987DDC" w:rsidRPr="00987DDC">
        <w:rPr>
          <w:noProof/>
        </w:rPr>
        <w:t xml:space="preserve"> a</w:t>
      </w:r>
      <w:r w:rsidR="00987DDC">
        <w:rPr>
          <w:noProof/>
        </w:rPr>
        <w:t> </w:t>
      </w:r>
      <w:r w:rsidR="00987DDC" w:rsidRPr="00987DDC">
        <w:rPr>
          <w:noProof/>
        </w:rPr>
        <w:t>otr</w:t>
      </w:r>
      <w:r w:rsidRPr="00987DDC">
        <w:rPr>
          <w:noProof/>
        </w:rPr>
        <w:t>zymane informacje zwrotne stanowiły potwierdzenie, że standardowe klauzule umowne pozostają zdecydowanie najczęściej wykorzystywanym narzędziem przekazywania danych przez unijne podmioty przekazujące dane (</w:t>
      </w:r>
      <w:r w:rsidRPr="00987DDC">
        <w:rPr>
          <w:rStyle w:val="FootnoteReference"/>
          <w:noProof/>
        </w:rPr>
        <w:footnoteReference w:id="179"/>
      </w:r>
      <w:r w:rsidRPr="00987DDC">
        <w:rPr>
          <w:noProof/>
        </w:rPr>
        <w:t>). Aby wspomóc podmioty przekazujące dane</w:t>
      </w:r>
      <w:r w:rsidR="00987DDC" w:rsidRPr="00987DDC">
        <w:rPr>
          <w:noProof/>
        </w:rPr>
        <w:t xml:space="preserve"> w</w:t>
      </w:r>
      <w:r w:rsidR="00987DDC">
        <w:rPr>
          <w:noProof/>
        </w:rPr>
        <w:t> </w:t>
      </w:r>
      <w:r w:rsidR="00987DDC" w:rsidRPr="00987DDC">
        <w:rPr>
          <w:noProof/>
        </w:rPr>
        <w:t>ich</w:t>
      </w:r>
      <w:r w:rsidRPr="00987DDC">
        <w:rPr>
          <w:noProof/>
        </w:rPr>
        <w:t xml:space="preserve"> wysiłkach na rzecz przestrzegania przepisów, Komisja opracowała listę pytań</w:t>
      </w:r>
      <w:r w:rsidR="00987DDC" w:rsidRPr="00987DDC">
        <w:rPr>
          <w:noProof/>
        </w:rPr>
        <w:t xml:space="preserve"> i</w:t>
      </w:r>
      <w:r w:rsidR="00987DDC">
        <w:rPr>
          <w:noProof/>
        </w:rPr>
        <w:t> </w:t>
      </w:r>
      <w:r w:rsidR="00987DDC" w:rsidRPr="00987DDC">
        <w:rPr>
          <w:noProof/>
        </w:rPr>
        <w:t>odp</w:t>
      </w:r>
      <w:r w:rsidRPr="00987DDC">
        <w:rPr>
          <w:noProof/>
        </w:rPr>
        <w:t>owiedzi (</w:t>
      </w:r>
      <w:r w:rsidRPr="00987DDC">
        <w:rPr>
          <w:rStyle w:val="FootnoteReference"/>
          <w:noProof/>
        </w:rPr>
        <w:footnoteReference w:id="180"/>
      </w:r>
      <w:r w:rsidRPr="00987DDC">
        <w:rPr>
          <w:noProof/>
        </w:rPr>
        <w:t>) zawierających dalsze wytyczne dotyczące stosowania klauzul, która będzie aktualizowana</w:t>
      </w:r>
      <w:r w:rsidR="00987DDC" w:rsidRPr="00987DDC">
        <w:rPr>
          <w:noProof/>
        </w:rPr>
        <w:t xml:space="preserve"> w</w:t>
      </w:r>
      <w:r w:rsidR="00987DDC">
        <w:rPr>
          <w:noProof/>
        </w:rPr>
        <w:t> </w:t>
      </w:r>
      <w:r w:rsidR="00987DDC" w:rsidRPr="00987DDC">
        <w:rPr>
          <w:noProof/>
        </w:rPr>
        <w:t>prz</w:t>
      </w:r>
      <w:r w:rsidRPr="00987DDC">
        <w:rPr>
          <w:noProof/>
        </w:rPr>
        <w:t>ypadku pojawienia się nowych pytań lub otrzymania kolejnych informacji zwrotnych</w:t>
      </w:r>
      <w:r w:rsidR="00987DDC" w:rsidRPr="00987DDC">
        <w:rPr>
          <w:noProof/>
        </w:rPr>
        <w:t xml:space="preserve"> w</w:t>
      </w:r>
      <w:r w:rsidR="00987DDC">
        <w:rPr>
          <w:noProof/>
        </w:rPr>
        <w:t> </w:t>
      </w:r>
      <w:r w:rsidR="00987DDC" w:rsidRPr="00987DDC">
        <w:rPr>
          <w:noProof/>
        </w:rPr>
        <w:t>ram</w:t>
      </w:r>
      <w:r w:rsidRPr="00987DDC">
        <w:rPr>
          <w:noProof/>
        </w:rPr>
        <w:t xml:space="preserve">ach tej ewaluacji. </w:t>
      </w:r>
    </w:p>
    <w:p w14:paraId="32385531" w14:textId="15769D61" w:rsidR="00DE7E57" w:rsidRPr="00987DDC" w:rsidRDefault="000C028F" w:rsidP="00DD7FA3">
      <w:pPr>
        <w:pStyle w:val="Text3"/>
        <w:ind w:left="0"/>
        <w:rPr>
          <w:noProof/>
        </w:rPr>
      </w:pPr>
      <w:r w:rsidRPr="00987DDC">
        <w:rPr>
          <w:noProof/>
        </w:rPr>
        <w:t>Wiele podmiotów przekazujących dane zgłasza trudności</w:t>
      </w:r>
      <w:r w:rsidR="00987DDC" w:rsidRPr="00987DDC">
        <w:rPr>
          <w:noProof/>
        </w:rPr>
        <w:t xml:space="preserve"> z</w:t>
      </w:r>
      <w:r w:rsidR="00987DDC">
        <w:rPr>
          <w:noProof/>
        </w:rPr>
        <w:t> </w:t>
      </w:r>
      <w:r w:rsidR="00987DDC" w:rsidRPr="00987DDC">
        <w:rPr>
          <w:noProof/>
        </w:rPr>
        <w:t>prz</w:t>
      </w:r>
      <w:r w:rsidRPr="00987DDC">
        <w:rPr>
          <w:noProof/>
        </w:rPr>
        <w:t>eprowadzeniem „ocen skutków przekazywania danych” wymaganych</w:t>
      </w:r>
      <w:r w:rsidR="00987DDC" w:rsidRPr="00987DDC">
        <w:rPr>
          <w:noProof/>
        </w:rPr>
        <w:t xml:space="preserve"> w</w:t>
      </w:r>
      <w:r w:rsidR="00987DDC">
        <w:rPr>
          <w:noProof/>
        </w:rPr>
        <w:t> </w:t>
      </w:r>
      <w:r w:rsidR="00987DDC" w:rsidRPr="00987DDC">
        <w:rPr>
          <w:noProof/>
        </w:rPr>
        <w:t>wyr</w:t>
      </w:r>
      <w:r w:rsidRPr="00987DDC">
        <w:rPr>
          <w:noProof/>
        </w:rPr>
        <w:t>oku</w:t>
      </w:r>
      <w:r w:rsidR="00987DDC" w:rsidRPr="00987DDC">
        <w:rPr>
          <w:noProof/>
        </w:rPr>
        <w:t xml:space="preserve"> w</w:t>
      </w:r>
      <w:r w:rsidR="00987DDC">
        <w:rPr>
          <w:noProof/>
        </w:rPr>
        <w:t> </w:t>
      </w:r>
      <w:r w:rsidR="00987DDC" w:rsidRPr="00987DDC">
        <w:rPr>
          <w:noProof/>
        </w:rPr>
        <w:t>spr</w:t>
      </w:r>
      <w:r w:rsidRPr="00987DDC">
        <w:rPr>
          <w:noProof/>
        </w:rPr>
        <w:t>awie Schrems II, zwracając</w:t>
      </w:r>
      <w:r w:rsidR="00987DDC" w:rsidRPr="00987DDC">
        <w:rPr>
          <w:noProof/>
        </w:rPr>
        <w:t xml:space="preserve"> w</w:t>
      </w:r>
      <w:r w:rsidR="00987DDC">
        <w:rPr>
          <w:noProof/>
        </w:rPr>
        <w:t> </w:t>
      </w:r>
      <w:r w:rsidR="00987DDC" w:rsidRPr="00987DDC">
        <w:rPr>
          <w:noProof/>
        </w:rPr>
        <w:t>szc</w:t>
      </w:r>
      <w:r w:rsidRPr="00987DDC">
        <w:rPr>
          <w:noProof/>
        </w:rPr>
        <w:t>zególności uwagę na ich złożoność,</w:t>
      </w:r>
      <w:r w:rsidR="00987DDC" w:rsidRPr="00987DDC">
        <w:rPr>
          <w:noProof/>
        </w:rPr>
        <w:t xml:space="preserve"> a</w:t>
      </w:r>
      <w:r w:rsidR="00987DDC">
        <w:rPr>
          <w:noProof/>
        </w:rPr>
        <w:t> </w:t>
      </w:r>
      <w:r w:rsidR="00987DDC" w:rsidRPr="00987DDC">
        <w:rPr>
          <w:noProof/>
        </w:rPr>
        <w:t>tak</w:t>
      </w:r>
      <w:r w:rsidRPr="00987DDC">
        <w:rPr>
          <w:noProof/>
        </w:rPr>
        <w:t>że na koszty</w:t>
      </w:r>
      <w:r w:rsidR="00987DDC" w:rsidRPr="00987DDC">
        <w:rPr>
          <w:noProof/>
        </w:rPr>
        <w:t xml:space="preserve"> i</w:t>
      </w:r>
      <w:r w:rsidR="00987DDC">
        <w:rPr>
          <w:noProof/>
        </w:rPr>
        <w:t> </w:t>
      </w:r>
      <w:r w:rsidR="00987DDC" w:rsidRPr="00987DDC">
        <w:rPr>
          <w:noProof/>
        </w:rPr>
        <w:t>cza</w:t>
      </w:r>
      <w:r w:rsidRPr="00987DDC">
        <w:rPr>
          <w:noProof/>
        </w:rPr>
        <w:t>s potrzebny na ich przeprowadzenie (</w:t>
      </w:r>
      <w:r w:rsidRPr="00987DDC">
        <w:rPr>
          <w:rStyle w:val="FootnoteReference"/>
          <w:noProof/>
        </w:rPr>
        <w:footnoteReference w:id="181"/>
      </w:r>
      <w:r w:rsidRPr="00987DDC">
        <w:rPr>
          <w:noProof/>
        </w:rPr>
        <w:t>). Zainteresowane strony</w:t>
      </w:r>
      <w:r w:rsidR="00987DDC" w:rsidRPr="00987DDC">
        <w:rPr>
          <w:noProof/>
        </w:rPr>
        <w:t xml:space="preserve"> z</w:t>
      </w:r>
      <w:r w:rsidR="00987DDC">
        <w:rPr>
          <w:noProof/>
        </w:rPr>
        <w:t> </w:t>
      </w:r>
      <w:r w:rsidR="00987DDC" w:rsidRPr="00987DDC">
        <w:rPr>
          <w:noProof/>
        </w:rPr>
        <w:t>zad</w:t>
      </w:r>
      <w:r w:rsidRPr="00987DDC">
        <w:rPr>
          <w:noProof/>
        </w:rPr>
        <w:t>owoleniem przyjmują wytyczne EROD</w:t>
      </w:r>
      <w:r w:rsidR="00987DDC" w:rsidRPr="00987DDC">
        <w:rPr>
          <w:noProof/>
        </w:rPr>
        <w:t xml:space="preserve"> i</w:t>
      </w:r>
      <w:r w:rsidR="00987DDC">
        <w:rPr>
          <w:noProof/>
        </w:rPr>
        <w:t> </w:t>
      </w:r>
      <w:r w:rsidR="00987DDC" w:rsidRPr="00987DDC">
        <w:rPr>
          <w:noProof/>
        </w:rPr>
        <w:t>sta</w:t>
      </w:r>
      <w:r w:rsidRPr="00987DDC">
        <w:rPr>
          <w:noProof/>
        </w:rPr>
        <w:t>ndardowe klauzule umowne, ale postulują opracowanie dodatkowych wytycznych (np. dotyczących obowiązków zaangażowanych stron</w:t>
      </w:r>
      <w:r w:rsidR="00987DDC" w:rsidRPr="00987DDC">
        <w:rPr>
          <w:noProof/>
        </w:rPr>
        <w:t xml:space="preserve"> i</w:t>
      </w:r>
      <w:r w:rsidR="00987DDC">
        <w:rPr>
          <w:noProof/>
        </w:rPr>
        <w:t> </w:t>
      </w:r>
      <w:r w:rsidR="00987DDC" w:rsidRPr="00987DDC">
        <w:rPr>
          <w:noProof/>
        </w:rPr>
        <w:t>poz</w:t>
      </w:r>
      <w:r w:rsidRPr="00987DDC">
        <w:rPr>
          <w:noProof/>
        </w:rPr>
        <w:t>iomu szczegółowości wymaganego</w:t>
      </w:r>
      <w:r w:rsidR="00987DDC" w:rsidRPr="00987DDC">
        <w:rPr>
          <w:noProof/>
        </w:rPr>
        <w:t xml:space="preserve"> w</w:t>
      </w:r>
      <w:r w:rsidR="00987DDC">
        <w:rPr>
          <w:noProof/>
        </w:rPr>
        <w:t> </w:t>
      </w:r>
      <w:r w:rsidR="00987DDC" w:rsidRPr="00987DDC">
        <w:rPr>
          <w:noProof/>
        </w:rPr>
        <w:t>oce</w:t>
      </w:r>
      <w:r w:rsidRPr="00987DDC">
        <w:rPr>
          <w:noProof/>
        </w:rPr>
        <w:t>nach skutków przekazywania danych) oraz dodatkowych narzędzi pomagających</w:t>
      </w:r>
      <w:r w:rsidR="00987DDC" w:rsidRPr="00987DDC">
        <w:rPr>
          <w:noProof/>
        </w:rPr>
        <w:t xml:space="preserve"> w</w:t>
      </w:r>
      <w:r w:rsidR="00987DDC">
        <w:rPr>
          <w:noProof/>
        </w:rPr>
        <w:t> </w:t>
      </w:r>
      <w:r w:rsidR="00987DDC" w:rsidRPr="00987DDC">
        <w:rPr>
          <w:noProof/>
        </w:rPr>
        <w:t>prz</w:t>
      </w:r>
      <w:r w:rsidRPr="00987DDC">
        <w:rPr>
          <w:noProof/>
        </w:rPr>
        <w:t>eprowadzaniu takich ocen (np. szablonów, ogólnych ocen krajowych, katalogów ryzyka). Chociaż zainteresowane strony przekazały takie informacje zwrotne głównie na temat standardowych klauzul umownych, tego samego rodzaju oceny są również wymagane</w:t>
      </w:r>
      <w:r w:rsidR="00987DDC" w:rsidRPr="00987DDC">
        <w:rPr>
          <w:noProof/>
        </w:rPr>
        <w:t xml:space="preserve"> w</w:t>
      </w:r>
      <w:r w:rsidR="00987DDC">
        <w:rPr>
          <w:noProof/>
        </w:rPr>
        <w:t> </w:t>
      </w:r>
      <w:r w:rsidR="00987DDC" w:rsidRPr="00987DDC">
        <w:rPr>
          <w:noProof/>
        </w:rPr>
        <w:t>prz</w:t>
      </w:r>
      <w:r w:rsidRPr="00987DDC">
        <w:rPr>
          <w:noProof/>
        </w:rPr>
        <w:t>ypadku innych instrumentów do przekazywania danych (takich jak wiążące reguły korporacyjne). Ważne jest zatem, aby EROD – opierając się na doświadczeniach ze stosowania wymogów Schrems II</w:t>
      </w:r>
      <w:r w:rsidR="00987DDC" w:rsidRPr="00987DDC">
        <w:rPr>
          <w:noProof/>
        </w:rPr>
        <w:t xml:space="preserve"> z</w:t>
      </w:r>
      <w:r w:rsidR="00987DDC">
        <w:rPr>
          <w:noProof/>
        </w:rPr>
        <w:t> </w:t>
      </w:r>
      <w:r w:rsidR="00987DDC" w:rsidRPr="00987DDC">
        <w:rPr>
          <w:noProof/>
        </w:rPr>
        <w:t>ost</w:t>
      </w:r>
      <w:r w:rsidRPr="00987DDC">
        <w:rPr>
          <w:noProof/>
        </w:rPr>
        <w:t>atnich lat, m.in.</w:t>
      </w:r>
      <w:r w:rsidR="00987DDC" w:rsidRPr="00987DDC">
        <w:rPr>
          <w:noProof/>
        </w:rPr>
        <w:t xml:space="preserve"> w</w:t>
      </w:r>
      <w:r w:rsidR="00987DDC">
        <w:rPr>
          <w:noProof/>
        </w:rPr>
        <w:t> </w:t>
      </w:r>
      <w:r w:rsidR="00987DDC" w:rsidRPr="00987DDC">
        <w:rPr>
          <w:noProof/>
        </w:rPr>
        <w:t>ram</w:t>
      </w:r>
      <w:r w:rsidRPr="00987DDC">
        <w:rPr>
          <w:noProof/>
        </w:rPr>
        <w:t>ach działań krajowych organów ochrony danych</w:t>
      </w:r>
      <w:r w:rsidR="00987DDC" w:rsidRPr="00987DDC">
        <w:rPr>
          <w:noProof/>
        </w:rPr>
        <w:t xml:space="preserve"> w</w:t>
      </w:r>
      <w:r w:rsidR="00987DDC">
        <w:rPr>
          <w:noProof/>
        </w:rPr>
        <w:t> </w:t>
      </w:r>
      <w:r w:rsidR="00987DDC" w:rsidRPr="00987DDC">
        <w:rPr>
          <w:noProof/>
        </w:rPr>
        <w:t>zak</w:t>
      </w:r>
      <w:r w:rsidRPr="00987DDC">
        <w:rPr>
          <w:noProof/>
        </w:rPr>
        <w:t>resie egzekwowania prawa – rozważyła zbadanie sposobów/narzędzi dalszego wspierania podmiotów przekazujących dane</w:t>
      </w:r>
      <w:r w:rsidR="00987DDC" w:rsidRPr="00987DDC">
        <w:rPr>
          <w:noProof/>
        </w:rPr>
        <w:t xml:space="preserve"> w</w:t>
      </w:r>
      <w:r w:rsidR="00987DDC">
        <w:rPr>
          <w:noProof/>
        </w:rPr>
        <w:t> </w:t>
      </w:r>
      <w:r w:rsidR="00987DDC" w:rsidRPr="00987DDC">
        <w:rPr>
          <w:noProof/>
        </w:rPr>
        <w:t>ich</w:t>
      </w:r>
      <w:r w:rsidRPr="00987DDC">
        <w:rPr>
          <w:noProof/>
        </w:rPr>
        <w:t xml:space="preserve"> wysiłkach na rzecz przestrzegania przepisów</w:t>
      </w:r>
      <w:r w:rsidR="00987DDC" w:rsidRPr="00987DDC">
        <w:rPr>
          <w:noProof/>
        </w:rPr>
        <w:t xml:space="preserve"> w</w:t>
      </w:r>
      <w:r w:rsidR="00987DDC">
        <w:rPr>
          <w:noProof/>
        </w:rPr>
        <w:t> </w:t>
      </w:r>
      <w:r w:rsidR="00987DDC" w:rsidRPr="00987DDC">
        <w:rPr>
          <w:noProof/>
        </w:rPr>
        <w:t>tym</w:t>
      </w:r>
      <w:r w:rsidRPr="00987DDC">
        <w:rPr>
          <w:noProof/>
        </w:rPr>
        <w:t xml:space="preserve"> kontekście. </w:t>
      </w:r>
    </w:p>
    <w:p w14:paraId="46CF6013" w14:textId="669E8A81" w:rsidR="00105766" w:rsidRPr="00987DDC" w:rsidRDefault="000C028F" w:rsidP="00DD7FA3">
      <w:pPr>
        <w:pStyle w:val="Text3"/>
        <w:ind w:left="0"/>
        <w:rPr>
          <w:noProof/>
        </w:rPr>
      </w:pPr>
      <w:r w:rsidRPr="00987DDC">
        <w:rPr>
          <w:noProof/>
        </w:rPr>
        <w:t>Komisja opracowuje dodatkowe zestawy klauzul uzupełniające istniejące standardowe klauzule umowne, aby zapewnić unijnym podmiotom przekazującym dane kompleksowy</w:t>
      </w:r>
      <w:r w:rsidR="00987DDC" w:rsidRPr="00987DDC">
        <w:rPr>
          <w:noProof/>
        </w:rPr>
        <w:t xml:space="preserve"> i</w:t>
      </w:r>
      <w:r w:rsidR="00987DDC">
        <w:rPr>
          <w:noProof/>
        </w:rPr>
        <w:t> </w:t>
      </w:r>
      <w:r w:rsidR="00987DDC" w:rsidRPr="00987DDC">
        <w:rPr>
          <w:noProof/>
        </w:rPr>
        <w:t>spó</w:t>
      </w:r>
      <w:r w:rsidRPr="00987DDC">
        <w:rPr>
          <w:noProof/>
        </w:rPr>
        <w:t>jny pakiet. Obejmie to standardowe klauzule umowne na podstawie rozporządzenia (UE) 2018/1725 dotyczące przekazywania danych przez instytucje</w:t>
      </w:r>
      <w:r w:rsidR="00987DDC" w:rsidRPr="00987DDC">
        <w:rPr>
          <w:noProof/>
        </w:rPr>
        <w:t xml:space="preserve"> i</w:t>
      </w:r>
      <w:r w:rsidR="00987DDC">
        <w:rPr>
          <w:noProof/>
        </w:rPr>
        <w:t> </w:t>
      </w:r>
      <w:r w:rsidR="00987DDC" w:rsidRPr="00987DDC">
        <w:rPr>
          <w:noProof/>
        </w:rPr>
        <w:t>org</w:t>
      </w:r>
      <w:r w:rsidRPr="00987DDC">
        <w:rPr>
          <w:noProof/>
        </w:rPr>
        <w:t>any UE operatorom komercyjnym</w:t>
      </w:r>
      <w:r w:rsidR="00987DDC" w:rsidRPr="00987DDC">
        <w:rPr>
          <w:noProof/>
        </w:rPr>
        <w:t xml:space="preserve"> w</w:t>
      </w:r>
      <w:r w:rsidR="00987DDC">
        <w:rPr>
          <w:noProof/>
        </w:rPr>
        <w:t> </w:t>
      </w:r>
      <w:r w:rsidR="00987DDC" w:rsidRPr="00987DDC">
        <w:rPr>
          <w:noProof/>
        </w:rPr>
        <w:t>pań</w:t>
      </w:r>
      <w:r w:rsidRPr="00987DDC">
        <w:rPr>
          <w:noProof/>
        </w:rPr>
        <w:t>stwach trzecich (</w:t>
      </w:r>
      <w:r w:rsidRPr="00987DDC">
        <w:rPr>
          <w:rStyle w:val="FootnoteReference"/>
          <w:noProof/>
        </w:rPr>
        <w:footnoteReference w:id="182"/>
      </w:r>
      <w:r w:rsidRPr="00987DDC">
        <w:rPr>
          <w:noProof/>
        </w:rPr>
        <w:t>) oraz standardowe klauzule umowne dotyczące przekazywania danych podmiotom odbierającym dane</w:t>
      </w:r>
      <w:r w:rsidR="00987DDC" w:rsidRPr="00987DDC">
        <w:rPr>
          <w:noProof/>
        </w:rPr>
        <w:t xml:space="preserve"> z</w:t>
      </w:r>
      <w:r w:rsidR="00987DDC">
        <w:rPr>
          <w:noProof/>
        </w:rPr>
        <w:t> </w:t>
      </w:r>
      <w:r w:rsidR="00987DDC" w:rsidRPr="00987DDC">
        <w:rPr>
          <w:noProof/>
        </w:rPr>
        <w:t>pań</w:t>
      </w:r>
      <w:r w:rsidRPr="00987DDC">
        <w:rPr>
          <w:noProof/>
        </w:rPr>
        <w:t>stw trzecich, których operacje przetwarzania bezpośrednio podlegają RODO. Te ostatnie stanowią odpowiedź na apel zainteresowanych stron</w:t>
      </w:r>
      <w:r w:rsidR="00987DDC" w:rsidRPr="00987DDC">
        <w:rPr>
          <w:noProof/>
        </w:rPr>
        <w:t xml:space="preserve"> o</w:t>
      </w:r>
      <w:r w:rsidR="00987DDC">
        <w:rPr>
          <w:noProof/>
        </w:rPr>
        <w:t> </w:t>
      </w:r>
      <w:r w:rsidR="00987DDC" w:rsidRPr="00987DDC">
        <w:rPr>
          <w:noProof/>
        </w:rPr>
        <w:t>uwz</w:t>
      </w:r>
      <w:r w:rsidRPr="00987DDC">
        <w:rPr>
          <w:noProof/>
        </w:rPr>
        <w:t>ględnienie scenariuszy,</w:t>
      </w:r>
      <w:r w:rsidR="00987DDC" w:rsidRPr="00987DDC">
        <w:rPr>
          <w:noProof/>
        </w:rPr>
        <w:t xml:space="preserve"> w</w:t>
      </w:r>
      <w:r w:rsidR="00987DDC">
        <w:rPr>
          <w:noProof/>
        </w:rPr>
        <w:t> </w:t>
      </w:r>
      <w:r w:rsidR="00987DDC" w:rsidRPr="00987DDC">
        <w:rPr>
          <w:noProof/>
        </w:rPr>
        <w:t>któ</w:t>
      </w:r>
      <w:r w:rsidRPr="00987DDC">
        <w:rPr>
          <w:noProof/>
        </w:rPr>
        <w:t>rych podmiot odbierający dane jest objęty terytorialnym zakresem stosowania RODO (na przykład dlatego, że dane przetwarzanie wiąże się</w:t>
      </w:r>
      <w:r w:rsidR="00987DDC" w:rsidRPr="00987DDC">
        <w:rPr>
          <w:noProof/>
        </w:rPr>
        <w:t xml:space="preserve"> z</w:t>
      </w:r>
      <w:r w:rsidR="00987DDC">
        <w:rPr>
          <w:noProof/>
        </w:rPr>
        <w:t> </w:t>
      </w:r>
      <w:r w:rsidR="00987DDC" w:rsidRPr="00987DDC">
        <w:rPr>
          <w:noProof/>
        </w:rPr>
        <w:t>ryn</w:t>
      </w:r>
      <w:r w:rsidRPr="00987DDC">
        <w:rPr>
          <w:noProof/>
        </w:rPr>
        <w:t>kiem Unii zgodnie</w:t>
      </w:r>
      <w:r w:rsidR="00987DDC" w:rsidRPr="00987DDC">
        <w:rPr>
          <w:noProof/>
        </w:rPr>
        <w:t xml:space="preserve"> z</w:t>
      </w:r>
      <w:r w:rsidR="00987DDC">
        <w:rPr>
          <w:noProof/>
        </w:rPr>
        <w:t> </w:t>
      </w:r>
      <w:r w:rsidR="00987DDC" w:rsidRPr="00987DDC">
        <w:rPr>
          <w:noProof/>
        </w:rPr>
        <w:t>art</w:t>
      </w:r>
      <w:r w:rsidRPr="00987DDC">
        <w:rPr>
          <w:noProof/>
        </w:rPr>
        <w:t>.</w:t>
      </w:r>
      <w:r w:rsidR="00987DDC" w:rsidRPr="00987DDC">
        <w:rPr>
          <w:noProof/>
        </w:rPr>
        <w:t> </w:t>
      </w:r>
      <w:r w:rsidRPr="00987DDC">
        <w:rPr>
          <w:noProof/>
        </w:rPr>
        <w:t>3 ust.</w:t>
      </w:r>
      <w:r w:rsidR="00987DDC" w:rsidRPr="00987DDC">
        <w:rPr>
          <w:noProof/>
        </w:rPr>
        <w:t> </w:t>
      </w:r>
      <w:r w:rsidRPr="00987DDC">
        <w:rPr>
          <w:noProof/>
        </w:rPr>
        <w:t>2 RODO) (</w:t>
      </w:r>
      <w:r w:rsidRPr="00987DDC">
        <w:rPr>
          <w:rStyle w:val="FootnoteReference"/>
          <w:noProof/>
        </w:rPr>
        <w:footnoteReference w:id="183"/>
      </w:r>
      <w:r w:rsidRPr="00987DDC">
        <w:rPr>
          <w:noProof/>
        </w:rPr>
        <w:t>). Jak wyjaśniła EROD, narzędzie do przekazywania na podstawie rozdziału V RODO jest wymagane również</w:t>
      </w:r>
      <w:r w:rsidR="00987DDC" w:rsidRPr="00987DDC">
        <w:rPr>
          <w:noProof/>
        </w:rPr>
        <w:t xml:space="preserve"> w</w:t>
      </w:r>
      <w:r w:rsidR="00987DDC">
        <w:rPr>
          <w:noProof/>
        </w:rPr>
        <w:t> </w:t>
      </w:r>
      <w:r w:rsidR="00987DDC" w:rsidRPr="00987DDC">
        <w:rPr>
          <w:noProof/>
        </w:rPr>
        <w:t>tym</w:t>
      </w:r>
      <w:r w:rsidRPr="00987DDC">
        <w:rPr>
          <w:noProof/>
        </w:rPr>
        <w:t xml:space="preserve"> przypadku ze względu na zwiększone ryzyko związane</w:t>
      </w:r>
      <w:r w:rsidR="00987DDC" w:rsidRPr="00987DDC">
        <w:rPr>
          <w:noProof/>
        </w:rPr>
        <w:t xml:space="preserve"> z</w:t>
      </w:r>
      <w:r w:rsidR="00987DDC">
        <w:rPr>
          <w:noProof/>
        </w:rPr>
        <w:t> </w:t>
      </w:r>
      <w:r w:rsidR="00987DDC" w:rsidRPr="00987DDC">
        <w:rPr>
          <w:noProof/>
        </w:rPr>
        <w:t>dan</w:t>
      </w:r>
      <w:r w:rsidRPr="00987DDC">
        <w:rPr>
          <w:noProof/>
        </w:rPr>
        <w:t>ymi osobowymi przetwarzanymi poza UE, na przykład</w:t>
      </w:r>
      <w:r w:rsidR="00987DDC" w:rsidRPr="00987DDC">
        <w:rPr>
          <w:noProof/>
        </w:rPr>
        <w:t xml:space="preserve"> z</w:t>
      </w:r>
      <w:r w:rsidR="00987DDC">
        <w:rPr>
          <w:noProof/>
        </w:rPr>
        <w:t> </w:t>
      </w:r>
      <w:r w:rsidR="00987DDC" w:rsidRPr="00987DDC">
        <w:rPr>
          <w:noProof/>
        </w:rPr>
        <w:t>pow</w:t>
      </w:r>
      <w:r w:rsidRPr="00987DDC">
        <w:rPr>
          <w:noProof/>
        </w:rPr>
        <w:t>odu potencjalnie kolidujących ze sobą przepisów krajowych lub nieproporcjonalnego dostępu rządu</w:t>
      </w:r>
      <w:r w:rsidR="00987DDC" w:rsidRPr="00987DDC">
        <w:rPr>
          <w:noProof/>
        </w:rPr>
        <w:t xml:space="preserve"> w</w:t>
      </w:r>
      <w:r w:rsidR="00987DDC">
        <w:rPr>
          <w:noProof/>
        </w:rPr>
        <w:t> </w:t>
      </w:r>
      <w:r w:rsidR="00987DDC" w:rsidRPr="00987DDC">
        <w:rPr>
          <w:noProof/>
        </w:rPr>
        <w:t>pań</w:t>
      </w:r>
      <w:r w:rsidRPr="00987DDC">
        <w:rPr>
          <w:noProof/>
        </w:rPr>
        <w:t>stwie trzecim (</w:t>
      </w:r>
      <w:r w:rsidRPr="00987DDC">
        <w:rPr>
          <w:rStyle w:val="FootnoteReference"/>
          <w:noProof/>
        </w:rPr>
        <w:footnoteReference w:id="184"/>
      </w:r>
      <w:r w:rsidRPr="00987DDC">
        <w:rPr>
          <w:noProof/>
        </w:rPr>
        <w:t>). Nowe standardowe klauzule umowne opracowywane przez Komisję</w:t>
      </w:r>
      <w:r w:rsidR="00987DDC" w:rsidRPr="00987DDC">
        <w:rPr>
          <w:noProof/>
        </w:rPr>
        <w:t xml:space="preserve"> w</w:t>
      </w:r>
      <w:r w:rsidR="00987DDC">
        <w:rPr>
          <w:noProof/>
        </w:rPr>
        <w:t> </w:t>
      </w:r>
      <w:r w:rsidR="00987DDC" w:rsidRPr="00987DDC">
        <w:rPr>
          <w:noProof/>
        </w:rPr>
        <w:t>szc</w:t>
      </w:r>
      <w:r w:rsidRPr="00987DDC">
        <w:rPr>
          <w:noProof/>
        </w:rPr>
        <w:t>zególności uwzględnią ten scenariusz</w:t>
      </w:r>
      <w:r w:rsidR="00987DDC" w:rsidRPr="00987DDC">
        <w:rPr>
          <w:noProof/>
        </w:rPr>
        <w:t xml:space="preserve"> i</w:t>
      </w:r>
      <w:r w:rsidR="00987DDC">
        <w:rPr>
          <w:noProof/>
        </w:rPr>
        <w:t> </w:t>
      </w:r>
      <w:r w:rsidR="00987DDC" w:rsidRPr="00987DDC">
        <w:rPr>
          <w:noProof/>
        </w:rPr>
        <w:t>w</w:t>
      </w:r>
      <w:r w:rsidR="00987DDC">
        <w:rPr>
          <w:noProof/>
        </w:rPr>
        <w:t> </w:t>
      </w:r>
      <w:r w:rsidR="00987DDC" w:rsidRPr="00987DDC">
        <w:rPr>
          <w:noProof/>
        </w:rPr>
        <w:t>peł</w:t>
      </w:r>
      <w:r w:rsidRPr="00987DDC">
        <w:rPr>
          <w:noProof/>
        </w:rPr>
        <w:t>ni uwzględnią wymogi, które mają już bezpośrednie zastosowanie do tych administratorów</w:t>
      </w:r>
      <w:r w:rsidR="00987DDC" w:rsidRPr="00987DDC">
        <w:rPr>
          <w:noProof/>
        </w:rPr>
        <w:t xml:space="preserve"> i</w:t>
      </w:r>
      <w:r w:rsidR="00987DDC">
        <w:rPr>
          <w:noProof/>
        </w:rPr>
        <w:t> </w:t>
      </w:r>
      <w:r w:rsidR="00987DDC" w:rsidRPr="00987DDC">
        <w:rPr>
          <w:noProof/>
        </w:rPr>
        <w:t>pod</w:t>
      </w:r>
      <w:r w:rsidRPr="00987DDC">
        <w:rPr>
          <w:noProof/>
        </w:rPr>
        <w:t>miotów przetwarzających na podstawie RODO (</w:t>
      </w:r>
      <w:r w:rsidRPr="00987DDC">
        <w:rPr>
          <w:rStyle w:val="FootnoteReference"/>
          <w:noProof/>
        </w:rPr>
        <w:footnoteReference w:id="185"/>
      </w:r>
      <w:r w:rsidRPr="00987DDC">
        <w:rPr>
          <w:noProof/>
        </w:rPr>
        <w:t>).</w:t>
      </w:r>
    </w:p>
    <w:p w14:paraId="524A8A4C" w14:textId="4F77BE58" w:rsidR="00672C86" w:rsidRPr="00987DDC" w:rsidRDefault="007D2469" w:rsidP="00DD7FA3">
      <w:pPr>
        <w:pStyle w:val="Text3"/>
        <w:ind w:left="0"/>
        <w:rPr>
          <w:noProof/>
        </w:rPr>
      </w:pPr>
      <w:r w:rsidRPr="00987DDC">
        <w:rPr>
          <w:noProof/>
        </w:rPr>
        <w:t>Jak uznają również różne zainteresowane strony (</w:t>
      </w:r>
      <w:r w:rsidRPr="00987DDC">
        <w:rPr>
          <w:rStyle w:val="FootnoteReference"/>
          <w:noProof/>
        </w:rPr>
        <w:footnoteReference w:id="186"/>
      </w:r>
      <w:r w:rsidRPr="00987DDC">
        <w:rPr>
          <w:noProof/>
        </w:rPr>
        <w:t>), klauzule wzorcowe odgrywają coraz większą rolę</w:t>
      </w:r>
      <w:r w:rsidR="00987DDC" w:rsidRPr="00987DDC">
        <w:rPr>
          <w:noProof/>
        </w:rPr>
        <w:t xml:space="preserve"> w</w:t>
      </w:r>
      <w:r w:rsidR="00987DDC">
        <w:rPr>
          <w:noProof/>
        </w:rPr>
        <w:t> </w:t>
      </w:r>
      <w:r w:rsidR="00987DDC" w:rsidRPr="00987DDC">
        <w:rPr>
          <w:noProof/>
        </w:rPr>
        <w:t>uła</w:t>
      </w:r>
      <w:r w:rsidRPr="00987DDC">
        <w:rPr>
          <w:noProof/>
        </w:rPr>
        <w:t>twianiu przepływu danych na całym świecie. Kilka jurysdykcji zatwierdziło unijne standardowe klauzule umowne jako mechanizm przekazywania na podstawie ich własnych przepisów</w:t>
      </w:r>
      <w:r w:rsidR="00987DDC" w:rsidRPr="00987DDC">
        <w:rPr>
          <w:noProof/>
        </w:rPr>
        <w:t xml:space="preserve"> o</w:t>
      </w:r>
      <w:r w:rsidR="00987DDC">
        <w:rPr>
          <w:noProof/>
        </w:rPr>
        <w:t> </w:t>
      </w:r>
      <w:r w:rsidR="00987DDC" w:rsidRPr="00987DDC">
        <w:rPr>
          <w:noProof/>
        </w:rPr>
        <w:t>och</w:t>
      </w:r>
      <w:r w:rsidRPr="00987DDC">
        <w:rPr>
          <w:noProof/>
        </w:rPr>
        <w:t>ronie danych,</w:t>
      </w:r>
      <w:r w:rsidR="00987DDC" w:rsidRPr="00987DDC">
        <w:rPr>
          <w:noProof/>
        </w:rPr>
        <w:t xml:space="preserve"> z</w:t>
      </w:r>
      <w:r w:rsidR="00987DDC">
        <w:rPr>
          <w:noProof/>
        </w:rPr>
        <w:t> </w:t>
      </w:r>
      <w:r w:rsidR="00987DDC" w:rsidRPr="00987DDC">
        <w:rPr>
          <w:noProof/>
        </w:rPr>
        <w:t>nie</w:t>
      </w:r>
      <w:r w:rsidRPr="00987DDC">
        <w:rPr>
          <w:noProof/>
        </w:rPr>
        <w:t>wielkimi dostosowaniami formalnymi do krajowego porządku prawnego (</w:t>
      </w:r>
      <w:r w:rsidRPr="00987DDC">
        <w:rPr>
          <w:rStyle w:val="FootnoteReference"/>
          <w:noProof/>
        </w:rPr>
        <w:footnoteReference w:id="187"/>
      </w:r>
      <w:r w:rsidRPr="00987DDC">
        <w:rPr>
          <w:noProof/>
        </w:rPr>
        <w:t>). Niektóre inne państwa trzecie przyjęły własne klauzule wzorcowe, które mają istotne cechy wspólne</w:t>
      </w:r>
      <w:r w:rsidR="00987DDC" w:rsidRPr="00987DDC">
        <w:rPr>
          <w:noProof/>
        </w:rPr>
        <w:t xml:space="preserve"> z</w:t>
      </w:r>
      <w:r w:rsidR="00987DDC">
        <w:rPr>
          <w:noProof/>
        </w:rPr>
        <w:t> </w:t>
      </w:r>
      <w:r w:rsidR="00987DDC" w:rsidRPr="00987DDC">
        <w:rPr>
          <w:noProof/>
        </w:rPr>
        <w:t>uni</w:t>
      </w:r>
      <w:r w:rsidRPr="00987DDC">
        <w:rPr>
          <w:noProof/>
        </w:rPr>
        <w:t>jnymi standardowymi klauzulami umownymi (</w:t>
      </w:r>
      <w:r w:rsidRPr="00987DDC">
        <w:rPr>
          <w:rStyle w:val="FootnoteReference"/>
          <w:noProof/>
        </w:rPr>
        <w:footnoteReference w:id="188"/>
      </w:r>
      <w:r w:rsidRPr="00987DDC">
        <w:rPr>
          <w:noProof/>
        </w:rPr>
        <w:t>). Trafnym przykładem jest opracowanie klauzul wzorcowych przez inne międzynarodowe/regionalne organizacje lub sieci, takie jak komitet doradczy Konwencji nr</w:t>
      </w:r>
      <w:r w:rsidR="00987DDC" w:rsidRPr="00987DDC">
        <w:rPr>
          <w:noProof/>
        </w:rPr>
        <w:t> </w:t>
      </w:r>
      <w:r w:rsidRPr="00987DDC">
        <w:rPr>
          <w:noProof/>
        </w:rPr>
        <w:t>108 Rady Europy, Iberoamerykańska Sieć Ochrony Danych oraz Stowarzyszenie Narodów Azji Południowo-Wschodniej (ASEAN) (</w:t>
      </w:r>
      <w:r w:rsidRPr="00987DDC">
        <w:rPr>
          <w:rStyle w:val="FootnoteReference"/>
          <w:noProof/>
        </w:rPr>
        <w:footnoteReference w:id="189"/>
      </w:r>
      <w:r w:rsidRPr="00987DDC">
        <w:rPr>
          <w:noProof/>
        </w:rPr>
        <w:t>). Otwiera to nowe możliwości ułatwiania przepływu danych między różnymi regionami świata na podstawie klauzul wzorcowych. Konkretnym przykładem jest przewodnik UE-ASEAN dotyczący standardowych klauzul umownych UE</w:t>
      </w:r>
      <w:r w:rsidR="00987DDC" w:rsidRPr="00987DDC">
        <w:rPr>
          <w:noProof/>
        </w:rPr>
        <w:t xml:space="preserve"> i</w:t>
      </w:r>
      <w:r w:rsidR="00987DDC">
        <w:rPr>
          <w:noProof/>
        </w:rPr>
        <w:t> </w:t>
      </w:r>
      <w:r w:rsidR="00987DDC" w:rsidRPr="00987DDC">
        <w:rPr>
          <w:noProof/>
        </w:rPr>
        <w:t>kla</w:t>
      </w:r>
      <w:r w:rsidRPr="00987DDC">
        <w:rPr>
          <w:noProof/>
        </w:rPr>
        <w:t>uzul wzorcowych ASEAN, który – opracowany</w:t>
      </w:r>
      <w:r w:rsidR="00987DDC" w:rsidRPr="00987DDC">
        <w:rPr>
          <w:noProof/>
        </w:rPr>
        <w:t xml:space="preserve"> w</w:t>
      </w:r>
      <w:r w:rsidR="00987DDC">
        <w:rPr>
          <w:noProof/>
        </w:rPr>
        <w:t> </w:t>
      </w:r>
      <w:r w:rsidR="00987DDC" w:rsidRPr="00987DDC">
        <w:rPr>
          <w:noProof/>
        </w:rPr>
        <w:t>opa</w:t>
      </w:r>
      <w:r w:rsidRPr="00987DDC">
        <w:rPr>
          <w:noProof/>
        </w:rPr>
        <w:t>rciu</w:t>
      </w:r>
      <w:r w:rsidR="00987DDC" w:rsidRPr="00987DDC">
        <w:rPr>
          <w:noProof/>
        </w:rPr>
        <w:t xml:space="preserve"> o</w:t>
      </w:r>
      <w:r w:rsidR="00987DDC">
        <w:rPr>
          <w:noProof/>
        </w:rPr>
        <w:t> </w:t>
      </w:r>
      <w:r w:rsidR="00987DDC" w:rsidRPr="00987DDC">
        <w:rPr>
          <w:noProof/>
        </w:rPr>
        <w:t>wkł</w:t>
      </w:r>
      <w:r w:rsidRPr="00987DDC">
        <w:rPr>
          <w:noProof/>
        </w:rPr>
        <w:t>ad przedsiębiorstw – wspomaga ich wysiłki</w:t>
      </w:r>
      <w:r w:rsidR="00987DDC" w:rsidRPr="00987DDC">
        <w:rPr>
          <w:noProof/>
        </w:rPr>
        <w:t xml:space="preserve"> w</w:t>
      </w:r>
      <w:r w:rsidR="00987DDC">
        <w:rPr>
          <w:noProof/>
        </w:rPr>
        <w:t> </w:t>
      </w:r>
      <w:r w:rsidR="00987DDC" w:rsidRPr="00987DDC">
        <w:rPr>
          <w:noProof/>
        </w:rPr>
        <w:t>cel</w:t>
      </w:r>
      <w:r w:rsidRPr="00987DDC">
        <w:rPr>
          <w:noProof/>
        </w:rPr>
        <w:t>u przestrzegania przepisów</w:t>
      </w:r>
      <w:r w:rsidR="00987DDC" w:rsidRPr="00987DDC">
        <w:rPr>
          <w:noProof/>
        </w:rPr>
        <w:t xml:space="preserve"> w</w:t>
      </w:r>
      <w:r w:rsidR="00987DDC">
        <w:rPr>
          <w:noProof/>
        </w:rPr>
        <w:t> </w:t>
      </w:r>
      <w:r w:rsidR="00987DDC" w:rsidRPr="00987DDC">
        <w:rPr>
          <w:noProof/>
        </w:rPr>
        <w:t>ram</w:t>
      </w:r>
      <w:r w:rsidRPr="00987DDC">
        <w:rPr>
          <w:noProof/>
        </w:rPr>
        <w:t>ach obu zestawów klauzul (</w:t>
      </w:r>
      <w:r w:rsidRPr="00987DDC">
        <w:rPr>
          <w:rStyle w:val="FootnoteReference"/>
          <w:noProof/>
        </w:rPr>
        <w:footnoteReference w:id="190"/>
      </w:r>
      <w:r w:rsidRPr="00987DDC">
        <w:rPr>
          <w:noProof/>
        </w:rPr>
        <w:t xml:space="preserve">). </w:t>
      </w:r>
    </w:p>
    <w:p w14:paraId="17EA16F7" w14:textId="01D9C3A6" w:rsidR="003C092D" w:rsidRPr="00987DDC" w:rsidRDefault="001142D9" w:rsidP="00DD7FA3">
      <w:pPr>
        <w:pStyle w:val="Text3"/>
        <w:ind w:left="0"/>
        <w:rPr>
          <w:noProof/>
        </w:rPr>
      </w:pPr>
      <w:r w:rsidRPr="00987DDC">
        <w:rPr>
          <w:noProof/>
        </w:rPr>
        <w:t>Oprócz standardowych klauzul umownych wiążące reguły korporacyjne są nadal powszechnie stosowane do przepływów danych między członkami grup przedsiębiorstw lub między przedsiębiorstwami prowadzącymi wspólną działalność gospodarczą. Odkąd obowiązuje RODO, EROD przyjęła 80 pozytywnych opinii</w:t>
      </w:r>
      <w:r w:rsidR="00987DDC" w:rsidRPr="00987DDC">
        <w:rPr>
          <w:noProof/>
        </w:rPr>
        <w:t xml:space="preserve"> w</w:t>
      </w:r>
      <w:r w:rsidR="00987DDC">
        <w:rPr>
          <w:noProof/>
        </w:rPr>
        <w:t> </w:t>
      </w:r>
      <w:r w:rsidR="00987DDC" w:rsidRPr="00987DDC">
        <w:rPr>
          <w:noProof/>
        </w:rPr>
        <w:t>spr</w:t>
      </w:r>
      <w:r w:rsidRPr="00987DDC">
        <w:rPr>
          <w:noProof/>
        </w:rPr>
        <w:t>awie krajowych decyzji zatwierdzających wiążące reguły korporacyjne (</w:t>
      </w:r>
      <w:r w:rsidRPr="00987DDC">
        <w:rPr>
          <w:rStyle w:val="FootnoteReference"/>
          <w:noProof/>
        </w:rPr>
        <w:footnoteReference w:id="191"/>
      </w:r>
      <w:r w:rsidRPr="00987DDC">
        <w:rPr>
          <w:noProof/>
        </w:rPr>
        <w:t>). EROD wydała również wytyczne dotyczące elementów, które należy uwzględnić</w:t>
      </w:r>
      <w:r w:rsidR="00987DDC" w:rsidRPr="00987DDC">
        <w:rPr>
          <w:noProof/>
        </w:rPr>
        <w:t xml:space="preserve"> w</w:t>
      </w:r>
      <w:r w:rsidR="00987DDC">
        <w:rPr>
          <w:noProof/>
        </w:rPr>
        <w:t> </w:t>
      </w:r>
      <w:r w:rsidR="00987DDC" w:rsidRPr="00987DDC">
        <w:rPr>
          <w:noProof/>
        </w:rPr>
        <w:t>wią</w:t>
      </w:r>
      <w:r w:rsidRPr="00987DDC">
        <w:rPr>
          <w:noProof/>
        </w:rPr>
        <w:t>żących regułach korporacyjnych dla administratorów danych (oraz informacji, które należy przekazać</w:t>
      </w:r>
      <w:r w:rsidR="00987DDC" w:rsidRPr="00987DDC">
        <w:rPr>
          <w:noProof/>
        </w:rPr>
        <w:t xml:space="preserve"> w</w:t>
      </w:r>
      <w:r w:rsidR="00987DDC">
        <w:rPr>
          <w:noProof/>
        </w:rPr>
        <w:t> </w:t>
      </w:r>
      <w:r w:rsidR="00987DDC" w:rsidRPr="00987DDC">
        <w:rPr>
          <w:noProof/>
        </w:rPr>
        <w:t>ram</w:t>
      </w:r>
      <w:r w:rsidRPr="00987DDC">
        <w:rPr>
          <w:noProof/>
        </w:rPr>
        <w:t>ach stosowania wiążących reguł korporacyjnych), zaktualizowanych do wymogów RODO</w:t>
      </w:r>
      <w:r w:rsidR="00987DDC" w:rsidRPr="00987DDC">
        <w:rPr>
          <w:noProof/>
        </w:rPr>
        <w:t xml:space="preserve"> i</w:t>
      </w:r>
      <w:r w:rsidR="00987DDC">
        <w:rPr>
          <w:noProof/>
        </w:rPr>
        <w:t> </w:t>
      </w:r>
      <w:r w:rsidR="00987DDC" w:rsidRPr="00987DDC">
        <w:rPr>
          <w:noProof/>
        </w:rPr>
        <w:t>wyr</w:t>
      </w:r>
      <w:r w:rsidRPr="00987DDC">
        <w:rPr>
          <w:noProof/>
        </w:rPr>
        <w:t>oku</w:t>
      </w:r>
      <w:r w:rsidR="00987DDC" w:rsidRPr="00987DDC">
        <w:rPr>
          <w:noProof/>
        </w:rPr>
        <w:t xml:space="preserve"> w</w:t>
      </w:r>
      <w:r w:rsidR="00987DDC">
        <w:rPr>
          <w:noProof/>
        </w:rPr>
        <w:t> </w:t>
      </w:r>
      <w:r w:rsidR="00987DDC" w:rsidRPr="00987DDC">
        <w:rPr>
          <w:noProof/>
        </w:rPr>
        <w:t>spr</w:t>
      </w:r>
      <w:r w:rsidRPr="00987DDC">
        <w:rPr>
          <w:noProof/>
        </w:rPr>
        <w:t>awie Schrems II (</w:t>
      </w:r>
      <w:r w:rsidRPr="00987DDC">
        <w:rPr>
          <w:rStyle w:val="FootnoteReference"/>
          <w:noProof/>
        </w:rPr>
        <w:footnoteReference w:id="192"/>
      </w:r>
      <w:r w:rsidRPr="00987DDC">
        <w:rPr>
          <w:noProof/>
        </w:rPr>
        <w:t>). Trwają również prace nad aktualizacją wytycznych dotyczących wiążących reguł korporacyjnych dla podmiotów przetwarzających dane (</w:t>
      </w:r>
      <w:r w:rsidRPr="00987DDC">
        <w:rPr>
          <w:rStyle w:val="FootnoteReference"/>
          <w:noProof/>
        </w:rPr>
        <w:footnoteReference w:id="193"/>
      </w:r>
      <w:r w:rsidRPr="00987DDC">
        <w:rPr>
          <w:noProof/>
        </w:rPr>
        <w:t>). Ponieważ wiążące reguły korporacyjne mają na celu przyjęcie wiążących polityk/programów ochrony danych</w:t>
      </w:r>
      <w:r w:rsidR="00987DDC" w:rsidRPr="00987DDC">
        <w:rPr>
          <w:noProof/>
        </w:rPr>
        <w:t xml:space="preserve"> w</w:t>
      </w:r>
      <w:r w:rsidR="00987DDC">
        <w:rPr>
          <w:noProof/>
        </w:rPr>
        <w:t> </w:t>
      </w:r>
      <w:r w:rsidR="00987DDC" w:rsidRPr="00987DDC">
        <w:rPr>
          <w:noProof/>
        </w:rPr>
        <w:t>prz</w:t>
      </w:r>
      <w:r w:rsidRPr="00987DDC">
        <w:rPr>
          <w:noProof/>
        </w:rPr>
        <w:t>edsiębiorstwach, wiele zainteresowanych stron uważa je za szczególnie przydatne narzędzie służące przestrzeganiu przepisów oraz wiarygodny instrument do przekazywania danych (</w:t>
      </w:r>
      <w:r w:rsidRPr="00987DDC">
        <w:rPr>
          <w:rStyle w:val="FootnoteReference"/>
          <w:noProof/>
        </w:rPr>
        <w:footnoteReference w:id="194"/>
      </w:r>
      <w:r w:rsidRPr="00987DDC">
        <w:rPr>
          <w:noProof/>
        </w:rPr>
        <w:t>). Jednocześnie zainteresowane strony wciąż donoszą, że czas trwania</w:t>
      </w:r>
      <w:r w:rsidR="00987DDC" w:rsidRPr="00987DDC">
        <w:rPr>
          <w:noProof/>
        </w:rPr>
        <w:t xml:space="preserve"> i</w:t>
      </w:r>
      <w:r w:rsidR="00987DDC">
        <w:rPr>
          <w:noProof/>
        </w:rPr>
        <w:t> </w:t>
      </w:r>
      <w:r w:rsidR="00987DDC" w:rsidRPr="00987DDC">
        <w:rPr>
          <w:noProof/>
        </w:rPr>
        <w:t>zło</w:t>
      </w:r>
      <w:r w:rsidRPr="00987DDC">
        <w:rPr>
          <w:noProof/>
        </w:rPr>
        <w:t>żoność procesu zatwierdzania przez krajowe organy ochrony danych uniemożliwiają szersze stosowanie wiążących reguł korporacyjnych. Ważne jest zatem, aby władze kontynuowały prace nad usprawnieniem</w:t>
      </w:r>
      <w:r w:rsidR="00987DDC" w:rsidRPr="00987DDC">
        <w:rPr>
          <w:noProof/>
        </w:rPr>
        <w:t xml:space="preserve"> i</w:t>
      </w:r>
      <w:r w:rsidR="00987DDC">
        <w:rPr>
          <w:noProof/>
        </w:rPr>
        <w:t> </w:t>
      </w:r>
      <w:r w:rsidR="00987DDC" w:rsidRPr="00987DDC">
        <w:rPr>
          <w:noProof/>
        </w:rPr>
        <w:t>skr</w:t>
      </w:r>
      <w:r w:rsidRPr="00987DDC">
        <w:rPr>
          <w:noProof/>
        </w:rPr>
        <w:t xml:space="preserve">óceniem procesu zatwierdzania. </w:t>
      </w:r>
    </w:p>
    <w:p w14:paraId="597867F5" w14:textId="604DB3E4" w:rsidR="00EE7B55" w:rsidRPr="00987DDC" w:rsidRDefault="00EE7B55" w:rsidP="00DD7FA3">
      <w:pPr>
        <w:pStyle w:val="Text3"/>
        <w:ind w:left="0"/>
        <w:rPr>
          <w:noProof/>
        </w:rPr>
      </w:pPr>
      <w:r w:rsidRPr="00987DDC">
        <w:rPr>
          <w:noProof/>
        </w:rPr>
        <w:t>Od czasu sprawozdania</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r. podjęto również kroki</w:t>
      </w:r>
      <w:r w:rsidR="00987DDC" w:rsidRPr="00987DDC">
        <w:rPr>
          <w:noProof/>
        </w:rPr>
        <w:t xml:space="preserve"> w</w:t>
      </w:r>
      <w:r w:rsidR="00987DDC">
        <w:rPr>
          <w:noProof/>
        </w:rPr>
        <w:t> </w:t>
      </w:r>
      <w:r w:rsidR="00987DDC" w:rsidRPr="00987DDC">
        <w:rPr>
          <w:noProof/>
        </w:rPr>
        <w:t>cel</w:t>
      </w:r>
      <w:r w:rsidRPr="00987DDC">
        <w:rPr>
          <w:noProof/>
        </w:rPr>
        <w:t>u ułatwienia stosowania certyfikacji</w:t>
      </w:r>
      <w:r w:rsidR="00987DDC" w:rsidRPr="00987DDC">
        <w:rPr>
          <w:noProof/>
        </w:rPr>
        <w:t xml:space="preserve"> i</w:t>
      </w:r>
      <w:r w:rsidR="00987DDC">
        <w:rPr>
          <w:noProof/>
        </w:rPr>
        <w:t> </w:t>
      </w:r>
      <w:r w:rsidR="00987DDC" w:rsidRPr="00987DDC">
        <w:rPr>
          <w:noProof/>
        </w:rPr>
        <w:t>kod</w:t>
      </w:r>
      <w:r w:rsidRPr="00987DDC">
        <w:rPr>
          <w:noProof/>
        </w:rPr>
        <w:t>eksów postępowania jako narzędzi do przekazywania danych, np. EROD przyjęła specjalne wytyczne dotyczące obu narzędzi (</w:t>
      </w:r>
      <w:r w:rsidRPr="00987DDC">
        <w:rPr>
          <w:rStyle w:val="FootnoteReference"/>
          <w:noProof/>
        </w:rPr>
        <w:footnoteReference w:id="195"/>
      </w:r>
      <w:r w:rsidRPr="00987DDC">
        <w:rPr>
          <w:noProof/>
        </w:rPr>
        <w:t>). Jednocześnie zainteresowane strony zgłaszają te same kwestie dotyczące terminów</w:t>
      </w:r>
      <w:r w:rsidR="00987DDC" w:rsidRPr="00987DDC">
        <w:rPr>
          <w:noProof/>
        </w:rPr>
        <w:t xml:space="preserve"> i</w:t>
      </w:r>
      <w:r w:rsidR="00987DDC">
        <w:rPr>
          <w:noProof/>
        </w:rPr>
        <w:t> </w:t>
      </w:r>
      <w:r w:rsidR="00987DDC" w:rsidRPr="00987DDC">
        <w:rPr>
          <w:noProof/>
        </w:rPr>
        <w:t>zło</w:t>
      </w:r>
      <w:r w:rsidRPr="00987DDC">
        <w:rPr>
          <w:noProof/>
        </w:rPr>
        <w:t>żoności procesu zatwierdzania, które wymieniono powyżej</w:t>
      </w:r>
      <w:r w:rsidR="00987DDC" w:rsidRPr="00987DDC">
        <w:rPr>
          <w:noProof/>
        </w:rPr>
        <w:t xml:space="preserve"> w</w:t>
      </w:r>
      <w:r w:rsidR="00987DDC">
        <w:rPr>
          <w:noProof/>
        </w:rPr>
        <w:t> </w:t>
      </w:r>
      <w:r w:rsidR="00987DDC" w:rsidRPr="00987DDC">
        <w:rPr>
          <w:noProof/>
        </w:rPr>
        <w:t>odn</w:t>
      </w:r>
      <w:r w:rsidRPr="00987DDC">
        <w:rPr>
          <w:noProof/>
        </w:rPr>
        <w:t>iesieniu do certyfikacji</w:t>
      </w:r>
      <w:r w:rsidR="00987DDC" w:rsidRPr="00987DDC">
        <w:rPr>
          <w:noProof/>
        </w:rPr>
        <w:t xml:space="preserve"> i</w:t>
      </w:r>
      <w:r w:rsidR="00987DDC">
        <w:rPr>
          <w:noProof/>
        </w:rPr>
        <w:t> </w:t>
      </w:r>
      <w:r w:rsidR="00987DDC" w:rsidRPr="00987DDC">
        <w:rPr>
          <w:noProof/>
        </w:rPr>
        <w:t>kod</w:t>
      </w:r>
      <w:r w:rsidRPr="00987DDC">
        <w:rPr>
          <w:noProof/>
        </w:rPr>
        <w:t xml:space="preserve">eksów postępowania jako narzędzi rozliczalności. </w:t>
      </w:r>
    </w:p>
    <w:p w14:paraId="5B68294B" w14:textId="3151178D" w:rsidR="0017263F" w:rsidRPr="00987DDC" w:rsidRDefault="00ED4845" w:rsidP="00DD7FA3">
      <w:pPr>
        <w:pStyle w:val="Text3"/>
        <w:ind w:left="0"/>
        <w:rPr>
          <w:noProof/>
        </w:rPr>
      </w:pPr>
      <w:r w:rsidRPr="00987DDC">
        <w:rPr>
          <w:noProof/>
        </w:rPr>
        <w:t>W RODO przewidziano również konkretne instrumenty – umowy międzynarodowe</w:t>
      </w:r>
      <w:r w:rsidR="00987DDC" w:rsidRPr="00987DDC">
        <w:rPr>
          <w:noProof/>
        </w:rPr>
        <w:t xml:space="preserve"> i</w:t>
      </w:r>
      <w:r w:rsidR="00987DDC">
        <w:rPr>
          <w:noProof/>
        </w:rPr>
        <w:t> </w:t>
      </w:r>
      <w:r w:rsidR="00987DDC" w:rsidRPr="00987DDC">
        <w:rPr>
          <w:noProof/>
        </w:rPr>
        <w:t>uzg</w:t>
      </w:r>
      <w:r w:rsidRPr="00987DDC">
        <w:rPr>
          <w:noProof/>
        </w:rPr>
        <w:t>odnienia administracyjne zatwierdzane przez organy ochrony danych – które mają służyć organom publicznym do przekazywania danych osobowych swoim odpowiednikom</w:t>
      </w:r>
      <w:r w:rsidR="00987DDC" w:rsidRPr="00987DDC">
        <w:rPr>
          <w:noProof/>
        </w:rPr>
        <w:t xml:space="preserve"> w</w:t>
      </w:r>
      <w:r w:rsidR="00987DDC">
        <w:rPr>
          <w:noProof/>
        </w:rPr>
        <w:t> </w:t>
      </w:r>
      <w:r w:rsidR="00987DDC" w:rsidRPr="00987DDC">
        <w:rPr>
          <w:noProof/>
        </w:rPr>
        <w:t>pań</w:t>
      </w:r>
      <w:r w:rsidRPr="00987DDC">
        <w:rPr>
          <w:noProof/>
        </w:rPr>
        <w:t>stwach trzecich lub organizacjom międzynarodowym. EROD przyjęła wytyczne dotyczące zabezpieczeń mogących wspierać negocjowanie takich umów</w:t>
      </w:r>
      <w:r w:rsidR="00987DDC" w:rsidRPr="00987DDC">
        <w:rPr>
          <w:noProof/>
        </w:rPr>
        <w:t xml:space="preserve"> i</w:t>
      </w:r>
      <w:r w:rsidR="00987DDC">
        <w:rPr>
          <w:noProof/>
        </w:rPr>
        <w:t> </w:t>
      </w:r>
      <w:r w:rsidR="00987DDC" w:rsidRPr="00987DDC">
        <w:rPr>
          <w:noProof/>
        </w:rPr>
        <w:t>uzg</w:t>
      </w:r>
      <w:r w:rsidRPr="00987DDC">
        <w:rPr>
          <w:noProof/>
        </w:rPr>
        <w:t>odnień, które należy uwzględnić</w:t>
      </w:r>
      <w:r w:rsidR="00987DDC" w:rsidRPr="00987DDC">
        <w:rPr>
          <w:noProof/>
        </w:rPr>
        <w:t xml:space="preserve"> w</w:t>
      </w:r>
      <w:r w:rsidR="00987DDC">
        <w:rPr>
          <w:noProof/>
        </w:rPr>
        <w:t> </w:t>
      </w:r>
      <w:r w:rsidR="00987DDC" w:rsidRPr="00987DDC">
        <w:rPr>
          <w:noProof/>
        </w:rPr>
        <w:t>tak</w:t>
      </w:r>
      <w:r w:rsidRPr="00987DDC">
        <w:rPr>
          <w:noProof/>
        </w:rPr>
        <w:t>ich instrumentach (</w:t>
      </w:r>
      <w:r w:rsidRPr="00987DDC">
        <w:rPr>
          <w:rStyle w:val="FootnoteReference"/>
          <w:noProof/>
        </w:rPr>
        <w:footnoteReference w:id="196"/>
      </w:r>
      <w:r w:rsidRPr="00987DDC">
        <w:rPr>
          <w:noProof/>
        </w:rPr>
        <w:t xml:space="preserve">). </w:t>
      </w:r>
    </w:p>
    <w:p w14:paraId="37465F6E" w14:textId="637D9455" w:rsidR="00D822E1" w:rsidRPr="00987DDC" w:rsidRDefault="00D822E1" w:rsidP="000E65C1">
      <w:pPr>
        <w:pStyle w:val="Heading3"/>
        <w:rPr>
          <w:noProof/>
        </w:rPr>
      </w:pPr>
      <w:r w:rsidRPr="00987DDC">
        <w:rPr>
          <w:noProof/>
        </w:rPr>
        <w:t>Zapewnienie komplementarności</w:t>
      </w:r>
      <w:r w:rsidR="00987DDC" w:rsidRPr="00987DDC">
        <w:rPr>
          <w:noProof/>
        </w:rPr>
        <w:t xml:space="preserve"> z</w:t>
      </w:r>
      <w:r w:rsidR="00987DDC">
        <w:rPr>
          <w:noProof/>
        </w:rPr>
        <w:t> </w:t>
      </w:r>
      <w:r w:rsidR="00987DDC" w:rsidRPr="00987DDC">
        <w:rPr>
          <w:noProof/>
        </w:rPr>
        <w:t>inn</w:t>
      </w:r>
      <w:r w:rsidRPr="00987DDC">
        <w:rPr>
          <w:noProof/>
        </w:rPr>
        <w:t>ymi politykami</w:t>
      </w:r>
    </w:p>
    <w:p w14:paraId="63CEF934" w14:textId="2841B7EB" w:rsidR="00A97238" w:rsidRPr="00987DDC" w:rsidRDefault="00A97238" w:rsidP="00DD7FA3">
      <w:pPr>
        <w:pStyle w:val="Text3"/>
        <w:ind w:left="0"/>
        <w:rPr>
          <w:noProof/>
        </w:rPr>
      </w:pPr>
      <w:r w:rsidRPr="00987DDC">
        <w:rPr>
          <w:noProof/>
        </w:rPr>
        <w:t>Ponieważ przepływy danych stały się niezbędne dla tak wielu działań, kluczowe znaczenie ma zapewnienie komplementarności polityki ochrony danych</w:t>
      </w:r>
      <w:r w:rsidR="00987DDC" w:rsidRPr="00987DDC">
        <w:rPr>
          <w:noProof/>
        </w:rPr>
        <w:t xml:space="preserve"> z</w:t>
      </w:r>
      <w:r w:rsidR="00987DDC">
        <w:rPr>
          <w:noProof/>
        </w:rPr>
        <w:t> </w:t>
      </w:r>
      <w:r w:rsidR="00987DDC" w:rsidRPr="00987DDC">
        <w:rPr>
          <w:noProof/>
        </w:rPr>
        <w:t>inn</w:t>
      </w:r>
      <w:r w:rsidRPr="00987DDC">
        <w:rPr>
          <w:noProof/>
        </w:rPr>
        <w:t>ymi politykami. Zapewnienie zabezpieczeń</w:t>
      </w:r>
      <w:r w:rsidR="00987DDC" w:rsidRPr="00987DDC">
        <w:rPr>
          <w:noProof/>
        </w:rPr>
        <w:t xml:space="preserve"> w</w:t>
      </w:r>
      <w:r w:rsidR="00987DDC">
        <w:rPr>
          <w:noProof/>
        </w:rPr>
        <w:t> </w:t>
      </w:r>
      <w:r w:rsidR="00987DDC" w:rsidRPr="00987DDC">
        <w:rPr>
          <w:noProof/>
        </w:rPr>
        <w:t>zak</w:t>
      </w:r>
      <w:r w:rsidRPr="00987DDC">
        <w:rPr>
          <w:noProof/>
        </w:rPr>
        <w:t>resie ochrony danych</w:t>
      </w:r>
      <w:r w:rsidR="00987DDC" w:rsidRPr="00987DDC">
        <w:rPr>
          <w:noProof/>
        </w:rPr>
        <w:t xml:space="preserve"> w</w:t>
      </w:r>
      <w:r w:rsidR="00987DDC">
        <w:rPr>
          <w:noProof/>
        </w:rPr>
        <w:t> </w:t>
      </w:r>
      <w:r w:rsidR="00987DDC" w:rsidRPr="00987DDC">
        <w:rPr>
          <w:noProof/>
        </w:rPr>
        <w:t>ins</w:t>
      </w:r>
      <w:r w:rsidRPr="00987DDC">
        <w:rPr>
          <w:noProof/>
        </w:rPr>
        <w:t>trumentach międzynarodowych jest często nie tylko warunkiem wstępnym przepływu danych, ale również ważnym czynnikiem umożliwiającym stabilną</w:t>
      </w:r>
      <w:r w:rsidR="00987DDC" w:rsidRPr="00987DDC">
        <w:rPr>
          <w:noProof/>
        </w:rPr>
        <w:t xml:space="preserve"> i</w:t>
      </w:r>
      <w:r w:rsidR="00987DDC">
        <w:rPr>
          <w:noProof/>
        </w:rPr>
        <w:t> </w:t>
      </w:r>
      <w:r w:rsidR="00987DDC" w:rsidRPr="00987DDC">
        <w:rPr>
          <w:noProof/>
        </w:rPr>
        <w:t>wia</w:t>
      </w:r>
      <w:r w:rsidRPr="00987DDC">
        <w:rPr>
          <w:noProof/>
        </w:rPr>
        <w:t xml:space="preserve">rygodną współpracę. </w:t>
      </w:r>
    </w:p>
    <w:p w14:paraId="580DDA9D" w14:textId="5088C9EB" w:rsidR="00D9635D" w:rsidRPr="00987DDC" w:rsidRDefault="00777353" w:rsidP="00DD7FA3">
      <w:pPr>
        <w:pStyle w:val="Text3"/>
        <w:ind w:left="0"/>
        <w:rPr>
          <w:noProof/>
        </w:rPr>
      </w:pPr>
      <w:r w:rsidRPr="00987DDC">
        <w:rPr>
          <w:noProof/>
        </w:rPr>
        <w:t>Na przykład umowy międzynarodowe przewidujące niezbędne zabezpieczenia</w:t>
      </w:r>
      <w:r w:rsidR="00987DDC" w:rsidRPr="00987DDC">
        <w:rPr>
          <w:noProof/>
        </w:rPr>
        <w:t xml:space="preserve"> w</w:t>
      </w:r>
      <w:r w:rsidR="00987DDC">
        <w:rPr>
          <w:noProof/>
        </w:rPr>
        <w:t> </w:t>
      </w:r>
      <w:r w:rsidR="00987DDC" w:rsidRPr="00987DDC">
        <w:rPr>
          <w:noProof/>
        </w:rPr>
        <w:t>zak</w:t>
      </w:r>
      <w:r w:rsidRPr="00987DDC">
        <w:rPr>
          <w:noProof/>
        </w:rPr>
        <w:t>resie ochrony danych, m.in. poprzez zapewnienie ciągłości ochrony po stronie organu wnioskującego, mają zasadnicze znaczenie dla zagwarantowania wzajemności oraz ułatwienia organom ścigania transgranicznego dostępu do elektronicznego materiału dowodowego będącego</w:t>
      </w:r>
      <w:r w:rsidR="00987DDC" w:rsidRPr="00987DDC">
        <w:rPr>
          <w:noProof/>
        </w:rPr>
        <w:t xml:space="preserve"> w</w:t>
      </w:r>
      <w:r w:rsidR="00987DDC">
        <w:rPr>
          <w:noProof/>
        </w:rPr>
        <w:t> </w:t>
      </w:r>
      <w:r w:rsidR="00987DDC" w:rsidRPr="00987DDC">
        <w:rPr>
          <w:noProof/>
        </w:rPr>
        <w:t>pos</w:t>
      </w:r>
      <w:r w:rsidRPr="00987DDC">
        <w:rPr>
          <w:noProof/>
        </w:rPr>
        <w:t>iadaniu przedsiębiorstw,</w:t>
      </w:r>
      <w:r w:rsidR="00987DDC" w:rsidRPr="00987DDC">
        <w:rPr>
          <w:noProof/>
        </w:rPr>
        <w:t xml:space="preserve"> a</w:t>
      </w:r>
      <w:r w:rsidR="00987DDC">
        <w:rPr>
          <w:noProof/>
        </w:rPr>
        <w:t> </w:t>
      </w:r>
      <w:r w:rsidR="00987DDC" w:rsidRPr="00987DDC">
        <w:rPr>
          <w:noProof/>
        </w:rPr>
        <w:t>tym</w:t>
      </w:r>
      <w:r w:rsidRPr="00987DDC">
        <w:rPr>
          <w:noProof/>
        </w:rPr>
        <w:t xml:space="preserve"> samym skuteczniejszej walki</w:t>
      </w:r>
      <w:r w:rsidR="00987DDC" w:rsidRPr="00987DDC">
        <w:rPr>
          <w:noProof/>
        </w:rPr>
        <w:t xml:space="preserve"> z</w:t>
      </w:r>
      <w:r w:rsidR="00987DDC">
        <w:rPr>
          <w:noProof/>
        </w:rPr>
        <w:t> </w:t>
      </w:r>
      <w:r w:rsidR="00987DDC" w:rsidRPr="00987DDC">
        <w:rPr>
          <w:noProof/>
        </w:rPr>
        <w:t>prz</w:t>
      </w:r>
      <w:r w:rsidRPr="00987DDC">
        <w:rPr>
          <w:noProof/>
        </w:rPr>
        <w:t>estępczością. Podejście to znajduje odzwierciedlenie</w:t>
      </w:r>
      <w:r w:rsidR="00987DDC" w:rsidRPr="00987DDC">
        <w:rPr>
          <w:noProof/>
        </w:rPr>
        <w:t xml:space="preserve"> w</w:t>
      </w:r>
      <w:r w:rsidR="00987DDC">
        <w:rPr>
          <w:noProof/>
        </w:rPr>
        <w:t> </w:t>
      </w:r>
      <w:r w:rsidR="00987DDC" w:rsidRPr="00987DDC">
        <w:rPr>
          <w:noProof/>
        </w:rPr>
        <w:t>dru</w:t>
      </w:r>
      <w:r w:rsidRPr="00987DDC">
        <w:rPr>
          <w:noProof/>
        </w:rPr>
        <w:t>gim protokole dodatkowym do Konwencji</w:t>
      </w:r>
      <w:r w:rsidR="00987DDC" w:rsidRPr="00987DDC">
        <w:rPr>
          <w:noProof/>
        </w:rPr>
        <w:t xml:space="preserve"> o</w:t>
      </w:r>
      <w:r w:rsidR="00987DDC">
        <w:rPr>
          <w:noProof/>
        </w:rPr>
        <w:t> </w:t>
      </w:r>
      <w:r w:rsidR="00987DDC" w:rsidRPr="00987DDC">
        <w:rPr>
          <w:noProof/>
        </w:rPr>
        <w:t>cyb</w:t>
      </w:r>
      <w:r w:rsidRPr="00987DDC">
        <w:rPr>
          <w:noProof/>
        </w:rPr>
        <w:t>erprzestępczości (</w:t>
      </w:r>
      <w:r w:rsidRPr="00987DDC">
        <w:rPr>
          <w:rStyle w:val="FootnoteReference"/>
          <w:noProof/>
        </w:rPr>
        <w:footnoteReference w:id="197"/>
      </w:r>
      <w:r w:rsidRPr="00987DDC">
        <w:rPr>
          <w:noProof/>
        </w:rPr>
        <w:t>), który wzmacnia istniejące zasady uzyskiwania transgranicznego dostępu do elektronicznego materiału dowodowego</w:t>
      </w:r>
      <w:r w:rsidR="00987DDC" w:rsidRPr="00987DDC">
        <w:rPr>
          <w:noProof/>
        </w:rPr>
        <w:t xml:space="preserve"> w</w:t>
      </w:r>
      <w:r w:rsidR="00987DDC">
        <w:rPr>
          <w:noProof/>
        </w:rPr>
        <w:t> </w:t>
      </w:r>
      <w:r w:rsidR="00987DDC" w:rsidRPr="00987DDC">
        <w:rPr>
          <w:noProof/>
        </w:rPr>
        <w:t>pos</w:t>
      </w:r>
      <w:r w:rsidRPr="00987DDC">
        <w:rPr>
          <w:noProof/>
        </w:rPr>
        <w:t>tępowaniach przygotowawczych, przy jednoczesnym zapewnieniu odpowiednich zabezpieczeń</w:t>
      </w:r>
      <w:r w:rsidR="00987DDC" w:rsidRPr="00987DDC">
        <w:rPr>
          <w:noProof/>
        </w:rPr>
        <w:t xml:space="preserve"> w</w:t>
      </w:r>
      <w:r w:rsidR="00987DDC">
        <w:rPr>
          <w:noProof/>
        </w:rPr>
        <w:t> </w:t>
      </w:r>
      <w:r w:rsidR="00987DDC" w:rsidRPr="00987DDC">
        <w:rPr>
          <w:noProof/>
        </w:rPr>
        <w:t>zak</w:t>
      </w:r>
      <w:r w:rsidRPr="00987DDC">
        <w:rPr>
          <w:noProof/>
        </w:rPr>
        <w:t>resie ochrony danych</w:t>
      </w:r>
      <w:r w:rsidR="00987DDC" w:rsidRPr="00987DDC">
        <w:rPr>
          <w:noProof/>
        </w:rPr>
        <w:t>. W</w:t>
      </w:r>
      <w:r w:rsidR="00987DDC">
        <w:rPr>
          <w:noProof/>
        </w:rPr>
        <w:t> </w:t>
      </w:r>
      <w:r w:rsidR="00987DDC" w:rsidRPr="00987DDC">
        <w:rPr>
          <w:noProof/>
        </w:rPr>
        <w:t>mię</w:t>
      </w:r>
      <w:r w:rsidRPr="00987DDC">
        <w:rPr>
          <w:noProof/>
        </w:rPr>
        <w:t>dzyczasie protokół podpisało kilka państw członkowskich UE. Trwają też negocjacje dwustronne między UE a USA</w:t>
      </w:r>
      <w:r w:rsidR="00987DDC" w:rsidRPr="00987DDC">
        <w:rPr>
          <w:noProof/>
        </w:rPr>
        <w:t xml:space="preserve"> w</w:t>
      </w:r>
      <w:r w:rsidR="00987DDC">
        <w:rPr>
          <w:noProof/>
        </w:rPr>
        <w:t> </w:t>
      </w:r>
      <w:r w:rsidR="00987DDC" w:rsidRPr="00987DDC">
        <w:rPr>
          <w:noProof/>
        </w:rPr>
        <w:t>spr</w:t>
      </w:r>
      <w:r w:rsidRPr="00987DDC">
        <w:rPr>
          <w:noProof/>
        </w:rPr>
        <w:t>awie umowy</w:t>
      </w:r>
      <w:r w:rsidR="00987DDC" w:rsidRPr="00987DDC">
        <w:rPr>
          <w:noProof/>
        </w:rPr>
        <w:t xml:space="preserve"> o</w:t>
      </w:r>
      <w:r w:rsidR="00987DDC">
        <w:rPr>
          <w:noProof/>
        </w:rPr>
        <w:t> </w:t>
      </w:r>
      <w:r w:rsidR="00987DDC" w:rsidRPr="00987DDC">
        <w:rPr>
          <w:noProof/>
        </w:rPr>
        <w:t>tra</w:t>
      </w:r>
      <w:r w:rsidRPr="00987DDC">
        <w:rPr>
          <w:noProof/>
        </w:rPr>
        <w:t>nsgranicznym dostępie do elektronicznego materiału dowodowego na potrzeby współpracy</w:t>
      </w:r>
      <w:r w:rsidR="00987DDC" w:rsidRPr="00987DDC">
        <w:rPr>
          <w:noProof/>
        </w:rPr>
        <w:t xml:space="preserve"> w</w:t>
      </w:r>
      <w:r w:rsidR="00987DDC">
        <w:rPr>
          <w:noProof/>
        </w:rPr>
        <w:t> </w:t>
      </w:r>
      <w:r w:rsidR="00987DDC" w:rsidRPr="00987DDC">
        <w:rPr>
          <w:noProof/>
        </w:rPr>
        <w:t>spr</w:t>
      </w:r>
      <w:r w:rsidRPr="00987DDC">
        <w:rPr>
          <w:noProof/>
        </w:rPr>
        <w:t>awach karnych (</w:t>
      </w:r>
      <w:r w:rsidRPr="00987DDC">
        <w:rPr>
          <w:rStyle w:val="FootnoteReference"/>
          <w:noProof/>
        </w:rPr>
        <w:footnoteReference w:id="198"/>
      </w:r>
      <w:r w:rsidRPr="00987DDC">
        <w:rPr>
          <w:noProof/>
        </w:rPr>
        <w:t>).</w:t>
      </w:r>
    </w:p>
    <w:p w14:paraId="78B382AD" w14:textId="5D3620D1" w:rsidR="0052231F" w:rsidRPr="00987DDC" w:rsidRDefault="00877AE4" w:rsidP="00DD7FA3">
      <w:pPr>
        <w:pStyle w:val="Text3"/>
        <w:ind w:left="0"/>
        <w:rPr>
          <w:noProof/>
        </w:rPr>
      </w:pPr>
      <w:r w:rsidRPr="00987DDC">
        <w:rPr>
          <w:noProof/>
        </w:rPr>
        <w:t>Wymiana danych dotyczących przelotu pasażera (PNR) jest kolejnym obszarem polityki bezpieczeństwa UE,</w:t>
      </w:r>
      <w:r w:rsidR="00987DDC" w:rsidRPr="00987DDC">
        <w:rPr>
          <w:noProof/>
        </w:rPr>
        <w:t xml:space="preserve"> w</w:t>
      </w:r>
      <w:r w:rsidR="00987DDC">
        <w:rPr>
          <w:noProof/>
        </w:rPr>
        <w:t> </w:t>
      </w:r>
      <w:r w:rsidR="00987DDC" w:rsidRPr="00987DDC">
        <w:rPr>
          <w:noProof/>
        </w:rPr>
        <w:t>któ</w:t>
      </w:r>
      <w:r w:rsidRPr="00987DDC">
        <w:rPr>
          <w:noProof/>
        </w:rPr>
        <w:t>rym wykorzystano opracowane solidne zabezpieczenia</w:t>
      </w:r>
      <w:r w:rsidR="00987DDC" w:rsidRPr="00987DDC">
        <w:rPr>
          <w:noProof/>
        </w:rPr>
        <w:t xml:space="preserve"> w</w:t>
      </w:r>
      <w:r w:rsidR="00987DDC">
        <w:rPr>
          <w:noProof/>
        </w:rPr>
        <w:t> </w:t>
      </w:r>
      <w:r w:rsidR="00987DDC" w:rsidRPr="00987DDC">
        <w:rPr>
          <w:noProof/>
        </w:rPr>
        <w:t>zak</w:t>
      </w:r>
      <w:r w:rsidRPr="00987DDC">
        <w:rPr>
          <w:noProof/>
        </w:rPr>
        <w:t>resie ochrony danych. W 2023</w:t>
      </w:r>
      <w:r w:rsidR="00987DDC" w:rsidRPr="00987DDC">
        <w:rPr>
          <w:noProof/>
        </w:rPr>
        <w:t> </w:t>
      </w:r>
      <w:r w:rsidRPr="00987DDC">
        <w:rPr>
          <w:noProof/>
        </w:rPr>
        <w:t>r. UE</w:t>
      </w:r>
      <w:r w:rsidR="00987DDC" w:rsidRPr="00987DDC">
        <w:rPr>
          <w:noProof/>
        </w:rPr>
        <w:t xml:space="preserve"> i</w:t>
      </w:r>
      <w:r w:rsidR="00987DDC">
        <w:rPr>
          <w:noProof/>
        </w:rPr>
        <w:t> </w:t>
      </w:r>
      <w:r w:rsidR="00987DDC" w:rsidRPr="00987DDC">
        <w:rPr>
          <w:noProof/>
        </w:rPr>
        <w:t>Kan</w:t>
      </w:r>
      <w:r w:rsidRPr="00987DDC">
        <w:rPr>
          <w:noProof/>
        </w:rPr>
        <w:t>ada zakończyły negocjacje</w:t>
      </w:r>
      <w:r w:rsidR="00987DDC" w:rsidRPr="00987DDC">
        <w:rPr>
          <w:noProof/>
        </w:rPr>
        <w:t xml:space="preserve"> w</w:t>
      </w:r>
      <w:r w:rsidR="00987DDC">
        <w:rPr>
          <w:noProof/>
        </w:rPr>
        <w:t> </w:t>
      </w:r>
      <w:r w:rsidR="00987DDC" w:rsidRPr="00987DDC">
        <w:rPr>
          <w:noProof/>
        </w:rPr>
        <w:t>spr</w:t>
      </w:r>
      <w:r w:rsidRPr="00987DDC">
        <w:rPr>
          <w:noProof/>
        </w:rPr>
        <w:t>awie nowej umowy PNR zgodnie</w:t>
      </w:r>
      <w:r w:rsidR="00987DDC" w:rsidRPr="00987DDC">
        <w:rPr>
          <w:noProof/>
        </w:rPr>
        <w:t xml:space="preserve"> z</w:t>
      </w:r>
      <w:r w:rsidR="00987DDC">
        <w:rPr>
          <w:noProof/>
        </w:rPr>
        <w:t> </w:t>
      </w:r>
      <w:r w:rsidR="00987DDC" w:rsidRPr="00987DDC">
        <w:rPr>
          <w:noProof/>
        </w:rPr>
        <w:t>wym</w:t>
      </w:r>
      <w:r w:rsidRPr="00987DDC">
        <w:rPr>
          <w:noProof/>
        </w:rPr>
        <w:t>ogami określonymi przez Trybunał Sprawiedliwości</w:t>
      </w:r>
      <w:r w:rsidR="00987DDC" w:rsidRPr="00987DDC">
        <w:rPr>
          <w:noProof/>
        </w:rPr>
        <w:t xml:space="preserve"> w</w:t>
      </w:r>
      <w:r w:rsidR="00987DDC">
        <w:rPr>
          <w:noProof/>
        </w:rPr>
        <w:t> </w:t>
      </w:r>
      <w:r w:rsidR="00987DDC" w:rsidRPr="00987DDC">
        <w:rPr>
          <w:noProof/>
        </w:rPr>
        <w:t>opi</w:t>
      </w:r>
      <w:r w:rsidRPr="00987DDC">
        <w:rPr>
          <w:noProof/>
        </w:rPr>
        <w:t>nii 1/15 (</w:t>
      </w:r>
      <w:r w:rsidRPr="00987DDC">
        <w:rPr>
          <w:rStyle w:val="FootnoteReference"/>
          <w:noProof/>
        </w:rPr>
        <w:footnoteReference w:id="199"/>
      </w:r>
      <w:r w:rsidRPr="00987DDC">
        <w:rPr>
          <w:noProof/>
        </w:rPr>
        <w:t>). Podobne zabezpieczenia zawarto</w:t>
      </w:r>
      <w:r w:rsidR="00987DDC" w:rsidRPr="00987DDC">
        <w:rPr>
          <w:noProof/>
        </w:rPr>
        <w:t xml:space="preserve"> w</w:t>
      </w:r>
      <w:r w:rsidR="00987DDC">
        <w:rPr>
          <w:noProof/>
        </w:rPr>
        <w:t> </w:t>
      </w:r>
      <w:r w:rsidR="00987DDC" w:rsidRPr="00987DDC">
        <w:rPr>
          <w:noProof/>
        </w:rPr>
        <w:t>roz</w:t>
      </w:r>
      <w:r w:rsidRPr="00987DDC">
        <w:rPr>
          <w:noProof/>
        </w:rPr>
        <w:t>dziale dotyczącym PNR</w:t>
      </w:r>
      <w:r w:rsidR="00987DDC" w:rsidRPr="00987DDC">
        <w:rPr>
          <w:noProof/>
        </w:rPr>
        <w:t xml:space="preserve"> w</w:t>
      </w:r>
      <w:r w:rsidR="00987DDC">
        <w:rPr>
          <w:noProof/>
        </w:rPr>
        <w:t> </w:t>
      </w:r>
      <w:r w:rsidR="00987DDC" w:rsidRPr="00987DDC">
        <w:rPr>
          <w:noProof/>
        </w:rPr>
        <w:t>umo</w:t>
      </w:r>
      <w:r w:rsidRPr="00987DDC">
        <w:rPr>
          <w:noProof/>
        </w:rPr>
        <w:t>wie</w:t>
      </w:r>
      <w:r w:rsidR="00987DDC" w:rsidRPr="00987DDC">
        <w:rPr>
          <w:noProof/>
        </w:rPr>
        <w:t xml:space="preserve"> o</w:t>
      </w:r>
      <w:r w:rsidR="00987DDC">
        <w:rPr>
          <w:noProof/>
        </w:rPr>
        <w:t> </w:t>
      </w:r>
      <w:r w:rsidR="00987DDC" w:rsidRPr="00987DDC">
        <w:rPr>
          <w:noProof/>
        </w:rPr>
        <w:t>han</w:t>
      </w:r>
      <w:r w:rsidRPr="00987DDC">
        <w:rPr>
          <w:noProof/>
        </w:rPr>
        <w:t>dlu</w:t>
      </w:r>
      <w:r w:rsidR="00987DDC" w:rsidRPr="00987DDC">
        <w:rPr>
          <w:noProof/>
        </w:rPr>
        <w:t xml:space="preserve"> i</w:t>
      </w:r>
      <w:r w:rsidR="00987DDC">
        <w:rPr>
          <w:noProof/>
        </w:rPr>
        <w:t> </w:t>
      </w:r>
      <w:r w:rsidR="00987DDC" w:rsidRPr="00987DDC">
        <w:rPr>
          <w:noProof/>
        </w:rPr>
        <w:t>wsp</w:t>
      </w:r>
      <w:r w:rsidRPr="00987DDC">
        <w:rPr>
          <w:noProof/>
        </w:rPr>
        <w:t>ółpracy między UE</w:t>
      </w:r>
      <w:r w:rsidR="00987DDC" w:rsidRPr="00987DDC">
        <w:rPr>
          <w:noProof/>
        </w:rPr>
        <w:t xml:space="preserve"> a</w:t>
      </w:r>
      <w:r w:rsidR="00987DDC">
        <w:rPr>
          <w:noProof/>
        </w:rPr>
        <w:t> </w:t>
      </w:r>
      <w:r w:rsidR="00987DDC" w:rsidRPr="00987DDC">
        <w:rPr>
          <w:noProof/>
        </w:rPr>
        <w:t>Zje</w:t>
      </w:r>
      <w:r w:rsidRPr="00987DDC">
        <w:rPr>
          <w:noProof/>
        </w:rPr>
        <w:t>dnoczonym Królestwem. Uwzględnienie zwiększonej ochrony prywatności</w:t>
      </w:r>
      <w:r w:rsidR="00987DDC" w:rsidRPr="00987DDC">
        <w:rPr>
          <w:noProof/>
        </w:rPr>
        <w:t xml:space="preserve"> w</w:t>
      </w:r>
      <w:r w:rsidR="00987DDC">
        <w:rPr>
          <w:noProof/>
        </w:rPr>
        <w:t> </w:t>
      </w:r>
      <w:r w:rsidR="00987DDC" w:rsidRPr="00987DDC">
        <w:rPr>
          <w:noProof/>
        </w:rPr>
        <w:t>tyc</w:t>
      </w:r>
      <w:r w:rsidRPr="00987DDC">
        <w:rPr>
          <w:noProof/>
        </w:rPr>
        <w:t>h umowach, które mogą służyć za wzór przyszłych umów</w:t>
      </w:r>
      <w:r w:rsidR="00987DDC" w:rsidRPr="00987DDC">
        <w:rPr>
          <w:noProof/>
        </w:rPr>
        <w:t xml:space="preserve"> z</w:t>
      </w:r>
      <w:r w:rsidR="00987DDC">
        <w:rPr>
          <w:noProof/>
        </w:rPr>
        <w:t> </w:t>
      </w:r>
      <w:r w:rsidR="00987DDC" w:rsidRPr="00987DDC">
        <w:rPr>
          <w:noProof/>
        </w:rPr>
        <w:t>inn</w:t>
      </w:r>
      <w:r w:rsidRPr="00987DDC">
        <w:rPr>
          <w:noProof/>
        </w:rPr>
        <w:t>ymi partnerami, daje przewoźnikom lotniczym pewność prawa,</w:t>
      </w:r>
      <w:r w:rsidR="00987DDC" w:rsidRPr="00987DDC">
        <w:rPr>
          <w:noProof/>
        </w:rPr>
        <w:t xml:space="preserve"> a</w:t>
      </w:r>
      <w:r w:rsidR="00987DDC">
        <w:rPr>
          <w:noProof/>
        </w:rPr>
        <w:t> </w:t>
      </w:r>
      <w:r w:rsidR="00987DDC" w:rsidRPr="00987DDC">
        <w:rPr>
          <w:noProof/>
        </w:rPr>
        <w:t>jed</w:t>
      </w:r>
      <w:r w:rsidRPr="00987DDC">
        <w:rPr>
          <w:noProof/>
        </w:rPr>
        <w:t>nocześnie zapewnia stabilność ważnych wymian informacji</w:t>
      </w:r>
      <w:r w:rsidR="00987DDC" w:rsidRPr="00987DDC">
        <w:rPr>
          <w:noProof/>
        </w:rPr>
        <w:t xml:space="preserve"> w</w:t>
      </w:r>
      <w:r w:rsidR="00987DDC">
        <w:rPr>
          <w:noProof/>
        </w:rPr>
        <w:t> </w:t>
      </w:r>
      <w:r w:rsidR="00987DDC" w:rsidRPr="00987DDC">
        <w:rPr>
          <w:noProof/>
        </w:rPr>
        <w:t>cel</w:t>
      </w:r>
      <w:r w:rsidRPr="00987DDC">
        <w:rPr>
          <w:noProof/>
        </w:rPr>
        <w:t>u zwalczania terroryzmu</w:t>
      </w:r>
      <w:r w:rsidR="00987DDC" w:rsidRPr="00987DDC">
        <w:rPr>
          <w:noProof/>
        </w:rPr>
        <w:t xml:space="preserve"> i</w:t>
      </w:r>
      <w:r w:rsidR="00987DDC">
        <w:rPr>
          <w:noProof/>
        </w:rPr>
        <w:t> </w:t>
      </w:r>
      <w:r w:rsidR="00987DDC" w:rsidRPr="00987DDC">
        <w:rPr>
          <w:noProof/>
        </w:rPr>
        <w:t>inn</w:t>
      </w:r>
      <w:r w:rsidRPr="00987DDC">
        <w:rPr>
          <w:noProof/>
        </w:rPr>
        <w:t>ego rodzaju poważnej przestępczości transgranicznej.</w:t>
      </w:r>
    </w:p>
    <w:p w14:paraId="7A833BA7" w14:textId="3BAD5E4C" w:rsidR="00ED4845" w:rsidRPr="00987DDC" w:rsidRDefault="00D9635D" w:rsidP="00ED4845">
      <w:pPr>
        <w:pStyle w:val="Text3"/>
        <w:ind w:left="0"/>
        <w:rPr>
          <w:noProof/>
        </w:rPr>
      </w:pPr>
      <w:r w:rsidRPr="00987DDC">
        <w:rPr>
          <w:noProof/>
        </w:rPr>
        <w:t>Komisja jest również zwolennikiem zdecydowanych postanowień służących ochronie prywatności</w:t>
      </w:r>
      <w:r w:rsidR="00987DDC" w:rsidRPr="00987DDC">
        <w:rPr>
          <w:noProof/>
        </w:rPr>
        <w:t xml:space="preserve"> i</w:t>
      </w:r>
      <w:r w:rsidR="00987DDC">
        <w:rPr>
          <w:noProof/>
        </w:rPr>
        <w:t> </w:t>
      </w:r>
      <w:r w:rsidR="00987DDC" w:rsidRPr="00987DDC">
        <w:rPr>
          <w:noProof/>
        </w:rPr>
        <w:t>pob</w:t>
      </w:r>
      <w:r w:rsidRPr="00987DDC">
        <w:rPr>
          <w:noProof/>
        </w:rPr>
        <w:t>udzaniu handlu cyfrowego na forum Światowej Organizacji Handlu</w:t>
      </w:r>
      <w:r w:rsidR="00987DDC" w:rsidRPr="00987DDC">
        <w:rPr>
          <w:noProof/>
        </w:rPr>
        <w:t xml:space="preserve"> w</w:t>
      </w:r>
      <w:r w:rsidR="00987DDC">
        <w:rPr>
          <w:noProof/>
        </w:rPr>
        <w:t> </w:t>
      </w:r>
      <w:r w:rsidR="00987DDC" w:rsidRPr="00987DDC">
        <w:rPr>
          <w:noProof/>
        </w:rPr>
        <w:t>ram</w:t>
      </w:r>
      <w:r w:rsidRPr="00987DDC">
        <w:rPr>
          <w:noProof/>
        </w:rPr>
        <w:t>ach trwających negocjacji</w:t>
      </w:r>
      <w:r w:rsidR="00987DDC" w:rsidRPr="00987DDC">
        <w:rPr>
          <w:noProof/>
        </w:rPr>
        <w:t xml:space="preserve"> w</w:t>
      </w:r>
      <w:r w:rsidR="00987DDC">
        <w:rPr>
          <w:noProof/>
        </w:rPr>
        <w:t> </w:t>
      </w:r>
      <w:r w:rsidR="00987DDC" w:rsidRPr="00987DDC">
        <w:rPr>
          <w:noProof/>
        </w:rPr>
        <w:t>spr</w:t>
      </w:r>
      <w:r w:rsidRPr="00987DDC">
        <w:rPr>
          <w:noProof/>
        </w:rPr>
        <w:t>awie inicjatywy dotyczącej wspólnego oświadczenia</w:t>
      </w:r>
      <w:r w:rsidR="00987DDC" w:rsidRPr="00987DDC">
        <w:rPr>
          <w:noProof/>
        </w:rPr>
        <w:t xml:space="preserve"> w</w:t>
      </w:r>
      <w:r w:rsidR="00987DDC">
        <w:rPr>
          <w:noProof/>
        </w:rPr>
        <w:t> </w:t>
      </w:r>
      <w:r w:rsidR="00987DDC" w:rsidRPr="00987DDC">
        <w:rPr>
          <w:noProof/>
        </w:rPr>
        <w:t>spr</w:t>
      </w:r>
      <w:r w:rsidRPr="00987DDC">
        <w:rPr>
          <w:noProof/>
        </w:rPr>
        <w:t>awie handlu elektronicznego. Podobne postanowienia dotyczące zwalczania nieuzasadnionych przeszkód</w:t>
      </w:r>
      <w:r w:rsidR="00987DDC" w:rsidRPr="00987DDC">
        <w:rPr>
          <w:noProof/>
        </w:rPr>
        <w:t xml:space="preserve"> w</w:t>
      </w:r>
      <w:r w:rsidR="00987DDC">
        <w:rPr>
          <w:noProof/>
        </w:rPr>
        <w:t> </w:t>
      </w:r>
      <w:r w:rsidR="00987DDC" w:rsidRPr="00987DDC">
        <w:rPr>
          <w:noProof/>
        </w:rPr>
        <w:t>han</w:t>
      </w:r>
      <w:r w:rsidRPr="00987DDC">
        <w:rPr>
          <w:noProof/>
        </w:rPr>
        <w:t>dlu cyfrowym, przy jednoczesnej ochronie niezbędnej przestrzeni politycznej stron</w:t>
      </w:r>
      <w:r w:rsidR="00987DDC" w:rsidRPr="00987DDC">
        <w:rPr>
          <w:noProof/>
        </w:rPr>
        <w:t xml:space="preserve"> w</w:t>
      </w:r>
      <w:r w:rsidR="00987DDC">
        <w:rPr>
          <w:noProof/>
        </w:rPr>
        <w:t> </w:t>
      </w:r>
      <w:r w:rsidR="00987DDC" w:rsidRPr="00987DDC">
        <w:rPr>
          <w:noProof/>
        </w:rPr>
        <w:t>dzi</w:t>
      </w:r>
      <w:r w:rsidRPr="00987DDC">
        <w:rPr>
          <w:noProof/>
        </w:rPr>
        <w:t>edzinie ochrony danych, były konsekwentnie włączane do umów</w:t>
      </w:r>
      <w:r w:rsidR="00987DDC" w:rsidRPr="00987DDC">
        <w:rPr>
          <w:noProof/>
        </w:rPr>
        <w:t xml:space="preserve"> o</w:t>
      </w:r>
      <w:r w:rsidR="00987DDC">
        <w:rPr>
          <w:noProof/>
        </w:rPr>
        <w:t> </w:t>
      </w:r>
      <w:r w:rsidR="00987DDC" w:rsidRPr="00987DDC">
        <w:rPr>
          <w:noProof/>
        </w:rPr>
        <w:t>wol</w:t>
      </w:r>
      <w:r w:rsidRPr="00987DDC">
        <w:rPr>
          <w:noProof/>
        </w:rPr>
        <w:t>nym handlu zawieranych przez UE po rozpoczęciu stosowania RODO,</w:t>
      </w:r>
      <w:r w:rsidR="00987DDC" w:rsidRPr="00987DDC">
        <w:rPr>
          <w:noProof/>
        </w:rPr>
        <w:t xml:space="preserve"> w</w:t>
      </w:r>
      <w:r w:rsidR="00987DDC">
        <w:rPr>
          <w:noProof/>
        </w:rPr>
        <w:t> </w:t>
      </w:r>
      <w:r w:rsidR="00987DDC" w:rsidRPr="00987DDC">
        <w:rPr>
          <w:noProof/>
        </w:rPr>
        <w:t>szc</w:t>
      </w:r>
      <w:r w:rsidRPr="00987DDC">
        <w:rPr>
          <w:noProof/>
        </w:rPr>
        <w:t>zególności</w:t>
      </w:r>
      <w:r w:rsidR="00987DDC" w:rsidRPr="00987DDC">
        <w:rPr>
          <w:noProof/>
        </w:rPr>
        <w:t xml:space="preserve"> w</w:t>
      </w:r>
      <w:r w:rsidR="00987DDC">
        <w:rPr>
          <w:noProof/>
        </w:rPr>
        <w:t> </w:t>
      </w:r>
      <w:r w:rsidR="00987DDC" w:rsidRPr="00987DDC">
        <w:rPr>
          <w:noProof/>
        </w:rPr>
        <w:t>umo</w:t>
      </w:r>
      <w:r w:rsidRPr="00987DDC">
        <w:rPr>
          <w:noProof/>
        </w:rPr>
        <w:t>wie</w:t>
      </w:r>
      <w:r w:rsidR="00987DDC" w:rsidRPr="00987DDC">
        <w:rPr>
          <w:noProof/>
        </w:rPr>
        <w:t xml:space="preserve"> o</w:t>
      </w:r>
      <w:r w:rsidR="00987DDC">
        <w:rPr>
          <w:noProof/>
        </w:rPr>
        <w:t> </w:t>
      </w:r>
      <w:r w:rsidR="00987DDC" w:rsidRPr="00987DDC">
        <w:rPr>
          <w:noProof/>
        </w:rPr>
        <w:t>han</w:t>
      </w:r>
      <w:r w:rsidRPr="00987DDC">
        <w:rPr>
          <w:noProof/>
        </w:rPr>
        <w:t>dlu</w:t>
      </w:r>
      <w:r w:rsidR="00987DDC" w:rsidRPr="00987DDC">
        <w:rPr>
          <w:noProof/>
        </w:rPr>
        <w:t xml:space="preserve"> i</w:t>
      </w:r>
      <w:r w:rsidR="00987DDC">
        <w:rPr>
          <w:noProof/>
        </w:rPr>
        <w:t> </w:t>
      </w:r>
      <w:r w:rsidR="00987DDC" w:rsidRPr="00987DDC">
        <w:rPr>
          <w:noProof/>
        </w:rPr>
        <w:t>wsp</w:t>
      </w:r>
      <w:r w:rsidRPr="00987DDC">
        <w:rPr>
          <w:noProof/>
        </w:rPr>
        <w:t>ółpracy między UE</w:t>
      </w:r>
      <w:r w:rsidR="00987DDC" w:rsidRPr="00987DDC">
        <w:rPr>
          <w:noProof/>
        </w:rPr>
        <w:t xml:space="preserve"> a</w:t>
      </w:r>
      <w:r w:rsidR="00987DDC">
        <w:rPr>
          <w:noProof/>
        </w:rPr>
        <w:t> </w:t>
      </w:r>
      <w:r w:rsidR="00987DDC" w:rsidRPr="00987DDC">
        <w:rPr>
          <w:noProof/>
        </w:rPr>
        <w:t>Zje</w:t>
      </w:r>
      <w:r w:rsidRPr="00987DDC">
        <w:rPr>
          <w:noProof/>
        </w:rPr>
        <w:t>dnoczonym Królestwem oraz</w:t>
      </w:r>
      <w:r w:rsidR="00987DDC" w:rsidRPr="00987DDC">
        <w:rPr>
          <w:noProof/>
        </w:rPr>
        <w:t xml:space="preserve"> w</w:t>
      </w:r>
      <w:r w:rsidR="00987DDC">
        <w:rPr>
          <w:noProof/>
        </w:rPr>
        <w:t> </w:t>
      </w:r>
      <w:r w:rsidR="00987DDC" w:rsidRPr="00987DDC">
        <w:rPr>
          <w:noProof/>
        </w:rPr>
        <w:t>umo</w:t>
      </w:r>
      <w:r w:rsidRPr="00987DDC">
        <w:rPr>
          <w:noProof/>
        </w:rPr>
        <w:t>wach</w:t>
      </w:r>
      <w:r w:rsidR="00987DDC" w:rsidRPr="00987DDC">
        <w:rPr>
          <w:noProof/>
        </w:rPr>
        <w:t xml:space="preserve"> z</w:t>
      </w:r>
      <w:r w:rsidR="00987DDC">
        <w:rPr>
          <w:noProof/>
        </w:rPr>
        <w:t> </w:t>
      </w:r>
      <w:r w:rsidR="00987DDC" w:rsidRPr="00987DDC">
        <w:rPr>
          <w:noProof/>
        </w:rPr>
        <w:t>Chi</w:t>
      </w:r>
      <w:r w:rsidRPr="00987DDC">
        <w:rPr>
          <w:noProof/>
        </w:rPr>
        <w:t>le, Japonią</w:t>
      </w:r>
      <w:r w:rsidR="00987DDC" w:rsidRPr="00987DDC">
        <w:rPr>
          <w:noProof/>
        </w:rPr>
        <w:t xml:space="preserve"> i</w:t>
      </w:r>
      <w:r w:rsidR="00987DDC">
        <w:rPr>
          <w:noProof/>
        </w:rPr>
        <w:t> </w:t>
      </w:r>
      <w:r w:rsidR="00987DDC" w:rsidRPr="00987DDC">
        <w:rPr>
          <w:noProof/>
        </w:rPr>
        <w:t>Now</w:t>
      </w:r>
      <w:r w:rsidRPr="00987DDC">
        <w:rPr>
          <w:noProof/>
        </w:rPr>
        <w:t>ą Zelandią. Postanowienia dotyczące prywatności</w:t>
      </w:r>
      <w:r w:rsidR="00987DDC" w:rsidRPr="00987DDC">
        <w:rPr>
          <w:noProof/>
        </w:rPr>
        <w:t xml:space="preserve"> i</w:t>
      </w:r>
      <w:r w:rsidR="00987DDC">
        <w:rPr>
          <w:noProof/>
        </w:rPr>
        <w:t> </w:t>
      </w:r>
      <w:r w:rsidR="00987DDC" w:rsidRPr="00987DDC">
        <w:rPr>
          <w:noProof/>
        </w:rPr>
        <w:t>prz</w:t>
      </w:r>
      <w:r w:rsidRPr="00987DDC">
        <w:rPr>
          <w:noProof/>
        </w:rPr>
        <w:t>epływu danych są również przedmiotem dyskusji</w:t>
      </w:r>
      <w:r w:rsidR="00987DDC" w:rsidRPr="00987DDC">
        <w:rPr>
          <w:noProof/>
        </w:rPr>
        <w:t xml:space="preserve"> w</w:t>
      </w:r>
      <w:r w:rsidR="00987DDC">
        <w:rPr>
          <w:noProof/>
        </w:rPr>
        <w:t> </w:t>
      </w:r>
      <w:r w:rsidR="00987DDC" w:rsidRPr="00987DDC">
        <w:rPr>
          <w:noProof/>
        </w:rPr>
        <w:t>ram</w:t>
      </w:r>
      <w:r w:rsidRPr="00987DDC">
        <w:rPr>
          <w:noProof/>
        </w:rPr>
        <w:t>ach trwających negocjacji</w:t>
      </w:r>
      <w:r w:rsidR="00987DDC" w:rsidRPr="00987DDC">
        <w:rPr>
          <w:noProof/>
        </w:rPr>
        <w:t xml:space="preserve"> w</w:t>
      </w:r>
      <w:r w:rsidR="00987DDC">
        <w:rPr>
          <w:noProof/>
        </w:rPr>
        <w:t> </w:t>
      </w:r>
      <w:r w:rsidR="00987DDC" w:rsidRPr="00987DDC">
        <w:rPr>
          <w:noProof/>
        </w:rPr>
        <w:t>spr</w:t>
      </w:r>
      <w:r w:rsidRPr="00987DDC">
        <w:rPr>
          <w:noProof/>
        </w:rPr>
        <w:t>awie handlu cyfrowego</w:t>
      </w:r>
      <w:r w:rsidR="00987DDC" w:rsidRPr="00987DDC">
        <w:rPr>
          <w:noProof/>
        </w:rPr>
        <w:t xml:space="preserve"> z</w:t>
      </w:r>
      <w:r w:rsidR="00987DDC">
        <w:rPr>
          <w:noProof/>
        </w:rPr>
        <w:t> </w:t>
      </w:r>
      <w:r w:rsidR="00987DDC" w:rsidRPr="00987DDC">
        <w:rPr>
          <w:noProof/>
        </w:rPr>
        <w:t>Sin</w:t>
      </w:r>
      <w:r w:rsidRPr="00987DDC">
        <w:rPr>
          <w:noProof/>
        </w:rPr>
        <w:t>gapurem</w:t>
      </w:r>
      <w:r w:rsidR="00987DDC" w:rsidRPr="00987DDC">
        <w:rPr>
          <w:noProof/>
        </w:rPr>
        <w:t xml:space="preserve"> i</w:t>
      </w:r>
      <w:r w:rsidR="00987DDC">
        <w:rPr>
          <w:noProof/>
        </w:rPr>
        <w:t> </w:t>
      </w:r>
      <w:r w:rsidR="00987DDC" w:rsidRPr="00987DDC">
        <w:rPr>
          <w:noProof/>
        </w:rPr>
        <w:t>Kor</w:t>
      </w:r>
      <w:r w:rsidRPr="00987DDC">
        <w:rPr>
          <w:noProof/>
        </w:rPr>
        <w:t xml:space="preserve">eą Południową. </w:t>
      </w:r>
    </w:p>
    <w:p w14:paraId="6C43EB2D" w14:textId="5200046D" w:rsidR="00F564CE" w:rsidRPr="00987DDC" w:rsidRDefault="00F564CE" w:rsidP="00547296">
      <w:pPr>
        <w:pStyle w:val="Heading2"/>
        <w:rPr>
          <w:noProof/>
        </w:rPr>
      </w:pPr>
      <w:r w:rsidRPr="00987DDC">
        <w:rPr>
          <w:noProof/>
        </w:rPr>
        <w:t>Współpraca międzynarodowa</w:t>
      </w:r>
      <w:r w:rsidR="00987DDC" w:rsidRPr="00987DDC">
        <w:rPr>
          <w:noProof/>
        </w:rPr>
        <w:t xml:space="preserve"> w</w:t>
      </w:r>
      <w:r w:rsidR="00987DDC">
        <w:rPr>
          <w:noProof/>
        </w:rPr>
        <w:t> </w:t>
      </w:r>
      <w:r w:rsidR="00987DDC" w:rsidRPr="00987DDC">
        <w:rPr>
          <w:noProof/>
        </w:rPr>
        <w:t>zak</w:t>
      </w:r>
      <w:r w:rsidRPr="00987DDC">
        <w:rPr>
          <w:noProof/>
        </w:rPr>
        <w:t>resie ochrony danych</w:t>
      </w:r>
    </w:p>
    <w:p w14:paraId="1ED20100" w14:textId="04F56EDA" w:rsidR="00AF1E50" w:rsidRPr="00987DDC" w:rsidRDefault="00AF1E50" w:rsidP="000E65C1">
      <w:pPr>
        <w:pStyle w:val="Heading3"/>
        <w:rPr>
          <w:noProof/>
        </w:rPr>
      </w:pPr>
      <w:r w:rsidRPr="00987DDC">
        <w:rPr>
          <w:noProof/>
        </w:rPr>
        <w:t>Wymiar dwustronny</w:t>
      </w:r>
    </w:p>
    <w:p w14:paraId="36CE686F" w14:textId="41A526E3" w:rsidR="002F28E9" w:rsidRPr="00987DDC" w:rsidRDefault="000570CF" w:rsidP="00DD7FA3">
      <w:pPr>
        <w:pStyle w:val="Text3"/>
        <w:ind w:left="0"/>
        <w:rPr>
          <w:noProof/>
        </w:rPr>
      </w:pPr>
      <w:r w:rsidRPr="00987DDC">
        <w:rPr>
          <w:noProof/>
        </w:rPr>
        <w:t>Komisja nadal angażuje się</w:t>
      </w:r>
      <w:r w:rsidR="00987DDC" w:rsidRPr="00987DDC">
        <w:rPr>
          <w:noProof/>
        </w:rPr>
        <w:t xml:space="preserve"> w</w:t>
      </w:r>
      <w:r w:rsidR="00987DDC">
        <w:rPr>
          <w:noProof/>
        </w:rPr>
        <w:t> </w:t>
      </w:r>
      <w:r w:rsidR="00987DDC" w:rsidRPr="00987DDC">
        <w:rPr>
          <w:noProof/>
        </w:rPr>
        <w:t>dia</w:t>
      </w:r>
      <w:r w:rsidRPr="00987DDC">
        <w:rPr>
          <w:noProof/>
        </w:rPr>
        <w:t>log</w:t>
      </w:r>
      <w:r w:rsidR="00987DDC" w:rsidRPr="00987DDC">
        <w:rPr>
          <w:noProof/>
        </w:rPr>
        <w:t xml:space="preserve"> z</w:t>
      </w:r>
      <w:r w:rsidR="00987DDC">
        <w:rPr>
          <w:noProof/>
        </w:rPr>
        <w:t> </w:t>
      </w:r>
      <w:r w:rsidR="00987DDC" w:rsidRPr="00987DDC">
        <w:rPr>
          <w:noProof/>
        </w:rPr>
        <w:t>pań</w:t>
      </w:r>
      <w:r w:rsidRPr="00987DDC">
        <w:rPr>
          <w:noProof/>
        </w:rPr>
        <w:t>stwami</w:t>
      </w:r>
      <w:r w:rsidR="00987DDC" w:rsidRPr="00987DDC">
        <w:rPr>
          <w:noProof/>
        </w:rPr>
        <w:t xml:space="preserve"> i</w:t>
      </w:r>
      <w:r w:rsidR="00987DDC">
        <w:rPr>
          <w:noProof/>
        </w:rPr>
        <w:t> </w:t>
      </w:r>
      <w:r w:rsidR="00987DDC" w:rsidRPr="00987DDC">
        <w:rPr>
          <w:noProof/>
        </w:rPr>
        <w:t>org</w:t>
      </w:r>
      <w:r w:rsidRPr="00987DDC">
        <w:rPr>
          <w:noProof/>
        </w:rPr>
        <w:t>anizacjami międzynarodowymi na temat opracowywania, reformy</w:t>
      </w:r>
      <w:r w:rsidR="00987DDC" w:rsidRPr="00987DDC">
        <w:rPr>
          <w:noProof/>
        </w:rPr>
        <w:t xml:space="preserve"> i</w:t>
      </w:r>
      <w:r w:rsidR="00987DDC">
        <w:rPr>
          <w:noProof/>
        </w:rPr>
        <w:t> </w:t>
      </w:r>
      <w:r w:rsidR="00987DDC" w:rsidRPr="00987DDC">
        <w:rPr>
          <w:noProof/>
        </w:rPr>
        <w:t>wdr</w:t>
      </w:r>
      <w:r w:rsidRPr="00987DDC">
        <w:rPr>
          <w:noProof/>
        </w:rPr>
        <w:t>ażania zasad prywatności, m.in. przedkładając opinie</w:t>
      </w:r>
      <w:r w:rsidR="00987DDC" w:rsidRPr="00987DDC">
        <w:rPr>
          <w:noProof/>
        </w:rPr>
        <w:t xml:space="preserve"> w</w:t>
      </w:r>
      <w:r w:rsidR="00987DDC">
        <w:rPr>
          <w:noProof/>
        </w:rPr>
        <w:t> </w:t>
      </w:r>
      <w:r w:rsidR="00987DDC" w:rsidRPr="00987DDC">
        <w:rPr>
          <w:noProof/>
        </w:rPr>
        <w:t>ram</w:t>
      </w:r>
      <w:r w:rsidRPr="00987DDC">
        <w:rPr>
          <w:noProof/>
        </w:rPr>
        <w:t>ach konsultacji publicznych na temat projektów aktów prawnych lub środków regulacyjnych</w:t>
      </w:r>
      <w:r w:rsidR="00987DDC" w:rsidRPr="00987DDC">
        <w:rPr>
          <w:noProof/>
        </w:rPr>
        <w:t xml:space="preserve"> w</w:t>
      </w:r>
      <w:r w:rsidR="00987DDC">
        <w:rPr>
          <w:noProof/>
        </w:rPr>
        <w:t> </w:t>
      </w:r>
      <w:r w:rsidR="00987DDC" w:rsidRPr="00987DDC">
        <w:rPr>
          <w:noProof/>
        </w:rPr>
        <w:t>dzi</w:t>
      </w:r>
      <w:r w:rsidRPr="00987DDC">
        <w:rPr>
          <w:noProof/>
        </w:rPr>
        <w:t>edzinie prywatności (</w:t>
      </w:r>
      <w:r w:rsidRPr="00987DDC">
        <w:rPr>
          <w:rStyle w:val="FootnoteReference"/>
          <w:noProof/>
        </w:rPr>
        <w:footnoteReference w:id="200"/>
      </w:r>
      <w:r w:rsidRPr="00987DDC">
        <w:rPr>
          <w:noProof/>
        </w:rPr>
        <w:t>), występując przed właściwymi organami parlamentarnymi (</w:t>
      </w:r>
      <w:r w:rsidRPr="00987DDC">
        <w:rPr>
          <w:rStyle w:val="FootnoteReference"/>
          <w:noProof/>
        </w:rPr>
        <w:footnoteReference w:id="201"/>
      </w:r>
      <w:r w:rsidRPr="00987DDC">
        <w:rPr>
          <w:noProof/>
        </w:rPr>
        <w:t>) oraz uczestnicząc</w:t>
      </w:r>
      <w:r w:rsidR="00987DDC" w:rsidRPr="00987DDC">
        <w:rPr>
          <w:noProof/>
        </w:rPr>
        <w:t xml:space="preserve"> w</w:t>
      </w:r>
      <w:r w:rsidR="00987DDC">
        <w:rPr>
          <w:noProof/>
        </w:rPr>
        <w:t> </w:t>
      </w:r>
      <w:r w:rsidR="00987DDC" w:rsidRPr="00987DDC">
        <w:rPr>
          <w:noProof/>
        </w:rPr>
        <w:t>spe</w:t>
      </w:r>
      <w:r w:rsidRPr="00987DDC">
        <w:rPr>
          <w:noProof/>
        </w:rPr>
        <w:t>cjalnych spotkaniach</w:t>
      </w:r>
      <w:r w:rsidR="00987DDC" w:rsidRPr="00987DDC">
        <w:rPr>
          <w:noProof/>
        </w:rPr>
        <w:t xml:space="preserve"> z</w:t>
      </w:r>
      <w:r w:rsidR="00987DDC">
        <w:rPr>
          <w:noProof/>
        </w:rPr>
        <w:t> </w:t>
      </w:r>
      <w:r w:rsidR="00987DDC" w:rsidRPr="00987DDC">
        <w:rPr>
          <w:noProof/>
        </w:rPr>
        <w:t>prz</w:t>
      </w:r>
      <w:r w:rsidRPr="00987DDC">
        <w:rPr>
          <w:noProof/>
        </w:rPr>
        <w:t>edstawicielami rządów, delegacjami parlamentarnymi</w:t>
      </w:r>
      <w:r w:rsidR="00987DDC" w:rsidRPr="00987DDC">
        <w:rPr>
          <w:noProof/>
        </w:rPr>
        <w:t xml:space="preserve"> i</w:t>
      </w:r>
      <w:r w:rsidR="00987DDC">
        <w:rPr>
          <w:noProof/>
        </w:rPr>
        <w:t> </w:t>
      </w:r>
      <w:r w:rsidR="00987DDC" w:rsidRPr="00987DDC">
        <w:rPr>
          <w:noProof/>
        </w:rPr>
        <w:t>org</w:t>
      </w:r>
      <w:r w:rsidRPr="00987DDC">
        <w:rPr>
          <w:noProof/>
        </w:rPr>
        <w:t>anami regulacyjnymi</w:t>
      </w:r>
      <w:r w:rsidR="00987DDC" w:rsidRPr="00987DDC">
        <w:rPr>
          <w:noProof/>
        </w:rPr>
        <w:t xml:space="preserve"> z</w:t>
      </w:r>
      <w:r w:rsidR="00987DDC">
        <w:rPr>
          <w:noProof/>
        </w:rPr>
        <w:t> </w:t>
      </w:r>
      <w:r w:rsidR="00987DDC" w:rsidRPr="00987DDC">
        <w:rPr>
          <w:noProof/>
        </w:rPr>
        <w:t>wie</w:t>
      </w:r>
      <w:r w:rsidRPr="00987DDC">
        <w:rPr>
          <w:noProof/>
        </w:rPr>
        <w:t>lu regionów świata (</w:t>
      </w:r>
      <w:r w:rsidRPr="00987DDC">
        <w:rPr>
          <w:rStyle w:val="FootnoteReference"/>
          <w:noProof/>
        </w:rPr>
        <w:footnoteReference w:id="202"/>
      </w:r>
      <w:r w:rsidRPr="00987DDC">
        <w:rPr>
          <w:noProof/>
        </w:rPr>
        <w:t>). Wiele</w:t>
      </w:r>
      <w:r w:rsidR="00987DDC" w:rsidRPr="00987DDC">
        <w:rPr>
          <w:noProof/>
        </w:rPr>
        <w:t xml:space="preserve"> z</w:t>
      </w:r>
      <w:r w:rsidR="00987DDC">
        <w:rPr>
          <w:noProof/>
        </w:rPr>
        <w:t> </w:t>
      </w:r>
      <w:r w:rsidR="00987DDC" w:rsidRPr="00987DDC">
        <w:rPr>
          <w:noProof/>
        </w:rPr>
        <w:t>tyc</w:t>
      </w:r>
      <w:r w:rsidRPr="00987DDC">
        <w:rPr>
          <w:noProof/>
        </w:rPr>
        <w:t>h działań przeprowadzono</w:t>
      </w:r>
      <w:r w:rsidR="00987DDC" w:rsidRPr="00987DDC">
        <w:rPr>
          <w:noProof/>
        </w:rPr>
        <w:t xml:space="preserve"> w</w:t>
      </w:r>
      <w:r w:rsidR="00987DDC">
        <w:rPr>
          <w:noProof/>
        </w:rPr>
        <w:t> </w:t>
      </w:r>
      <w:r w:rsidR="00987DDC" w:rsidRPr="00987DDC">
        <w:rPr>
          <w:noProof/>
        </w:rPr>
        <w:t>ram</w:t>
      </w:r>
      <w:r w:rsidRPr="00987DDC">
        <w:rPr>
          <w:noProof/>
        </w:rPr>
        <w:t xml:space="preserve">ach finansowanego przez UE projektu </w:t>
      </w:r>
      <w:r w:rsidRPr="00987DDC">
        <w:rPr>
          <w:noProof/>
          <w:shd w:val="clear" w:color="auto" w:fill="FFFFFF"/>
        </w:rPr>
        <w:t>„Wzmocniona ochrona danych</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prz</w:t>
      </w:r>
      <w:r w:rsidRPr="00987DDC">
        <w:rPr>
          <w:noProof/>
          <w:shd w:val="clear" w:color="auto" w:fill="FFFFFF"/>
        </w:rPr>
        <w:t>epływy danych”, który wspiera kraje zamierzające opracować nowoczesne ramy ochrony danych lub wzmocnić zdolności swoich organów regulacyjnych poprzez szkolenia, dzielenie się wiedzą, budowanie zdolności</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wym</w:t>
      </w:r>
      <w:r w:rsidRPr="00987DDC">
        <w:rPr>
          <w:noProof/>
          <w:shd w:val="clear" w:color="auto" w:fill="FFFFFF"/>
        </w:rPr>
        <w:t>ianę najlepszych praktyk. Komisja wniosła również wkład</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inn</w:t>
      </w:r>
      <w:r w:rsidRPr="00987DDC">
        <w:rPr>
          <w:noProof/>
          <w:shd w:val="clear" w:color="auto" w:fill="FFFFFF"/>
        </w:rPr>
        <w:t>e inicjatywy, takie jak sojusz cyfrowy UE-CELAC.</w:t>
      </w:r>
    </w:p>
    <w:p w14:paraId="3CE5BA78" w14:textId="252C49FD" w:rsidR="00DD7FA3" w:rsidRPr="00987DDC" w:rsidRDefault="00DD7FA3" w:rsidP="00DD7FA3">
      <w:pPr>
        <w:rPr>
          <w:noProof/>
        </w:rPr>
      </w:pPr>
      <w:r w:rsidRPr="00987DDC">
        <w:rPr>
          <w:noProof/>
        </w:rPr>
        <w:t>Ochrona danych będzie również nadal odgrywać kluczową rolę</w:t>
      </w:r>
      <w:r w:rsidR="00987DDC" w:rsidRPr="00987DDC">
        <w:rPr>
          <w:noProof/>
        </w:rPr>
        <w:t xml:space="preserve"> w</w:t>
      </w:r>
      <w:r w:rsidR="00987DDC">
        <w:rPr>
          <w:noProof/>
        </w:rPr>
        <w:t> </w:t>
      </w:r>
      <w:r w:rsidR="00987DDC" w:rsidRPr="00987DDC">
        <w:rPr>
          <w:noProof/>
        </w:rPr>
        <w:t>pra</w:t>
      </w:r>
      <w:r w:rsidRPr="00987DDC">
        <w:rPr>
          <w:noProof/>
        </w:rPr>
        <w:t>cach Komisji związanych</w:t>
      </w:r>
      <w:r w:rsidR="00987DDC" w:rsidRPr="00987DDC">
        <w:rPr>
          <w:noProof/>
        </w:rPr>
        <w:t xml:space="preserve"> z</w:t>
      </w:r>
      <w:r w:rsidR="00987DDC">
        <w:rPr>
          <w:noProof/>
        </w:rPr>
        <w:t> </w:t>
      </w:r>
      <w:r w:rsidR="00987DDC" w:rsidRPr="00987DDC">
        <w:rPr>
          <w:noProof/>
        </w:rPr>
        <w:t>roz</w:t>
      </w:r>
      <w:r w:rsidRPr="00987DDC">
        <w:rPr>
          <w:noProof/>
        </w:rPr>
        <w:t>szerzeniem Unii. Przepisy UE</w:t>
      </w:r>
      <w:r w:rsidR="00987DDC" w:rsidRPr="00987DDC">
        <w:rPr>
          <w:noProof/>
        </w:rPr>
        <w:t xml:space="preserve"> w</w:t>
      </w:r>
      <w:r w:rsidR="00987DDC">
        <w:rPr>
          <w:noProof/>
        </w:rPr>
        <w:t> </w:t>
      </w:r>
      <w:r w:rsidR="00987DDC" w:rsidRPr="00987DDC">
        <w:rPr>
          <w:noProof/>
        </w:rPr>
        <w:t>zak</w:t>
      </w:r>
      <w:r w:rsidRPr="00987DDC">
        <w:rPr>
          <w:noProof/>
        </w:rPr>
        <w:t>resie ochrony danych są ważnym elementem ogólnych wysiłków krajów objętych procesem rozszerzenia, podejmowanym</w:t>
      </w:r>
      <w:r w:rsidR="00987DDC" w:rsidRPr="00987DDC">
        <w:rPr>
          <w:noProof/>
        </w:rPr>
        <w:t xml:space="preserve"> w</w:t>
      </w:r>
      <w:r w:rsidR="00987DDC">
        <w:rPr>
          <w:noProof/>
        </w:rPr>
        <w:t> </w:t>
      </w:r>
      <w:r w:rsidR="00987DDC" w:rsidRPr="00987DDC">
        <w:rPr>
          <w:noProof/>
        </w:rPr>
        <w:t>cel</w:t>
      </w:r>
      <w:r w:rsidRPr="00987DDC">
        <w:rPr>
          <w:noProof/>
        </w:rPr>
        <w:t>u dostosowania ich ram prawnych do ram prawnych UE (zwłaszcza</w:t>
      </w:r>
      <w:r w:rsidR="00987DDC" w:rsidRPr="00987DDC">
        <w:rPr>
          <w:noProof/>
        </w:rPr>
        <w:t xml:space="preserve"> z</w:t>
      </w:r>
      <w:r w:rsidR="00987DDC">
        <w:rPr>
          <w:noProof/>
        </w:rPr>
        <w:t> </w:t>
      </w:r>
      <w:r w:rsidR="00987DDC" w:rsidRPr="00987DDC">
        <w:rPr>
          <w:noProof/>
        </w:rPr>
        <w:t>uwa</w:t>
      </w:r>
      <w:r w:rsidRPr="00987DDC">
        <w:rPr>
          <w:noProof/>
        </w:rPr>
        <w:t>gi na fakt, że przetwarzanie</w:t>
      </w:r>
      <w:r w:rsidR="00987DDC" w:rsidRPr="00987DDC">
        <w:rPr>
          <w:noProof/>
        </w:rPr>
        <w:t xml:space="preserve"> i</w:t>
      </w:r>
      <w:r w:rsidR="00987DDC">
        <w:rPr>
          <w:noProof/>
        </w:rPr>
        <w:t> </w:t>
      </w:r>
      <w:r w:rsidR="00987DDC" w:rsidRPr="00987DDC">
        <w:rPr>
          <w:noProof/>
        </w:rPr>
        <w:t>wym</w:t>
      </w:r>
      <w:r w:rsidRPr="00987DDC">
        <w:rPr>
          <w:noProof/>
        </w:rPr>
        <w:t>iana danych osobowych stanowią podstawę tak wielu polityk). Ponadto niezależność</w:t>
      </w:r>
      <w:r w:rsidR="00987DDC" w:rsidRPr="00987DDC">
        <w:rPr>
          <w:noProof/>
        </w:rPr>
        <w:t xml:space="preserve"> i</w:t>
      </w:r>
      <w:r w:rsidR="00987DDC">
        <w:rPr>
          <w:noProof/>
        </w:rPr>
        <w:t> </w:t>
      </w:r>
      <w:r w:rsidR="00987DDC" w:rsidRPr="00987DDC">
        <w:rPr>
          <w:noProof/>
        </w:rPr>
        <w:t>pra</w:t>
      </w:r>
      <w:r w:rsidRPr="00987DDC">
        <w:rPr>
          <w:noProof/>
        </w:rPr>
        <w:t>widłowe funkcjonowanie organu ochrony danych jest kluczowym elementem ogólnych mechanizmów kontroli</w:t>
      </w:r>
      <w:r w:rsidR="00987DDC" w:rsidRPr="00987DDC">
        <w:rPr>
          <w:noProof/>
        </w:rPr>
        <w:t xml:space="preserve"> i</w:t>
      </w:r>
      <w:r w:rsidR="00987DDC">
        <w:rPr>
          <w:noProof/>
        </w:rPr>
        <w:t> </w:t>
      </w:r>
      <w:r w:rsidR="00987DDC" w:rsidRPr="00987DDC">
        <w:rPr>
          <w:noProof/>
        </w:rPr>
        <w:t>rów</w:t>
      </w:r>
      <w:r w:rsidRPr="00987DDC">
        <w:rPr>
          <w:noProof/>
        </w:rPr>
        <w:t>nowagi oraz praworządności,</w:t>
      </w:r>
      <w:r w:rsidR="00987DDC" w:rsidRPr="00987DDC">
        <w:rPr>
          <w:noProof/>
        </w:rPr>
        <w:t xml:space="preserve"> a</w:t>
      </w:r>
      <w:r w:rsidR="00987DDC">
        <w:rPr>
          <w:noProof/>
        </w:rPr>
        <w:t> </w:t>
      </w:r>
      <w:r w:rsidR="00987DDC" w:rsidRPr="00987DDC">
        <w:rPr>
          <w:noProof/>
        </w:rPr>
        <w:t>jeg</w:t>
      </w:r>
      <w:r w:rsidRPr="00987DDC">
        <w:rPr>
          <w:noProof/>
        </w:rPr>
        <w:t>o znaczenie będzie rosło</w:t>
      </w:r>
      <w:r w:rsidR="00987DDC" w:rsidRPr="00987DDC">
        <w:rPr>
          <w:noProof/>
        </w:rPr>
        <w:t xml:space="preserve"> w</w:t>
      </w:r>
      <w:r w:rsidR="00987DDC">
        <w:rPr>
          <w:noProof/>
        </w:rPr>
        <w:t> </w:t>
      </w:r>
      <w:r w:rsidR="00987DDC" w:rsidRPr="00987DDC">
        <w:rPr>
          <w:noProof/>
        </w:rPr>
        <w:t>mia</w:t>
      </w:r>
      <w:r w:rsidRPr="00987DDC">
        <w:rPr>
          <w:noProof/>
        </w:rPr>
        <w:t>rę stopniowego włączania przez UE krajów objętych procesem rozszerzenia do jednolitego rynku (jak przewidziano</w:t>
      </w:r>
      <w:r w:rsidR="00987DDC" w:rsidRPr="00987DDC">
        <w:rPr>
          <w:noProof/>
        </w:rPr>
        <w:t xml:space="preserve"> w</w:t>
      </w:r>
      <w:r w:rsidR="00987DDC">
        <w:rPr>
          <w:noProof/>
        </w:rPr>
        <w:t> </w:t>
      </w:r>
      <w:r w:rsidR="00987DDC" w:rsidRPr="00987DDC">
        <w:rPr>
          <w:noProof/>
        </w:rPr>
        <w:t>ini</w:t>
      </w:r>
      <w:r w:rsidRPr="00987DDC">
        <w:rPr>
          <w:noProof/>
        </w:rPr>
        <w:t xml:space="preserve">cjatywach takich jak plan wzrostu gospodarczego dla Bałkanów Zachodnich). </w:t>
      </w:r>
    </w:p>
    <w:p w14:paraId="5CFF6459" w14:textId="15154104" w:rsidR="008A3120" w:rsidRPr="00987DDC" w:rsidRDefault="007E5A44" w:rsidP="00DD7FA3">
      <w:pPr>
        <w:pStyle w:val="Text3"/>
        <w:ind w:left="0"/>
        <w:rPr>
          <w:noProof/>
          <w:shd w:val="clear" w:color="auto" w:fill="FFFFFF"/>
        </w:rPr>
      </w:pPr>
      <w:r w:rsidRPr="00987DDC">
        <w:rPr>
          <w:noProof/>
        </w:rPr>
        <w:t>Coraz ważniejszy aspekt dialogu UE</w:t>
      </w:r>
      <w:r w:rsidR="00987DDC" w:rsidRPr="00987DDC">
        <w:rPr>
          <w:noProof/>
        </w:rPr>
        <w:t xml:space="preserve"> z</w:t>
      </w:r>
      <w:r w:rsidR="00987DDC">
        <w:rPr>
          <w:noProof/>
        </w:rPr>
        <w:t> </w:t>
      </w:r>
      <w:r w:rsidR="00987DDC" w:rsidRPr="00987DDC">
        <w:rPr>
          <w:noProof/>
        </w:rPr>
        <w:t>pań</w:t>
      </w:r>
      <w:r w:rsidRPr="00987DDC">
        <w:rPr>
          <w:noProof/>
        </w:rPr>
        <w:t>stwami trzecimi dotyczy wymiany informacji między organami regulacyjnymi. Jak zapowiedziano</w:t>
      </w:r>
      <w:r w:rsidR="00987DDC" w:rsidRPr="00987DDC">
        <w:rPr>
          <w:noProof/>
        </w:rPr>
        <w:t xml:space="preserve"> w</w:t>
      </w:r>
      <w:r w:rsidR="00987DDC">
        <w:rPr>
          <w:noProof/>
        </w:rPr>
        <w:t> </w:t>
      </w:r>
      <w:r w:rsidR="00987DDC" w:rsidRPr="00987DDC">
        <w:rPr>
          <w:noProof/>
        </w:rPr>
        <w:t>spr</w:t>
      </w:r>
      <w:r w:rsidRPr="00987DDC">
        <w:rPr>
          <w:noProof/>
        </w:rPr>
        <w:t>awozdaniu</w:t>
      </w:r>
      <w:r w:rsidR="00987DDC" w:rsidRPr="00987DDC">
        <w:rPr>
          <w:noProof/>
        </w:rPr>
        <w:t xml:space="preserve"> z</w:t>
      </w:r>
      <w:r w:rsidR="00987DDC">
        <w:rPr>
          <w:noProof/>
        </w:rPr>
        <w:t> </w:t>
      </w:r>
      <w:r w:rsidR="00987DDC" w:rsidRPr="00987DDC">
        <w:rPr>
          <w:noProof/>
        </w:rPr>
        <w:t>2</w:t>
      </w:r>
      <w:r w:rsidRPr="00987DDC">
        <w:rPr>
          <w:noProof/>
        </w:rPr>
        <w:t>020</w:t>
      </w:r>
      <w:r w:rsidR="00987DDC" w:rsidRPr="00987DDC">
        <w:rPr>
          <w:noProof/>
        </w:rPr>
        <w:t> </w:t>
      </w:r>
      <w:r w:rsidRPr="00987DDC">
        <w:rPr>
          <w:noProof/>
        </w:rPr>
        <w:t xml:space="preserve">r., Komisja utworzyła „Akademię Ochrony Danych”, aby </w:t>
      </w:r>
      <w:r w:rsidRPr="00987DDC">
        <w:rPr>
          <w:noProof/>
          <w:shd w:val="clear" w:color="auto" w:fill="FFFFFF"/>
        </w:rPr>
        <w:t>wspierać wymianę informacji między organami ochrony danych UE</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pań</w:t>
      </w:r>
      <w:r w:rsidRPr="00987DDC">
        <w:rPr>
          <w:noProof/>
          <w:shd w:val="clear" w:color="auto" w:fill="FFFFFF"/>
        </w:rPr>
        <w:t>stw trzecich</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w</w:t>
      </w:r>
      <w:r w:rsidR="00987DDC">
        <w:rPr>
          <w:noProof/>
          <w:shd w:val="clear" w:color="auto" w:fill="FFFFFF"/>
        </w:rPr>
        <w:t> </w:t>
      </w:r>
      <w:r w:rsidR="00987DDC" w:rsidRPr="00987DDC">
        <w:rPr>
          <w:noProof/>
          <w:shd w:val="clear" w:color="auto" w:fill="FFFFFF"/>
        </w:rPr>
        <w:t>ten</w:t>
      </w:r>
      <w:r w:rsidRPr="00987DDC">
        <w:rPr>
          <w:noProof/>
          <w:shd w:val="clear" w:color="auto" w:fill="FFFFFF"/>
        </w:rPr>
        <w:t xml:space="preserve"> sposób przyczynić się do budowania zdolności</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pop</w:t>
      </w:r>
      <w:r w:rsidRPr="00987DDC">
        <w:rPr>
          <w:noProof/>
          <w:shd w:val="clear" w:color="auto" w:fill="FFFFFF"/>
        </w:rPr>
        <w:t>rawy współpracy „w terenie”. Akademia oferuje dostosowane do potrzeb szkolenia na wniosek organów państw trzecich oraz gromadzi wiedzę fachową przedstawicieli organów egzekwowania prawa, środowiska akademickiego, sektora prywatnego</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ins</w:t>
      </w:r>
      <w:r w:rsidRPr="00987DDC">
        <w:rPr>
          <w:noProof/>
          <w:shd w:val="clear" w:color="auto" w:fill="FFFFFF"/>
        </w:rPr>
        <w:t>tytucji europejskich. Wartość dodana szkoleń polega na dostosowywaniu poszczególnych elementów do interesów</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pot</w:t>
      </w:r>
      <w:r w:rsidRPr="00987DDC">
        <w:rPr>
          <w:noProof/>
          <w:shd w:val="clear" w:color="auto" w:fill="FFFFFF"/>
        </w:rPr>
        <w:t>rzeb organu wnioskującego. Ponadto szkolenia te umożliwiają organom ochrony danych UE</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pań</w:t>
      </w:r>
      <w:r w:rsidRPr="00987DDC">
        <w:rPr>
          <w:noProof/>
          <w:shd w:val="clear" w:color="auto" w:fill="FFFFFF"/>
        </w:rPr>
        <w:t>stw trzecich nawiązywanie kontaktów, wymianę wiedzy, doświadczeń</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naj</w:t>
      </w:r>
      <w:r w:rsidRPr="00987DDC">
        <w:rPr>
          <w:noProof/>
          <w:shd w:val="clear" w:color="auto" w:fill="FFFFFF"/>
        </w:rPr>
        <w:t>lepszych praktyk oraz określenie potencjalnych obszarów współpracy. Dotychczas Akademia przeprowadziła szkolenia dla organów ochrony danych</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Ind</w:t>
      </w:r>
      <w:r w:rsidRPr="00987DDC">
        <w:rPr>
          <w:noProof/>
          <w:shd w:val="clear" w:color="auto" w:fill="FFFFFF"/>
        </w:rPr>
        <w:t>onezji, Brazylii, Kenii, Nigerii</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Rwa</w:t>
      </w:r>
      <w:r w:rsidRPr="00987DDC">
        <w:rPr>
          <w:noProof/>
          <w:shd w:val="clear" w:color="auto" w:fill="FFFFFF"/>
        </w:rPr>
        <w:t>ndzie,</w:t>
      </w:r>
      <w:r w:rsidR="00987DDC" w:rsidRPr="00987DDC">
        <w:rPr>
          <w:noProof/>
          <w:shd w:val="clear" w:color="auto" w:fill="FFFFFF"/>
        </w:rPr>
        <w:t xml:space="preserve"> a</w:t>
      </w:r>
      <w:r w:rsidR="00987DDC">
        <w:rPr>
          <w:noProof/>
          <w:shd w:val="clear" w:color="auto" w:fill="FFFFFF"/>
        </w:rPr>
        <w:t> </w:t>
      </w:r>
      <w:r w:rsidR="00987DDC" w:rsidRPr="00987DDC">
        <w:rPr>
          <w:noProof/>
          <w:shd w:val="clear" w:color="auto" w:fill="FFFFFF"/>
        </w:rPr>
        <w:t>obe</w:t>
      </w:r>
      <w:r w:rsidRPr="00987DDC">
        <w:rPr>
          <w:noProof/>
          <w:shd w:val="clear" w:color="auto" w:fill="FFFFFF"/>
        </w:rPr>
        <w:t>cnie przygotowuje szkolenia dla kilku innych krajów.</w:t>
      </w:r>
    </w:p>
    <w:p w14:paraId="6CA6899E" w14:textId="208E952A" w:rsidR="00535F4E" w:rsidRPr="00987DDC" w:rsidRDefault="001D3C60" w:rsidP="00535F4E">
      <w:pPr>
        <w:pStyle w:val="Text3"/>
        <w:ind w:left="0"/>
        <w:rPr>
          <w:noProof/>
          <w:shd w:val="clear" w:color="auto" w:fill="FFFFFF"/>
        </w:rPr>
      </w:pPr>
      <w:r w:rsidRPr="00987DDC">
        <w:rPr>
          <w:noProof/>
          <w:shd w:val="clear" w:color="auto" w:fill="FFFFFF"/>
        </w:rPr>
        <w:t>Oprócz dużego znaczenia utrzymywania dialogu między organami regulacyjnymi istnieje coraz większa potrzeba – co potwierdzono również</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inf</w:t>
      </w:r>
      <w:r w:rsidRPr="00987DDC">
        <w:rPr>
          <w:noProof/>
          <w:shd w:val="clear" w:color="auto" w:fill="FFFFFF"/>
        </w:rPr>
        <w:t>ormacjach zwrotnych otrzymanych od Rady i EROD (</w:t>
      </w:r>
      <w:r w:rsidRPr="00987DDC">
        <w:rPr>
          <w:rStyle w:val="FootnoteReference"/>
          <w:noProof/>
        </w:rPr>
        <w:footnoteReference w:id="203"/>
      </w:r>
      <w:r w:rsidRPr="00987DDC">
        <w:rPr>
          <w:noProof/>
          <w:shd w:val="clear" w:color="auto" w:fill="FFFFFF"/>
        </w:rPr>
        <w:t>) – opracowania odpowiednich instrumentów prawnych służących bliższej współpracy</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wza</w:t>
      </w:r>
      <w:r w:rsidRPr="00987DDC">
        <w:rPr>
          <w:noProof/>
          <w:shd w:val="clear" w:color="auto" w:fill="FFFFFF"/>
        </w:rPr>
        <w:t>jemnej pomocy,</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tym</w:t>
      </w:r>
      <w:r w:rsidRPr="00987DDC">
        <w:rPr>
          <w:noProof/>
          <w:shd w:val="clear" w:color="auto" w:fill="FFFFFF"/>
        </w:rPr>
        <w:t xml:space="preserve"> poprzez umożliwienie niezbędnej wymiany informacji</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kon</w:t>
      </w:r>
      <w:r w:rsidRPr="00987DDC">
        <w:rPr>
          <w:noProof/>
          <w:shd w:val="clear" w:color="auto" w:fill="FFFFFF"/>
        </w:rPr>
        <w:t>tekście dochodzeń. Ponieważ naruszenia prywatności wywołują coraz większe skutki transgraniczne, zazwyczaj można skutecznie je badać oraz im zaradzić jedynie</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dro</w:t>
      </w:r>
      <w:r w:rsidRPr="00987DDC">
        <w:rPr>
          <w:noProof/>
          <w:shd w:val="clear" w:color="auto" w:fill="FFFFFF"/>
        </w:rPr>
        <w:t>dze współpracy między organami regulacyjnymi z UE</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spo</w:t>
      </w:r>
      <w:r w:rsidRPr="00987DDC">
        <w:rPr>
          <w:noProof/>
          <w:shd w:val="clear" w:color="auto" w:fill="FFFFFF"/>
        </w:rPr>
        <w:t>za UE. Komisja zwróci się zatem</w:t>
      </w:r>
      <w:r w:rsidR="00987DDC" w:rsidRPr="00987DDC">
        <w:rPr>
          <w:noProof/>
          <w:shd w:val="clear" w:color="auto" w:fill="FFFFFF"/>
        </w:rPr>
        <w:t xml:space="preserve"> o</w:t>
      </w:r>
      <w:r w:rsidR="00987DDC">
        <w:rPr>
          <w:noProof/>
          <w:shd w:val="clear" w:color="auto" w:fill="FFFFFF"/>
        </w:rPr>
        <w:t> </w:t>
      </w:r>
      <w:r w:rsidR="00987DDC" w:rsidRPr="00987DDC">
        <w:rPr>
          <w:noProof/>
          <w:shd w:val="clear" w:color="auto" w:fill="FFFFFF"/>
        </w:rPr>
        <w:t>upo</w:t>
      </w:r>
      <w:r w:rsidRPr="00987DDC">
        <w:rPr>
          <w:noProof/>
          <w:shd w:val="clear" w:color="auto" w:fill="FFFFFF"/>
        </w:rPr>
        <w:t>ważnienie do rozpoczęcia negocjacji</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cel</w:t>
      </w:r>
      <w:r w:rsidRPr="00987DDC">
        <w:rPr>
          <w:noProof/>
          <w:shd w:val="clear" w:color="auto" w:fill="FFFFFF"/>
        </w:rPr>
        <w:t>u zawarcia umów</w:t>
      </w:r>
      <w:r w:rsidR="00987DDC" w:rsidRPr="00987DDC">
        <w:rPr>
          <w:noProof/>
          <w:shd w:val="clear" w:color="auto" w:fill="FFFFFF"/>
        </w:rPr>
        <w:t xml:space="preserve"> o</w:t>
      </w:r>
      <w:r w:rsidR="00987DDC">
        <w:rPr>
          <w:noProof/>
          <w:shd w:val="clear" w:color="auto" w:fill="FFFFFF"/>
        </w:rPr>
        <w:t> </w:t>
      </w:r>
      <w:r w:rsidR="00987DDC" w:rsidRPr="00987DDC">
        <w:rPr>
          <w:noProof/>
          <w:shd w:val="clear" w:color="auto" w:fill="FFFFFF"/>
        </w:rPr>
        <w:t>wsp</w:t>
      </w:r>
      <w:r w:rsidRPr="00987DDC">
        <w:rPr>
          <w:noProof/>
          <w:shd w:val="clear" w:color="auto" w:fill="FFFFFF"/>
        </w:rPr>
        <w:t>ółpracy</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zak</w:t>
      </w:r>
      <w:r w:rsidRPr="00987DDC">
        <w:rPr>
          <w:noProof/>
          <w:shd w:val="clear" w:color="auto" w:fill="FFFFFF"/>
        </w:rPr>
        <w:t>resie egzekwowania przepisów</w:t>
      </w:r>
      <w:r w:rsidR="00987DDC" w:rsidRPr="00987DDC">
        <w:rPr>
          <w:noProof/>
          <w:shd w:val="clear" w:color="auto" w:fill="FFFFFF"/>
        </w:rPr>
        <w:t xml:space="preserve"> z</w:t>
      </w:r>
      <w:r w:rsidR="00987DDC">
        <w:rPr>
          <w:noProof/>
          <w:shd w:val="clear" w:color="auto" w:fill="FFFFFF"/>
        </w:rPr>
        <w:t> </w:t>
      </w:r>
      <w:r w:rsidR="00987DDC" w:rsidRPr="00987DDC">
        <w:rPr>
          <w:noProof/>
          <w:shd w:val="clear" w:color="auto" w:fill="FFFFFF"/>
        </w:rPr>
        <w:t>odp</w:t>
      </w:r>
      <w:r w:rsidRPr="00987DDC">
        <w:rPr>
          <w:noProof/>
          <w:shd w:val="clear" w:color="auto" w:fill="FFFFFF"/>
        </w:rPr>
        <w:t>owiednimi państwami trzecimi (jak przewidziano również</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art</w:t>
      </w:r>
      <w:r w:rsidRPr="00987DDC">
        <w:rPr>
          <w:noProof/>
          <w:shd w:val="clear" w:color="auto" w:fill="FFFFFF"/>
        </w:rPr>
        <w:t>.</w:t>
      </w:r>
      <w:r w:rsidR="00987DDC" w:rsidRPr="00987DDC">
        <w:rPr>
          <w:noProof/>
          <w:shd w:val="clear" w:color="auto" w:fill="FFFFFF"/>
        </w:rPr>
        <w:t> </w:t>
      </w:r>
      <w:r w:rsidRPr="00987DDC">
        <w:rPr>
          <w:noProof/>
          <w:shd w:val="clear" w:color="auto" w:fill="FFFFFF"/>
        </w:rPr>
        <w:t>50 RODO)</w:t>
      </w:r>
      <w:r w:rsidR="00987DDC" w:rsidRPr="00987DDC">
        <w:rPr>
          <w:noProof/>
          <w:shd w:val="clear" w:color="auto" w:fill="FFFFFF"/>
        </w:rPr>
        <w:t>. W</w:t>
      </w:r>
      <w:r w:rsidR="00987DDC">
        <w:rPr>
          <w:noProof/>
          <w:shd w:val="clear" w:color="auto" w:fill="FFFFFF"/>
        </w:rPr>
        <w:t> </w:t>
      </w:r>
      <w:r w:rsidR="00987DDC" w:rsidRPr="00987DDC">
        <w:rPr>
          <w:noProof/>
          <w:shd w:val="clear" w:color="auto" w:fill="FFFFFF"/>
        </w:rPr>
        <w:t>tym</w:t>
      </w:r>
      <w:r w:rsidRPr="00987DDC">
        <w:rPr>
          <w:noProof/>
          <w:shd w:val="clear" w:color="auto" w:fill="FFFFFF"/>
        </w:rPr>
        <w:t xml:space="preserve"> względzie Komisja odnotowuje wniosek EROD</w:t>
      </w:r>
      <w:r w:rsidR="00987DDC" w:rsidRPr="00987DDC">
        <w:rPr>
          <w:noProof/>
          <w:shd w:val="clear" w:color="auto" w:fill="FFFFFF"/>
        </w:rPr>
        <w:t xml:space="preserve"> o</w:t>
      </w:r>
      <w:r w:rsidR="00987DDC">
        <w:rPr>
          <w:noProof/>
          <w:shd w:val="clear" w:color="auto" w:fill="FFFFFF"/>
        </w:rPr>
        <w:t> </w:t>
      </w:r>
      <w:r w:rsidR="00987DDC" w:rsidRPr="00987DDC">
        <w:rPr>
          <w:noProof/>
          <w:shd w:val="clear" w:color="auto" w:fill="FFFFFF"/>
        </w:rPr>
        <w:t>szc</w:t>
      </w:r>
      <w:r w:rsidRPr="00987DDC">
        <w:rPr>
          <w:noProof/>
          <w:shd w:val="clear" w:color="auto" w:fill="FFFFFF"/>
        </w:rPr>
        <w:t>zególne uznanie państw,</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któ</w:t>
      </w:r>
      <w:r w:rsidRPr="00987DDC">
        <w:rPr>
          <w:noProof/>
          <w:shd w:val="clear" w:color="auto" w:fill="FFFFFF"/>
        </w:rPr>
        <w:t>rych większość operatorów bezpośrednio podlega RODO, za potencjalne odpowiedniki,</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szc</w:t>
      </w:r>
      <w:r w:rsidRPr="00987DDC">
        <w:rPr>
          <w:noProof/>
          <w:shd w:val="clear" w:color="auto" w:fill="FFFFFF"/>
        </w:rPr>
        <w:t>zególności państw grupy G-7 lub państw, które korzystają</w:t>
      </w:r>
      <w:r w:rsidR="00987DDC" w:rsidRPr="00987DDC">
        <w:rPr>
          <w:noProof/>
          <w:shd w:val="clear" w:color="auto" w:fill="FFFFFF"/>
        </w:rPr>
        <w:t xml:space="preserve"> z</w:t>
      </w:r>
      <w:r w:rsidR="00987DDC">
        <w:rPr>
          <w:noProof/>
          <w:shd w:val="clear" w:color="auto" w:fill="FFFFFF"/>
        </w:rPr>
        <w:t> </w:t>
      </w:r>
      <w:r w:rsidR="00987DDC" w:rsidRPr="00987DDC">
        <w:rPr>
          <w:noProof/>
          <w:shd w:val="clear" w:color="auto" w:fill="FFFFFF"/>
        </w:rPr>
        <w:t>dec</w:t>
      </w:r>
      <w:r w:rsidRPr="00987DDC">
        <w:rPr>
          <w:noProof/>
          <w:shd w:val="clear" w:color="auto" w:fill="FFFFFF"/>
        </w:rPr>
        <w:t>yzji stwierdzających odpowiedni stopień ochrony (</w:t>
      </w:r>
      <w:r w:rsidRPr="00987DDC">
        <w:rPr>
          <w:rStyle w:val="FootnoteReference"/>
          <w:noProof/>
        </w:rPr>
        <w:footnoteReference w:id="204"/>
      </w:r>
      <w:r w:rsidRPr="00987DDC">
        <w:rPr>
          <w:noProof/>
          <w:shd w:val="clear" w:color="auto" w:fill="FFFFFF"/>
        </w:rPr>
        <w:t xml:space="preserve">). </w:t>
      </w:r>
    </w:p>
    <w:p w14:paraId="15B915B6" w14:textId="2FE3C743" w:rsidR="00366C4F" w:rsidRPr="00987DDC" w:rsidRDefault="008B40A1" w:rsidP="00535F4E">
      <w:pPr>
        <w:pStyle w:val="Text3"/>
        <w:ind w:left="0"/>
        <w:rPr>
          <w:noProof/>
        </w:rPr>
      </w:pPr>
      <w:r w:rsidRPr="00987DDC">
        <w:rPr>
          <w:noProof/>
          <w:shd w:val="clear" w:color="auto" w:fill="FFFFFF"/>
        </w:rPr>
        <w:t>Wprowadzenie takich umów</w:t>
      </w:r>
      <w:r w:rsidR="00987DDC" w:rsidRPr="00987DDC">
        <w:rPr>
          <w:noProof/>
          <w:shd w:val="clear" w:color="auto" w:fill="FFFFFF"/>
        </w:rPr>
        <w:t xml:space="preserve"> o</w:t>
      </w:r>
      <w:r w:rsidR="00987DDC">
        <w:rPr>
          <w:noProof/>
          <w:shd w:val="clear" w:color="auto" w:fill="FFFFFF"/>
        </w:rPr>
        <w:t> </w:t>
      </w:r>
      <w:r w:rsidR="00987DDC" w:rsidRPr="00987DDC">
        <w:rPr>
          <w:noProof/>
          <w:shd w:val="clear" w:color="auto" w:fill="FFFFFF"/>
        </w:rPr>
        <w:t>wsp</w:t>
      </w:r>
      <w:r w:rsidRPr="00987DDC">
        <w:rPr>
          <w:noProof/>
          <w:shd w:val="clear" w:color="auto" w:fill="FFFFFF"/>
        </w:rPr>
        <w:t>ółpracy</w:t>
      </w:r>
      <w:r w:rsidR="00987DDC" w:rsidRPr="00987DDC">
        <w:rPr>
          <w:noProof/>
          <w:shd w:val="clear" w:color="auto" w:fill="FFFFFF"/>
        </w:rPr>
        <w:t xml:space="preserve"> w</w:t>
      </w:r>
      <w:r w:rsidR="00987DDC">
        <w:rPr>
          <w:noProof/>
          <w:shd w:val="clear" w:color="auto" w:fill="FFFFFF"/>
        </w:rPr>
        <w:t> </w:t>
      </w:r>
      <w:r w:rsidR="00987DDC" w:rsidRPr="00987DDC">
        <w:rPr>
          <w:noProof/>
          <w:shd w:val="clear" w:color="auto" w:fill="FFFFFF"/>
        </w:rPr>
        <w:t>zak</w:t>
      </w:r>
      <w:r w:rsidRPr="00987DDC">
        <w:rPr>
          <w:noProof/>
          <w:shd w:val="clear" w:color="auto" w:fill="FFFFFF"/>
        </w:rPr>
        <w:t>resie egzekwowania przepisów</w:t>
      </w:r>
      <w:r w:rsidR="00987DDC" w:rsidRPr="00987DDC">
        <w:rPr>
          <w:noProof/>
          <w:shd w:val="clear" w:color="auto" w:fill="FFFFFF"/>
        </w:rPr>
        <w:t xml:space="preserve"> i</w:t>
      </w:r>
      <w:r w:rsidR="00987DDC">
        <w:rPr>
          <w:noProof/>
          <w:shd w:val="clear" w:color="auto" w:fill="FFFFFF"/>
        </w:rPr>
        <w:t> </w:t>
      </w:r>
      <w:r w:rsidR="00987DDC" w:rsidRPr="00987DDC">
        <w:rPr>
          <w:noProof/>
          <w:shd w:val="clear" w:color="auto" w:fill="FFFFFF"/>
        </w:rPr>
        <w:t>wza</w:t>
      </w:r>
      <w:r w:rsidRPr="00987DDC">
        <w:rPr>
          <w:noProof/>
          <w:shd w:val="clear" w:color="auto" w:fill="FFFFFF"/>
        </w:rPr>
        <w:t xml:space="preserve">jemnej pomocy </w:t>
      </w:r>
      <w:r w:rsidRPr="00987DDC">
        <w:rPr>
          <w:noProof/>
        </w:rPr>
        <w:t>pomogłoby również zapewnić przestrzeganie przepisów przez podmioty zagraniczne podlegające RODO oraz skuteczne egzekwowanie tych przepisów, na przykład dlatego, że są one nastawione na rynek UE, oferując towary lub usługi. Rada uznaje znaczenie egzekwowania</w:t>
      </w:r>
      <w:r w:rsidR="00987DDC" w:rsidRPr="00987DDC">
        <w:rPr>
          <w:noProof/>
        </w:rPr>
        <w:t xml:space="preserve"> w</w:t>
      </w:r>
      <w:r w:rsidR="00987DDC">
        <w:rPr>
          <w:noProof/>
        </w:rPr>
        <w:t> </w:t>
      </w:r>
      <w:r w:rsidR="00987DDC" w:rsidRPr="00987DDC">
        <w:rPr>
          <w:noProof/>
        </w:rPr>
        <w:t>tak</w:t>
      </w:r>
      <w:r w:rsidRPr="00987DDC">
        <w:rPr>
          <w:noProof/>
        </w:rPr>
        <w:t>ich przypadkach zgodności z RODO</w:t>
      </w:r>
      <w:r w:rsidR="00987DDC" w:rsidRPr="00987DDC">
        <w:rPr>
          <w:noProof/>
        </w:rPr>
        <w:t xml:space="preserve"> i</w:t>
      </w:r>
      <w:r w:rsidR="00987DDC">
        <w:rPr>
          <w:noProof/>
        </w:rPr>
        <w:t> </w:t>
      </w:r>
      <w:r w:rsidR="00987DDC" w:rsidRPr="00987DDC">
        <w:rPr>
          <w:noProof/>
        </w:rPr>
        <w:t>wyr</w:t>
      </w:r>
      <w:r w:rsidRPr="00987DDC">
        <w:rPr>
          <w:noProof/>
        </w:rPr>
        <w:t>aża obawy na temat równości warunków działania</w:t>
      </w:r>
      <w:r w:rsidR="00987DDC" w:rsidRPr="00987DDC">
        <w:rPr>
          <w:noProof/>
        </w:rPr>
        <w:t xml:space="preserve"> z</w:t>
      </w:r>
      <w:r w:rsidR="00987DDC">
        <w:rPr>
          <w:noProof/>
        </w:rPr>
        <w:t> </w:t>
      </w:r>
      <w:r w:rsidR="00987DDC" w:rsidRPr="00987DDC">
        <w:rPr>
          <w:noProof/>
        </w:rPr>
        <w:t>pod</w:t>
      </w:r>
      <w:r w:rsidRPr="00987DDC">
        <w:rPr>
          <w:noProof/>
        </w:rPr>
        <w:t>miotami w UE,</w:t>
      </w:r>
      <w:r w:rsidR="00987DDC" w:rsidRPr="00987DDC">
        <w:rPr>
          <w:noProof/>
        </w:rPr>
        <w:t xml:space="preserve"> a</w:t>
      </w:r>
      <w:r w:rsidR="00987DDC">
        <w:rPr>
          <w:noProof/>
        </w:rPr>
        <w:t> </w:t>
      </w:r>
      <w:r w:rsidR="00987DDC" w:rsidRPr="00987DDC">
        <w:rPr>
          <w:noProof/>
        </w:rPr>
        <w:t>tak</w:t>
      </w:r>
      <w:r w:rsidRPr="00987DDC">
        <w:rPr>
          <w:noProof/>
        </w:rPr>
        <w:t>że skutecznej ochrony praw osób fizycznych (</w:t>
      </w:r>
      <w:r w:rsidRPr="00987DDC">
        <w:rPr>
          <w:rStyle w:val="FootnoteReference"/>
          <w:noProof/>
        </w:rPr>
        <w:footnoteReference w:id="205"/>
      </w:r>
      <w:r w:rsidRPr="00987DDC">
        <w:rPr>
          <w:noProof/>
        </w:rPr>
        <w:t>). Komisja zgadza się</w:t>
      </w:r>
      <w:r w:rsidR="00987DDC" w:rsidRPr="00987DDC">
        <w:rPr>
          <w:noProof/>
        </w:rPr>
        <w:t xml:space="preserve"> z</w:t>
      </w:r>
      <w:r w:rsidR="00987DDC">
        <w:rPr>
          <w:noProof/>
        </w:rPr>
        <w:t> </w:t>
      </w:r>
      <w:r w:rsidR="00987DDC" w:rsidRPr="00987DDC">
        <w:rPr>
          <w:noProof/>
        </w:rPr>
        <w:t>pos</w:t>
      </w:r>
      <w:r w:rsidRPr="00987DDC">
        <w:rPr>
          <w:noProof/>
        </w:rPr>
        <w:t>tulatem Rady dotyczącym zbadania różnych sposobów na ułatwienie egzekwowania przepisów</w:t>
      </w:r>
      <w:r w:rsidR="00987DDC" w:rsidRPr="00987DDC">
        <w:rPr>
          <w:noProof/>
        </w:rPr>
        <w:t xml:space="preserve"> w</w:t>
      </w:r>
      <w:r w:rsidR="00987DDC">
        <w:rPr>
          <w:noProof/>
        </w:rPr>
        <w:t> </w:t>
      </w:r>
      <w:r w:rsidR="00987DDC" w:rsidRPr="00987DDC">
        <w:rPr>
          <w:noProof/>
        </w:rPr>
        <w:t>tym</w:t>
      </w:r>
      <w:r w:rsidRPr="00987DDC">
        <w:rPr>
          <w:noProof/>
        </w:rPr>
        <w:t xml:space="preserve"> scenariuszu. Chociaż bardziej formalne formy współpracy</w:t>
      </w:r>
      <w:r w:rsidR="00987DDC" w:rsidRPr="00987DDC">
        <w:rPr>
          <w:noProof/>
        </w:rPr>
        <w:t xml:space="preserve"> z</w:t>
      </w:r>
      <w:r w:rsidR="00987DDC">
        <w:rPr>
          <w:noProof/>
        </w:rPr>
        <w:t> </w:t>
      </w:r>
      <w:r w:rsidR="00987DDC" w:rsidRPr="00987DDC">
        <w:rPr>
          <w:noProof/>
        </w:rPr>
        <w:t>org</w:t>
      </w:r>
      <w:r w:rsidRPr="00987DDC">
        <w:rPr>
          <w:noProof/>
        </w:rPr>
        <w:t>anami regulacyjnymi</w:t>
      </w:r>
      <w:r w:rsidR="00987DDC" w:rsidRPr="00987DDC">
        <w:rPr>
          <w:noProof/>
        </w:rPr>
        <w:t xml:space="preserve"> z</w:t>
      </w:r>
      <w:r w:rsidR="00987DDC">
        <w:rPr>
          <w:noProof/>
        </w:rPr>
        <w:t> </w:t>
      </w:r>
      <w:r w:rsidR="00987DDC" w:rsidRPr="00987DDC">
        <w:rPr>
          <w:noProof/>
        </w:rPr>
        <w:t>pań</w:t>
      </w:r>
      <w:r w:rsidRPr="00987DDC">
        <w:rPr>
          <w:noProof/>
        </w:rPr>
        <w:t>stw trzecich</w:t>
      </w:r>
      <w:r w:rsidR="00987DDC" w:rsidRPr="00987DDC">
        <w:rPr>
          <w:noProof/>
        </w:rPr>
        <w:t xml:space="preserve"> z</w:t>
      </w:r>
      <w:r w:rsidR="00987DDC">
        <w:rPr>
          <w:noProof/>
        </w:rPr>
        <w:t> </w:t>
      </w:r>
      <w:r w:rsidR="00987DDC" w:rsidRPr="00987DDC">
        <w:rPr>
          <w:noProof/>
        </w:rPr>
        <w:t>pew</w:t>
      </w:r>
      <w:r w:rsidRPr="00987DDC">
        <w:rPr>
          <w:noProof/>
        </w:rPr>
        <w:t>nością mogłyby odegrać ważną rolę, należy także aktywniej wykorzystywać inne – już istniejące – możliwości. Obejmuje to pełne wykorzystanie zestawu narzędzi służących egzekwowaniu przepisów,</w:t>
      </w:r>
      <w:r w:rsidR="00987DDC" w:rsidRPr="00987DDC">
        <w:rPr>
          <w:noProof/>
        </w:rPr>
        <w:t xml:space="preserve"> o</w:t>
      </w:r>
      <w:r w:rsidR="00987DDC">
        <w:rPr>
          <w:noProof/>
        </w:rPr>
        <w:t> </w:t>
      </w:r>
      <w:r w:rsidR="00987DDC" w:rsidRPr="00987DDC">
        <w:rPr>
          <w:noProof/>
        </w:rPr>
        <w:t>któ</w:t>
      </w:r>
      <w:r w:rsidRPr="00987DDC">
        <w:rPr>
          <w:noProof/>
        </w:rPr>
        <w:t>rym mowa</w:t>
      </w:r>
      <w:r w:rsidR="00987DDC" w:rsidRPr="00987DDC">
        <w:rPr>
          <w:noProof/>
        </w:rPr>
        <w:t xml:space="preserve"> w</w:t>
      </w:r>
      <w:r w:rsidR="00987DDC">
        <w:rPr>
          <w:noProof/>
        </w:rPr>
        <w:t> </w:t>
      </w:r>
      <w:r w:rsidR="00987DDC" w:rsidRPr="00987DDC">
        <w:rPr>
          <w:noProof/>
        </w:rPr>
        <w:t>art</w:t>
      </w:r>
      <w:r w:rsidRPr="00987DDC">
        <w:rPr>
          <w:noProof/>
        </w:rPr>
        <w:t>.</w:t>
      </w:r>
      <w:r w:rsidR="00987DDC" w:rsidRPr="00987DDC">
        <w:rPr>
          <w:noProof/>
        </w:rPr>
        <w:t> </w:t>
      </w:r>
      <w:r w:rsidRPr="00987DDC">
        <w:rPr>
          <w:noProof/>
        </w:rPr>
        <w:t>58 RODO, oraz zaangażowanie przedstawicieli zagranicznych przedsiębiorstw w UE (wyznaczonych zgodnie</w:t>
      </w:r>
      <w:r w:rsidR="00987DDC" w:rsidRPr="00987DDC">
        <w:rPr>
          <w:noProof/>
        </w:rPr>
        <w:t xml:space="preserve"> z</w:t>
      </w:r>
      <w:r w:rsidR="00987DDC">
        <w:rPr>
          <w:noProof/>
        </w:rPr>
        <w:t> </w:t>
      </w:r>
      <w:r w:rsidR="00987DDC" w:rsidRPr="00987DDC">
        <w:rPr>
          <w:noProof/>
        </w:rPr>
        <w:t>art</w:t>
      </w:r>
      <w:r w:rsidRPr="00987DDC">
        <w:rPr>
          <w:noProof/>
        </w:rPr>
        <w:t>.</w:t>
      </w:r>
      <w:r w:rsidR="00987DDC" w:rsidRPr="00987DDC">
        <w:rPr>
          <w:noProof/>
        </w:rPr>
        <w:t> </w:t>
      </w:r>
      <w:r w:rsidRPr="00987DDC">
        <w:rPr>
          <w:noProof/>
        </w:rPr>
        <w:t xml:space="preserve">27 RODO). </w:t>
      </w:r>
    </w:p>
    <w:p w14:paraId="20C40465" w14:textId="7333BB8A" w:rsidR="00AF1E50" w:rsidRPr="00987DDC" w:rsidRDefault="00AF1E50" w:rsidP="000E65C1">
      <w:pPr>
        <w:pStyle w:val="Heading3"/>
        <w:rPr>
          <w:noProof/>
        </w:rPr>
      </w:pPr>
      <w:r w:rsidRPr="00987DDC">
        <w:rPr>
          <w:noProof/>
        </w:rPr>
        <w:t>Wymiar wielostronny</w:t>
      </w:r>
    </w:p>
    <w:p w14:paraId="1836639F" w14:textId="33A14FDA" w:rsidR="00251171" w:rsidRPr="00987DDC" w:rsidRDefault="00251171" w:rsidP="00DD7FA3">
      <w:pPr>
        <w:pStyle w:val="Text3"/>
        <w:ind w:left="0"/>
        <w:rPr>
          <w:noProof/>
        </w:rPr>
      </w:pPr>
      <w:r w:rsidRPr="00987DDC">
        <w:rPr>
          <w:noProof/>
        </w:rPr>
        <w:t>Komisja nadal aktywnie uczestniczy również</w:t>
      </w:r>
      <w:r w:rsidR="00987DDC" w:rsidRPr="00987DDC">
        <w:rPr>
          <w:noProof/>
        </w:rPr>
        <w:t xml:space="preserve"> w</w:t>
      </w:r>
      <w:r w:rsidR="00987DDC">
        <w:rPr>
          <w:noProof/>
        </w:rPr>
        <w:t> </w:t>
      </w:r>
      <w:r w:rsidR="00987DDC" w:rsidRPr="00987DDC">
        <w:rPr>
          <w:noProof/>
        </w:rPr>
        <w:t>roz</w:t>
      </w:r>
      <w:r w:rsidRPr="00987DDC">
        <w:rPr>
          <w:noProof/>
        </w:rPr>
        <w:t>maitych forach międzynarodowych, by propagować wspólne wartości</w:t>
      </w:r>
      <w:r w:rsidR="00987DDC" w:rsidRPr="00987DDC">
        <w:rPr>
          <w:noProof/>
        </w:rPr>
        <w:t xml:space="preserve"> i</w:t>
      </w:r>
      <w:r w:rsidR="00987DDC">
        <w:rPr>
          <w:noProof/>
        </w:rPr>
        <w:t> </w:t>
      </w:r>
      <w:r w:rsidR="00987DDC" w:rsidRPr="00987DDC">
        <w:rPr>
          <w:noProof/>
        </w:rPr>
        <w:t>roz</w:t>
      </w:r>
      <w:r w:rsidRPr="00987DDC">
        <w:rPr>
          <w:noProof/>
        </w:rPr>
        <w:t>szerzać konwergencję na szczeblu regionalnym</w:t>
      </w:r>
      <w:r w:rsidR="00987DDC" w:rsidRPr="00987DDC">
        <w:rPr>
          <w:noProof/>
        </w:rPr>
        <w:t xml:space="preserve"> i</w:t>
      </w:r>
      <w:r w:rsidR="00987DDC">
        <w:rPr>
          <w:noProof/>
        </w:rPr>
        <w:t> </w:t>
      </w:r>
      <w:r w:rsidR="00987DDC" w:rsidRPr="00987DDC">
        <w:rPr>
          <w:noProof/>
        </w:rPr>
        <w:t>glo</w:t>
      </w:r>
      <w:r w:rsidRPr="00987DDC">
        <w:rPr>
          <w:noProof/>
        </w:rPr>
        <w:t>balnym.</w:t>
      </w:r>
    </w:p>
    <w:p w14:paraId="34BF71E8" w14:textId="2C8DD0E0" w:rsidR="0002460E" w:rsidRPr="00987DDC" w:rsidRDefault="00251171" w:rsidP="00DD7FA3">
      <w:pPr>
        <w:pStyle w:val="Text3"/>
        <w:ind w:left="0"/>
        <w:rPr>
          <w:noProof/>
        </w:rPr>
      </w:pPr>
      <w:r w:rsidRPr="00987DDC">
        <w:rPr>
          <w:noProof/>
        </w:rPr>
        <w:t>Obejmuje to m.in. aktywny udział</w:t>
      </w:r>
      <w:r w:rsidR="00987DDC" w:rsidRPr="00987DDC">
        <w:rPr>
          <w:noProof/>
        </w:rPr>
        <w:t xml:space="preserve"> w</w:t>
      </w:r>
      <w:r w:rsidR="00987DDC">
        <w:rPr>
          <w:noProof/>
        </w:rPr>
        <w:t> </w:t>
      </w:r>
      <w:r w:rsidR="00987DDC" w:rsidRPr="00987DDC">
        <w:rPr>
          <w:noProof/>
        </w:rPr>
        <w:t>pra</w:t>
      </w:r>
      <w:r w:rsidRPr="00987DDC">
        <w:rPr>
          <w:noProof/>
        </w:rPr>
        <w:t>cach komitetu doradczego ds. konwencji</w:t>
      </w:r>
      <w:r w:rsidR="00987DDC" w:rsidRPr="00987DDC">
        <w:rPr>
          <w:noProof/>
        </w:rPr>
        <w:t xml:space="preserve"> o</w:t>
      </w:r>
      <w:r w:rsidR="00987DDC">
        <w:rPr>
          <w:noProof/>
        </w:rPr>
        <w:t> </w:t>
      </w:r>
      <w:r w:rsidR="00987DDC" w:rsidRPr="00987DDC">
        <w:rPr>
          <w:noProof/>
        </w:rPr>
        <w:t>och</w:t>
      </w:r>
      <w:r w:rsidRPr="00987DDC">
        <w:rPr>
          <w:noProof/>
        </w:rPr>
        <w:t>ronie osób</w:t>
      </w:r>
      <w:r w:rsidR="00987DDC" w:rsidRPr="00987DDC">
        <w:rPr>
          <w:noProof/>
        </w:rPr>
        <w:t xml:space="preserve"> w</w:t>
      </w:r>
      <w:r w:rsidR="00987DDC">
        <w:rPr>
          <w:noProof/>
        </w:rPr>
        <w:t> </w:t>
      </w:r>
      <w:r w:rsidR="00987DDC" w:rsidRPr="00987DDC">
        <w:rPr>
          <w:noProof/>
        </w:rPr>
        <w:t>zwi</w:t>
      </w:r>
      <w:r w:rsidRPr="00987DDC">
        <w:rPr>
          <w:noProof/>
        </w:rPr>
        <w:t>ązku</w:t>
      </w:r>
      <w:r w:rsidR="00987DDC" w:rsidRPr="00987DDC">
        <w:rPr>
          <w:noProof/>
        </w:rPr>
        <w:t xml:space="preserve"> z</w:t>
      </w:r>
      <w:r w:rsidR="00987DDC">
        <w:rPr>
          <w:noProof/>
        </w:rPr>
        <w:t> </w:t>
      </w:r>
      <w:r w:rsidR="00987DDC" w:rsidRPr="00987DDC">
        <w:rPr>
          <w:noProof/>
        </w:rPr>
        <w:t>aut</w:t>
      </w:r>
      <w:r w:rsidRPr="00987DDC">
        <w:rPr>
          <w:noProof/>
        </w:rPr>
        <w:t>omatycznym przetwarzaniem danych osobowych (konwencja nr</w:t>
      </w:r>
      <w:r w:rsidR="00987DDC" w:rsidRPr="00987DDC">
        <w:rPr>
          <w:noProof/>
        </w:rPr>
        <w:t> </w:t>
      </w:r>
      <w:r w:rsidRPr="00987DDC">
        <w:rPr>
          <w:noProof/>
        </w:rPr>
        <w:t>108) – jedynego prawnie wiążącego instrumentu wielostronnego</w:t>
      </w:r>
      <w:r w:rsidR="00987DDC" w:rsidRPr="00987DDC">
        <w:rPr>
          <w:noProof/>
        </w:rPr>
        <w:t xml:space="preserve"> w</w:t>
      </w:r>
      <w:r w:rsidR="00987DDC">
        <w:rPr>
          <w:noProof/>
        </w:rPr>
        <w:t> </w:t>
      </w:r>
      <w:r w:rsidR="00987DDC" w:rsidRPr="00987DDC">
        <w:rPr>
          <w:noProof/>
        </w:rPr>
        <w:t>dzi</w:t>
      </w:r>
      <w:r w:rsidRPr="00987DDC">
        <w:rPr>
          <w:noProof/>
        </w:rPr>
        <w:t>edzinie ochrony danych osobowych. Do tej pory 31 państw ratyfikowało protokół zmieniający</w:t>
      </w:r>
      <w:r w:rsidR="00987DDC" w:rsidRPr="00987DDC">
        <w:rPr>
          <w:noProof/>
        </w:rPr>
        <w:t xml:space="preserve"> w</w:t>
      </w:r>
      <w:r w:rsidR="00987DDC">
        <w:rPr>
          <w:noProof/>
        </w:rPr>
        <w:t> </w:t>
      </w:r>
      <w:r w:rsidR="00987DDC" w:rsidRPr="00987DDC">
        <w:rPr>
          <w:noProof/>
        </w:rPr>
        <w:t>cel</w:t>
      </w:r>
      <w:r w:rsidRPr="00987DDC">
        <w:rPr>
          <w:noProof/>
        </w:rPr>
        <w:t>u uaktualnienia konwencji nr</w:t>
      </w:r>
      <w:r w:rsidR="00987DDC" w:rsidRPr="00987DDC">
        <w:rPr>
          <w:noProof/>
        </w:rPr>
        <w:t> </w:t>
      </w:r>
      <w:r w:rsidRPr="00987DDC">
        <w:rPr>
          <w:noProof/>
        </w:rPr>
        <w:t>108 (</w:t>
      </w:r>
      <w:r w:rsidRPr="00987DDC">
        <w:rPr>
          <w:rStyle w:val="FootnoteReference"/>
          <w:noProof/>
        </w:rPr>
        <w:footnoteReference w:id="206"/>
      </w:r>
      <w:r w:rsidRPr="00987DDC">
        <w:rPr>
          <w:noProof/>
        </w:rPr>
        <w:t>),</w:t>
      </w:r>
      <w:r w:rsidR="00987DDC" w:rsidRPr="00987DDC">
        <w:rPr>
          <w:noProof/>
        </w:rPr>
        <w:t xml:space="preserve"> w</w:t>
      </w:r>
      <w:r w:rsidR="00987DDC">
        <w:rPr>
          <w:noProof/>
        </w:rPr>
        <w:t> </w:t>
      </w:r>
      <w:r w:rsidR="00987DDC" w:rsidRPr="00987DDC">
        <w:rPr>
          <w:noProof/>
        </w:rPr>
        <w:t>tym</w:t>
      </w:r>
      <w:r w:rsidRPr="00987DDC">
        <w:rPr>
          <w:noProof/>
        </w:rPr>
        <w:t xml:space="preserve"> wiele państw członkowskich UE,</w:t>
      </w:r>
      <w:r w:rsidR="00987DDC" w:rsidRPr="00987DDC">
        <w:rPr>
          <w:noProof/>
        </w:rPr>
        <w:t xml:space="preserve"> a</w:t>
      </w:r>
      <w:r w:rsidR="00987DDC">
        <w:rPr>
          <w:noProof/>
        </w:rPr>
        <w:t> </w:t>
      </w:r>
      <w:r w:rsidR="00987DDC" w:rsidRPr="00987DDC">
        <w:rPr>
          <w:noProof/>
        </w:rPr>
        <w:t>tak</w:t>
      </w:r>
      <w:r w:rsidRPr="00987DDC">
        <w:rPr>
          <w:noProof/>
        </w:rPr>
        <w:t>że niektóre państwa niebędące członkami Rady Europy (Argentyna, Mauritius</w:t>
      </w:r>
      <w:r w:rsidR="00987DDC" w:rsidRPr="00987DDC">
        <w:rPr>
          <w:noProof/>
        </w:rPr>
        <w:t xml:space="preserve"> i</w:t>
      </w:r>
      <w:r w:rsidR="00987DDC">
        <w:rPr>
          <w:noProof/>
        </w:rPr>
        <w:t> </w:t>
      </w:r>
      <w:r w:rsidR="00987DDC" w:rsidRPr="00987DDC">
        <w:rPr>
          <w:noProof/>
        </w:rPr>
        <w:t>Uru</w:t>
      </w:r>
      <w:r w:rsidRPr="00987DDC">
        <w:rPr>
          <w:noProof/>
        </w:rPr>
        <w:t xml:space="preserve">gwaj). </w:t>
      </w:r>
      <w:bookmarkStart w:id="42" w:name="_Hlk170829783"/>
      <w:r w:rsidRPr="00987DDC">
        <w:rPr>
          <w:noProof/>
        </w:rPr>
        <w:t>Spośród państw członkowskich UE brakuje jeszcze tylko jednego podpisu (</w:t>
      </w:r>
      <w:r w:rsidRPr="00987DDC">
        <w:rPr>
          <w:rStyle w:val="FootnoteReference"/>
          <w:noProof/>
        </w:rPr>
        <w:footnoteReference w:id="207"/>
      </w:r>
      <w:r w:rsidRPr="00987DDC">
        <w:rPr>
          <w:noProof/>
        </w:rPr>
        <w:t>), natomiast osiem państw członkowskich (</w:t>
      </w:r>
      <w:r w:rsidRPr="00987DDC">
        <w:rPr>
          <w:rStyle w:val="FootnoteReference"/>
          <w:noProof/>
        </w:rPr>
        <w:footnoteReference w:id="208"/>
      </w:r>
      <w:r w:rsidRPr="00987DDC">
        <w:rPr>
          <w:noProof/>
        </w:rPr>
        <w:t xml:space="preserve">) podpisało zaktualizowaną konwencję, ale jeszcze jej nie ratyfikowało. </w:t>
      </w:r>
      <w:bookmarkEnd w:id="42"/>
      <w:r w:rsidRPr="00987DDC">
        <w:rPr>
          <w:noProof/>
        </w:rPr>
        <w:t>Komisja wzywa jedno pozostałe państwo członkowskie do podpisania zaktualizowanej konwencji oraz wszystkie pozostałe do szybkiego przystąpienia do ratyfikacji, aby umożliwić jej wejście</w:t>
      </w:r>
      <w:r w:rsidR="00987DDC" w:rsidRPr="00987DDC">
        <w:rPr>
          <w:noProof/>
        </w:rPr>
        <w:t xml:space="preserve"> w</w:t>
      </w:r>
      <w:r w:rsidR="00987DDC">
        <w:rPr>
          <w:noProof/>
        </w:rPr>
        <w:t> </w:t>
      </w:r>
      <w:r w:rsidR="00987DDC" w:rsidRPr="00987DDC">
        <w:rPr>
          <w:noProof/>
        </w:rPr>
        <w:t>życ</w:t>
      </w:r>
      <w:r w:rsidRPr="00987DDC">
        <w:rPr>
          <w:noProof/>
        </w:rPr>
        <w:t>ie</w:t>
      </w:r>
      <w:r w:rsidR="00987DDC" w:rsidRPr="00987DDC">
        <w:rPr>
          <w:noProof/>
        </w:rPr>
        <w:t xml:space="preserve"> w</w:t>
      </w:r>
      <w:r w:rsidR="00987DDC">
        <w:rPr>
          <w:noProof/>
        </w:rPr>
        <w:t> </w:t>
      </w:r>
      <w:r w:rsidR="00987DDC" w:rsidRPr="00987DDC">
        <w:rPr>
          <w:noProof/>
        </w:rPr>
        <w:t>naj</w:t>
      </w:r>
      <w:r w:rsidRPr="00987DDC">
        <w:rPr>
          <w:noProof/>
        </w:rPr>
        <w:t>bliższej przyszłości. Ponadto Komisja</w:t>
      </w:r>
      <w:r w:rsidR="00987DDC" w:rsidRPr="00987DDC">
        <w:rPr>
          <w:noProof/>
        </w:rPr>
        <w:t xml:space="preserve"> w</w:t>
      </w:r>
      <w:r w:rsidR="00987DDC">
        <w:rPr>
          <w:noProof/>
        </w:rPr>
        <w:t> </w:t>
      </w:r>
      <w:r w:rsidR="00987DDC" w:rsidRPr="00987DDC">
        <w:rPr>
          <w:noProof/>
        </w:rPr>
        <w:t>dal</w:t>
      </w:r>
      <w:r w:rsidRPr="00987DDC">
        <w:rPr>
          <w:noProof/>
        </w:rPr>
        <w:t>szym ciągu aktywnie zachęca do przystępowania do konwencji państwa trzecie.</w:t>
      </w:r>
    </w:p>
    <w:p w14:paraId="252A436B" w14:textId="2E3C026B" w:rsidR="000A3A85" w:rsidRPr="00987DDC" w:rsidRDefault="00A637F8" w:rsidP="00DD7FA3">
      <w:pPr>
        <w:pStyle w:val="Text3"/>
        <w:ind w:left="0"/>
        <w:rPr>
          <w:noProof/>
        </w:rPr>
      </w:pPr>
      <w:r w:rsidRPr="00987DDC">
        <w:rPr>
          <w:noProof/>
        </w:rPr>
        <w:t>Na szczeblu G-20 i G-7 dyskusje na temat prywatności</w:t>
      </w:r>
      <w:r w:rsidR="00987DDC" w:rsidRPr="00987DDC">
        <w:rPr>
          <w:noProof/>
        </w:rPr>
        <w:t xml:space="preserve"> i</w:t>
      </w:r>
      <w:r w:rsidR="00987DDC">
        <w:rPr>
          <w:noProof/>
        </w:rPr>
        <w:t> </w:t>
      </w:r>
      <w:r w:rsidR="00987DDC" w:rsidRPr="00987DDC">
        <w:rPr>
          <w:noProof/>
        </w:rPr>
        <w:t>prz</w:t>
      </w:r>
      <w:r w:rsidRPr="00987DDC">
        <w:rPr>
          <w:noProof/>
        </w:rPr>
        <w:t>epływu danych koncentrowały się na wprowadzeniu</w:t>
      </w:r>
      <w:r w:rsidR="00987DDC" w:rsidRPr="00987DDC">
        <w:rPr>
          <w:noProof/>
        </w:rPr>
        <w:t xml:space="preserve"> w</w:t>
      </w:r>
      <w:r w:rsidR="00987DDC">
        <w:rPr>
          <w:noProof/>
        </w:rPr>
        <w:t> </w:t>
      </w:r>
      <w:r w:rsidR="00987DDC" w:rsidRPr="00987DDC">
        <w:rPr>
          <w:noProof/>
        </w:rPr>
        <w:t>życ</w:t>
      </w:r>
      <w:r w:rsidRPr="00987DDC">
        <w:rPr>
          <w:noProof/>
        </w:rPr>
        <w:t>ie koncepcji „swobodnego przepływu danych opartego na zaufaniu” (DFFT), pierwotnie zaproponowanej przez Japonię</w:t>
      </w:r>
      <w:r w:rsidR="00987DDC" w:rsidRPr="00987DDC">
        <w:rPr>
          <w:noProof/>
        </w:rPr>
        <w:t xml:space="preserve"> i</w:t>
      </w:r>
      <w:r w:rsidR="00987DDC">
        <w:rPr>
          <w:noProof/>
        </w:rPr>
        <w:t> </w:t>
      </w:r>
      <w:r w:rsidR="00987DDC" w:rsidRPr="00987DDC">
        <w:rPr>
          <w:noProof/>
        </w:rPr>
        <w:t>zak</w:t>
      </w:r>
      <w:r w:rsidRPr="00987DDC">
        <w:rPr>
          <w:noProof/>
        </w:rPr>
        <w:t>ładającej, że ochrona</w:t>
      </w:r>
      <w:r w:rsidR="00987DDC" w:rsidRPr="00987DDC">
        <w:rPr>
          <w:noProof/>
        </w:rPr>
        <w:t xml:space="preserve"> i</w:t>
      </w:r>
      <w:r w:rsidR="00987DDC">
        <w:rPr>
          <w:noProof/>
        </w:rPr>
        <w:t> </w:t>
      </w:r>
      <w:r w:rsidR="00987DDC" w:rsidRPr="00987DDC">
        <w:rPr>
          <w:noProof/>
        </w:rPr>
        <w:t>bez</w:t>
      </w:r>
      <w:r w:rsidRPr="00987DDC">
        <w:rPr>
          <w:noProof/>
        </w:rPr>
        <w:t>pieczeństwo danych mogą przyczynić się do zwiększenia zaufania do gospodarki cyfrowej oraz usprawnić przepływy danych (</w:t>
      </w:r>
      <w:r w:rsidRPr="00987DDC">
        <w:rPr>
          <w:rStyle w:val="FootnoteReference"/>
          <w:noProof/>
        </w:rPr>
        <w:footnoteReference w:id="209"/>
      </w:r>
      <w:r w:rsidRPr="00987DDC">
        <w:rPr>
          <w:noProof/>
        </w:rPr>
        <w:t>). OECD odgrywa</w:t>
      </w:r>
      <w:r w:rsidR="00987DDC" w:rsidRPr="00987DDC">
        <w:rPr>
          <w:noProof/>
        </w:rPr>
        <w:t xml:space="preserve"> w</w:t>
      </w:r>
      <w:r w:rsidR="00987DDC">
        <w:rPr>
          <w:noProof/>
        </w:rPr>
        <w:t> </w:t>
      </w:r>
      <w:r w:rsidR="00987DDC" w:rsidRPr="00987DDC">
        <w:rPr>
          <w:noProof/>
        </w:rPr>
        <w:t>tym</w:t>
      </w:r>
      <w:r w:rsidRPr="00987DDC">
        <w:rPr>
          <w:noProof/>
        </w:rPr>
        <w:t xml:space="preserve"> kontekście szczególnie ważną rolę, zapewniając forum dla wspólnoty ekspertów DFFT, skupiającej szerokie grono zainteresowanych stron (rządy, organy regulacyjne, przemysł, społeczeństwo obywatelskie, środowisko akademickie), aby wnosić wkład</w:t>
      </w:r>
      <w:r w:rsidR="00987DDC" w:rsidRPr="00987DDC">
        <w:rPr>
          <w:noProof/>
        </w:rPr>
        <w:t xml:space="preserve"> w</w:t>
      </w:r>
      <w:r w:rsidR="00987DDC">
        <w:rPr>
          <w:noProof/>
        </w:rPr>
        <w:t> </w:t>
      </w:r>
      <w:r w:rsidR="00987DDC" w:rsidRPr="00987DDC">
        <w:rPr>
          <w:noProof/>
        </w:rPr>
        <w:t>kon</w:t>
      </w:r>
      <w:r w:rsidRPr="00987DDC">
        <w:rPr>
          <w:noProof/>
        </w:rPr>
        <w:t>kretne projekty oraz kwestie związane z DFFT. Ponadto istotnym rezultatem inicjatywy DFFT, do którego Komisja przyczyniła się</w:t>
      </w:r>
      <w:r w:rsidR="00987DDC" w:rsidRPr="00987DDC">
        <w:rPr>
          <w:noProof/>
        </w:rPr>
        <w:t xml:space="preserve"> w</w:t>
      </w:r>
      <w:r w:rsidR="00987DDC">
        <w:rPr>
          <w:noProof/>
        </w:rPr>
        <w:t> </w:t>
      </w:r>
      <w:r w:rsidR="00987DDC" w:rsidRPr="00987DDC">
        <w:rPr>
          <w:noProof/>
        </w:rPr>
        <w:t>zna</w:t>
      </w:r>
      <w:r w:rsidRPr="00987DDC">
        <w:rPr>
          <w:noProof/>
        </w:rPr>
        <w:t>cznym stopniu, jest przyjęcie przez OECD deklaracji</w:t>
      </w:r>
      <w:r w:rsidR="00987DDC" w:rsidRPr="00987DDC">
        <w:rPr>
          <w:noProof/>
        </w:rPr>
        <w:t xml:space="preserve"> w</w:t>
      </w:r>
      <w:r w:rsidR="00987DDC">
        <w:rPr>
          <w:noProof/>
        </w:rPr>
        <w:t> </w:t>
      </w:r>
      <w:r w:rsidR="00987DDC" w:rsidRPr="00987DDC">
        <w:rPr>
          <w:noProof/>
        </w:rPr>
        <w:t>spr</w:t>
      </w:r>
      <w:r w:rsidRPr="00987DDC">
        <w:rPr>
          <w:noProof/>
        </w:rPr>
        <w:t>awie dostępu rządu do danych osobowych znajdujących się</w:t>
      </w:r>
      <w:r w:rsidR="00987DDC" w:rsidRPr="00987DDC">
        <w:rPr>
          <w:noProof/>
        </w:rPr>
        <w:t xml:space="preserve"> w</w:t>
      </w:r>
      <w:r w:rsidR="00987DDC">
        <w:rPr>
          <w:noProof/>
        </w:rPr>
        <w:t> </w:t>
      </w:r>
      <w:r w:rsidR="00987DDC" w:rsidRPr="00987DDC">
        <w:rPr>
          <w:noProof/>
        </w:rPr>
        <w:t>pos</w:t>
      </w:r>
      <w:r w:rsidRPr="00987DDC">
        <w:rPr>
          <w:noProof/>
        </w:rPr>
        <w:t>iadaniu podmiotów sektora prywatnego, która jest pierwszym międzynarodowym instrumentem</w:t>
      </w:r>
      <w:r w:rsidR="00987DDC" w:rsidRPr="00987DDC">
        <w:rPr>
          <w:noProof/>
        </w:rPr>
        <w:t xml:space="preserve"> w</w:t>
      </w:r>
      <w:r w:rsidR="00987DDC">
        <w:rPr>
          <w:noProof/>
        </w:rPr>
        <w:t> </w:t>
      </w:r>
      <w:r w:rsidR="00987DDC" w:rsidRPr="00987DDC">
        <w:rPr>
          <w:noProof/>
        </w:rPr>
        <w:t>tej</w:t>
      </w:r>
      <w:r w:rsidRPr="00987DDC">
        <w:rPr>
          <w:noProof/>
        </w:rPr>
        <w:t xml:space="preserve"> dziedzinie. Zawiera ona szereg wspólnych wymogów dotyczących ochrony prywatności przy dostępie do danych osobowych do celów bezpieczeństwa narodowego</w:t>
      </w:r>
      <w:r w:rsidR="00987DDC" w:rsidRPr="00987DDC">
        <w:rPr>
          <w:noProof/>
        </w:rPr>
        <w:t xml:space="preserve"> i</w:t>
      </w:r>
      <w:r w:rsidR="00987DDC">
        <w:rPr>
          <w:noProof/>
        </w:rPr>
        <w:t> </w:t>
      </w:r>
      <w:r w:rsidR="00987DDC" w:rsidRPr="00987DDC">
        <w:rPr>
          <w:noProof/>
        </w:rPr>
        <w:t>egz</w:t>
      </w:r>
      <w:r w:rsidRPr="00987DDC">
        <w:rPr>
          <w:noProof/>
        </w:rPr>
        <w:t>ekwowania prawa</w:t>
      </w:r>
      <w:r w:rsidR="00987DDC" w:rsidRPr="00987DDC">
        <w:rPr>
          <w:noProof/>
        </w:rPr>
        <w:t>. W</w:t>
      </w:r>
      <w:r w:rsidR="00987DDC">
        <w:rPr>
          <w:noProof/>
        </w:rPr>
        <w:t> </w:t>
      </w:r>
      <w:r w:rsidR="00987DDC" w:rsidRPr="00987DDC">
        <w:rPr>
          <w:noProof/>
        </w:rPr>
        <w:t>zwi</w:t>
      </w:r>
      <w:r w:rsidRPr="00987DDC">
        <w:rPr>
          <w:noProof/>
        </w:rPr>
        <w:t>ązku</w:t>
      </w:r>
      <w:r w:rsidR="00987DDC" w:rsidRPr="00987DDC">
        <w:rPr>
          <w:noProof/>
        </w:rPr>
        <w:t xml:space="preserve"> z</w:t>
      </w:r>
      <w:r w:rsidR="00987DDC">
        <w:rPr>
          <w:noProof/>
        </w:rPr>
        <w:t> </w:t>
      </w:r>
      <w:r w:rsidR="00987DDC" w:rsidRPr="00987DDC">
        <w:rPr>
          <w:noProof/>
        </w:rPr>
        <w:t>cor</w:t>
      </w:r>
      <w:r w:rsidRPr="00987DDC">
        <w:rPr>
          <w:noProof/>
        </w:rPr>
        <w:t>az powszechniejszym na całym świecie przekonaniem, że nieproporcjonalny dostęp rządu negatywnie wpływa na zaufanie do przekazywania danych, deklaracja ta stanowi istotny wkład</w:t>
      </w:r>
      <w:r w:rsidR="00987DDC" w:rsidRPr="00987DDC">
        <w:rPr>
          <w:noProof/>
        </w:rPr>
        <w:t xml:space="preserve"> w</w:t>
      </w:r>
      <w:r w:rsidR="00987DDC">
        <w:rPr>
          <w:noProof/>
        </w:rPr>
        <w:t> </w:t>
      </w:r>
      <w:r w:rsidR="00987DDC" w:rsidRPr="00987DDC">
        <w:rPr>
          <w:noProof/>
        </w:rPr>
        <w:t>uła</w:t>
      </w:r>
      <w:r w:rsidRPr="00987DDC">
        <w:rPr>
          <w:noProof/>
        </w:rPr>
        <w:t>twianie przepływu zaufanych danych. Komisja będzie nadal zachęcać państwa do przystąpienia do deklaracji, która jest również otwarta dla członków nienależących do OECD.</w:t>
      </w:r>
    </w:p>
    <w:p w14:paraId="19C53E31" w14:textId="5DD551D6" w:rsidR="00A85982" w:rsidRPr="00987DDC" w:rsidRDefault="00E3148B" w:rsidP="00DD7FA3">
      <w:pPr>
        <w:pStyle w:val="Text3"/>
        <w:ind w:left="0"/>
        <w:rPr>
          <w:noProof/>
        </w:rPr>
      </w:pPr>
      <w:r w:rsidRPr="00987DDC">
        <w:rPr>
          <w:noProof/>
        </w:rPr>
        <w:t>Komisja współpracuje także</w:t>
      </w:r>
      <w:r w:rsidR="00987DDC" w:rsidRPr="00987DDC">
        <w:rPr>
          <w:noProof/>
        </w:rPr>
        <w:t xml:space="preserve"> z</w:t>
      </w:r>
      <w:r w:rsidR="00987DDC">
        <w:rPr>
          <w:noProof/>
        </w:rPr>
        <w:t> </w:t>
      </w:r>
      <w:r w:rsidR="00987DDC" w:rsidRPr="00987DDC">
        <w:rPr>
          <w:noProof/>
        </w:rPr>
        <w:t>róż</w:t>
      </w:r>
      <w:r w:rsidRPr="00987DDC">
        <w:rPr>
          <w:noProof/>
        </w:rPr>
        <w:t>nymi organizacjami</w:t>
      </w:r>
      <w:r w:rsidR="00987DDC" w:rsidRPr="00987DDC">
        <w:rPr>
          <w:noProof/>
        </w:rPr>
        <w:t xml:space="preserve"> i</w:t>
      </w:r>
      <w:r w:rsidR="00987DDC">
        <w:rPr>
          <w:noProof/>
        </w:rPr>
        <w:t> </w:t>
      </w:r>
      <w:r w:rsidR="00987DDC" w:rsidRPr="00987DDC">
        <w:rPr>
          <w:noProof/>
        </w:rPr>
        <w:t>sie</w:t>
      </w:r>
      <w:r w:rsidRPr="00987DDC">
        <w:rPr>
          <w:noProof/>
        </w:rPr>
        <w:t>ciami regionalnymi, które kształtują wspólne zabezpieczenia</w:t>
      </w:r>
      <w:r w:rsidR="00987DDC" w:rsidRPr="00987DDC">
        <w:rPr>
          <w:noProof/>
        </w:rPr>
        <w:t xml:space="preserve"> w</w:t>
      </w:r>
      <w:r w:rsidR="00987DDC">
        <w:rPr>
          <w:noProof/>
        </w:rPr>
        <w:t> </w:t>
      </w:r>
      <w:r w:rsidR="00987DDC" w:rsidRPr="00987DDC">
        <w:rPr>
          <w:noProof/>
        </w:rPr>
        <w:t>zak</w:t>
      </w:r>
      <w:r w:rsidRPr="00987DDC">
        <w:rPr>
          <w:noProof/>
        </w:rPr>
        <w:t>resie ochrony danych. Dotyczy to na przykład ASEAN, Unii Afrykańskiej, forum organów ochrony prywatności</w:t>
      </w:r>
      <w:r w:rsidR="00987DDC" w:rsidRPr="00987DDC">
        <w:rPr>
          <w:noProof/>
        </w:rPr>
        <w:t xml:space="preserve"> w</w:t>
      </w:r>
      <w:r w:rsidR="00987DDC">
        <w:rPr>
          <w:noProof/>
        </w:rPr>
        <w:t> </w:t>
      </w:r>
      <w:r w:rsidR="00987DDC" w:rsidRPr="00987DDC">
        <w:rPr>
          <w:noProof/>
        </w:rPr>
        <w:t>Azj</w:t>
      </w:r>
      <w:r w:rsidRPr="00987DDC">
        <w:rPr>
          <w:noProof/>
        </w:rPr>
        <w:t>i</w:t>
      </w:r>
      <w:r w:rsidR="00987DDC" w:rsidRPr="00987DDC">
        <w:rPr>
          <w:noProof/>
        </w:rPr>
        <w:t xml:space="preserve"> i</w:t>
      </w:r>
      <w:r w:rsidR="00987DDC">
        <w:rPr>
          <w:noProof/>
        </w:rPr>
        <w:t> </w:t>
      </w:r>
      <w:r w:rsidR="00987DDC" w:rsidRPr="00987DDC">
        <w:rPr>
          <w:noProof/>
        </w:rPr>
        <w:t>Pac</w:t>
      </w:r>
      <w:r w:rsidRPr="00987DDC">
        <w:rPr>
          <w:noProof/>
        </w:rPr>
        <w:t xml:space="preserve">yfiku, Iberoamerykańskiej Sieci Ochrony Danych oraz </w:t>
      </w:r>
      <w:r w:rsidRPr="00987DDC">
        <w:rPr>
          <w:rStyle w:val="hgkelc"/>
          <w:noProof/>
        </w:rPr>
        <w:t>sieci afrykańskich organów ochrony danych (NADPA–RADPD).</w:t>
      </w:r>
      <w:r w:rsidRPr="00987DDC">
        <w:rPr>
          <w:noProof/>
        </w:rPr>
        <w:t xml:space="preserve"> Opracowanie wyżej wspomnianego przewodnika UE-ASEAN dotyczącego klauzul wzorcowych jest konkretnym przykładem takiej owocnej współpracy. </w:t>
      </w:r>
    </w:p>
    <w:p w14:paraId="5F835025" w14:textId="714D2674" w:rsidR="008A3120" w:rsidRPr="00987DDC" w:rsidRDefault="005771D3" w:rsidP="00DD7FA3">
      <w:pPr>
        <w:pStyle w:val="Text3"/>
        <w:ind w:left="0"/>
        <w:rPr>
          <w:noProof/>
        </w:rPr>
      </w:pPr>
      <w:r w:rsidRPr="00987DDC">
        <w:rPr>
          <w:noProof/>
        </w:rPr>
        <w:t>Ponadto Komisja prowadzi dialog</w:t>
      </w:r>
      <w:r w:rsidR="00987DDC" w:rsidRPr="00987DDC">
        <w:rPr>
          <w:noProof/>
        </w:rPr>
        <w:t xml:space="preserve"> z</w:t>
      </w:r>
      <w:r w:rsidR="00987DDC">
        <w:rPr>
          <w:noProof/>
        </w:rPr>
        <w:t> </w:t>
      </w:r>
      <w:r w:rsidR="00987DDC" w:rsidRPr="00987DDC">
        <w:rPr>
          <w:noProof/>
        </w:rPr>
        <w:t>roz</w:t>
      </w:r>
      <w:r w:rsidRPr="00987DDC">
        <w:rPr>
          <w:noProof/>
        </w:rPr>
        <w:t>maitymi organizacjami międzynarodowymi, m.in.</w:t>
      </w:r>
      <w:r w:rsidR="00987DDC" w:rsidRPr="00987DDC">
        <w:rPr>
          <w:noProof/>
        </w:rPr>
        <w:t xml:space="preserve"> w</w:t>
      </w:r>
      <w:r w:rsidR="00987DDC">
        <w:rPr>
          <w:noProof/>
        </w:rPr>
        <w:t> </w:t>
      </w:r>
      <w:r w:rsidR="00987DDC" w:rsidRPr="00987DDC">
        <w:rPr>
          <w:noProof/>
        </w:rPr>
        <w:t>cel</w:t>
      </w:r>
      <w:r w:rsidRPr="00987DDC">
        <w:rPr>
          <w:noProof/>
        </w:rPr>
        <w:t>u badania sposobów dalszego ułatwiania przepływu danych między UE</w:t>
      </w:r>
      <w:r w:rsidR="00987DDC" w:rsidRPr="00987DDC">
        <w:rPr>
          <w:noProof/>
        </w:rPr>
        <w:t xml:space="preserve"> a</w:t>
      </w:r>
      <w:r w:rsidR="00987DDC">
        <w:rPr>
          <w:noProof/>
        </w:rPr>
        <w:t> </w:t>
      </w:r>
      <w:r w:rsidR="00987DDC" w:rsidRPr="00987DDC">
        <w:rPr>
          <w:noProof/>
        </w:rPr>
        <w:t>tak</w:t>
      </w:r>
      <w:r w:rsidRPr="00987DDC">
        <w:rPr>
          <w:noProof/>
        </w:rPr>
        <w:t>imi organizacjami. Ponieważ</w:t>
      </w:r>
      <w:r w:rsidR="00987DDC" w:rsidRPr="00987DDC">
        <w:rPr>
          <w:noProof/>
        </w:rPr>
        <w:t xml:space="preserve"> w</w:t>
      </w:r>
      <w:r w:rsidR="00987DDC">
        <w:rPr>
          <w:noProof/>
        </w:rPr>
        <w:t> </w:t>
      </w:r>
      <w:r w:rsidR="00987DDC" w:rsidRPr="00987DDC">
        <w:rPr>
          <w:noProof/>
        </w:rPr>
        <w:t>ost</w:t>
      </w:r>
      <w:r w:rsidRPr="00987DDC">
        <w:rPr>
          <w:noProof/>
        </w:rPr>
        <w:t>atnich latach wiele organizacji zaktualizowało swoje ramy ochrony danych lub jest</w:t>
      </w:r>
      <w:r w:rsidR="00987DDC" w:rsidRPr="00987DDC">
        <w:rPr>
          <w:noProof/>
        </w:rPr>
        <w:t xml:space="preserve"> w</w:t>
      </w:r>
      <w:r w:rsidR="00987DDC">
        <w:rPr>
          <w:noProof/>
        </w:rPr>
        <w:t> </w:t>
      </w:r>
      <w:r w:rsidR="00987DDC" w:rsidRPr="00987DDC">
        <w:rPr>
          <w:noProof/>
        </w:rPr>
        <w:t>tra</w:t>
      </w:r>
      <w:r w:rsidRPr="00987DDC">
        <w:rPr>
          <w:noProof/>
        </w:rPr>
        <w:t>kcie ich aktualizacji, pojawiają się również nowe możliwości wymiany doświadczeń</w:t>
      </w:r>
      <w:r w:rsidR="00987DDC" w:rsidRPr="00987DDC">
        <w:rPr>
          <w:noProof/>
        </w:rPr>
        <w:t xml:space="preserve"> i</w:t>
      </w:r>
      <w:r w:rsidR="00987DDC">
        <w:rPr>
          <w:noProof/>
        </w:rPr>
        <w:t> </w:t>
      </w:r>
      <w:r w:rsidR="00987DDC" w:rsidRPr="00987DDC">
        <w:rPr>
          <w:noProof/>
        </w:rPr>
        <w:t>naj</w:t>
      </w:r>
      <w:r w:rsidRPr="00987DDC">
        <w:rPr>
          <w:noProof/>
        </w:rPr>
        <w:t>lepszych praktyk</w:t>
      </w:r>
      <w:r w:rsidR="00987DDC" w:rsidRPr="00987DDC">
        <w:rPr>
          <w:noProof/>
        </w:rPr>
        <w:t>. W</w:t>
      </w:r>
      <w:r w:rsidR="00987DDC">
        <w:rPr>
          <w:noProof/>
        </w:rPr>
        <w:t> </w:t>
      </w:r>
      <w:r w:rsidR="00987DDC" w:rsidRPr="00987DDC">
        <w:rPr>
          <w:noProof/>
        </w:rPr>
        <w:t>tym</w:t>
      </w:r>
      <w:r w:rsidRPr="00987DDC">
        <w:rPr>
          <w:noProof/>
        </w:rPr>
        <w:t xml:space="preserve"> kontekście doroczne warsztaty</w:t>
      </w:r>
      <w:r w:rsidR="00987DDC" w:rsidRPr="00987DDC">
        <w:rPr>
          <w:noProof/>
        </w:rPr>
        <w:t xml:space="preserve"> z</w:t>
      </w:r>
      <w:r w:rsidR="00987DDC">
        <w:rPr>
          <w:noProof/>
        </w:rPr>
        <w:t> </w:t>
      </w:r>
      <w:r w:rsidR="00987DDC" w:rsidRPr="00987DDC">
        <w:rPr>
          <w:noProof/>
        </w:rPr>
        <w:t>udz</w:t>
      </w:r>
      <w:r w:rsidRPr="00987DDC">
        <w:rPr>
          <w:noProof/>
        </w:rPr>
        <w:t>iałem organizacji międzynarodowych oraz specjalnej grupy zadaniowej ds. międzynarodowego przekazywania danych organizowane przez Europejskiego Inspektora Ochrony Danych okazały się szczególnie cennymi forami wymiany oraz badania konkretnych instrumentów współpracy,</w:t>
      </w:r>
      <w:r w:rsidR="00987DDC" w:rsidRPr="00987DDC">
        <w:rPr>
          <w:noProof/>
        </w:rPr>
        <w:t xml:space="preserve"> w</w:t>
      </w:r>
      <w:r w:rsidR="00987DDC">
        <w:rPr>
          <w:noProof/>
        </w:rPr>
        <w:t> </w:t>
      </w:r>
      <w:r w:rsidR="00987DDC" w:rsidRPr="00987DDC">
        <w:rPr>
          <w:noProof/>
        </w:rPr>
        <w:t>tym</w:t>
      </w:r>
      <w:r w:rsidRPr="00987DDC">
        <w:rPr>
          <w:noProof/>
        </w:rPr>
        <w:t xml:space="preserve"> wymiany danych osobowych (</w:t>
      </w:r>
      <w:r w:rsidRPr="00987DDC">
        <w:rPr>
          <w:rStyle w:val="FootnoteReference"/>
          <w:noProof/>
        </w:rPr>
        <w:footnoteReference w:id="210"/>
      </w:r>
      <w:r w:rsidRPr="00987DDC">
        <w:rPr>
          <w:noProof/>
        </w:rPr>
        <w:t xml:space="preserve">). </w:t>
      </w:r>
    </w:p>
    <w:bookmarkEnd w:id="1"/>
    <w:p w14:paraId="1C37F0A7" w14:textId="7B1E2235" w:rsidR="00121A6E" w:rsidRPr="00987DDC" w:rsidRDefault="00543A06" w:rsidP="00547296">
      <w:pPr>
        <w:pStyle w:val="Heading1"/>
        <w:rPr>
          <w:noProof/>
        </w:rPr>
      </w:pPr>
      <w:r w:rsidRPr="00987DDC">
        <w:rPr>
          <w:noProof/>
        </w:rPr>
        <w:t>Podsumowanie</w:t>
      </w:r>
    </w:p>
    <w:p w14:paraId="62FF3EB9" w14:textId="5535EE6F" w:rsidR="00543A06" w:rsidRPr="00987DDC" w:rsidRDefault="00E72F7C" w:rsidP="009011E7">
      <w:pPr>
        <w:pStyle w:val="Text1"/>
        <w:ind w:left="0"/>
        <w:rPr>
          <w:noProof/>
        </w:rPr>
      </w:pPr>
      <w:r w:rsidRPr="00987DDC">
        <w:rPr>
          <w:noProof/>
        </w:rPr>
        <w:t>W ciągu sześciu lat stosowania RODO wzmocniło pozycję obywateli, umożliwiając im sprawowanie kontroli nad własnymi danymi. Pomogło również stworzyć równe warunki działania dla przedsiębiorstw</w:t>
      </w:r>
      <w:r w:rsidR="00987DDC" w:rsidRPr="00987DDC">
        <w:rPr>
          <w:noProof/>
        </w:rPr>
        <w:t xml:space="preserve"> i</w:t>
      </w:r>
      <w:r w:rsidR="00987DDC">
        <w:rPr>
          <w:noProof/>
        </w:rPr>
        <w:t> </w:t>
      </w:r>
      <w:r w:rsidR="00987DDC" w:rsidRPr="00987DDC">
        <w:rPr>
          <w:noProof/>
        </w:rPr>
        <w:t>sta</w:t>
      </w:r>
      <w:r w:rsidRPr="00987DDC">
        <w:rPr>
          <w:noProof/>
        </w:rPr>
        <w:t xml:space="preserve">nowiło filar dla wielu inicjatyw napędzających transformację cyfrową w UE. </w:t>
      </w:r>
    </w:p>
    <w:p w14:paraId="4765017E" w14:textId="04CDF938" w:rsidR="00D60D96" w:rsidRPr="00987DDC" w:rsidRDefault="00543A06" w:rsidP="00543A06">
      <w:pPr>
        <w:pStyle w:val="Text1"/>
        <w:ind w:left="0"/>
        <w:rPr>
          <w:noProof/>
        </w:rPr>
      </w:pPr>
      <w:r w:rsidRPr="00987DDC">
        <w:rPr>
          <w:noProof/>
        </w:rPr>
        <w:t>Pełne osiągnięcie dwóch celów RODO – tj. silnej ochrony osób fizycznych przy jednoczesnym zapewnieniu swobodnego przepływu danych osobowych w UE oraz bezpiecznego przepływu danych poza UE – wymaga dalszych działań.</w:t>
      </w:r>
    </w:p>
    <w:p w14:paraId="5503CC9E" w14:textId="6002D2E9" w:rsidR="00D60D96" w:rsidRPr="00987DDC" w:rsidRDefault="00D60D96" w:rsidP="00D60D96">
      <w:pPr>
        <w:pStyle w:val="Text1"/>
        <w:numPr>
          <w:ilvl w:val="0"/>
          <w:numId w:val="32"/>
        </w:numPr>
        <w:rPr>
          <w:noProof/>
        </w:rPr>
      </w:pPr>
      <w:r w:rsidRPr="00987DDC">
        <w:rPr>
          <w:noProof/>
        </w:rPr>
        <w:t>rzetelne egzekwowanie RODO, począwszy od szybkiego przyjęcia wniosku Komisji</w:t>
      </w:r>
      <w:r w:rsidR="00987DDC" w:rsidRPr="00987DDC">
        <w:rPr>
          <w:noProof/>
        </w:rPr>
        <w:t xml:space="preserve"> w</w:t>
      </w:r>
      <w:r w:rsidR="00987DDC">
        <w:rPr>
          <w:noProof/>
        </w:rPr>
        <w:t> </w:t>
      </w:r>
      <w:r w:rsidR="00987DDC" w:rsidRPr="00987DDC">
        <w:rPr>
          <w:noProof/>
        </w:rPr>
        <w:t>spr</w:t>
      </w:r>
      <w:r w:rsidRPr="00987DDC">
        <w:rPr>
          <w:noProof/>
        </w:rPr>
        <w:t>awie przepisów proceduralnych</w:t>
      </w:r>
      <w:r w:rsidR="00987DDC" w:rsidRPr="00987DDC">
        <w:rPr>
          <w:noProof/>
        </w:rPr>
        <w:t xml:space="preserve"> w</w:t>
      </w:r>
      <w:r w:rsidR="00987DDC">
        <w:rPr>
          <w:noProof/>
        </w:rPr>
        <w:t> </w:t>
      </w:r>
      <w:r w:rsidR="00987DDC" w:rsidRPr="00987DDC">
        <w:rPr>
          <w:noProof/>
        </w:rPr>
        <w:t>cel</w:t>
      </w:r>
      <w:r w:rsidRPr="00987DDC">
        <w:rPr>
          <w:noProof/>
        </w:rPr>
        <w:t>u zapewnienia szybkich środków odwoławczych oraz pewności prawa</w:t>
      </w:r>
      <w:r w:rsidR="00987DDC" w:rsidRPr="00987DDC">
        <w:rPr>
          <w:noProof/>
        </w:rPr>
        <w:t xml:space="preserve"> w</w:t>
      </w:r>
      <w:r w:rsidR="00987DDC">
        <w:rPr>
          <w:noProof/>
        </w:rPr>
        <w:t> </w:t>
      </w:r>
      <w:r w:rsidR="00987DDC" w:rsidRPr="00987DDC">
        <w:rPr>
          <w:noProof/>
        </w:rPr>
        <w:t>spr</w:t>
      </w:r>
      <w:r w:rsidRPr="00987DDC">
        <w:rPr>
          <w:noProof/>
        </w:rPr>
        <w:t>awach dotyczących osób fizycznych</w:t>
      </w:r>
      <w:r w:rsidR="00987DDC" w:rsidRPr="00987DDC">
        <w:rPr>
          <w:noProof/>
        </w:rPr>
        <w:t xml:space="preserve"> w</w:t>
      </w:r>
      <w:r w:rsidR="00987DDC">
        <w:rPr>
          <w:noProof/>
        </w:rPr>
        <w:t> </w:t>
      </w:r>
      <w:r w:rsidR="00987DDC" w:rsidRPr="00987DDC">
        <w:rPr>
          <w:noProof/>
        </w:rPr>
        <w:t>cał</w:t>
      </w:r>
      <w:r w:rsidRPr="00987DDC">
        <w:rPr>
          <w:noProof/>
        </w:rPr>
        <w:t>ej UE;</w:t>
      </w:r>
    </w:p>
    <w:p w14:paraId="0BEFF146" w14:textId="31014F5E" w:rsidR="00D60D96" w:rsidRPr="00987DDC" w:rsidRDefault="00D60D96" w:rsidP="00D60D96">
      <w:pPr>
        <w:pStyle w:val="Text1"/>
        <w:numPr>
          <w:ilvl w:val="0"/>
          <w:numId w:val="32"/>
        </w:numPr>
        <w:rPr>
          <w:noProof/>
        </w:rPr>
      </w:pPr>
      <w:r w:rsidRPr="00987DDC">
        <w:rPr>
          <w:noProof/>
        </w:rPr>
        <w:t>proaktywne wsparcie ze strony organów ochrony danych dla zainteresowanych stron, zwłaszcza MŚP</w:t>
      </w:r>
      <w:r w:rsidR="00987DDC" w:rsidRPr="00987DDC">
        <w:rPr>
          <w:noProof/>
        </w:rPr>
        <w:t xml:space="preserve"> i</w:t>
      </w:r>
      <w:r w:rsidR="00987DDC">
        <w:rPr>
          <w:noProof/>
        </w:rPr>
        <w:t> </w:t>
      </w:r>
      <w:r w:rsidR="00987DDC" w:rsidRPr="00987DDC">
        <w:rPr>
          <w:noProof/>
        </w:rPr>
        <w:t>mał</w:t>
      </w:r>
      <w:r w:rsidRPr="00987DDC">
        <w:rPr>
          <w:noProof/>
        </w:rPr>
        <w:t>ych podmiotów,</w:t>
      </w:r>
      <w:r w:rsidR="00987DDC" w:rsidRPr="00987DDC">
        <w:rPr>
          <w:noProof/>
        </w:rPr>
        <w:t xml:space="preserve"> w</w:t>
      </w:r>
      <w:r w:rsidR="00987DDC">
        <w:rPr>
          <w:noProof/>
        </w:rPr>
        <w:t> </w:t>
      </w:r>
      <w:r w:rsidR="00987DDC" w:rsidRPr="00987DDC">
        <w:rPr>
          <w:noProof/>
        </w:rPr>
        <w:t>ich</w:t>
      </w:r>
      <w:r w:rsidRPr="00987DDC">
        <w:rPr>
          <w:noProof/>
        </w:rPr>
        <w:t xml:space="preserve"> wysiłkach</w:t>
      </w:r>
      <w:r w:rsidR="00987DDC" w:rsidRPr="00987DDC">
        <w:rPr>
          <w:noProof/>
        </w:rPr>
        <w:t xml:space="preserve"> w</w:t>
      </w:r>
      <w:r w:rsidR="00987DDC">
        <w:rPr>
          <w:noProof/>
        </w:rPr>
        <w:t> </w:t>
      </w:r>
      <w:r w:rsidR="00987DDC" w:rsidRPr="00987DDC">
        <w:rPr>
          <w:noProof/>
        </w:rPr>
        <w:t>cel</w:t>
      </w:r>
      <w:r w:rsidRPr="00987DDC">
        <w:rPr>
          <w:noProof/>
        </w:rPr>
        <w:t>u przestrzegania przepisów;</w:t>
      </w:r>
    </w:p>
    <w:p w14:paraId="0E203AED" w14:textId="36C89D72" w:rsidR="00D60D96" w:rsidRPr="00987DDC" w:rsidRDefault="00D60D96" w:rsidP="00D60D96">
      <w:pPr>
        <w:pStyle w:val="Text1"/>
        <w:numPr>
          <w:ilvl w:val="0"/>
          <w:numId w:val="32"/>
        </w:numPr>
        <w:rPr>
          <w:noProof/>
        </w:rPr>
      </w:pPr>
      <w:r w:rsidRPr="00987DDC">
        <w:rPr>
          <w:noProof/>
        </w:rPr>
        <w:t>spójna interpretacja</w:t>
      </w:r>
      <w:r w:rsidR="00987DDC" w:rsidRPr="00987DDC">
        <w:rPr>
          <w:noProof/>
        </w:rPr>
        <w:t xml:space="preserve"> i</w:t>
      </w:r>
      <w:r w:rsidR="00987DDC">
        <w:rPr>
          <w:noProof/>
        </w:rPr>
        <w:t> </w:t>
      </w:r>
      <w:r w:rsidR="00987DDC" w:rsidRPr="00987DDC">
        <w:rPr>
          <w:noProof/>
        </w:rPr>
        <w:t>sto</w:t>
      </w:r>
      <w:r w:rsidRPr="00987DDC">
        <w:rPr>
          <w:noProof/>
        </w:rPr>
        <w:t>sowanie RODO</w:t>
      </w:r>
      <w:r w:rsidR="00987DDC" w:rsidRPr="00987DDC">
        <w:rPr>
          <w:noProof/>
        </w:rPr>
        <w:t xml:space="preserve"> w</w:t>
      </w:r>
      <w:r w:rsidR="00987DDC">
        <w:rPr>
          <w:noProof/>
        </w:rPr>
        <w:t> </w:t>
      </w:r>
      <w:r w:rsidR="00987DDC" w:rsidRPr="00987DDC">
        <w:rPr>
          <w:noProof/>
        </w:rPr>
        <w:t>cał</w:t>
      </w:r>
      <w:r w:rsidRPr="00987DDC">
        <w:rPr>
          <w:noProof/>
        </w:rPr>
        <w:t>ej UE;</w:t>
      </w:r>
    </w:p>
    <w:p w14:paraId="502FE0BC" w14:textId="57396C47" w:rsidR="00D91834" w:rsidRPr="00987DDC" w:rsidRDefault="00D60D96" w:rsidP="00E3347A">
      <w:pPr>
        <w:pStyle w:val="Text1"/>
        <w:numPr>
          <w:ilvl w:val="0"/>
          <w:numId w:val="32"/>
        </w:numPr>
        <w:rPr>
          <w:noProof/>
        </w:rPr>
      </w:pPr>
      <w:r w:rsidRPr="00987DDC">
        <w:rPr>
          <w:noProof/>
        </w:rPr>
        <w:t>skuteczna współpraca między organami regulacyjnymi zarówno na szczeblu krajowym, jak</w:t>
      </w:r>
      <w:r w:rsidR="00987DDC" w:rsidRPr="00987DDC">
        <w:rPr>
          <w:noProof/>
        </w:rPr>
        <w:t xml:space="preserve"> i</w:t>
      </w:r>
      <w:r w:rsidR="00987DDC">
        <w:rPr>
          <w:noProof/>
        </w:rPr>
        <w:t> </w:t>
      </w:r>
      <w:r w:rsidR="00987DDC" w:rsidRPr="00987DDC">
        <w:rPr>
          <w:noProof/>
        </w:rPr>
        <w:t>uni</w:t>
      </w:r>
      <w:r w:rsidRPr="00987DDC">
        <w:rPr>
          <w:noProof/>
        </w:rPr>
        <w:t>jnym</w:t>
      </w:r>
      <w:r w:rsidR="00987DDC" w:rsidRPr="00987DDC">
        <w:rPr>
          <w:noProof/>
        </w:rPr>
        <w:t xml:space="preserve"> w</w:t>
      </w:r>
      <w:r w:rsidR="00987DDC">
        <w:rPr>
          <w:noProof/>
        </w:rPr>
        <w:t> </w:t>
      </w:r>
      <w:r w:rsidR="00987DDC" w:rsidRPr="00987DDC">
        <w:rPr>
          <w:noProof/>
        </w:rPr>
        <w:t>cel</w:t>
      </w:r>
      <w:r w:rsidRPr="00987DDC">
        <w:rPr>
          <w:noProof/>
        </w:rPr>
        <w:t>u zagwarantowania konsekwentnego</w:t>
      </w:r>
      <w:r w:rsidR="00987DDC" w:rsidRPr="00987DDC">
        <w:rPr>
          <w:noProof/>
        </w:rPr>
        <w:t xml:space="preserve"> i</w:t>
      </w:r>
      <w:r w:rsidR="00987DDC">
        <w:rPr>
          <w:noProof/>
        </w:rPr>
        <w:t> </w:t>
      </w:r>
      <w:r w:rsidR="00987DDC" w:rsidRPr="00987DDC">
        <w:rPr>
          <w:noProof/>
        </w:rPr>
        <w:t>spó</w:t>
      </w:r>
      <w:r w:rsidRPr="00987DDC">
        <w:rPr>
          <w:noProof/>
        </w:rPr>
        <w:t>jnego stosowania coraz liczniejszych unijnych przepisów dotyczących rynku cyfrowego;</w:t>
      </w:r>
    </w:p>
    <w:p w14:paraId="27BFA876" w14:textId="51E96AD4" w:rsidR="00A24CFD" w:rsidRPr="00987DDC" w:rsidRDefault="00E52934" w:rsidP="00E3347A">
      <w:pPr>
        <w:pStyle w:val="Text1"/>
        <w:numPr>
          <w:ilvl w:val="0"/>
          <w:numId w:val="32"/>
        </w:numPr>
        <w:rPr>
          <w:noProof/>
        </w:rPr>
      </w:pPr>
      <w:r w:rsidRPr="00987DDC">
        <w:rPr>
          <w:noProof/>
        </w:rPr>
        <w:t>dalsze postępy</w:t>
      </w:r>
      <w:r w:rsidR="00987DDC" w:rsidRPr="00987DDC">
        <w:rPr>
          <w:noProof/>
        </w:rPr>
        <w:t xml:space="preserve"> w</w:t>
      </w:r>
      <w:r w:rsidR="00987DDC">
        <w:rPr>
          <w:noProof/>
        </w:rPr>
        <w:t> </w:t>
      </w:r>
      <w:r w:rsidR="00987DDC" w:rsidRPr="00987DDC">
        <w:rPr>
          <w:noProof/>
        </w:rPr>
        <w:t>rea</w:t>
      </w:r>
      <w:r w:rsidRPr="00987DDC">
        <w:rPr>
          <w:noProof/>
        </w:rPr>
        <w:t>lizacji międzynarodowej strategii Komisji</w:t>
      </w:r>
      <w:r w:rsidR="00987DDC" w:rsidRPr="00987DDC">
        <w:rPr>
          <w:noProof/>
        </w:rPr>
        <w:t xml:space="preserve"> w</w:t>
      </w:r>
      <w:r w:rsidR="00987DDC">
        <w:rPr>
          <w:noProof/>
        </w:rPr>
        <w:t> </w:t>
      </w:r>
      <w:r w:rsidR="00987DDC" w:rsidRPr="00987DDC">
        <w:rPr>
          <w:noProof/>
        </w:rPr>
        <w:t>zak</w:t>
      </w:r>
      <w:r w:rsidRPr="00987DDC">
        <w:rPr>
          <w:noProof/>
        </w:rPr>
        <w:t>resie ochrony danych.</w:t>
      </w:r>
    </w:p>
    <w:p w14:paraId="6AE9EB4E" w14:textId="15B465B7" w:rsidR="009011E7" w:rsidRPr="00987DDC" w:rsidRDefault="00543A06" w:rsidP="009011E7">
      <w:pPr>
        <w:pStyle w:val="Text1"/>
        <w:ind w:left="0"/>
        <w:rPr>
          <w:i/>
          <w:iCs/>
          <w:noProof/>
        </w:rPr>
      </w:pPr>
      <w:r w:rsidRPr="00987DDC">
        <w:rPr>
          <w:noProof/>
        </w:rPr>
        <w:t>Aby wesprzeć skuteczne stosowanie RODO</w:t>
      </w:r>
      <w:r w:rsidR="00987DDC" w:rsidRPr="00987DDC">
        <w:rPr>
          <w:noProof/>
        </w:rPr>
        <w:t xml:space="preserve"> i</w:t>
      </w:r>
      <w:r w:rsidR="00987DDC">
        <w:rPr>
          <w:noProof/>
        </w:rPr>
        <w:t> </w:t>
      </w:r>
      <w:r w:rsidR="00987DDC" w:rsidRPr="00987DDC">
        <w:rPr>
          <w:noProof/>
        </w:rPr>
        <w:t>umo</w:t>
      </w:r>
      <w:r w:rsidRPr="00987DDC">
        <w:rPr>
          <w:noProof/>
        </w:rPr>
        <w:t>żliwić dalsze refleksje na temat ochrony danych, konieczne jest podjęcie szeregu działań</w:t>
      </w:r>
      <w:r w:rsidR="00987DDC" w:rsidRPr="00987DDC">
        <w:rPr>
          <w:noProof/>
        </w:rPr>
        <w:t xml:space="preserve"> w</w:t>
      </w:r>
      <w:r w:rsidR="00987DDC">
        <w:rPr>
          <w:noProof/>
        </w:rPr>
        <w:t> </w:t>
      </w:r>
      <w:r w:rsidR="00987DDC" w:rsidRPr="00987DDC">
        <w:rPr>
          <w:noProof/>
        </w:rPr>
        <w:t>tym</w:t>
      </w:r>
      <w:r w:rsidRPr="00987DDC">
        <w:rPr>
          <w:noProof/>
        </w:rPr>
        <w:t xml:space="preserve"> zakresie. Komisja będzie wspierać</w:t>
      </w:r>
      <w:r w:rsidR="00987DDC" w:rsidRPr="00987DDC">
        <w:rPr>
          <w:noProof/>
        </w:rPr>
        <w:t xml:space="preserve"> i</w:t>
      </w:r>
      <w:r w:rsidR="00987DDC">
        <w:rPr>
          <w:noProof/>
        </w:rPr>
        <w:t> </w:t>
      </w:r>
      <w:r w:rsidR="00987DDC" w:rsidRPr="00987DDC">
        <w:rPr>
          <w:noProof/>
        </w:rPr>
        <w:t>mon</w:t>
      </w:r>
      <w:r w:rsidRPr="00987DDC">
        <w:rPr>
          <w:noProof/>
        </w:rPr>
        <w:t>itorować ich realizację również</w:t>
      </w:r>
      <w:r w:rsidR="00987DDC" w:rsidRPr="00987DDC">
        <w:rPr>
          <w:noProof/>
        </w:rPr>
        <w:t xml:space="preserve"> z</w:t>
      </w:r>
      <w:r w:rsidR="00987DDC">
        <w:rPr>
          <w:noProof/>
        </w:rPr>
        <w:t> </w:t>
      </w:r>
      <w:r w:rsidR="00987DDC" w:rsidRPr="00987DDC">
        <w:rPr>
          <w:noProof/>
        </w:rPr>
        <w:t>myś</w:t>
      </w:r>
      <w:r w:rsidRPr="00987DDC">
        <w:rPr>
          <w:noProof/>
        </w:rPr>
        <w:t>lą</w:t>
      </w:r>
      <w:r w:rsidR="00987DDC" w:rsidRPr="00987DDC">
        <w:rPr>
          <w:noProof/>
        </w:rPr>
        <w:t xml:space="preserve"> o</w:t>
      </w:r>
      <w:r w:rsidR="00987DDC">
        <w:rPr>
          <w:noProof/>
        </w:rPr>
        <w:t> </w:t>
      </w:r>
      <w:r w:rsidR="00987DDC" w:rsidRPr="00987DDC">
        <w:rPr>
          <w:noProof/>
        </w:rPr>
        <w:t>kol</w:t>
      </w:r>
      <w:r w:rsidRPr="00987DDC">
        <w:rPr>
          <w:noProof/>
        </w:rPr>
        <w:t>ejnym sprawozdaniu</w:t>
      </w:r>
      <w:r w:rsidR="00987DDC" w:rsidRPr="00987DDC">
        <w:rPr>
          <w:noProof/>
        </w:rPr>
        <w:t xml:space="preserve"> w</w:t>
      </w:r>
      <w:r w:rsidR="00987DDC">
        <w:rPr>
          <w:noProof/>
        </w:rPr>
        <w:t> </w:t>
      </w:r>
      <w:r w:rsidR="00987DDC" w:rsidRPr="00987DDC">
        <w:rPr>
          <w:noProof/>
        </w:rPr>
        <w:t>2</w:t>
      </w:r>
      <w:r w:rsidRPr="00987DDC">
        <w:rPr>
          <w:noProof/>
        </w:rPr>
        <w:t>028</w:t>
      </w:r>
      <w:r w:rsidR="00987DDC" w:rsidRPr="00987DDC">
        <w:rPr>
          <w:noProof/>
        </w:rPr>
        <w:t> </w:t>
      </w:r>
      <w:r w:rsidRPr="00987DDC">
        <w:rPr>
          <w:noProof/>
        </w:rPr>
        <w:t>r.</w:t>
      </w:r>
      <w:r w:rsidRPr="00987DDC">
        <w:rPr>
          <w:i/>
          <w:noProof/>
        </w:rPr>
        <w:t xml:space="preserve"> </w:t>
      </w:r>
    </w:p>
    <w:p w14:paraId="37B52853" w14:textId="5D93BD23" w:rsidR="009011E7" w:rsidRPr="00987DDC" w:rsidRDefault="009011E7" w:rsidP="009011E7">
      <w:pPr>
        <w:pStyle w:val="Text1"/>
        <w:ind w:left="0"/>
        <w:rPr>
          <w:i/>
          <w:noProof/>
        </w:rPr>
      </w:pPr>
      <w:r w:rsidRPr="00987DDC">
        <w:rPr>
          <w:i/>
          <w:noProof/>
        </w:rPr>
        <w:t>Rozwijanie skutecznych struktur współpracy</w:t>
      </w:r>
    </w:p>
    <w:p w14:paraId="088F685A" w14:textId="14DF1AC9" w:rsidR="009011E7" w:rsidRPr="00987DDC" w:rsidRDefault="009011E7" w:rsidP="0003154B">
      <w:pPr>
        <w:pStyle w:val="Text1"/>
        <w:ind w:left="0"/>
        <w:rPr>
          <w:noProof/>
        </w:rPr>
      </w:pPr>
      <w:r w:rsidRPr="00987DDC">
        <w:rPr>
          <w:noProof/>
        </w:rPr>
        <w:t>Wzywa się Parlament Europejski</w:t>
      </w:r>
      <w:r w:rsidR="00987DDC" w:rsidRPr="00987DDC">
        <w:rPr>
          <w:noProof/>
        </w:rPr>
        <w:t xml:space="preserve"> i</w:t>
      </w:r>
      <w:r w:rsidR="00987DDC">
        <w:rPr>
          <w:noProof/>
        </w:rPr>
        <w:t> </w:t>
      </w:r>
      <w:r w:rsidR="00987DDC" w:rsidRPr="00987DDC">
        <w:rPr>
          <w:noProof/>
        </w:rPr>
        <w:t>Rad</w:t>
      </w:r>
      <w:r w:rsidRPr="00987DDC">
        <w:rPr>
          <w:noProof/>
        </w:rPr>
        <w:t>ę do szybkiego przyjęcia wniosku</w:t>
      </w:r>
      <w:r w:rsidR="00987DDC" w:rsidRPr="00987DDC">
        <w:rPr>
          <w:noProof/>
        </w:rPr>
        <w:t xml:space="preserve"> w</w:t>
      </w:r>
      <w:r w:rsidR="00987DDC">
        <w:rPr>
          <w:noProof/>
        </w:rPr>
        <w:t> </w:t>
      </w:r>
      <w:r w:rsidR="00987DDC" w:rsidRPr="00987DDC">
        <w:rPr>
          <w:noProof/>
        </w:rPr>
        <w:t>spr</w:t>
      </w:r>
      <w:r w:rsidRPr="00987DDC">
        <w:rPr>
          <w:noProof/>
        </w:rPr>
        <w:t xml:space="preserve">awie przepisów proceduralnych RODO. </w:t>
      </w:r>
    </w:p>
    <w:p w14:paraId="00A30BBB" w14:textId="3F1A89E7" w:rsidR="009011E7" w:rsidRPr="00987DDC" w:rsidRDefault="009011E7" w:rsidP="0003154B">
      <w:pPr>
        <w:pStyle w:val="Text1"/>
        <w:ind w:left="0"/>
        <w:rPr>
          <w:i/>
          <w:noProof/>
        </w:rPr>
      </w:pPr>
      <w:r w:rsidRPr="00987DDC">
        <w:rPr>
          <w:noProof/>
        </w:rPr>
        <w:t xml:space="preserve">EROD oraz organy ochrony danych wzywa się do: </w:t>
      </w:r>
    </w:p>
    <w:p w14:paraId="366F6E14" w14:textId="5099E275" w:rsidR="009011E7" w:rsidRPr="00987DDC" w:rsidRDefault="00F86CA7" w:rsidP="0003154B">
      <w:pPr>
        <w:pStyle w:val="Text1"/>
        <w:numPr>
          <w:ilvl w:val="0"/>
          <w:numId w:val="26"/>
        </w:numPr>
        <w:ind w:left="360"/>
        <w:rPr>
          <w:noProof/>
        </w:rPr>
      </w:pPr>
      <w:r w:rsidRPr="00987DDC">
        <w:rPr>
          <w:noProof/>
        </w:rPr>
        <w:t>nawiązania regularnej współpracy</w:t>
      </w:r>
      <w:r w:rsidR="00987DDC" w:rsidRPr="00987DDC">
        <w:rPr>
          <w:noProof/>
        </w:rPr>
        <w:t xml:space="preserve"> z</w:t>
      </w:r>
      <w:r w:rsidR="00987DDC">
        <w:rPr>
          <w:noProof/>
        </w:rPr>
        <w:t> </w:t>
      </w:r>
      <w:r w:rsidR="00987DDC" w:rsidRPr="00987DDC">
        <w:rPr>
          <w:noProof/>
        </w:rPr>
        <w:t>inn</w:t>
      </w:r>
      <w:r w:rsidRPr="00987DDC">
        <w:rPr>
          <w:noProof/>
        </w:rPr>
        <w:t>ymi sektorowymi organami regulacyjnymi</w:t>
      </w:r>
      <w:r w:rsidR="00987DDC" w:rsidRPr="00987DDC">
        <w:rPr>
          <w:noProof/>
        </w:rPr>
        <w:t xml:space="preserve"> w</w:t>
      </w:r>
      <w:r w:rsidR="00987DDC">
        <w:rPr>
          <w:noProof/>
        </w:rPr>
        <w:t> </w:t>
      </w:r>
      <w:r w:rsidR="00987DDC" w:rsidRPr="00987DDC">
        <w:rPr>
          <w:noProof/>
        </w:rPr>
        <w:t>kwe</w:t>
      </w:r>
      <w:r w:rsidRPr="00987DDC">
        <w:rPr>
          <w:noProof/>
        </w:rPr>
        <w:t>stiach mających wpływ na ochronę danych,</w:t>
      </w:r>
      <w:r w:rsidR="00987DDC" w:rsidRPr="00987DDC">
        <w:rPr>
          <w:noProof/>
        </w:rPr>
        <w:t xml:space="preserve"> w</w:t>
      </w:r>
      <w:r w:rsidR="00987DDC">
        <w:rPr>
          <w:noProof/>
        </w:rPr>
        <w:t> </w:t>
      </w:r>
      <w:r w:rsidR="00987DDC" w:rsidRPr="00987DDC">
        <w:rPr>
          <w:noProof/>
        </w:rPr>
        <w:t>szc</w:t>
      </w:r>
      <w:r w:rsidRPr="00987DDC">
        <w:rPr>
          <w:noProof/>
        </w:rPr>
        <w:t>zególności ustanowionymi na podstawie nowych przepisów cyfrowych UE, oraz aktywnie uczestniczyć</w:t>
      </w:r>
      <w:r w:rsidR="00987DDC" w:rsidRPr="00987DDC">
        <w:rPr>
          <w:noProof/>
        </w:rPr>
        <w:t xml:space="preserve"> w</w:t>
      </w:r>
      <w:r w:rsidR="00987DDC">
        <w:rPr>
          <w:noProof/>
        </w:rPr>
        <w:t> </w:t>
      </w:r>
      <w:r w:rsidR="00987DDC" w:rsidRPr="00987DDC">
        <w:rPr>
          <w:noProof/>
        </w:rPr>
        <w:t>str</w:t>
      </w:r>
      <w:r w:rsidRPr="00987DDC">
        <w:rPr>
          <w:noProof/>
        </w:rPr>
        <w:t>ukturach na szczeblu UE zaprojektowanych</w:t>
      </w:r>
      <w:r w:rsidR="00987DDC" w:rsidRPr="00987DDC">
        <w:rPr>
          <w:noProof/>
        </w:rPr>
        <w:t xml:space="preserve"> w</w:t>
      </w:r>
      <w:r w:rsidR="00987DDC">
        <w:rPr>
          <w:noProof/>
        </w:rPr>
        <w:t> </w:t>
      </w:r>
      <w:r w:rsidR="00987DDC" w:rsidRPr="00987DDC">
        <w:rPr>
          <w:noProof/>
        </w:rPr>
        <w:t>cel</w:t>
      </w:r>
      <w:r w:rsidRPr="00987DDC">
        <w:rPr>
          <w:noProof/>
        </w:rPr>
        <w:t>u ułatwienia współpracy regulacyjnej między systemami</w:t>
      </w:r>
      <w:r w:rsidR="00987DDC" w:rsidRPr="00987DDC">
        <w:rPr>
          <w:noProof/>
        </w:rPr>
        <w:t xml:space="preserve"> i</w:t>
      </w:r>
      <w:r w:rsidR="00987DDC">
        <w:rPr>
          <w:noProof/>
        </w:rPr>
        <w:t> </w:t>
      </w:r>
      <w:r w:rsidR="00987DDC" w:rsidRPr="00987DDC">
        <w:rPr>
          <w:noProof/>
        </w:rPr>
        <w:t>sie</w:t>
      </w:r>
      <w:r w:rsidRPr="00987DDC">
        <w:rPr>
          <w:noProof/>
        </w:rPr>
        <w:t>ciami;</w:t>
      </w:r>
    </w:p>
    <w:p w14:paraId="5451FD2C" w14:textId="45DF9C7B" w:rsidR="009011E7" w:rsidRPr="00987DDC" w:rsidRDefault="003D7EB8" w:rsidP="0003154B">
      <w:pPr>
        <w:pStyle w:val="Text1"/>
        <w:numPr>
          <w:ilvl w:val="0"/>
          <w:numId w:val="26"/>
        </w:numPr>
        <w:ind w:left="360"/>
        <w:rPr>
          <w:iCs/>
          <w:noProof/>
        </w:rPr>
      </w:pPr>
      <w:r w:rsidRPr="00987DDC">
        <w:rPr>
          <w:noProof/>
        </w:rPr>
        <w:t>pełniejszego wykorzystania narzędzi współpracy przewidzianych w RODO, tak aby rozstrzyganie sporów było stosowane tylko</w:t>
      </w:r>
      <w:r w:rsidR="00987DDC" w:rsidRPr="00987DDC">
        <w:rPr>
          <w:noProof/>
        </w:rPr>
        <w:t xml:space="preserve"> w</w:t>
      </w:r>
      <w:r w:rsidR="00987DDC">
        <w:rPr>
          <w:noProof/>
        </w:rPr>
        <w:t> </w:t>
      </w:r>
      <w:r w:rsidR="00987DDC" w:rsidRPr="00987DDC">
        <w:rPr>
          <w:noProof/>
        </w:rPr>
        <w:t>ost</w:t>
      </w:r>
      <w:r w:rsidRPr="00987DDC">
        <w:rPr>
          <w:noProof/>
        </w:rPr>
        <w:t>ateczności;</w:t>
      </w:r>
    </w:p>
    <w:p w14:paraId="6255D345" w14:textId="547DEBF5" w:rsidR="009011E7" w:rsidRPr="00987DDC" w:rsidRDefault="009011E7" w:rsidP="0003154B">
      <w:pPr>
        <w:pStyle w:val="ListParagraph"/>
        <w:numPr>
          <w:ilvl w:val="0"/>
          <w:numId w:val="26"/>
        </w:numPr>
        <w:ind w:left="360"/>
        <w:contextualSpacing w:val="0"/>
        <w:rPr>
          <w:iCs/>
          <w:noProof/>
        </w:rPr>
      </w:pPr>
      <w:r w:rsidRPr="00987DDC">
        <w:rPr>
          <w:noProof/>
        </w:rPr>
        <w:t>wdrożenia bardziej skutecznych</w:t>
      </w:r>
      <w:r w:rsidR="00987DDC" w:rsidRPr="00987DDC">
        <w:rPr>
          <w:noProof/>
        </w:rPr>
        <w:t xml:space="preserve"> i</w:t>
      </w:r>
      <w:r w:rsidR="00987DDC">
        <w:rPr>
          <w:noProof/>
        </w:rPr>
        <w:t> </w:t>
      </w:r>
      <w:r w:rsidR="00987DDC" w:rsidRPr="00987DDC">
        <w:rPr>
          <w:noProof/>
        </w:rPr>
        <w:t>sko</w:t>
      </w:r>
      <w:r w:rsidRPr="00987DDC">
        <w:rPr>
          <w:noProof/>
        </w:rPr>
        <w:t>nkretyzowanych ustaleń roboczych dotyczących wytycznych, opinii</w:t>
      </w:r>
      <w:r w:rsidR="00987DDC" w:rsidRPr="00987DDC">
        <w:rPr>
          <w:noProof/>
        </w:rPr>
        <w:t xml:space="preserve"> i</w:t>
      </w:r>
      <w:r w:rsidR="00987DDC">
        <w:rPr>
          <w:noProof/>
        </w:rPr>
        <w:t> </w:t>
      </w:r>
      <w:r w:rsidR="00987DDC" w:rsidRPr="00987DDC">
        <w:rPr>
          <w:noProof/>
        </w:rPr>
        <w:t>dec</w:t>
      </w:r>
      <w:r w:rsidRPr="00987DDC">
        <w:rPr>
          <w:noProof/>
        </w:rPr>
        <w:t>yzji oraz ustalenia priorytetów</w:t>
      </w:r>
      <w:r w:rsidR="00987DDC" w:rsidRPr="00987DDC">
        <w:rPr>
          <w:noProof/>
        </w:rPr>
        <w:t xml:space="preserve"> w</w:t>
      </w:r>
      <w:r w:rsidR="00987DDC">
        <w:rPr>
          <w:noProof/>
        </w:rPr>
        <w:t> </w:t>
      </w:r>
      <w:r w:rsidR="00987DDC" w:rsidRPr="00987DDC">
        <w:rPr>
          <w:noProof/>
        </w:rPr>
        <w:t>klu</w:t>
      </w:r>
      <w:r w:rsidRPr="00987DDC">
        <w:rPr>
          <w:noProof/>
        </w:rPr>
        <w:t>czowych kwestiach</w:t>
      </w:r>
      <w:r w:rsidR="00987DDC" w:rsidRPr="00987DDC">
        <w:rPr>
          <w:noProof/>
        </w:rPr>
        <w:t xml:space="preserve"> w</w:t>
      </w:r>
      <w:r w:rsidR="00987DDC">
        <w:rPr>
          <w:noProof/>
        </w:rPr>
        <w:t> </w:t>
      </w:r>
      <w:r w:rsidR="00987DDC" w:rsidRPr="00987DDC">
        <w:rPr>
          <w:noProof/>
        </w:rPr>
        <w:t>cel</w:t>
      </w:r>
      <w:r w:rsidRPr="00987DDC">
        <w:rPr>
          <w:noProof/>
        </w:rPr>
        <w:t>u zmniejszenia obciążenia organów ochrony danych</w:t>
      </w:r>
      <w:r w:rsidR="00987DDC" w:rsidRPr="00987DDC">
        <w:rPr>
          <w:noProof/>
        </w:rPr>
        <w:t xml:space="preserve"> i</w:t>
      </w:r>
      <w:r w:rsidR="00987DDC">
        <w:rPr>
          <w:noProof/>
        </w:rPr>
        <w:t> </w:t>
      </w:r>
      <w:r w:rsidR="00987DDC" w:rsidRPr="00987DDC">
        <w:rPr>
          <w:noProof/>
        </w:rPr>
        <w:t>szy</w:t>
      </w:r>
      <w:r w:rsidRPr="00987DDC">
        <w:rPr>
          <w:noProof/>
        </w:rPr>
        <w:t>bszego reagowania na zmiany na rynku.</w:t>
      </w:r>
    </w:p>
    <w:p w14:paraId="33B945C6" w14:textId="64A3B046" w:rsidR="009011E7" w:rsidRPr="00987DDC" w:rsidRDefault="009011E7" w:rsidP="0003154B">
      <w:pPr>
        <w:rPr>
          <w:noProof/>
        </w:rPr>
      </w:pPr>
      <w:r w:rsidRPr="00987DDC">
        <w:rPr>
          <w:noProof/>
        </w:rPr>
        <w:t>Państwa członkowskie muszą:</w:t>
      </w:r>
    </w:p>
    <w:p w14:paraId="5836F421" w14:textId="5688AA45" w:rsidR="00421606" w:rsidRPr="00987DDC" w:rsidRDefault="00421606" w:rsidP="0003154B">
      <w:pPr>
        <w:pStyle w:val="Text1"/>
        <w:numPr>
          <w:ilvl w:val="0"/>
          <w:numId w:val="25"/>
        </w:numPr>
        <w:ind w:left="360"/>
        <w:rPr>
          <w:iCs/>
          <w:noProof/>
        </w:rPr>
      </w:pPr>
      <w:r w:rsidRPr="00987DDC">
        <w:rPr>
          <w:noProof/>
        </w:rPr>
        <w:t>zapewnić efektywną</w:t>
      </w:r>
      <w:r w:rsidR="00987DDC" w:rsidRPr="00987DDC">
        <w:rPr>
          <w:noProof/>
        </w:rPr>
        <w:t xml:space="preserve"> i</w:t>
      </w:r>
      <w:r w:rsidR="00987DDC">
        <w:rPr>
          <w:noProof/>
        </w:rPr>
        <w:t> </w:t>
      </w:r>
      <w:r w:rsidR="00987DDC" w:rsidRPr="00987DDC">
        <w:rPr>
          <w:noProof/>
        </w:rPr>
        <w:t>peł</w:t>
      </w:r>
      <w:r w:rsidRPr="00987DDC">
        <w:rPr>
          <w:noProof/>
        </w:rPr>
        <w:t xml:space="preserve">ną niezależność krajowych organów ochrony danych; </w:t>
      </w:r>
    </w:p>
    <w:p w14:paraId="65B68FA6" w14:textId="79EBBAE4" w:rsidR="009011E7" w:rsidRPr="00987DDC" w:rsidRDefault="009011E7" w:rsidP="0003154B">
      <w:pPr>
        <w:pStyle w:val="ListParagraph"/>
        <w:numPr>
          <w:ilvl w:val="0"/>
          <w:numId w:val="25"/>
        </w:numPr>
        <w:ind w:left="354" w:hanging="357"/>
        <w:contextualSpacing w:val="0"/>
        <w:rPr>
          <w:noProof/>
        </w:rPr>
      </w:pPr>
      <w:r w:rsidRPr="00987DDC">
        <w:rPr>
          <w:noProof/>
        </w:rPr>
        <w:t>przydzielić organom ochrony danych wystarczające zasoby, aby umożliwić im wykonywanie powierzonych im zadań,</w:t>
      </w:r>
      <w:r w:rsidR="00987DDC" w:rsidRPr="00987DDC">
        <w:rPr>
          <w:noProof/>
        </w:rPr>
        <w:t xml:space="preserve"> w</w:t>
      </w:r>
      <w:r w:rsidR="00987DDC">
        <w:rPr>
          <w:noProof/>
        </w:rPr>
        <w:t> </w:t>
      </w:r>
      <w:r w:rsidR="00987DDC" w:rsidRPr="00987DDC">
        <w:rPr>
          <w:noProof/>
        </w:rPr>
        <w:t>szc</w:t>
      </w:r>
      <w:r w:rsidRPr="00987DDC">
        <w:rPr>
          <w:noProof/>
        </w:rPr>
        <w:t>zególności przez zapewnienie im zasobów technicznych</w:t>
      </w:r>
      <w:r w:rsidR="00987DDC" w:rsidRPr="00987DDC">
        <w:rPr>
          <w:noProof/>
        </w:rPr>
        <w:t xml:space="preserve"> i</w:t>
      </w:r>
      <w:r w:rsidR="00987DDC">
        <w:rPr>
          <w:noProof/>
        </w:rPr>
        <w:t> </w:t>
      </w:r>
      <w:r w:rsidR="00987DDC" w:rsidRPr="00987DDC">
        <w:rPr>
          <w:noProof/>
        </w:rPr>
        <w:t>wie</w:t>
      </w:r>
      <w:r w:rsidRPr="00987DDC">
        <w:rPr>
          <w:noProof/>
        </w:rPr>
        <w:t>dzy fachowej niezbędnych do obsługi powstających technologii, oraz wywiązywanie się</w:t>
      </w:r>
      <w:r w:rsidR="00987DDC" w:rsidRPr="00987DDC">
        <w:rPr>
          <w:noProof/>
        </w:rPr>
        <w:t xml:space="preserve"> z</w:t>
      </w:r>
      <w:r w:rsidR="00987DDC">
        <w:rPr>
          <w:noProof/>
        </w:rPr>
        <w:t> </w:t>
      </w:r>
      <w:r w:rsidR="00987DDC" w:rsidRPr="00987DDC">
        <w:rPr>
          <w:noProof/>
        </w:rPr>
        <w:t>now</w:t>
      </w:r>
      <w:r w:rsidRPr="00987DDC">
        <w:rPr>
          <w:noProof/>
        </w:rPr>
        <w:t>ych obowiązków wynikających</w:t>
      </w:r>
      <w:r w:rsidR="00987DDC" w:rsidRPr="00987DDC">
        <w:rPr>
          <w:noProof/>
        </w:rPr>
        <w:t xml:space="preserve"> z</w:t>
      </w:r>
      <w:r w:rsidR="00987DDC">
        <w:rPr>
          <w:noProof/>
        </w:rPr>
        <w:t> </w:t>
      </w:r>
      <w:r w:rsidR="00987DDC" w:rsidRPr="00987DDC">
        <w:rPr>
          <w:noProof/>
        </w:rPr>
        <w:t>prz</w:t>
      </w:r>
      <w:r w:rsidRPr="00987DDC">
        <w:rPr>
          <w:noProof/>
        </w:rPr>
        <w:t>episów cyfrowych;</w:t>
      </w:r>
    </w:p>
    <w:p w14:paraId="27B1C187" w14:textId="5C582EE0" w:rsidR="009011E7" w:rsidRPr="00987DDC" w:rsidRDefault="0044563D" w:rsidP="0003154B">
      <w:pPr>
        <w:pStyle w:val="ListParagraph"/>
        <w:numPr>
          <w:ilvl w:val="0"/>
          <w:numId w:val="25"/>
        </w:numPr>
        <w:ind w:left="360"/>
        <w:contextualSpacing w:val="0"/>
        <w:rPr>
          <w:noProof/>
        </w:rPr>
      </w:pPr>
      <w:r w:rsidRPr="00987DDC">
        <w:rPr>
          <w:noProof/>
        </w:rPr>
        <w:t>wyposażyć organy ochrony danych</w:t>
      </w:r>
      <w:r w:rsidR="00987DDC" w:rsidRPr="00987DDC">
        <w:rPr>
          <w:noProof/>
        </w:rPr>
        <w:t xml:space="preserve"> w</w:t>
      </w:r>
      <w:r w:rsidR="00987DDC">
        <w:rPr>
          <w:noProof/>
        </w:rPr>
        <w:t> </w:t>
      </w:r>
      <w:r w:rsidR="00987DDC" w:rsidRPr="00987DDC">
        <w:rPr>
          <w:noProof/>
        </w:rPr>
        <w:t>nar</w:t>
      </w:r>
      <w:r w:rsidRPr="00987DDC">
        <w:rPr>
          <w:noProof/>
        </w:rPr>
        <w:t>zędzia dochodzeniowe niezbędne do skutecznego korzystania</w:t>
      </w:r>
      <w:r w:rsidR="00987DDC" w:rsidRPr="00987DDC">
        <w:rPr>
          <w:noProof/>
        </w:rPr>
        <w:t xml:space="preserve"> z</w:t>
      </w:r>
      <w:r w:rsidR="00987DDC">
        <w:rPr>
          <w:noProof/>
        </w:rPr>
        <w:t> </w:t>
      </w:r>
      <w:r w:rsidR="00987DDC" w:rsidRPr="00987DDC">
        <w:rPr>
          <w:noProof/>
        </w:rPr>
        <w:t>upr</w:t>
      </w:r>
      <w:r w:rsidRPr="00987DDC">
        <w:rPr>
          <w:noProof/>
        </w:rPr>
        <w:t>awnień</w:t>
      </w:r>
      <w:r w:rsidR="00987DDC" w:rsidRPr="00987DDC">
        <w:rPr>
          <w:noProof/>
        </w:rPr>
        <w:t xml:space="preserve"> w</w:t>
      </w:r>
      <w:r w:rsidR="00987DDC">
        <w:rPr>
          <w:noProof/>
        </w:rPr>
        <w:t> </w:t>
      </w:r>
      <w:r w:rsidR="00987DDC" w:rsidRPr="00987DDC">
        <w:rPr>
          <w:noProof/>
        </w:rPr>
        <w:t>zak</w:t>
      </w:r>
      <w:r w:rsidRPr="00987DDC">
        <w:rPr>
          <w:noProof/>
        </w:rPr>
        <w:t>resie egzekwowania przepisów przewidzianych w RODO;</w:t>
      </w:r>
    </w:p>
    <w:p w14:paraId="6697ADBC" w14:textId="37DC2F24" w:rsidR="00C21BF2" w:rsidRPr="00987DDC" w:rsidRDefault="008777EA" w:rsidP="0003154B">
      <w:pPr>
        <w:pStyle w:val="Text1"/>
        <w:numPr>
          <w:ilvl w:val="0"/>
          <w:numId w:val="25"/>
        </w:numPr>
        <w:ind w:left="360"/>
        <w:rPr>
          <w:iCs/>
          <w:noProof/>
        </w:rPr>
      </w:pPr>
      <w:r w:rsidRPr="00987DDC">
        <w:rPr>
          <w:noProof/>
        </w:rPr>
        <w:t>wspierać dialog między organami ochrony danych oraz innymi krajowymi organami regulacyjnymi,</w:t>
      </w:r>
      <w:r w:rsidR="00987DDC" w:rsidRPr="00987DDC">
        <w:rPr>
          <w:noProof/>
        </w:rPr>
        <w:t xml:space="preserve"> w</w:t>
      </w:r>
      <w:r w:rsidR="00987DDC">
        <w:rPr>
          <w:noProof/>
        </w:rPr>
        <w:t> </w:t>
      </w:r>
      <w:r w:rsidR="00987DDC" w:rsidRPr="00987DDC">
        <w:rPr>
          <w:noProof/>
        </w:rPr>
        <w:t>szc</w:t>
      </w:r>
      <w:r w:rsidRPr="00987DDC">
        <w:rPr>
          <w:noProof/>
        </w:rPr>
        <w:t>zególności organami ustanowionymi na podstawie nowych przepisów cyfrowych.</w:t>
      </w:r>
    </w:p>
    <w:p w14:paraId="08FAE002" w14:textId="63F0F311" w:rsidR="004C3247" w:rsidRPr="00987DDC" w:rsidRDefault="004C3247" w:rsidP="0003154B">
      <w:pPr>
        <w:pStyle w:val="Text1"/>
        <w:ind w:left="0"/>
        <w:rPr>
          <w:iCs/>
          <w:noProof/>
        </w:rPr>
      </w:pPr>
      <w:r w:rsidRPr="00987DDC">
        <w:rPr>
          <w:noProof/>
        </w:rPr>
        <w:t>Komisja będzie:</w:t>
      </w:r>
    </w:p>
    <w:p w14:paraId="1B70696C" w14:textId="7FD70DF2" w:rsidR="004C3247" w:rsidRPr="00987DDC" w:rsidRDefault="004C3247" w:rsidP="0003154B">
      <w:pPr>
        <w:pStyle w:val="ListParagraph"/>
        <w:numPr>
          <w:ilvl w:val="0"/>
          <w:numId w:val="26"/>
        </w:numPr>
        <w:ind w:left="360"/>
        <w:contextualSpacing w:val="0"/>
        <w:rPr>
          <w:iCs/>
          <w:noProof/>
        </w:rPr>
      </w:pPr>
      <w:r w:rsidRPr="00987DDC">
        <w:rPr>
          <w:noProof/>
        </w:rPr>
        <w:t>dążyć do szybkiego przyjęcia wniosku</w:t>
      </w:r>
      <w:r w:rsidR="00987DDC" w:rsidRPr="00987DDC">
        <w:rPr>
          <w:noProof/>
        </w:rPr>
        <w:t xml:space="preserve"> w</w:t>
      </w:r>
      <w:r w:rsidR="00987DDC">
        <w:rPr>
          <w:noProof/>
        </w:rPr>
        <w:t> </w:t>
      </w:r>
      <w:r w:rsidR="00987DDC" w:rsidRPr="00987DDC">
        <w:rPr>
          <w:noProof/>
        </w:rPr>
        <w:t>spr</w:t>
      </w:r>
      <w:r w:rsidRPr="00987DDC">
        <w:rPr>
          <w:noProof/>
        </w:rPr>
        <w:t>awie przepisów proceduralnych RODO przez współustawodawców;</w:t>
      </w:r>
    </w:p>
    <w:p w14:paraId="121AEF8B" w14:textId="0B0AA1ED" w:rsidR="00C21BF2" w:rsidRPr="00987DDC" w:rsidRDefault="004C3247" w:rsidP="0003154B">
      <w:pPr>
        <w:pStyle w:val="ListParagraph"/>
        <w:numPr>
          <w:ilvl w:val="0"/>
          <w:numId w:val="25"/>
        </w:numPr>
        <w:ind w:left="354" w:hanging="357"/>
        <w:contextualSpacing w:val="0"/>
        <w:rPr>
          <w:noProof/>
        </w:rPr>
      </w:pPr>
      <w:r w:rsidRPr="00987DDC">
        <w:rPr>
          <w:noProof/>
        </w:rPr>
        <w:t>nadal ściśle monitorować efektywną</w:t>
      </w:r>
      <w:r w:rsidR="00987DDC" w:rsidRPr="00987DDC">
        <w:rPr>
          <w:noProof/>
        </w:rPr>
        <w:t xml:space="preserve"> i</w:t>
      </w:r>
      <w:r w:rsidR="00987DDC">
        <w:rPr>
          <w:noProof/>
        </w:rPr>
        <w:t> </w:t>
      </w:r>
      <w:r w:rsidR="00987DDC" w:rsidRPr="00987DDC">
        <w:rPr>
          <w:noProof/>
        </w:rPr>
        <w:t>peł</w:t>
      </w:r>
      <w:r w:rsidRPr="00987DDC">
        <w:rPr>
          <w:noProof/>
        </w:rPr>
        <w:t>ną niezależność krajowych organów ochrony danych;</w:t>
      </w:r>
    </w:p>
    <w:p w14:paraId="18DB5205" w14:textId="2869FB5D" w:rsidR="00C31B25" w:rsidRPr="00987DDC" w:rsidRDefault="00C31B25" w:rsidP="0003154B">
      <w:pPr>
        <w:pStyle w:val="ListParagraph"/>
        <w:numPr>
          <w:ilvl w:val="0"/>
          <w:numId w:val="25"/>
        </w:numPr>
        <w:ind w:left="354" w:hanging="357"/>
        <w:contextualSpacing w:val="0"/>
        <w:rPr>
          <w:noProof/>
        </w:rPr>
      </w:pPr>
      <w:r w:rsidRPr="00987DDC">
        <w:rPr>
          <w:noProof/>
        </w:rPr>
        <w:t>tworzyć synergię</w:t>
      </w:r>
      <w:r w:rsidR="00987DDC" w:rsidRPr="00987DDC">
        <w:rPr>
          <w:noProof/>
        </w:rPr>
        <w:t xml:space="preserve"> i</w:t>
      </w:r>
      <w:r w:rsidR="00987DDC">
        <w:rPr>
          <w:noProof/>
        </w:rPr>
        <w:t> </w:t>
      </w:r>
      <w:r w:rsidR="00987DDC" w:rsidRPr="00987DDC">
        <w:rPr>
          <w:noProof/>
        </w:rPr>
        <w:t>spó</w:t>
      </w:r>
      <w:r w:rsidRPr="00987DDC">
        <w:rPr>
          <w:noProof/>
        </w:rPr>
        <w:t>jność między RODO</w:t>
      </w:r>
      <w:r w:rsidR="00987DDC" w:rsidRPr="00987DDC">
        <w:rPr>
          <w:noProof/>
        </w:rPr>
        <w:t xml:space="preserve"> a</w:t>
      </w:r>
      <w:r w:rsidR="00987DDC">
        <w:rPr>
          <w:noProof/>
        </w:rPr>
        <w:t> </w:t>
      </w:r>
      <w:r w:rsidR="00987DDC" w:rsidRPr="00987DDC">
        <w:rPr>
          <w:noProof/>
        </w:rPr>
        <w:t>wsz</w:t>
      </w:r>
      <w:r w:rsidRPr="00987DDC">
        <w:rPr>
          <w:noProof/>
        </w:rPr>
        <w:t>ystkimi przepisami odnoszącymi się do kwestii przetwarzania danych osobowych, bazując na doświadczeniu, oraz –</w:t>
      </w:r>
      <w:r w:rsidR="00987DDC" w:rsidRPr="00987DDC">
        <w:rPr>
          <w:noProof/>
        </w:rPr>
        <w:t xml:space="preserve"> w</w:t>
      </w:r>
      <w:r w:rsidR="00987DDC">
        <w:rPr>
          <w:noProof/>
        </w:rPr>
        <w:t> </w:t>
      </w:r>
      <w:r w:rsidR="00987DDC" w:rsidRPr="00987DDC">
        <w:rPr>
          <w:noProof/>
        </w:rPr>
        <w:t>raz</w:t>
      </w:r>
      <w:r w:rsidRPr="00987DDC">
        <w:rPr>
          <w:noProof/>
        </w:rPr>
        <w:t>ie potrzeby – podejmować odpowiednie działania</w:t>
      </w:r>
      <w:r w:rsidR="00987DDC" w:rsidRPr="00987DDC">
        <w:rPr>
          <w:noProof/>
        </w:rPr>
        <w:t xml:space="preserve"> w</w:t>
      </w:r>
      <w:r w:rsidR="00987DDC">
        <w:rPr>
          <w:noProof/>
        </w:rPr>
        <w:t> </w:t>
      </w:r>
      <w:r w:rsidR="00987DDC" w:rsidRPr="00987DDC">
        <w:rPr>
          <w:noProof/>
        </w:rPr>
        <w:t>cel</w:t>
      </w:r>
      <w:r w:rsidRPr="00987DDC">
        <w:rPr>
          <w:noProof/>
        </w:rPr>
        <w:t>u zagwarantowania pewności prawa;</w:t>
      </w:r>
    </w:p>
    <w:p w14:paraId="7E5EF9F5" w14:textId="67CF3D2F" w:rsidR="00D632A5" w:rsidRPr="00987DDC" w:rsidRDefault="004C3247" w:rsidP="0003154B">
      <w:pPr>
        <w:pStyle w:val="ListParagraph"/>
        <w:numPr>
          <w:ilvl w:val="0"/>
          <w:numId w:val="25"/>
        </w:numPr>
        <w:ind w:left="360"/>
        <w:contextualSpacing w:val="0"/>
        <w:rPr>
          <w:noProof/>
        </w:rPr>
      </w:pPr>
      <w:r w:rsidRPr="00987DDC">
        <w:rPr>
          <w:noProof/>
        </w:rPr>
        <w:t>zastanawiać się nad skuteczniejszym rozwiązaniem potrzeby zorganizowanej</w:t>
      </w:r>
      <w:r w:rsidR="00987DDC" w:rsidRPr="00987DDC">
        <w:rPr>
          <w:noProof/>
        </w:rPr>
        <w:t xml:space="preserve"> i</w:t>
      </w:r>
      <w:r w:rsidR="00987DDC">
        <w:rPr>
          <w:noProof/>
        </w:rPr>
        <w:t> </w:t>
      </w:r>
      <w:r w:rsidR="00987DDC" w:rsidRPr="00987DDC">
        <w:rPr>
          <w:noProof/>
        </w:rPr>
        <w:t>sku</w:t>
      </w:r>
      <w:r w:rsidRPr="00987DDC">
        <w:rPr>
          <w:noProof/>
        </w:rPr>
        <w:t>tecznej współpracy między organami regulacyjnymi</w:t>
      </w:r>
      <w:r w:rsidR="00987DDC" w:rsidRPr="00987DDC">
        <w:rPr>
          <w:noProof/>
        </w:rPr>
        <w:t xml:space="preserve"> w</w:t>
      </w:r>
      <w:r w:rsidR="00987DDC">
        <w:rPr>
          <w:noProof/>
        </w:rPr>
        <w:t> </w:t>
      </w:r>
      <w:r w:rsidR="00987DDC" w:rsidRPr="00987DDC">
        <w:rPr>
          <w:noProof/>
        </w:rPr>
        <w:t>cel</w:t>
      </w:r>
      <w:r w:rsidRPr="00987DDC">
        <w:rPr>
          <w:noProof/>
        </w:rPr>
        <w:t>u zagwarantowania skutecznego, konsekwentnego</w:t>
      </w:r>
      <w:r w:rsidR="00987DDC" w:rsidRPr="00987DDC">
        <w:rPr>
          <w:noProof/>
        </w:rPr>
        <w:t xml:space="preserve"> i</w:t>
      </w:r>
      <w:r w:rsidR="00987DDC">
        <w:rPr>
          <w:noProof/>
        </w:rPr>
        <w:t> </w:t>
      </w:r>
      <w:r w:rsidR="00987DDC" w:rsidRPr="00987DDC">
        <w:rPr>
          <w:noProof/>
        </w:rPr>
        <w:t>spó</w:t>
      </w:r>
      <w:r w:rsidRPr="00987DDC">
        <w:rPr>
          <w:noProof/>
        </w:rPr>
        <w:t>jnego stosowania unijnych przepisów dotyczących rynku cyfrowego, przy jednoczesnym poszanowaniu kompetencji organów ochrony danych we wszystkich kwestiach dotyczących przetwarzania danych osobowych.</w:t>
      </w:r>
    </w:p>
    <w:p w14:paraId="6C3D8670" w14:textId="2CEB0005" w:rsidR="00075349" w:rsidRPr="00987DDC" w:rsidRDefault="00075349" w:rsidP="000E65C1">
      <w:pPr>
        <w:pStyle w:val="Text1"/>
        <w:ind w:left="0"/>
        <w:rPr>
          <w:i/>
          <w:noProof/>
        </w:rPr>
      </w:pPr>
      <w:r w:rsidRPr="00987DDC">
        <w:rPr>
          <w:i/>
          <w:noProof/>
        </w:rPr>
        <w:t>Wdrażanie</w:t>
      </w:r>
      <w:r w:rsidR="00987DDC" w:rsidRPr="00987DDC">
        <w:rPr>
          <w:i/>
          <w:noProof/>
        </w:rPr>
        <w:t xml:space="preserve"> i</w:t>
      </w:r>
      <w:r w:rsidR="00987DDC">
        <w:rPr>
          <w:i/>
          <w:noProof/>
        </w:rPr>
        <w:t> </w:t>
      </w:r>
      <w:r w:rsidR="00987DDC" w:rsidRPr="00987DDC">
        <w:rPr>
          <w:i/>
          <w:noProof/>
        </w:rPr>
        <w:t>uzu</w:t>
      </w:r>
      <w:r w:rsidRPr="00987DDC">
        <w:rPr>
          <w:i/>
          <w:noProof/>
        </w:rPr>
        <w:t>pełnianie ram prawnych</w:t>
      </w:r>
    </w:p>
    <w:p w14:paraId="2C75D8EF" w14:textId="125D94E1" w:rsidR="0069296B" w:rsidRPr="00987DDC" w:rsidRDefault="0069296B" w:rsidP="0003154B">
      <w:pPr>
        <w:pStyle w:val="Text1"/>
        <w:ind w:left="0"/>
        <w:rPr>
          <w:iCs/>
          <w:noProof/>
        </w:rPr>
      </w:pPr>
      <w:r w:rsidRPr="00987DDC">
        <w:rPr>
          <w:noProof/>
        </w:rPr>
        <w:t>Państwa członkowskie muszą:</w:t>
      </w:r>
    </w:p>
    <w:p w14:paraId="5016D9CC" w14:textId="08D8CB83" w:rsidR="007B1C36" w:rsidRPr="00987DDC" w:rsidRDefault="07E7F8EE" w:rsidP="0003154B">
      <w:pPr>
        <w:pStyle w:val="Text1"/>
        <w:numPr>
          <w:ilvl w:val="0"/>
          <w:numId w:val="25"/>
        </w:numPr>
        <w:ind w:left="360"/>
        <w:rPr>
          <w:iCs/>
          <w:noProof/>
        </w:rPr>
      </w:pPr>
      <w:r w:rsidRPr="00987DDC">
        <w:rPr>
          <w:noProof/>
        </w:rPr>
        <w:t>dopilnować konsultacji</w:t>
      </w:r>
      <w:r w:rsidR="00987DDC" w:rsidRPr="00987DDC">
        <w:rPr>
          <w:noProof/>
        </w:rPr>
        <w:t xml:space="preserve"> z</w:t>
      </w:r>
      <w:r w:rsidR="00987DDC">
        <w:rPr>
          <w:noProof/>
        </w:rPr>
        <w:t> </w:t>
      </w:r>
      <w:r w:rsidR="00987DDC" w:rsidRPr="00987DDC">
        <w:rPr>
          <w:noProof/>
        </w:rPr>
        <w:t>org</w:t>
      </w:r>
      <w:r w:rsidRPr="00987DDC">
        <w:rPr>
          <w:noProof/>
        </w:rPr>
        <w:t>anami ochrony danych</w:t>
      </w:r>
      <w:r w:rsidR="00987DDC" w:rsidRPr="00987DDC">
        <w:rPr>
          <w:noProof/>
        </w:rPr>
        <w:t xml:space="preserve"> w</w:t>
      </w:r>
      <w:r w:rsidR="00987DDC">
        <w:rPr>
          <w:noProof/>
        </w:rPr>
        <w:t> </w:t>
      </w:r>
      <w:r w:rsidR="00987DDC" w:rsidRPr="00987DDC">
        <w:rPr>
          <w:noProof/>
        </w:rPr>
        <w:t>odp</w:t>
      </w:r>
      <w:r w:rsidRPr="00987DDC">
        <w:rPr>
          <w:noProof/>
        </w:rPr>
        <w:t>owiednim czasie przed przyjęciem przepisów dotyczących przetwarzania danych osobowych.</w:t>
      </w:r>
    </w:p>
    <w:p w14:paraId="171F801D" w14:textId="77777777" w:rsidR="0069296B" w:rsidRPr="00987DDC" w:rsidRDefault="0069296B" w:rsidP="0003154B">
      <w:pPr>
        <w:pStyle w:val="Text1"/>
        <w:ind w:left="0"/>
        <w:rPr>
          <w:iCs/>
          <w:noProof/>
        </w:rPr>
      </w:pPr>
      <w:r w:rsidRPr="00987DDC">
        <w:rPr>
          <w:noProof/>
        </w:rPr>
        <w:t>Komisja będzie:</w:t>
      </w:r>
    </w:p>
    <w:p w14:paraId="2E8285DE" w14:textId="7E781E3A" w:rsidR="0069296B" w:rsidRPr="00987DDC" w:rsidRDefault="00D779D6" w:rsidP="0003154B">
      <w:pPr>
        <w:pStyle w:val="Text1"/>
        <w:numPr>
          <w:ilvl w:val="0"/>
          <w:numId w:val="25"/>
        </w:numPr>
        <w:ind w:left="360"/>
        <w:rPr>
          <w:iCs/>
          <w:noProof/>
        </w:rPr>
      </w:pPr>
      <w:r w:rsidRPr="00987DDC">
        <w:rPr>
          <w:noProof/>
        </w:rPr>
        <w:t>w dalszym ciągu wykorzystywać wszystkie dostępne narzędzia,</w:t>
      </w:r>
      <w:r w:rsidR="00987DDC" w:rsidRPr="00987DDC">
        <w:rPr>
          <w:noProof/>
        </w:rPr>
        <w:t xml:space="preserve"> w</w:t>
      </w:r>
      <w:r w:rsidR="00987DDC">
        <w:rPr>
          <w:noProof/>
        </w:rPr>
        <w:t> </w:t>
      </w:r>
      <w:r w:rsidR="00987DDC" w:rsidRPr="00987DDC">
        <w:rPr>
          <w:noProof/>
        </w:rPr>
        <w:t>tym</w:t>
      </w:r>
      <w:r w:rsidRPr="00987DDC">
        <w:rPr>
          <w:noProof/>
        </w:rPr>
        <w:t xml:space="preserve"> postępowania</w:t>
      </w:r>
      <w:r w:rsidR="00987DDC" w:rsidRPr="00987DDC">
        <w:rPr>
          <w:noProof/>
        </w:rPr>
        <w:t xml:space="preserve"> w</w:t>
      </w:r>
      <w:r w:rsidR="00987DDC">
        <w:rPr>
          <w:noProof/>
        </w:rPr>
        <w:t> </w:t>
      </w:r>
      <w:r w:rsidR="00987DDC" w:rsidRPr="00987DDC">
        <w:rPr>
          <w:noProof/>
        </w:rPr>
        <w:t>spr</w:t>
      </w:r>
      <w:r w:rsidRPr="00987DDC">
        <w:rPr>
          <w:noProof/>
        </w:rPr>
        <w:t>awie uchybienia zobowiązaniom państwa członkowskiego,</w:t>
      </w:r>
      <w:r w:rsidR="00987DDC" w:rsidRPr="00987DDC">
        <w:rPr>
          <w:noProof/>
        </w:rPr>
        <w:t xml:space="preserve"> w</w:t>
      </w:r>
      <w:r w:rsidR="00987DDC">
        <w:rPr>
          <w:noProof/>
        </w:rPr>
        <w:t> </w:t>
      </w:r>
      <w:r w:rsidR="00987DDC" w:rsidRPr="00987DDC">
        <w:rPr>
          <w:noProof/>
        </w:rPr>
        <w:t>cel</w:t>
      </w:r>
      <w:r w:rsidRPr="00987DDC">
        <w:rPr>
          <w:noProof/>
        </w:rPr>
        <w:t>u zagwarantowania, by państwa członkowskie przestrzegały RODO;</w:t>
      </w:r>
    </w:p>
    <w:p w14:paraId="2EED3F4E" w14:textId="5A900DB1" w:rsidR="00AC45D8" w:rsidRPr="00987DDC" w:rsidRDefault="3B2B7A8C" w:rsidP="0003154B">
      <w:pPr>
        <w:pStyle w:val="Text1"/>
        <w:numPr>
          <w:ilvl w:val="0"/>
          <w:numId w:val="25"/>
        </w:numPr>
        <w:ind w:left="360"/>
        <w:rPr>
          <w:noProof/>
        </w:rPr>
      </w:pPr>
      <w:r w:rsidRPr="00987DDC">
        <w:rPr>
          <w:noProof/>
        </w:rPr>
        <w:t>nadal wspierać wymianę poglądów</w:t>
      </w:r>
      <w:r w:rsidR="00987DDC" w:rsidRPr="00987DDC">
        <w:rPr>
          <w:noProof/>
        </w:rPr>
        <w:t xml:space="preserve"> i</w:t>
      </w:r>
      <w:r w:rsidR="00987DDC">
        <w:rPr>
          <w:noProof/>
        </w:rPr>
        <w:t> </w:t>
      </w:r>
      <w:r w:rsidR="00987DDC" w:rsidRPr="00987DDC">
        <w:rPr>
          <w:noProof/>
        </w:rPr>
        <w:t>pra</w:t>
      </w:r>
      <w:r w:rsidRPr="00987DDC">
        <w:rPr>
          <w:noProof/>
        </w:rPr>
        <w:t>ktyk krajowych między państwami członkowskimi, także za pośrednictwem grupy ekspertów ds. RODO</w:t>
      </w:r>
      <w:r w:rsidR="00987DDC" w:rsidRPr="00987DDC">
        <w:rPr>
          <w:noProof/>
        </w:rPr>
        <w:t xml:space="preserve"> z</w:t>
      </w:r>
      <w:r w:rsidR="00987DDC">
        <w:rPr>
          <w:noProof/>
        </w:rPr>
        <w:t> </w:t>
      </w:r>
      <w:r w:rsidR="00987DDC" w:rsidRPr="00987DDC">
        <w:rPr>
          <w:noProof/>
        </w:rPr>
        <w:t>pań</w:t>
      </w:r>
      <w:r w:rsidRPr="00987DDC">
        <w:rPr>
          <w:noProof/>
        </w:rPr>
        <w:t>stw członkowskich;</w:t>
      </w:r>
    </w:p>
    <w:p w14:paraId="68D657A7" w14:textId="778F0EF4" w:rsidR="006556B4" w:rsidRPr="00987DDC" w:rsidRDefault="339F3037" w:rsidP="0003154B">
      <w:pPr>
        <w:pStyle w:val="Text1"/>
        <w:numPr>
          <w:ilvl w:val="0"/>
          <w:numId w:val="25"/>
        </w:numPr>
        <w:ind w:left="360"/>
        <w:rPr>
          <w:iCs/>
          <w:noProof/>
        </w:rPr>
      </w:pPr>
      <w:r w:rsidRPr="00987DDC">
        <w:rPr>
          <w:noProof/>
        </w:rPr>
        <w:t>podejmować działania</w:t>
      </w:r>
      <w:r w:rsidR="00987DDC" w:rsidRPr="00987DDC">
        <w:rPr>
          <w:noProof/>
        </w:rPr>
        <w:t xml:space="preserve"> w</w:t>
      </w:r>
      <w:r w:rsidR="00987DDC">
        <w:rPr>
          <w:noProof/>
        </w:rPr>
        <w:t> </w:t>
      </w:r>
      <w:r w:rsidR="00987DDC" w:rsidRPr="00987DDC">
        <w:rPr>
          <w:noProof/>
        </w:rPr>
        <w:t>cel</w:t>
      </w:r>
      <w:r w:rsidRPr="00987DDC">
        <w:rPr>
          <w:noProof/>
        </w:rPr>
        <w:t>u zapewnienia dzieciom ochrony, upodmiotowienia</w:t>
      </w:r>
      <w:r w:rsidR="00987DDC" w:rsidRPr="00987DDC">
        <w:rPr>
          <w:noProof/>
        </w:rPr>
        <w:t xml:space="preserve"> i</w:t>
      </w:r>
      <w:r w:rsidR="00987DDC">
        <w:rPr>
          <w:noProof/>
        </w:rPr>
        <w:t> </w:t>
      </w:r>
      <w:r w:rsidR="00987DDC" w:rsidRPr="00987DDC">
        <w:rPr>
          <w:noProof/>
        </w:rPr>
        <w:t>pos</w:t>
      </w:r>
      <w:r w:rsidRPr="00987DDC">
        <w:rPr>
          <w:noProof/>
        </w:rPr>
        <w:t>zanowania</w:t>
      </w:r>
      <w:r w:rsidR="00987DDC" w:rsidRPr="00987DDC">
        <w:rPr>
          <w:noProof/>
        </w:rPr>
        <w:t xml:space="preserve"> w</w:t>
      </w:r>
      <w:r w:rsidR="00987DDC">
        <w:rPr>
          <w:noProof/>
        </w:rPr>
        <w:t> </w:t>
      </w:r>
      <w:r w:rsidR="00987DDC" w:rsidRPr="00987DDC">
        <w:rPr>
          <w:noProof/>
        </w:rPr>
        <w:t>int</w:t>
      </w:r>
      <w:r w:rsidRPr="00987DDC">
        <w:rPr>
          <w:noProof/>
        </w:rPr>
        <w:t>ernecie;</w:t>
      </w:r>
    </w:p>
    <w:p w14:paraId="6E61C731" w14:textId="6A31F1A6" w:rsidR="0069296B" w:rsidRPr="00987DDC" w:rsidRDefault="75B7F40E" w:rsidP="0003154B">
      <w:pPr>
        <w:pStyle w:val="Text1"/>
        <w:numPr>
          <w:ilvl w:val="0"/>
          <w:numId w:val="25"/>
        </w:numPr>
        <w:ind w:left="360"/>
        <w:rPr>
          <w:noProof/>
        </w:rPr>
      </w:pPr>
      <w:r w:rsidRPr="00987DDC">
        <w:rPr>
          <w:noProof/>
        </w:rPr>
        <w:t>zastanawiać się nad ewentualnymi kolejnymi krokami dotyczącymi wniosku dotyczącego rozporządzenia o e-prywatności,</w:t>
      </w:r>
      <w:r w:rsidR="00987DDC" w:rsidRPr="00987DDC">
        <w:rPr>
          <w:noProof/>
        </w:rPr>
        <w:t xml:space="preserve"> w</w:t>
      </w:r>
      <w:r w:rsidR="00987DDC">
        <w:rPr>
          <w:noProof/>
        </w:rPr>
        <w:t> </w:t>
      </w:r>
      <w:r w:rsidR="00987DDC" w:rsidRPr="00987DDC">
        <w:rPr>
          <w:noProof/>
        </w:rPr>
        <w:t>tym</w:t>
      </w:r>
      <w:r w:rsidRPr="00987DDC">
        <w:rPr>
          <w:noProof/>
        </w:rPr>
        <w:t xml:space="preserve"> nad jego związkiem z RODO.</w:t>
      </w:r>
    </w:p>
    <w:p w14:paraId="22A48550" w14:textId="77777777" w:rsidR="00774EE9" w:rsidRPr="00987DDC" w:rsidRDefault="00774EE9" w:rsidP="000E65C1">
      <w:pPr>
        <w:pStyle w:val="Text1"/>
        <w:ind w:left="0"/>
        <w:rPr>
          <w:i/>
          <w:noProof/>
        </w:rPr>
      </w:pPr>
      <w:r w:rsidRPr="00987DDC">
        <w:rPr>
          <w:i/>
          <w:noProof/>
        </w:rPr>
        <w:t>Wspieranie zainteresowanych stron</w:t>
      </w:r>
    </w:p>
    <w:p w14:paraId="3EDA9762" w14:textId="1D3B34FE" w:rsidR="00774EE9" w:rsidRPr="00987DDC" w:rsidRDefault="00D15C1C" w:rsidP="0003154B">
      <w:pPr>
        <w:pStyle w:val="Text1"/>
        <w:ind w:left="0"/>
        <w:rPr>
          <w:noProof/>
        </w:rPr>
      </w:pPr>
      <w:r w:rsidRPr="00987DDC">
        <w:rPr>
          <w:noProof/>
        </w:rPr>
        <w:t>EROD oraz organy ochrony danych wzywa się do:</w:t>
      </w:r>
    </w:p>
    <w:p w14:paraId="0B5E0224" w14:textId="2C276380" w:rsidR="00093E53" w:rsidRPr="00987DDC" w:rsidRDefault="000F3BC0" w:rsidP="0003154B">
      <w:pPr>
        <w:pStyle w:val="Text1"/>
        <w:numPr>
          <w:ilvl w:val="0"/>
          <w:numId w:val="23"/>
        </w:numPr>
        <w:ind w:left="482"/>
        <w:rPr>
          <w:iCs/>
          <w:noProof/>
        </w:rPr>
      </w:pPr>
      <w:r w:rsidRPr="00987DDC">
        <w:rPr>
          <w:noProof/>
        </w:rPr>
        <w:t>konstruktywnego dialogu</w:t>
      </w:r>
      <w:r w:rsidR="00987DDC" w:rsidRPr="00987DDC">
        <w:rPr>
          <w:noProof/>
        </w:rPr>
        <w:t xml:space="preserve"> z</w:t>
      </w:r>
      <w:r w:rsidR="00987DDC">
        <w:rPr>
          <w:noProof/>
        </w:rPr>
        <w:t> </w:t>
      </w:r>
      <w:r w:rsidR="00987DDC" w:rsidRPr="00987DDC">
        <w:rPr>
          <w:noProof/>
        </w:rPr>
        <w:t>adm</w:t>
      </w:r>
      <w:r w:rsidRPr="00987DDC">
        <w:rPr>
          <w:noProof/>
        </w:rPr>
        <w:t>inistratorami</w:t>
      </w:r>
      <w:r w:rsidR="00987DDC" w:rsidRPr="00987DDC">
        <w:rPr>
          <w:noProof/>
        </w:rPr>
        <w:t xml:space="preserve"> i</w:t>
      </w:r>
      <w:r w:rsidR="00987DDC">
        <w:rPr>
          <w:noProof/>
        </w:rPr>
        <w:t> </w:t>
      </w:r>
      <w:r w:rsidR="00987DDC" w:rsidRPr="00987DDC">
        <w:rPr>
          <w:noProof/>
        </w:rPr>
        <w:t>pod</w:t>
      </w:r>
      <w:r w:rsidRPr="00987DDC">
        <w:rPr>
          <w:noProof/>
        </w:rPr>
        <w:t>miotami przetwarzającymi na temat zgodności z RODO;</w:t>
      </w:r>
    </w:p>
    <w:p w14:paraId="3084E703" w14:textId="1F3CFFCE" w:rsidR="00093E53" w:rsidRPr="00987DDC" w:rsidRDefault="00421606" w:rsidP="0003154B">
      <w:pPr>
        <w:pStyle w:val="Text1"/>
        <w:numPr>
          <w:ilvl w:val="0"/>
          <w:numId w:val="23"/>
        </w:numPr>
        <w:ind w:left="482"/>
        <w:rPr>
          <w:iCs/>
          <w:noProof/>
        </w:rPr>
      </w:pPr>
      <w:r w:rsidRPr="00987DDC">
        <w:rPr>
          <w:noProof/>
        </w:rPr>
        <w:t>dalszego zwiększania wysiłków mających pomóc MŚP</w:t>
      </w:r>
      <w:r w:rsidR="00987DDC" w:rsidRPr="00987DDC">
        <w:rPr>
          <w:noProof/>
        </w:rPr>
        <w:t xml:space="preserve"> w</w:t>
      </w:r>
      <w:r w:rsidR="00987DDC">
        <w:rPr>
          <w:noProof/>
        </w:rPr>
        <w:t> </w:t>
      </w:r>
      <w:r w:rsidR="00987DDC" w:rsidRPr="00987DDC">
        <w:rPr>
          <w:noProof/>
        </w:rPr>
        <w:t>prz</w:t>
      </w:r>
      <w:r w:rsidRPr="00987DDC">
        <w:rPr>
          <w:noProof/>
        </w:rPr>
        <w:t>estrzeganiu przepisów poprzez zapewnienie dostosowanych wytycznych</w:t>
      </w:r>
      <w:r w:rsidR="00987DDC" w:rsidRPr="00987DDC">
        <w:rPr>
          <w:noProof/>
        </w:rPr>
        <w:t xml:space="preserve"> i</w:t>
      </w:r>
      <w:r w:rsidR="00987DDC">
        <w:rPr>
          <w:noProof/>
        </w:rPr>
        <w:t> </w:t>
      </w:r>
      <w:r w:rsidR="00987DDC" w:rsidRPr="00987DDC">
        <w:rPr>
          <w:noProof/>
        </w:rPr>
        <w:t>nar</w:t>
      </w:r>
      <w:r w:rsidRPr="00987DDC">
        <w:rPr>
          <w:noProof/>
        </w:rPr>
        <w:t>zędzi, rozwiewanie wszelkich nieuzasadnionych obaw dotyczących przestrzegania przepisów, jakie mogą odczuwać MŚP, których głównym przedmiotem działalności nie jest przetwarzanie danych osobowych, oraz wspieranie ich</w:t>
      </w:r>
      <w:r w:rsidR="00987DDC" w:rsidRPr="00987DDC">
        <w:rPr>
          <w:noProof/>
        </w:rPr>
        <w:t xml:space="preserve"> w</w:t>
      </w:r>
      <w:r w:rsidR="00987DDC">
        <w:rPr>
          <w:noProof/>
        </w:rPr>
        <w:t> </w:t>
      </w:r>
      <w:r w:rsidR="00987DDC" w:rsidRPr="00987DDC">
        <w:rPr>
          <w:noProof/>
        </w:rPr>
        <w:t>ich</w:t>
      </w:r>
      <w:r w:rsidRPr="00987DDC">
        <w:rPr>
          <w:noProof/>
        </w:rPr>
        <w:t xml:space="preserve"> wysiłkach</w:t>
      </w:r>
      <w:r w:rsidR="00987DDC" w:rsidRPr="00987DDC">
        <w:rPr>
          <w:noProof/>
        </w:rPr>
        <w:t xml:space="preserve"> w</w:t>
      </w:r>
      <w:r w:rsidR="00987DDC">
        <w:rPr>
          <w:noProof/>
        </w:rPr>
        <w:t> </w:t>
      </w:r>
      <w:r w:rsidR="00987DDC" w:rsidRPr="00987DDC">
        <w:rPr>
          <w:noProof/>
        </w:rPr>
        <w:t>cel</w:t>
      </w:r>
      <w:r w:rsidRPr="00987DDC">
        <w:rPr>
          <w:noProof/>
        </w:rPr>
        <w:t>u przestrzegania przepisów;</w:t>
      </w:r>
    </w:p>
    <w:p w14:paraId="574E789C" w14:textId="0C9BC607" w:rsidR="007308FA" w:rsidRPr="00987DDC" w:rsidRDefault="41ED7B90" w:rsidP="0003154B">
      <w:pPr>
        <w:pStyle w:val="ListParagraph"/>
        <w:numPr>
          <w:ilvl w:val="0"/>
          <w:numId w:val="23"/>
        </w:numPr>
        <w:ind w:left="482"/>
        <w:contextualSpacing w:val="0"/>
        <w:rPr>
          <w:iCs/>
          <w:noProof/>
        </w:rPr>
      </w:pPr>
      <w:r w:rsidRPr="00987DDC">
        <w:rPr>
          <w:noProof/>
        </w:rPr>
        <w:t>wspierania wdrażania przez przedsiębiorstwa skutecznych środków</w:t>
      </w:r>
      <w:r w:rsidR="00987DDC" w:rsidRPr="00987DDC">
        <w:rPr>
          <w:noProof/>
        </w:rPr>
        <w:t xml:space="preserve"> w</w:t>
      </w:r>
      <w:r w:rsidR="00987DDC">
        <w:rPr>
          <w:noProof/>
        </w:rPr>
        <w:t> </w:t>
      </w:r>
      <w:r w:rsidR="00987DDC" w:rsidRPr="00987DDC">
        <w:rPr>
          <w:noProof/>
        </w:rPr>
        <w:t>zak</w:t>
      </w:r>
      <w:r w:rsidRPr="00987DDC">
        <w:rPr>
          <w:noProof/>
        </w:rPr>
        <w:t>resie zgodności, takich jak certyfikacja</w:t>
      </w:r>
      <w:r w:rsidR="00987DDC" w:rsidRPr="00987DDC">
        <w:rPr>
          <w:noProof/>
        </w:rPr>
        <w:t xml:space="preserve"> i</w:t>
      </w:r>
      <w:r w:rsidR="00987DDC">
        <w:rPr>
          <w:noProof/>
        </w:rPr>
        <w:t> </w:t>
      </w:r>
      <w:r w:rsidR="00987DDC" w:rsidRPr="00987DDC">
        <w:rPr>
          <w:noProof/>
        </w:rPr>
        <w:t>kod</w:t>
      </w:r>
      <w:r w:rsidRPr="00987DDC">
        <w:rPr>
          <w:noProof/>
        </w:rPr>
        <w:t>eksy postępowania (w tym jako narzędzia do przekazywania danych), poprzez współpracę</w:t>
      </w:r>
      <w:r w:rsidR="00987DDC" w:rsidRPr="00987DDC">
        <w:rPr>
          <w:noProof/>
        </w:rPr>
        <w:t xml:space="preserve"> z</w:t>
      </w:r>
      <w:r w:rsidR="00987DDC">
        <w:rPr>
          <w:noProof/>
        </w:rPr>
        <w:t> </w:t>
      </w:r>
      <w:r w:rsidR="00987DDC" w:rsidRPr="00987DDC">
        <w:rPr>
          <w:noProof/>
        </w:rPr>
        <w:t>zai</w:t>
      </w:r>
      <w:r w:rsidRPr="00987DDC">
        <w:rPr>
          <w:noProof/>
        </w:rPr>
        <w:t>nteresowanymi stronami</w:t>
      </w:r>
      <w:r w:rsidR="00987DDC" w:rsidRPr="00987DDC">
        <w:rPr>
          <w:noProof/>
        </w:rPr>
        <w:t xml:space="preserve"> w</w:t>
      </w:r>
      <w:r w:rsidR="00987DDC">
        <w:rPr>
          <w:noProof/>
        </w:rPr>
        <w:t> </w:t>
      </w:r>
      <w:r w:rsidR="00987DDC" w:rsidRPr="00987DDC">
        <w:rPr>
          <w:noProof/>
        </w:rPr>
        <w:t>tra</w:t>
      </w:r>
      <w:r w:rsidRPr="00987DDC">
        <w:rPr>
          <w:noProof/>
        </w:rPr>
        <w:t>kcie procesu zatwierdzania, zapewnienie jasno określonych terminów do zatwierdzania oraz – zgodnie</w:t>
      </w:r>
      <w:r w:rsidR="00987DDC" w:rsidRPr="00987DDC">
        <w:rPr>
          <w:noProof/>
        </w:rPr>
        <w:t xml:space="preserve"> z</w:t>
      </w:r>
      <w:r w:rsidR="00987DDC">
        <w:rPr>
          <w:noProof/>
        </w:rPr>
        <w:t> </w:t>
      </w:r>
      <w:r w:rsidR="00987DDC" w:rsidRPr="00987DDC">
        <w:rPr>
          <w:noProof/>
        </w:rPr>
        <w:t>zob</w:t>
      </w:r>
      <w:r w:rsidRPr="00987DDC">
        <w:rPr>
          <w:noProof/>
        </w:rPr>
        <w:t>owiązaniem zawartym</w:t>
      </w:r>
      <w:r w:rsidR="00987DDC" w:rsidRPr="00987DDC">
        <w:rPr>
          <w:noProof/>
        </w:rPr>
        <w:t xml:space="preserve"> w</w:t>
      </w:r>
      <w:r w:rsidR="00987DDC">
        <w:rPr>
          <w:noProof/>
        </w:rPr>
        <w:t> </w:t>
      </w:r>
      <w:r w:rsidR="00987DDC" w:rsidRPr="00987DDC">
        <w:rPr>
          <w:noProof/>
        </w:rPr>
        <w:t>str</w:t>
      </w:r>
      <w:r w:rsidRPr="00987DDC">
        <w:rPr>
          <w:noProof/>
        </w:rPr>
        <w:t>ategii EROD na lata 2024–2027 – wyjaśnienie kluczowym grupom zainteresowanych stron,</w:t>
      </w:r>
      <w:r w:rsidR="00987DDC" w:rsidRPr="00987DDC">
        <w:rPr>
          <w:noProof/>
        </w:rPr>
        <w:t xml:space="preserve"> w</w:t>
      </w:r>
      <w:r w:rsidR="00987DDC">
        <w:rPr>
          <w:noProof/>
        </w:rPr>
        <w:t> </w:t>
      </w:r>
      <w:r w:rsidR="00987DDC" w:rsidRPr="00987DDC">
        <w:rPr>
          <w:noProof/>
        </w:rPr>
        <w:t>jak</w:t>
      </w:r>
      <w:r w:rsidRPr="00987DDC">
        <w:rPr>
          <w:noProof/>
        </w:rPr>
        <w:t>i sposób narzędzia te mogą być wykorzystywane;</w:t>
      </w:r>
    </w:p>
    <w:p w14:paraId="7C966CCE" w14:textId="0A62F350" w:rsidR="007308FA" w:rsidRPr="00987DDC" w:rsidRDefault="007308FA" w:rsidP="0003154B">
      <w:pPr>
        <w:pStyle w:val="Text1"/>
        <w:numPr>
          <w:ilvl w:val="0"/>
          <w:numId w:val="23"/>
        </w:numPr>
        <w:ind w:left="482"/>
        <w:rPr>
          <w:iCs/>
          <w:noProof/>
        </w:rPr>
      </w:pPr>
      <w:r w:rsidRPr="00987DDC">
        <w:rPr>
          <w:noProof/>
        </w:rPr>
        <w:t>zapewnienia, by krajowe wytyczne</w:t>
      </w:r>
      <w:r w:rsidR="00987DDC" w:rsidRPr="00987DDC">
        <w:rPr>
          <w:noProof/>
        </w:rPr>
        <w:t xml:space="preserve"> i</w:t>
      </w:r>
      <w:r w:rsidR="00987DDC">
        <w:rPr>
          <w:noProof/>
        </w:rPr>
        <w:t> </w:t>
      </w:r>
      <w:r w:rsidR="00987DDC" w:rsidRPr="00987DDC">
        <w:rPr>
          <w:noProof/>
        </w:rPr>
        <w:t>sto</w:t>
      </w:r>
      <w:r w:rsidRPr="00987DDC">
        <w:rPr>
          <w:noProof/>
        </w:rPr>
        <w:t>sowanie RODO na szczeblu krajowym były spójne</w:t>
      </w:r>
      <w:r w:rsidR="00987DDC" w:rsidRPr="00987DDC">
        <w:rPr>
          <w:noProof/>
        </w:rPr>
        <w:t xml:space="preserve"> z</w:t>
      </w:r>
      <w:r w:rsidR="00987DDC">
        <w:rPr>
          <w:noProof/>
        </w:rPr>
        <w:t> </w:t>
      </w:r>
      <w:r w:rsidR="00987DDC" w:rsidRPr="00987DDC">
        <w:rPr>
          <w:noProof/>
        </w:rPr>
        <w:t>wyt</w:t>
      </w:r>
      <w:r w:rsidRPr="00987DDC">
        <w:rPr>
          <w:noProof/>
        </w:rPr>
        <w:t>ycznymi EROD</w:t>
      </w:r>
      <w:r w:rsidR="00987DDC" w:rsidRPr="00987DDC">
        <w:rPr>
          <w:noProof/>
        </w:rPr>
        <w:t xml:space="preserve"> i</w:t>
      </w:r>
      <w:r w:rsidR="00987DDC">
        <w:rPr>
          <w:noProof/>
        </w:rPr>
        <w:t> </w:t>
      </w:r>
      <w:r w:rsidR="00987DDC" w:rsidRPr="00987DDC">
        <w:rPr>
          <w:noProof/>
        </w:rPr>
        <w:t>orz</w:t>
      </w:r>
      <w:r w:rsidRPr="00987DDC">
        <w:rPr>
          <w:noProof/>
        </w:rPr>
        <w:t>ecznictwem Trybunału Sprawiedliwości;</w:t>
      </w:r>
    </w:p>
    <w:p w14:paraId="759C5AD8" w14:textId="3655F7A6" w:rsidR="00891E63" w:rsidRPr="00987DDC" w:rsidRDefault="000F3BC0" w:rsidP="0003154B">
      <w:pPr>
        <w:pStyle w:val="Text1"/>
        <w:numPr>
          <w:ilvl w:val="0"/>
          <w:numId w:val="23"/>
        </w:numPr>
        <w:spacing w:line="259" w:lineRule="auto"/>
        <w:ind w:left="482"/>
        <w:rPr>
          <w:noProof/>
        </w:rPr>
      </w:pPr>
      <w:r w:rsidRPr="00987DDC">
        <w:rPr>
          <w:noProof/>
        </w:rPr>
        <w:t>rozwiązania problemu rozbieżnych interpretacji RODO przez poszczególne organy ochrony danych, również organy</w:t>
      </w:r>
      <w:r w:rsidR="00987DDC" w:rsidRPr="00987DDC">
        <w:rPr>
          <w:noProof/>
        </w:rPr>
        <w:t xml:space="preserve"> w</w:t>
      </w:r>
      <w:r w:rsidR="00987DDC">
        <w:rPr>
          <w:noProof/>
        </w:rPr>
        <w:t> </w:t>
      </w:r>
      <w:r w:rsidR="00987DDC" w:rsidRPr="00987DDC">
        <w:rPr>
          <w:noProof/>
        </w:rPr>
        <w:t>tym</w:t>
      </w:r>
      <w:r w:rsidRPr="00987DDC">
        <w:rPr>
          <w:noProof/>
        </w:rPr>
        <w:t xml:space="preserve"> samym państwie członkowskim;</w:t>
      </w:r>
    </w:p>
    <w:p w14:paraId="51A647B1" w14:textId="3E38C807" w:rsidR="002733CC" w:rsidRPr="00987DDC" w:rsidRDefault="002733CC" w:rsidP="0003154B">
      <w:pPr>
        <w:pStyle w:val="Text1"/>
        <w:numPr>
          <w:ilvl w:val="0"/>
          <w:numId w:val="23"/>
        </w:numPr>
        <w:spacing w:line="259" w:lineRule="auto"/>
        <w:ind w:left="482"/>
        <w:rPr>
          <w:noProof/>
        </w:rPr>
      </w:pPr>
      <w:r w:rsidRPr="00987DDC">
        <w:rPr>
          <w:noProof/>
        </w:rPr>
        <w:t>przedstawienia zwięzłych, praktycznych</w:t>
      </w:r>
      <w:r w:rsidR="00987DDC" w:rsidRPr="00987DDC">
        <w:rPr>
          <w:noProof/>
        </w:rPr>
        <w:t xml:space="preserve"> i</w:t>
      </w:r>
      <w:r w:rsidR="00987DDC">
        <w:rPr>
          <w:noProof/>
        </w:rPr>
        <w:t> </w:t>
      </w:r>
      <w:r w:rsidR="00987DDC" w:rsidRPr="00987DDC">
        <w:rPr>
          <w:noProof/>
        </w:rPr>
        <w:t>dos</w:t>
      </w:r>
      <w:r w:rsidRPr="00987DDC">
        <w:rPr>
          <w:noProof/>
        </w:rPr>
        <w:t>tępnych dla odpowiednich odbiorców wytycznych, zgodnie</w:t>
      </w:r>
      <w:r w:rsidR="00987DDC" w:rsidRPr="00987DDC">
        <w:rPr>
          <w:noProof/>
        </w:rPr>
        <w:t xml:space="preserve"> z</w:t>
      </w:r>
      <w:r w:rsidR="00987DDC">
        <w:rPr>
          <w:noProof/>
        </w:rPr>
        <w:t> </w:t>
      </w:r>
      <w:r w:rsidR="00987DDC" w:rsidRPr="00987DDC">
        <w:rPr>
          <w:noProof/>
        </w:rPr>
        <w:t>zob</w:t>
      </w:r>
      <w:r w:rsidRPr="00987DDC">
        <w:rPr>
          <w:noProof/>
        </w:rPr>
        <w:t>owiązaniem zawartym</w:t>
      </w:r>
      <w:r w:rsidR="00987DDC" w:rsidRPr="00987DDC">
        <w:rPr>
          <w:noProof/>
        </w:rPr>
        <w:t xml:space="preserve"> w</w:t>
      </w:r>
      <w:r w:rsidR="00987DDC">
        <w:rPr>
          <w:noProof/>
        </w:rPr>
        <w:t> </w:t>
      </w:r>
      <w:r w:rsidR="00987DDC" w:rsidRPr="00987DDC">
        <w:rPr>
          <w:noProof/>
        </w:rPr>
        <w:t>str</w:t>
      </w:r>
      <w:r w:rsidRPr="00987DDC">
        <w:rPr>
          <w:noProof/>
        </w:rPr>
        <w:t>ategii EROD na lata 2024–2027;</w:t>
      </w:r>
    </w:p>
    <w:p w14:paraId="6E8FEEDD" w14:textId="0A9B131A" w:rsidR="008F6868" w:rsidRPr="00987DDC" w:rsidRDefault="00E75CD4" w:rsidP="0003154B">
      <w:pPr>
        <w:pStyle w:val="Text1"/>
        <w:numPr>
          <w:ilvl w:val="0"/>
          <w:numId w:val="23"/>
        </w:numPr>
        <w:ind w:left="482"/>
        <w:rPr>
          <w:noProof/>
        </w:rPr>
      </w:pPr>
      <w:r w:rsidRPr="00987DDC">
        <w:rPr>
          <w:noProof/>
        </w:rPr>
        <w:t>zapewnienia wcześniejszych</w:t>
      </w:r>
      <w:r w:rsidR="00987DDC" w:rsidRPr="00987DDC">
        <w:rPr>
          <w:noProof/>
        </w:rPr>
        <w:t xml:space="preserve"> i</w:t>
      </w:r>
      <w:r w:rsidR="00987DDC">
        <w:rPr>
          <w:noProof/>
        </w:rPr>
        <w:t> </w:t>
      </w:r>
      <w:r w:rsidR="00987DDC" w:rsidRPr="00987DDC">
        <w:rPr>
          <w:noProof/>
        </w:rPr>
        <w:t>bar</w:t>
      </w:r>
      <w:r w:rsidRPr="00987DDC">
        <w:rPr>
          <w:noProof/>
        </w:rPr>
        <w:t>dziej konstruktywnych konsultacji</w:t>
      </w:r>
      <w:r w:rsidR="00987DDC" w:rsidRPr="00987DDC">
        <w:rPr>
          <w:noProof/>
        </w:rPr>
        <w:t xml:space="preserve"> w</w:t>
      </w:r>
      <w:r w:rsidR="00987DDC">
        <w:rPr>
          <w:noProof/>
        </w:rPr>
        <w:t> </w:t>
      </w:r>
      <w:r w:rsidR="00987DDC" w:rsidRPr="00987DDC">
        <w:rPr>
          <w:noProof/>
        </w:rPr>
        <w:t>spr</w:t>
      </w:r>
      <w:r w:rsidRPr="00987DDC">
        <w:rPr>
          <w:noProof/>
        </w:rPr>
        <w:t>awie wytycznych</w:t>
      </w:r>
      <w:r w:rsidR="00987DDC" w:rsidRPr="00987DDC">
        <w:rPr>
          <w:noProof/>
        </w:rPr>
        <w:t xml:space="preserve"> i</w:t>
      </w:r>
      <w:r w:rsidR="00987DDC">
        <w:rPr>
          <w:noProof/>
        </w:rPr>
        <w:t> </w:t>
      </w:r>
      <w:r w:rsidR="00987DDC" w:rsidRPr="00987DDC">
        <w:rPr>
          <w:noProof/>
        </w:rPr>
        <w:t>opi</w:t>
      </w:r>
      <w:r w:rsidRPr="00987DDC">
        <w:rPr>
          <w:noProof/>
        </w:rPr>
        <w:t>nii</w:t>
      </w:r>
      <w:r w:rsidR="00987DDC" w:rsidRPr="00987DDC">
        <w:rPr>
          <w:noProof/>
        </w:rPr>
        <w:t xml:space="preserve"> w</w:t>
      </w:r>
      <w:r w:rsidR="00987DDC">
        <w:rPr>
          <w:noProof/>
        </w:rPr>
        <w:t> </w:t>
      </w:r>
      <w:r w:rsidR="00987DDC" w:rsidRPr="00987DDC">
        <w:rPr>
          <w:noProof/>
        </w:rPr>
        <w:t>cel</w:t>
      </w:r>
      <w:r w:rsidRPr="00987DDC">
        <w:rPr>
          <w:noProof/>
        </w:rPr>
        <w:t>u lepszego zrozumienia dynamiki rynku</w:t>
      </w:r>
      <w:r w:rsidR="00987DDC" w:rsidRPr="00987DDC">
        <w:rPr>
          <w:noProof/>
        </w:rPr>
        <w:t xml:space="preserve"> i</w:t>
      </w:r>
      <w:r w:rsidR="00987DDC">
        <w:rPr>
          <w:noProof/>
        </w:rPr>
        <w:t> </w:t>
      </w:r>
      <w:r w:rsidR="00987DDC" w:rsidRPr="00987DDC">
        <w:rPr>
          <w:noProof/>
        </w:rPr>
        <w:t>pra</w:t>
      </w:r>
      <w:r w:rsidRPr="00987DDC">
        <w:rPr>
          <w:noProof/>
        </w:rPr>
        <w:t>ktyk biznesowych, odpowiedniego uwzględnienia otrzymanych informacji zwrotnych oraz uwzględnienia konkretnych zastosowań przyjętych interpretacji;</w:t>
      </w:r>
    </w:p>
    <w:p w14:paraId="147F745A" w14:textId="01D13005" w:rsidR="00247957" w:rsidRPr="00987DDC" w:rsidRDefault="00E75CD4" w:rsidP="0003154B">
      <w:pPr>
        <w:pStyle w:val="Text1"/>
        <w:numPr>
          <w:ilvl w:val="0"/>
          <w:numId w:val="22"/>
        </w:numPr>
        <w:ind w:left="542"/>
        <w:rPr>
          <w:noProof/>
        </w:rPr>
      </w:pPr>
      <w:r w:rsidRPr="00987DDC">
        <w:rPr>
          <w:noProof/>
        </w:rPr>
        <w:t>zakończenia bieżących prac nad wytycznymi dotyczącymi danych dzieci, badań naukowych, anonimizacji, pseudonimizacji</w:t>
      </w:r>
      <w:r w:rsidR="00987DDC" w:rsidRPr="00987DDC">
        <w:rPr>
          <w:noProof/>
        </w:rPr>
        <w:t xml:space="preserve"> i</w:t>
      </w:r>
      <w:r w:rsidR="00987DDC">
        <w:rPr>
          <w:noProof/>
        </w:rPr>
        <w:t> </w:t>
      </w:r>
      <w:r w:rsidR="00987DDC" w:rsidRPr="00987DDC">
        <w:rPr>
          <w:noProof/>
        </w:rPr>
        <w:t>pra</w:t>
      </w:r>
      <w:r w:rsidRPr="00987DDC">
        <w:rPr>
          <w:noProof/>
        </w:rPr>
        <w:t>wnie uzasadnionego interesu;</w:t>
      </w:r>
    </w:p>
    <w:p w14:paraId="78BAF06B" w14:textId="785AF871" w:rsidR="004F632E" w:rsidRPr="00987DDC" w:rsidRDefault="004F632E" w:rsidP="0003154B">
      <w:pPr>
        <w:pStyle w:val="Text1"/>
        <w:numPr>
          <w:ilvl w:val="0"/>
          <w:numId w:val="22"/>
        </w:numPr>
        <w:ind w:left="542"/>
        <w:rPr>
          <w:noProof/>
        </w:rPr>
      </w:pPr>
      <w:r w:rsidRPr="00987DDC">
        <w:rPr>
          <w:noProof/>
        </w:rPr>
        <w:t>intensyfikacji działań uświadamiających oraz działań informacyjnych</w:t>
      </w:r>
      <w:r w:rsidR="00987DDC" w:rsidRPr="00987DDC">
        <w:rPr>
          <w:noProof/>
        </w:rPr>
        <w:t xml:space="preserve"> i</w:t>
      </w:r>
      <w:r w:rsidR="00987DDC">
        <w:rPr>
          <w:noProof/>
        </w:rPr>
        <w:t> </w:t>
      </w:r>
      <w:r w:rsidR="00987DDC" w:rsidRPr="00987DDC">
        <w:rPr>
          <w:noProof/>
        </w:rPr>
        <w:t>egz</w:t>
      </w:r>
      <w:r w:rsidRPr="00987DDC">
        <w:rPr>
          <w:noProof/>
        </w:rPr>
        <w:t>ekucyjnych</w:t>
      </w:r>
      <w:r w:rsidR="00987DDC" w:rsidRPr="00987DDC">
        <w:rPr>
          <w:noProof/>
        </w:rPr>
        <w:t xml:space="preserve"> w</w:t>
      </w:r>
      <w:r w:rsidR="00987DDC">
        <w:rPr>
          <w:noProof/>
        </w:rPr>
        <w:t> </w:t>
      </w:r>
      <w:r w:rsidR="00987DDC" w:rsidRPr="00987DDC">
        <w:rPr>
          <w:noProof/>
        </w:rPr>
        <w:t>cel</w:t>
      </w:r>
      <w:r w:rsidRPr="00987DDC">
        <w:rPr>
          <w:noProof/>
        </w:rPr>
        <w:t>u zagwarantowania, że inspektorzy ochrony danych będą</w:t>
      </w:r>
      <w:r w:rsidR="00987DDC" w:rsidRPr="00987DDC">
        <w:rPr>
          <w:noProof/>
        </w:rPr>
        <w:t xml:space="preserve"> w</w:t>
      </w:r>
      <w:r w:rsidR="00987DDC">
        <w:rPr>
          <w:noProof/>
        </w:rPr>
        <w:t> </w:t>
      </w:r>
      <w:r w:rsidR="00987DDC" w:rsidRPr="00987DDC">
        <w:rPr>
          <w:noProof/>
        </w:rPr>
        <w:t>sta</w:t>
      </w:r>
      <w:r w:rsidRPr="00987DDC">
        <w:rPr>
          <w:noProof/>
        </w:rPr>
        <w:t>nie wykonywać swoją funkcję zgodnie z RODO.</w:t>
      </w:r>
    </w:p>
    <w:p w14:paraId="14A07FD2" w14:textId="61104218" w:rsidR="00247957" w:rsidRPr="00987DDC" w:rsidRDefault="00247957" w:rsidP="00A279A8">
      <w:pPr>
        <w:pStyle w:val="Text1"/>
        <w:ind w:left="0"/>
        <w:rPr>
          <w:iCs/>
          <w:noProof/>
        </w:rPr>
      </w:pPr>
      <w:r w:rsidRPr="00987DDC">
        <w:rPr>
          <w:noProof/>
        </w:rPr>
        <w:t>Komisja będzie:</w:t>
      </w:r>
    </w:p>
    <w:p w14:paraId="43FDF625" w14:textId="77777777" w:rsidR="00CE0617" w:rsidRPr="00987DDC" w:rsidRDefault="00CE0617" w:rsidP="0003154B">
      <w:pPr>
        <w:pStyle w:val="Text1"/>
        <w:numPr>
          <w:ilvl w:val="0"/>
          <w:numId w:val="22"/>
        </w:numPr>
        <w:ind w:left="542"/>
        <w:rPr>
          <w:noProof/>
        </w:rPr>
      </w:pPr>
      <w:r w:rsidRPr="00987DDC">
        <w:rPr>
          <w:noProof/>
        </w:rPr>
        <w:t>nadal zapewniać wsparcie finansowe dla działań organów ochrony danych, które ułatwiają MŚP realizację obowiązków wynikających z RODO;</w:t>
      </w:r>
    </w:p>
    <w:p w14:paraId="5BBC2E22" w14:textId="40988339" w:rsidR="00F064C4" w:rsidRPr="00987DDC" w:rsidRDefault="00E75CD4" w:rsidP="0003154B">
      <w:pPr>
        <w:pStyle w:val="Text1"/>
        <w:numPr>
          <w:ilvl w:val="0"/>
          <w:numId w:val="22"/>
        </w:numPr>
        <w:ind w:left="542"/>
        <w:rPr>
          <w:noProof/>
        </w:rPr>
      </w:pPr>
      <w:r w:rsidRPr="00987DDC">
        <w:rPr>
          <w:noProof/>
        </w:rPr>
        <w:t>wykorzystywać wszelkie dostępne środki</w:t>
      </w:r>
      <w:r w:rsidR="00987DDC" w:rsidRPr="00987DDC">
        <w:rPr>
          <w:noProof/>
        </w:rPr>
        <w:t xml:space="preserve"> w</w:t>
      </w:r>
      <w:r w:rsidR="00987DDC">
        <w:rPr>
          <w:noProof/>
        </w:rPr>
        <w:t> </w:t>
      </w:r>
      <w:r w:rsidR="00987DDC" w:rsidRPr="00987DDC">
        <w:rPr>
          <w:noProof/>
        </w:rPr>
        <w:t>cel</w:t>
      </w:r>
      <w:r w:rsidRPr="00987DDC">
        <w:rPr>
          <w:noProof/>
        </w:rPr>
        <w:t>u zapewnienia stosownych wyjaśnień</w:t>
      </w:r>
      <w:r w:rsidR="00987DDC" w:rsidRPr="00987DDC">
        <w:rPr>
          <w:noProof/>
        </w:rPr>
        <w:t xml:space="preserve"> w</w:t>
      </w:r>
      <w:r w:rsidR="00987DDC">
        <w:rPr>
          <w:noProof/>
        </w:rPr>
        <w:t> </w:t>
      </w:r>
      <w:r w:rsidR="00987DDC" w:rsidRPr="00987DDC">
        <w:rPr>
          <w:noProof/>
        </w:rPr>
        <w:t>kwe</w:t>
      </w:r>
      <w:r w:rsidRPr="00987DDC">
        <w:rPr>
          <w:noProof/>
        </w:rPr>
        <w:t>stiach istotnych dla zainteresowanych stron,</w:t>
      </w:r>
      <w:r w:rsidR="00987DDC" w:rsidRPr="00987DDC">
        <w:rPr>
          <w:noProof/>
        </w:rPr>
        <w:t xml:space="preserve"> w</w:t>
      </w:r>
      <w:r w:rsidR="00987DDC">
        <w:rPr>
          <w:noProof/>
        </w:rPr>
        <w:t> </w:t>
      </w:r>
      <w:r w:rsidR="00987DDC" w:rsidRPr="00987DDC">
        <w:rPr>
          <w:noProof/>
        </w:rPr>
        <w:t>tym</w:t>
      </w:r>
      <w:r w:rsidRPr="00987DDC">
        <w:rPr>
          <w:noProof/>
        </w:rPr>
        <w:t xml:space="preserve"> dla MŚP,</w:t>
      </w:r>
      <w:r w:rsidR="00987DDC" w:rsidRPr="00987DDC">
        <w:rPr>
          <w:noProof/>
        </w:rPr>
        <w:t xml:space="preserve"> w</w:t>
      </w:r>
      <w:r w:rsidR="00987DDC">
        <w:rPr>
          <w:noProof/>
        </w:rPr>
        <w:t> </w:t>
      </w:r>
      <w:r w:rsidR="00987DDC" w:rsidRPr="00987DDC">
        <w:rPr>
          <w:noProof/>
        </w:rPr>
        <w:t>szc</w:t>
      </w:r>
      <w:r w:rsidRPr="00987DDC">
        <w:rPr>
          <w:noProof/>
        </w:rPr>
        <w:t>zególności poprzez zwracanie się do EROD</w:t>
      </w:r>
      <w:r w:rsidR="00987DDC" w:rsidRPr="00987DDC">
        <w:rPr>
          <w:noProof/>
        </w:rPr>
        <w:t xml:space="preserve"> o</w:t>
      </w:r>
      <w:r w:rsidR="00987DDC">
        <w:rPr>
          <w:noProof/>
        </w:rPr>
        <w:t> </w:t>
      </w:r>
      <w:r w:rsidR="00987DDC" w:rsidRPr="00987DDC">
        <w:rPr>
          <w:noProof/>
        </w:rPr>
        <w:t>wyd</w:t>
      </w:r>
      <w:r w:rsidRPr="00987DDC">
        <w:rPr>
          <w:noProof/>
        </w:rPr>
        <w:t>anie opinii.</w:t>
      </w:r>
    </w:p>
    <w:p w14:paraId="5B90DB56" w14:textId="5DFE404C" w:rsidR="00A842CE" w:rsidRPr="00987DDC" w:rsidRDefault="00A842CE" w:rsidP="000E65C1">
      <w:pPr>
        <w:pStyle w:val="Text1"/>
        <w:ind w:left="0"/>
        <w:rPr>
          <w:i/>
          <w:noProof/>
        </w:rPr>
      </w:pPr>
      <w:r w:rsidRPr="00987DDC">
        <w:rPr>
          <w:i/>
          <w:noProof/>
        </w:rPr>
        <w:t>Dalszy rozwój zestawu narzędzi na potrzeby przekazywania danych</w:t>
      </w:r>
      <w:r w:rsidR="00987DDC" w:rsidRPr="00987DDC">
        <w:rPr>
          <w:i/>
          <w:noProof/>
        </w:rPr>
        <w:t xml:space="preserve"> i</w:t>
      </w:r>
      <w:r w:rsidR="00987DDC">
        <w:rPr>
          <w:i/>
          <w:noProof/>
        </w:rPr>
        <w:t> </w:t>
      </w:r>
      <w:r w:rsidR="00987DDC" w:rsidRPr="00987DDC">
        <w:rPr>
          <w:i/>
          <w:noProof/>
        </w:rPr>
        <w:t>wsp</w:t>
      </w:r>
      <w:r w:rsidRPr="00987DDC">
        <w:rPr>
          <w:i/>
          <w:noProof/>
        </w:rPr>
        <w:t>ółpracy międzynarodowej</w:t>
      </w:r>
    </w:p>
    <w:p w14:paraId="2417141A" w14:textId="59928996" w:rsidR="00A842CE" w:rsidRPr="00987DDC" w:rsidRDefault="00A842CE" w:rsidP="0003154B">
      <w:pPr>
        <w:pStyle w:val="Text1"/>
        <w:ind w:left="0"/>
        <w:rPr>
          <w:noProof/>
        </w:rPr>
      </w:pPr>
      <w:r w:rsidRPr="00987DDC">
        <w:rPr>
          <w:noProof/>
        </w:rPr>
        <w:t>EROD oraz organy ochrony danych wzywa się do:</w:t>
      </w:r>
    </w:p>
    <w:p w14:paraId="70D5D552" w14:textId="7E7E42DA" w:rsidR="00A842CE" w:rsidRPr="00987DDC" w:rsidRDefault="00A842CE" w:rsidP="0003154B">
      <w:pPr>
        <w:pStyle w:val="Text1"/>
        <w:numPr>
          <w:ilvl w:val="0"/>
          <w:numId w:val="22"/>
        </w:numPr>
        <w:ind w:left="542"/>
        <w:rPr>
          <w:noProof/>
        </w:rPr>
      </w:pPr>
      <w:r w:rsidRPr="00987DDC">
        <w:rPr>
          <w:noProof/>
        </w:rPr>
        <w:t>zakończenia prac nad usprawnieniem</w:t>
      </w:r>
      <w:r w:rsidR="00987DDC" w:rsidRPr="00987DDC">
        <w:rPr>
          <w:noProof/>
        </w:rPr>
        <w:t xml:space="preserve"> i</w:t>
      </w:r>
      <w:r w:rsidR="00987DDC">
        <w:rPr>
          <w:noProof/>
        </w:rPr>
        <w:t> </w:t>
      </w:r>
      <w:r w:rsidR="00987DDC" w:rsidRPr="00987DDC">
        <w:rPr>
          <w:noProof/>
        </w:rPr>
        <w:t>skr</w:t>
      </w:r>
      <w:r w:rsidRPr="00987DDC">
        <w:rPr>
          <w:noProof/>
        </w:rPr>
        <w:t>óceniem procesu zatwierdzania wiążących reguł korporacyjnych,</w:t>
      </w:r>
      <w:r w:rsidR="00987DDC" w:rsidRPr="00987DDC">
        <w:rPr>
          <w:noProof/>
        </w:rPr>
        <w:t xml:space="preserve"> a</w:t>
      </w:r>
      <w:r w:rsidR="00987DDC">
        <w:rPr>
          <w:noProof/>
        </w:rPr>
        <w:t> </w:t>
      </w:r>
      <w:r w:rsidR="00987DDC" w:rsidRPr="00987DDC">
        <w:rPr>
          <w:noProof/>
        </w:rPr>
        <w:t>tak</w:t>
      </w:r>
      <w:r w:rsidRPr="00987DDC">
        <w:rPr>
          <w:noProof/>
        </w:rPr>
        <w:t>że nad aktualizacją wytycznych dotyczących elementów, które powinny znaleźć się</w:t>
      </w:r>
      <w:r w:rsidR="00987DDC" w:rsidRPr="00987DDC">
        <w:rPr>
          <w:noProof/>
        </w:rPr>
        <w:t xml:space="preserve"> w</w:t>
      </w:r>
      <w:r w:rsidR="00987DDC">
        <w:rPr>
          <w:noProof/>
        </w:rPr>
        <w:t> </w:t>
      </w:r>
      <w:r w:rsidR="00987DDC" w:rsidRPr="00987DDC">
        <w:rPr>
          <w:noProof/>
        </w:rPr>
        <w:t>wią</w:t>
      </w:r>
      <w:r w:rsidRPr="00987DDC">
        <w:rPr>
          <w:noProof/>
        </w:rPr>
        <w:t xml:space="preserve">żących regułach korporacyjnych podmiotów przetwarzających; </w:t>
      </w:r>
    </w:p>
    <w:p w14:paraId="594D5D8D" w14:textId="72131AA8" w:rsidR="00476234" w:rsidRPr="00987DDC" w:rsidRDefault="00476234" w:rsidP="0003154B">
      <w:pPr>
        <w:pStyle w:val="Text1"/>
        <w:numPr>
          <w:ilvl w:val="0"/>
          <w:numId w:val="22"/>
        </w:numPr>
        <w:ind w:left="542"/>
        <w:rPr>
          <w:noProof/>
        </w:rPr>
      </w:pPr>
      <w:r w:rsidRPr="00987DDC">
        <w:rPr>
          <w:noProof/>
        </w:rPr>
        <w:t>zbadania sposobów/narzędzi dalszego wspierania podmiotów przekazujących dane</w:t>
      </w:r>
      <w:r w:rsidR="00987DDC" w:rsidRPr="00987DDC">
        <w:rPr>
          <w:noProof/>
        </w:rPr>
        <w:t xml:space="preserve"> w</w:t>
      </w:r>
      <w:r w:rsidR="00987DDC">
        <w:rPr>
          <w:noProof/>
        </w:rPr>
        <w:t> </w:t>
      </w:r>
      <w:r w:rsidR="00987DDC" w:rsidRPr="00987DDC">
        <w:rPr>
          <w:noProof/>
        </w:rPr>
        <w:t>ich</w:t>
      </w:r>
      <w:r w:rsidRPr="00987DDC">
        <w:rPr>
          <w:noProof/>
        </w:rPr>
        <w:t xml:space="preserve"> wysiłkach</w:t>
      </w:r>
      <w:r w:rsidR="00987DDC" w:rsidRPr="00987DDC">
        <w:rPr>
          <w:noProof/>
        </w:rPr>
        <w:t xml:space="preserve"> w</w:t>
      </w:r>
      <w:r w:rsidR="00987DDC">
        <w:rPr>
          <w:noProof/>
        </w:rPr>
        <w:t> </w:t>
      </w:r>
      <w:r w:rsidR="00987DDC" w:rsidRPr="00987DDC">
        <w:rPr>
          <w:noProof/>
        </w:rPr>
        <w:t>zwi</w:t>
      </w:r>
      <w:r w:rsidRPr="00987DDC">
        <w:rPr>
          <w:noProof/>
        </w:rPr>
        <w:t>ązku</w:t>
      </w:r>
      <w:r w:rsidR="00987DDC" w:rsidRPr="00987DDC">
        <w:rPr>
          <w:noProof/>
        </w:rPr>
        <w:t xml:space="preserve"> z</w:t>
      </w:r>
      <w:r w:rsidR="00987DDC">
        <w:rPr>
          <w:noProof/>
        </w:rPr>
        <w:t> </w:t>
      </w:r>
      <w:r w:rsidR="00987DDC" w:rsidRPr="00987DDC">
        <w:rPr>
          <w:noProof/>
        </w:rPr>
        <w:t>prz</w:t>
      </w:r>
      <w:r w:rsidRPr="00987DDC">
        <w:rPr>
          <w:noProof/>
        </w:rPr>
        <w:t>estrzeganiem wymogów zawartych</w:t>
      </w:r>
      <w:r w:rsidR="00987DDC" w:rsidRPr="00987DDC">
        <w:rPr>
          <w:noProof/>
        </w:rPr>
        <w:t xml:space="preserve"> w</w:t>
      </w:r>
      <w:r w:rsidR="00987DDC">
        <w:rPr>
          <w:noProof/>
        </w:rPr>
        <w:t> </w:t>
      </w:r>
      <w:r w:rsidR="00987DDC" w:rsidRPr="00987DDC">
        <w:rPr>
          <w:noProof/>
        </w:rPr>
        <w:t>wyr</w:t>
      </w:r>
      <w:r w:rsidRPr="00987DDC">
        <w:rPr>
          <w:noProof/>
        </w:rPr>
        <w:t>oku</w:t>
      </w:r>
      <w:r w:rsidR="00987DDC" w:rsidRPr="00987DDC">
        <w:rPr>
          <w:noProof/>
        </w:rPr>
        <w:t xml:space="preserve"> w</w:t>
      </w:r>
      <w:r w:rsidR="00987DDC">
        <w:rPr>
          <w:noProof/>
        </w:rPr>
        <w:t> </w:t>
      </w:r>
      <w:r w:rsidR="00987DDC" w:rsidRPr="00987DDC">
        <w:rPr>
          <w:noProof/>
        </w:rPr>
        <w:t>spr</w:t>
      </w:r>
      <w:r w:rsidRPr="00987DDC">
        <w:rPr>
          <w:noProof/>
        </w:rPr>
        <w:t>awie Schrems II;</w:t>
      </w:r>
    </w:p>
    <w:p w14:paraId="2BAB616C" w14:textId="072855B0" w:rsidR="00A842CE" w:rsidRPr="00987DDC" w:rsidRDefault="00A842CE" w:rsidP="0003154B">
      <w:pPr>
        <w:pStyle w:val="Text1"/>
        <w:numPr>
          <w:ilvl w:val="0"/>
          <w:numId w:val="22"/>
        </w:numPr>
        <w:ind w:left="542"/>
        <w:rPr>
          <w:noProof/>
        </w:rPr>
      </w:pPr>
      <w:r w:rsidRPr="00987DDC">
        <w:rPr>
          <w:noProof/>
        </w:rPr>
        <w:t>zbadania dalszych sposobów na zapewnienie skutecznego egzekwowania przepisów wobec podmiotów mających siedziby</w:t>
      </w:r>
      <w:r w:rsidR="00987DDC" w:rsidRPr="00987DDC">
        <w:rPr>
          <w:noProof/>
        </w:rPr>
        <w:t xml:space="preserve"> w</w:t>
      </w:r>
      <w:r w:rsidR="00987DDC">
        <w:rPr>
          <w:noProof/>
        </w:rPr>
        <w:t> </w:t>
      </w:r>
      <w:r w:rsidR="00987DDC" w:rsidRPr="00987DDC">
        <w:rPr>
          <w:noProof/>
        </w:rPr>
        <w:t>pań</w:t>
      </w:r>
      <w:r w:rsidRPr="00987DDC">
        <w:rPr>
          <w:noProof/>
        </w:rPr>
        <w:t>stwach trzecich objętych zakresem terytorialnym stosowania RODO.</w:t>
      </w:r>
    </w:p>
    <w:p w14:paraId="61200F7C" w14:textId="4904E027" w:rsidR="00AB7535" w:rsidRPr="00987DDC" w:rsidRDefault="00AB7535" w:rsidP="0003154B">
      <w:pPr>
        <w:pStyle w:val="Text1"/>
        <w:ind w:left="0"/>
        <w:rPr>
          <w:noProof/>
        </w:rPr>
      </w:pPr>
      <w:r w:rsidRPr="00987DDC">
        <w:rPr>
          <w:noProof/>
        </w:rPr>
        <w:t>Państwa członkowskie muszą:</w:t>
      </w:r>
    </w:p>
    <w:p w14:paraId="3654A1F0" w14:textId="62422078" w:rsidR="00AB7535" w:rsidRPr="00987DDC" w:rsidRDefault="00476234" w:rsidP="0003154B">
      <w:pPr>
        <w:pStyle w:val="Text1"/>
        <w:numPr>
          <w:ilvl w:val="0"/>
          <w:numId w:val="22"/>
        </w:numPr>
        <w:ind w:left="542"/>
        <w:rPr>
          <w:noProof/>
        </w:rPr>
      </w:pPr>
      <w:r w:rsidRPr="00987DDC">
        <w:rPr>
          <w:noProof/>
        </w:rPr>
        <w:t>doprowadzić do jak najszybszego podpisania</w:t>
      </w:r>
      <w:r w:rsidR="00987DDC" w:rsidRPr="00987DDC">
        <w:rPr>
          <w:noProof/>
        </w:rPr>
        <w:t xml:space="preserve"> i</w:t>
      </w:r>
      <w:r w:rsidR="00987DDC">
        <w:rPr>
          <w:noProof/>
        </w:rPr>
        <w:t> </w:t>
      </w:r>
      <w:r w:rsidR="00987DDC" w:rsidRPr="00987DDC">
        <w:rPr>
          <w:noProof/>
        </w:rPr>
        <w:t>rat</w:t>
      </w:r>
      <w:r w:rsidRPr="00987DDC">
        <w:rPr>
          <w:noProof/>
        </w:rPr>
        <w:t>yfikacji zaktualizowanej konwencji 108+ Rady Europy, aby umożliwić jej wejście</w:t>
      </w:r>
      <w:r w:rsidR="00987DDC" w:rsidRPr="00987DDC">
        <w:rPr>
          <w:noProof/>
        </w:rPr>
        <w:t xml:space="preserve"> w</w:t>
      </w:r>
      <w:r w:rsidR="00987DDC">
        <w:rPr>
          <w:noProof/>
        </w:rPr>
        <w:t> </w:t>
      </w:r>
      <w:r w:rsidR="00987DDC" w:rsidRPr="00987DDC">
        <w:rPr>
          <w:noProof/>
        </w:rPr>
        <w:t>życ</w:t>
      </w:r>
      <w:r w:rsidRPr="00987DDC">
        <w:rPr>
          <w:noProof/>
        </w:rPr>
        <w:t>ie.</w:t>
      </w:r>
    </w:p>
    <w:p w14:paraId="6C8ED4EA" w14:textId="18FDF155" w:rsidR="00A842CE" w:rsidRPr="00987DDC" w:rsidRDefault="00A842CE" w:rsidP="0003154B">
      <w:pPr>
        <w:pStyle w:val="Text1"/>
        <w:ind w:left="0"/>
        <w:rPr>
          <w:noProof/>
        </w:rPr>
      </w:pPr>
      <w:r w:rsidRPr="00987DDC">
        <w:rPr>
          <w:noProof/>
        </w:rPr>
        <w:t>Komisja będzie:</w:t>
      </w:r>
    </w:p>
    <w:p w14:paraId="1375DE1B" w14:textId="3F0D4A0F" w:rsidR="00A842CE" w:rsidRPr="00987DDC" w:rsidRDefault="00877047" w:rsidP="0003154B">
      <w:pPr>
        <w:pStyle w:val="Text1"/>
        <w:numPr>
          <w:ilvl w:val="0"/>
          <w:numId w:val="22"/>
        </w:numPr>
        <w:ind w:left="542"/>
        <w:rPr>
          <w:noProof/>
        </w:rPr>
      </w:pPr>
      <w:r w:rsidRPr="00987DDC">
        <w:rPr>
          <w:noProof/>
        </w:rPr>
        <w:t>czynić dalsze postępy</w:t>
      </w:r>
      <w:r w:rsidR="00987DDC" w:rsidRPr="00987DDC">
        <w:rPr>
          <w:noProof/>
        </w:rPr>
        <w:t xml:space="preserve"> w</w:t>
      </w:r>
      <w:r w:rsidR="00987DDC">
        <w:rPr>
          <w:noProof/>
        </w:rPr>
        <w:t> </w:t>
      </w:r>
      <w:r w:rsidR="00987DDC" w:rsidRPr="00987DDC">
        <w:rPr>
          <w:noProof/>
        </w:rPr>
        <w:t>trw</w:t>
      </w:r>
      <w:r w:rsidRPr="00987DDC">
        <w:rPr>
          <w:noProof/>
        </w:rPr>
        <w:t>ających rozmowach</w:t>
      </w:r>
      <w:r w:rsidR="00987DDC" w:rsidRPr="00987DDC">
        <w:rPr>
          <w:noProof/>
        </w:rPr>
        <w:t xml:space="preserve"> w</w:t>
      </w:r>
      <w:r w:rsidR="00987DDC">
        <w:rPr>
          <w:noProof/>
        </w:rPr>
        <w:t> </w:t>
      </w:r>
      <w:r w:rsidR="00987DDC" w:rsidRPr="00987DDC">
        <w:rPr>
          <w:noProof/>
        </w:rPr>
        <w:t>spr</w:t>
      </w:r>
      <w:r w:rsidRPr="00987DDC">
        <w:rPr>
          <w:noProof/>
        </w:rPr>
        <w:t>awie odpowiedniego stopnia ochrony, badać możliwości dalszego rozwoju dotychczasowych ustaleń dotyczących odpowiedniego stopnia ochrony oraz prowadzić</w:t>
      </w:r>
      <w:r w:rsidR="00987DDC" w:rsidRPr="00987DDC">
        <w:rPr>
          <w:noProof/>
        </w:rPr>
        <w:t xml:space="preserve"> z</w:t>
      </w:r>
      <w:r w:rsidR="00987DDC">
        <w:rPr>
          <w:noProof/>
        </w:rPr>
        <w:t> </w:t>
      </w:r>
      <w:r w:rsidR="00987DDC" w:rsidRPr="00987DDC">
        <w:rPr>
          <w:noProof/>
        </w:rPr>
        <w:t>zai</w:t>
      </w:r>
      <w:r w:rsidRPr="00987DDC">
        <w:rPr>
          <w:noProof/>
        </w:rPr>
        <w:t>nteresowanymi partnerami nowe dialogi</w:t>
      </w:r>
      <w:r w:rsidR="00987DDC" w:rsidRPr="00987DDC">
        <w:rPr>
          <w:noProof/>
        </w:rPr>
        <w:t xml:space="preserve"> w</w:t>
      </w:r>
      <w:r w:rsidR="00987DDC">
        <w:rPr>
          <w:noProof/>
        </w:rPr>
        <w:t> </w:t>
      </w:r>
      <w:r w:rsidR="00987DDC" w:rsidRPr="00987DDC">
        <w:rPr>
          <w:noProof/>
        </w:rPr>
        <w:t>prz</w:t>
      </w:r>
      <w:r w:rsidRPr="00987DDC">
        <w:rPr>
          <w:noProof/>
        </w:rPr>
        <w:t>edmiocie stwierdzenia odpowiedniego stopnia ochrony;</w:t>
      </w:r>
    </w:p>
    <w:p w14:paraId="7E72A428" w14:textId="762D633E" w:rsidR="00A842CE" w:rsidRPr="00987DDC" w:rsidRDefault="0041098A" w:rsidP="0003154B">
      <w:pPr>
        <w:pStyle w:val="Text1"/>
        <w:numPr>
          <w:ilvl w:val="0"/>
          <w:numId w:val="22"/>
        </w:numPr>
        <w:ind w:left="542"/>
        <w:rPr>
          <w:noProof/>
        </w:rPr>
      </w:pPr>
      <w:r w:rsidRPr="00987DDC">
        <w:rPr>
          <w:noProof/>
        </w:rPr>
        <w:t>dążyć do zacieśnienia współpracy</w:t>
      </w:r>
      <w:r w:rsidR="00987DDC" w:rsidRPr="00987DDC">
        <w:rPr>
          <w:noProof/>
        </w:rPr>
        <w:t xml:space="preserve"> w</w:t>
      </w:r>
      <w:r w:rsidR="00987DDC">
        <w:rPr>
          <w:noProof/>
        </w:rPr>
        <w:t> </w:t>
      </w:r>
      <w:r w:rsidR="00987DDC" w:rsidRPr="00987DDC">
        <w:rPr>
          <w:noProof/>
        </w:rPr>
        <w:t>ram</w:t>
      </w:r>
      <w:r w:rsidRPr="00987DDC">
        <w:rPr>
          <w:noProof/>
        </w:rPr>
        <w:t>ach sieci państw korzystających</w:t>
      </w:r>
      <w:r w:rsidR="00987DDC" w:rsidRPr="00987DDC">
        <w:rPr>
          <w:noProof/>
        </w:rPr>
        <w:t xml:space="preserve"> z</w:t>
      </w:r>
      <w:r w:rsidR="00987DDC">
        <w:rPr>
          <w:noProof/>
        </w:rPr>
        <w:t> </w:t>
      </w:r>
      <w:r w:rsidR="00987DDC" w:rsidRPr="00987DDC">
        <w:rPr>
          <w:noProof/>
        </w:rPr>
        <w:t>dec</w:t>
      </w:r>
      <w:r w:rsidRPr="00987DDC">
        <w:rPr>
          <w:noProof/>
        </w:rPr>
        <w:t>yzji stwierdzających odpowiedni stopień ochrony;</w:t>
      </w:r>
    </w:p>
    <w:p w14:paraId="1EDE3163" w14:textId="544588B3" w:rsidR="00FD4CDC" w:rsidRPr="00987DDC" w:rsidRDefault="00A842CE" w:rsidP="00FD4CDC">
      <w:pPr>
        <w:pStyle w:val="Text1"/>
        <w:numPr>
          <w:ilvl w:val="0"/>
          <w:numId w:val="22"/>
        </w:numPr>
        <w:ind w:left="542"/>
        <w:rPr>
          <w:noProof/>
        </w:rPr>
      </w:pPr>
      <w:r w:rsidRPr="00987DDC">
        <w:rPr>
          <w:noProof/>
        </w:rPr>
        <w:t>finalizować prace nad dodatkowymi standardowymi klauzulami umownymi,</w:t>
      </w:r>
      <w:r w:rsidR="00987DDC" w:rsidRPr="00987DDC">
        <w:rPr>
          <w:noProof/>
        </w:rPr>
        <w:t xml:space="preserve"> w</w:t>
      </w:r>
      <w:r w:rsidR="00987DDC">
        <w:rPr>
          <w:noProof/>
        </w:rPr>
        <w:t> </w:t>
      </w:r>
      <w:r w:rsidR="00987DDC" w:rsidRPr="00987DDC">
        <w:rPr>
          <w:noProof/>
        </w:rPr>
        <w:t>szc</w:t>
      </w:r>
      <w:r w:rsidRPr="00987DDC">
        <w:rPr>
          <w:noProof/>
        </w:rPr>
        <w:t>zególności dotyczącymi przekazywania danych podmiotom odbierającym dane, których przetwarzanie podlega bezpośrednio RODO, oraz przekazywania danych na podstawie rozporządzenia (UE) 2018/1725 przez instytucje</w:t>
      </w:r>
      <w:r w:rsidR="00987DDC" w:rsidRPr="00987DDC">
        <w:rPr>
          <w:noProof/>
        </w:rPr>
        <w:t xml:space="preserve"> i</w:t>
      </w:r>
      <w:r w:rsidR="00987DDC">
        <w:rPr>
          <w:noProof/>
        </w:rPr>
        <w:t> </w:t>
      </w:r>
      <w:r w:rsidR="00987DDC" w:rsidRPr="00987DDC">
        <w:rPr>
          <w:noProof/>
        </w:rPr>
        <w:t>org</w:t>
      </w:r>
      <w:r w:rsidRPr="00987DDC">
        <w:rPr>
          <w:noProof/>
        </w:rPr>
        <w:t>any UE;</w:t>
      </w:r>
    </w:p>
    <w:p w14:paraId="20A03AF0" w14:textId="169FAA0C" w:rsidR="00A842CE" w:rsidRPr="00987DDC" w:rsidRDefault="00A842CE" w:rsidP="0003154B">
      <w:pPr>
        <w:pStyle w:val="Text1"/>
        <w:numPr>
          <w:ilvl w:val="0"/>
          <w:numId w:val="22"/>
        </w:numPr>
        <w:ind w:left="542"/>
        <w:rPr>
          <w:noProof/>
        </w:rPr>
      </w:pPr>
      <w:r w:rsidRPr="00987DDC">
        <w:rPr>
          <w:noProof/>
        </w:rPr>
        <w:t>współpracować</w:t>
      </w:r>
      <w:r w:rsidR="00987DDC" w:rsidRPr="00987DDC">
        <w:rPr>
          <w:noProof/>
        </w:rPr>
        <w:t xml:space="preserve"> z</w:t>
      </w:r>
      <w:r w:rsidR="00987DDC">
        <w:rPr>
          <w:noProof/>
        </w:rPr>
        <w:t> </w:t>
      </w:r>
      <w:r w:rsidR="00987DDC" w:rsidRPr="00987DDC">
        <w:rPr>
          <w:noProof/>
        </w:rPr>
        <w:t>par</w:t>
      </w:r>
      <w:r w:rsidRPr="00987DDC">
        <w:rPr>
          <w:noProof/>
        </w:rPr>
        <w:t>tnerami międzynarodowymi</w:t>
      </w:r>
      <w:r w:rsidR="00987DDC" w:rsidRPr="00987DDC">
        <w:rPr>
          <w:noProof/>
        </w:rPr>
        <w:t xml:space="preserve"> w</w:t>
      </w:r>
      <w:r w:rsidR="00987DDC">
        <w:rPr>
          <w:noProof/>
        </w:rPr>
        <w:t> </w:t>
      </w:r>
      <w:r w:rsidR="00987DDC" w:rsidRPr="00987DDC">
        <w:rPr>
          <w:noProof/>
        </w:rPr>
        <w:t>cel</w:t>
      </w:r>
      <w:r w:rsidRPr="00987DDC">
        <w:rPr>
          <w:noProof/>
        </w:rPr>
        <w:t>u usprawniania przepływu danych na podstawie wzorcowych klauzul umownych;</w:t>
      </w:r>
    </w:p>
    <w:p w14:paraId="0694AEDB" w14:textId="73ABFAD0" w:rsidR="0041098A" w:rsidRPr="00987DDC" w:rsidRDefault="0041098A" w:rsidP="0003154B">
      <w:pPr>
        <w:pStyle w:val="Text1"/>
        <w:numPr>
          <w:ilvl w:val="0"/>
          <w:numId w:val="22"/>
        </w:numPr>
        <w:ind w:left="542"/>
        <w:rPr>
          <w:noProof/>
        </w:rPr>
      </w:pPr>
      <w:r w:rsidRPr="00987DDC">
        <w:rPr>
          <w:noProof/>
        </w:rPr>
        <w:t>wspierać trwające procesy reform</w:t>
      </w:r>
      <w:r w:rsidR="00987DDC" w:rsidRPr="00987DDC">
        <w:rPr>
          <w:noProof/>
        </w:rPr>
        <w:t xml:space="preserve"> w</w:t>
      </w:r>
      <w:r w:rsidR="00987DDC">
        <w:rPr>
          <w:noProof/>
        </w:rPr>
        <w:t> </w:t>
      </w:r>
      <w:r w:rsidR="00987DDC" w:rsidRPr="00987DDC">
        <w:rPr>
          <w:noProof/>
        </w:rPr>
        <w:t>pań</w:t>
      </w:r>
      <w:r w:rsidRPr="00987DDC">
        <w:rPr>
          <w:noProof/>
        </w:rPr>
        <w:t>stwach trzecich</w:t>
      </w:r>
      <w:r w:rsidR="00987DDC" w:rsidRPr="00987DDC">
        <w:rPr>
          <w:noProof/>
        </w:rPr>
        <w:t xml:space="preserve"> w</w:t>
      </w:r>
      <w:r w:rsidR="00987DDC">
        <w:rPr>
          <w:noProof/>
        </w:rPr>
        <w:t> </w:t>
      </w:r>
      <w:r w:rsidR="00987DDC" w:rsidRPr="00987DDC">
        <w:rPr>
          <w:noProof/>
        </w:rPr>
        <w:t>zak</w:t>
      </w:r>
      <w:r w:rsidRPr="00987DDC">
        <w:rPr>
          <w:noProof/>
        </w:rPr>
        <w:t>resie nowych lub zmodernizowanych przepisów</w:t>
      </w:r>
      <w:r w:rsidR="00987DDC" w:rsidRPr="00987DDC">
        <w:rPr>
          <w:noProof/>
        </w:rPr>
        <w:t xml:space="preserve"> o</w:t>
      </w:r>
      <w:r w:rsidR="00987DDC">
        <w:rPr>
          <w:noProof/>
        </w:rPr>
        <w:t> </w:t>
      </w:r>
      <w:r w:rsidR="00987DDC" w:rsidRPr="00987DDC">
        <w:rPr>
          <w:noProof/>
        </w:rPr>
        <w:t>och</w:t>
      </w:r>
      <w:r w:rsidRPr="00987DDC">
        <w:rPr>
          <w:noProof/>
        </w:rPr>
        <w:t>ronie danych przez dzielenie się doświadczeniami</w:t>
      </w:r>
      <w:r w:rsidR="00987DDC" w:rsidRPr="00987DDC">
        <w:rPr>
          <w:noProof/>
        </w:rPr>
        <w:t xml:space="preserve"> i</w:t>
      </w:r>
      <w:r w:rsidR="00987DDC">
        <w:rPr>
          <w:noProof/>
        </w:rPr>
        <w:t> </w:t>
      </w:r>
      <w:r w:rsidR="00987DDC" w:rsidRPr="00987DDC">
        <w:rPr>
          <w:noProof/>
        </w:rPr>
        <w:t>naj</w:t>
      </w:r>
      <w:r w:rsidRPr="00987DDC">
        <w:rPr>
          <w:noProof/>
        </w:rPr>
        <w:t>lepszymi praktykami;</w:t>
      </w:r>
    </w:p>
    <w:p w14:paraId="0962FCA0" w14:textId="79400187" w:rsidR="0041098A" w:rsidRPr="00987DDC" w:rsidRDefault="0041098A" w:rsidP="0003154B">
      <w:pPr>
        <w:pStyle w:val="Text1"/>
        <w:numPr>
          <w:ilvl w:val="0"/>
          <w:numId w:val="22"/>
        </w:numPr>
        <w:ind w:left="542"/>
        <w:rPr>
          <w:noProof/>
        </w:rPr>
      </w:pPr>
      <w:r w:rsidRPr="00987DDC">
        <w:rPr>
          <w:noProof/>
        </w:rPr>
        <w:t>współpracować</w:t>
      </w:r>
      <w:r w:rsidR="00987DDC" w:rsidRPr="00987DDC">
        <w:rPr>
          <w:noProof/>
        </w:rPr>
        <w:t xml:space="preserve"> z</w:t>
      </w:r>
      <w:r w:rsidR="00987DDC">
        <w:rPr>
          <w:noProof/>
        </w:rPr>
        <w:t> </w:t>
      </w:r>
      <w:r w:rsidR="00987DDC" w:rsidRPr="00987DDC">
        <w:rPr>
          <w:noProof/>
        </w:rPr>
        <w:t>org</w:t>
      </w:r>
      <w:r w:rsidRPr="00987DDC">
        <w:rPr>
          <w:noProof/>
        </w:rPr>
        <w:t>anizacjami międzynarodowymi</w:t>
      </w:r>
      <w:r w:rsidR="00987DDC" w:rsidRPr="00987DDC">
        <w:rPr>
          <w:noProof/>
        </w:rPr>
        <w:t xml:space="preserve"> i</w:t>
      </w:r>
      <w:r w:rsidR="00987DDC">
        <w:rPr>
          <w:noProof/>
        </w:rPr>
        <w:t> </w:t>
      </w:r>
      <w:r w:rsidR="00987DDC" w:rsidRPr="00987DDC">
        <w:rPr>
          <w:noProof/>
        </w:rPr>
        <w:t>reg</w:t>
      </w:r>
      <w:r w:rsidRPr="00987DDC">
        <w:rPr>
          <w:noProof/>
        </w:rPr>
        <w:t>ionalnymi, takimi jak OECD oraz grupa G7,</w:t>
      </w:r>
      <w:r w:rsidR="00987DDC" w:rsidRPr="00987DDC">
        <w:rPr>
          <w:noProof/>
        </w:rPr>
        <w:t xml:space="preserve"> w</w:t>
      </w:r>
      <w:r w:rsidR="00987DDC">
        <w:rPr>
          <w:noProof/>
        </w:rPr>
        <w:t> </w:t>
      </w:r>
      <w:r w:rsidR="00987DDC" w:rsidRPr="00987DDC">
        <w:rPr>
          <w:noProof/>
        </w:rPr>
        <w:t>cel</w:t>
      </w:r>
      <w:r w:rsidRPr="00987DDC">
        <w:rPr>
          <w:noProof/>
        </w:rPr>
        <w:t>u wspierania zaufanych przepływów danych</w:t>
      </w:r>
      <w:r w:rsidR="00987DDC" w:rsidRPr="00987DDC">
        <w:rPr>
          <w:noProof/>
        </w:rPr>
        <w:t xml:space="preserve"> w</w:t>
      </w:r>
      <w:r w:rsidR="00987DDC">
        <w:rPr>
          <w:noProof/>
        </w:rPr>
        <w:t> </w:t>
      </w:r>
      <w:r w:rsidR="00987DDC" w:rsidRPr="00987DDC">
        <w:rPr>
          <w:noProof/>
        </w:rPr>
        <w:t>opa</w:t>
      </w:r>
      <w:r w:rsidRPr="00987DDC">
        <w:rPr>
          <w:noProof/>
        </w:rPr>
        <w:t>rciu</w:t>
      </w:r>
      <w:r w:rsidR="00987DDC" w:rsidRPr="00987DDC">
        <w:rPr>
          <w:noProof/>
        </w:rPr>
        <w:t xml:space="preserve"> o</w:t>
      </w:r>
      <w:r w:rsidR="00987DDC">
        <w:rPr>
          <w:noProof/>
        </w:rPr>
        <w:t> </w:t>
      </w:r>
      <w:r w:rsidR="00987DDC" w:rsidRPr="00987DDC">
        <w:rPr>
          <w:noProof/>
        </w:rPr>
        <w:t>wys</w:t>
      </w:r>
      <w:r w:rsidRPr="00987DDC">
        <w:rPr>
          <w:noProof/>
        </w:rPr>
        <w:t>okie standardy ochrony danych,</w:t>
      </w:r>
      <w:r w:rsidR="00987DDC" w:rsidRPr="00987DDC">
        <w:rPr>
          <w:noProof/>
        </w:rPr>
        <w:t xml:space="preserve"> w</w:t>
      </w:r>
      <w:r w:rsidR="00987DDC">
        <w:rPr>
          <w:noProof/>
        </w:rPr>
        <w:t> </w:t>
      </w:r>
      <w:r w:rsidR="00987DDC" w:rsidRPr="00987DDC">
        <w:rPr>
          <w:noProof/>
        </w:rPr>
        <w:t>tym w</w:t>
      </w:r>
      <w:r w:rsidR="00987DDC">
        <w:rPr>
          <w:noProof/>
        </w:rPr>
        <w:t> </w:t>
      </w:r>
      <w:r w:rsidR="00987DDC" w:rsidRPr="00987DDC">
        <w:rPr>
          <w:noProof/>
        </w:rPr>
        <w:t>kon</w:t>
      </w:r>
      <w:r w:rsidRPr="00987DDC">
        <w:rPr>
          <w:noProof/>
        </w:rPr>
        <w:t>tekście inicjatywy „Data Free Flow with Trust”;</w:t>
      </w:r>
    </w:p>
    <w:p w14:paraId="43EC3AF5" w14:textId="1999D5BF" w:rsidR="0041098A" w:rsidRPr="00987DDC" w:rsidRDefault="0041098A" w:rsidP="0003154B">
      <w:pPr>
        <w:pStyle w:val="Text1"/>
        <w:numPr>
          <w:ilvl w:val="0"/>
          <w:numId w:val="22"/>
        </w:numPr>
        <w:ind w:left="542"/>
        <w:rPr>
          <w:noProof/>
        </w:rPr>
      </w:pPr>
      <w:r w:rsidRPr="00987DDC">
        <w:rPr>
          <w:noProof/>
        </w:rPr>
        <w:t>ułatwiać</w:t>
      </w:r>
      <w:r w:rsidR="00987DDC" w:rsidRPr="00987DDC">
        <w:rPr>
          <w:noProof/>
        </w:rPr>
        <w:t xml:space="preserve"> i</w:t>
      </w:r>
      <w:r w:rsidR="00987DDC">
        <w:rPr>
          <w:noProof/>
        </w:rPr>
        <w:t> </w:t>
      </w:r>
      <w:r w:rsidR="00987DDC" w:rsidRPr="00987DDC">
        <w:rPr>
          <w:noProof/>
        </w:rPr>
        <w:t>wsp</w:t>
      </w:r>
      <w:r w:rsidRPr="00987DDC">
        <w:rPr>
          <w:noProof/>
        </w:rPr>
        <w:t>ierać wymiany między europejskimi</w:t>
      </w:r>
      <w:r w:rsidR="00987DDC" w:rsidRPr="00987DDC">
        <w:rPr>
          <w:noProof/>
        </w:rPr>
        <w:t xml:space="preserve"> i</w:t>
      </w:r>
      <w:r w:rsidR="00987DDC">
        <w:rPr>
          <w:noProof/>
        </w:rPr>
        <w:t> </w:t>
      </w:r>
      <w:r w:rsidR="00987DDC" w:rsidRPr="00987DDC">
        <w:rPr>
          <w:noProof/>
        </w:rPr>
        <w:t>mię</w:t>
      </w:r>
      <w:r w:rsidRPr="00987DDC">
        <w:rPr>
          <w:noProof/>
        </w:rPr>
        <w:t>dzynarodowymi organami regulacyjnymi,</w:t>
      </w:r>
      <w:r w:rsidR="00987DDC" w:rsidRPr="00987DDC">
        <w:rPr>
          <w:noProof/>
        </w:rPr>
        <w:t xml:space="preserve"> w</w:t>
      </w:r>
      <w:r w:rsidR="00987DDC">
        <w:rPr>
          <w:noProof/>
        </w:rPr>
        <w:t> </w:t>
      </w:r>
      <w:r w:rsidR="00987DDC" w:rsidRPr="00987DDC">
        <w:rPr>
          <w:noProof/>
        </w:rPr>
        <w:t>tym</w:t>
      </w:r>
      <w:r w:rsidRPr="00987DDC">
        <w:rPr>
          <w:noProof/>
        </w:rPr>
        <w:t xml:space="preserve"> za pośrednictwem Akademii Ochrony Danych;</w:t>
      </w:r>
    </w:p>
    <w:p w14:paraId="3132F729" w14:textId="61C29609" w:rsidR="0041098A" w:rsidRPr="00987DDC" w:rsidRDefault="0041098A" w:rsidP="0003154B">
      <w:pPr>
        <w:pStyle w:val="Text1"/>
        <w:numPr>
          <w:ilvl w:val="0"/>
          <w:numId w:val="22"/>
        </w:numPr>
        <w:ind w:left="542"/>
        <w:rPr>
          <w:noProof/>
        </w:rPr>
      </w:pPr>
      <w:r w:rsidRPr="00987DDC">
        <w:rPr>
          <w:noProof/>
        </w:rPr>
        <w:t>przyczyniać się do ułatwienia międzynarodowej współpracy</w:t>
      </w:r>
      <w:r w:rsidR="00987DDC" w:rsidRPr="00987DDC">
        <w:rPr>
          <w:noProof/>
        </w:rPr>
        <w:t xml:space="preserve"> w</w:t>
      </w:r>
      <w:r w:rsidR="00987DDC">
        <w:rPr>
          <w:noProof/>
        </w:rPr>
        <w:t> </w:t>
      </w:r>
      <w:r w:rsidR="00987DDC" w:rsidRPr="00987DDC">
        <w:rPr>
          <w:noProof/>
        </w:rPr>
        <w:t>zak</w:t>
      </w:r>
      <w:r w:rsidRPr="00987DDC">
        <w:rPr>
          <w:noProof/>
        </w:rPr>
        <w:t>resie egzekwowania prawa między organami nadzoru,</w:t>
      </w:r>
      <w:r w:rsidR="00987DDC" w:rsidRPr="00987DDC">
        <w:rPr>
          <w:noProof/>
        </w:rPr>
        <w:t xml:space="preserve"> w</w:t>
      </w:r>
      <w:r w:rsidR="00987DDC">
        <w:rPr>
          <w:noProof/>
        </w:rPr>
        <w:t> </w:t>
      </w:r>
      <w:r w:rsidR="00987DDC" w:rsidRPr="00987DDC">
        <w:rPr>
          <w:noProof/>
        </w:rPr>
        <w:t>tym</w:t>
      </w:r>
      <w:r w:rsidRPr="00987DDC">
        <w:rPr>
          <w:noProof/>
        </w:rPr>
        <w:t xml:space="preserve"> przez negocjowanie umów</w:t>
      </w:r>
      <w:r w:rsidR="00987DDC" w:rsidRPr="00987DDC">
        <w:rPr>
          <w:noProof/>
        </w:rPr>
        <w:t xml:space="preserve"> o</w:t>
      </w:r>
      <w:r w:rsidR="00987DDC">
        <w:rPr>
          <w:noProof/>
        </w:rPr>
        <w:t> </w:t>
      </w:r>
      <w:r w:rsidR="00987DDC" w:rsidRPr="00987DDC">
        <w:rPr>
          <w:noProof/>
        </w:rPr>
        <w:t>wsp</w:t>
      </w:r>
      <w:r w:rsidRPr="00987DDC">
        <w:rPr>
          <w:noProof/>
        </w:rPr>
        <w:t>ółpracy</w:t>
      </w:r>
      <w:r w:rsidR="00987DDC" w:rsidRPr="00987DDC">
        <w:rPr>
          <w:noProof/>
        </w:rPr>
        <w:t xml:space="preserve"> i</w:t>
      </w:r>
      <w:r w:rsidR="00987DDC">
        <w:rPr>
          <w:noProof/>
        </w:rPr>
        <w:t> </w:t>
      </w:r>
      <w:r w:rsidR="00987DDC" w:rsidRPr="00987DDC">
        <w:rPr>
          <w:noProof/>
        </w:rPr>
        <w:t>wza</w:t>
      </w:r>
      <w:r w:rsidRPr="00987DDC">
        <w:rPr>
          <w:noProof/>
        </w:rPr>
        <w:t>jemnej pomocy.</w:t>
      </w:r>
    </w:p>
    <w:sectPr w:rsidR="0041098A" w:rsidRPr="00987DDC" w:rsidSect="001D54C7">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code="9"/>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12AE" w14:textId="77777777" w:rsidR="007D75DC" w:rsidRPr="00987DDC" w:rsidRDefault="007D75DC">
      <w:pPr>
        <w:spacing w:after="0"/>
      </w:pPr>
      <w:r w:rsidRPr="00987DDC">
        <w:separator/>
      </w:r>
    </w:p>
  </w:endnote>
  <w:endnote w:type="continuationSeparator" w:id="0">
    <w:p w14:paraId="2D69DE1E" w14:textId="77777777" w:rsidR="007D75DC" w:rsidRPr="00987DDC" w:rsidRDefault="007D75DC">
      <w:pPr>
        <w:spacing w:after="0"/>
      </w:pPr>
      <w:r w:rsidRPr="00987DDC">
        <w:continuationSeparator/>
      </w:r>
    </w:p>
  </w:endnote>
  <w:endnote w:type="continuationNotice" w:id="1">
    <w:p w14:paraId="770CC482" w14:textId="77777777" w:rsidR="007D75DC" w:rsidRPr="00987DDC" w:rsidRDefault="007D75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Open Sans">
    <w:altName w:val="Arial"/>
    <w:charset w:val="00"/>
    <w:family w:val="swiss"/>
    <w:pitch w:val="variable"/>
    <w:sig w:usb0="00000001" w:usb1="4000205B" w:usb2="00000028" w:usb3="00000000" w:csb0="0000019F" w:csb1="00000000"/>
  </w:font>
  <w:font w:name="PT Sans">
    <w:altName w:val="Arial"/>
    <w:charset w:val="00"/>
    <w:family w:val="swiss"/>
    <w:pitch w:val="variable"/>
    <w:sig w:usb0="00000001"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5DC58" w14:textId="15993637" w:rsidR="006D4C9E" w:rsidRPr="006D4C9E" w:rsidRDefault="006D4C9E" w:rsidP="006D4C9E">
    <w:pPr>
      <w:pStyle w:val="FooterCoverPage"/>
      <w:rPr>
        <w:rFonts w:ascii="Arial" w:hAnsi="Arial" w:cs="Arial"/>
        <w:b/>
        <w:sz w:val="48"/>
      </w:rPr>
    </w:pPr>
    <w:r w:rsidRPr="006D4C9E">
      <w:rPr>
        <w:rFonts w:ascii="Arial" w:hAnsi="Arial" w:cs="Arial"/>
        <w:b/>
        <w:sz w:val="48"/>
      </w:rPr>
      <w:t>PL</w:t>
    </w:r>
    <w:r w:rsidRPr="006D4C9E">
      <w:rPr>
        <w:rFonts w:ascii="Arial" w:hAnsi="Arial" w:cs="Arial"/>
        <w:b/>
        <w:sz w:val="48"/>
      </w:rPr>
      <w:tab/>
    </w:r>
    <w:r w:rsidRPr="006D4C9E">
      <w:rPr>
        <w:rFonts w:ascii="Arial" w:hAnsi="Arial" w:cs="Arial"/>
        <w:b/>
        <w:sz w:val="48"/>
      </w:rPr>
      <w:tab/>
    </w:r>
    <w:r w:rsidRPr="006D4C9E">
      <w:tab/>
    </w:r>
    <w:r w:rsidRPr="006D4C9E">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10F1" w14:textId="61CF112B" w:rsidR="006D4C9E" w:rsidRPr="006D4C9E" w:rsidRDefault="006D4C9E" w:rsidP="006D4C9E">
    <w:pPr>
      <w:pStyle w:val="FooterCoverPage"/>
      <w:rPr>
        <w:rFonts w:ascii="Arial" w:hAnsi="Arial" w:cs="Arial"/>
        <w:b/>
        <w:sz w:val="48"/>
      </w:rPr>
    </w:pPr>
    <w:r w:rsidRPr="006D4C9E">
      <w:rPr>
        <w:rFonts w:ascii="Arial" w:hAnsi="Arial" w:cs="Arial"/>
        <w:b/>
        <w:sz w:val="48"/>
      </w:rPr>
      <w:t>PL</w:t>
    </w:r>
    <w:r w:rsidRPr="006D4C9E">
      <w:rPr>
        <w:rFonts w:ascii="Arial" w:hAnsi="Arial" w:cs="Arial"/>
        <w:b/>
        <w:sz w:val="48"/>
      </w:rPr>
      <w:tab/>
    </w:r>
    <w:r w:rsidRPr="006D4C9E">
      <w:rPr>
        <w:rFonts w:ascii="Arial" w:hAnsi="Arial" w:cs="Arial"/>
        <w:b/>
        <w:sz w:val="48"/>
      </w:rPr>
      <w:tab/>
    </w:r>
    <w:r w:rsidRPr="006D4C9E">
      <w:tab/>
    </w:r>
    <w:r w:rsidRPr="006D4C9E">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884AE" w14:textId="77777777" w:rsidR="006D4C9E" w:rsidRPr="006D4C9E" w:rsidRDefault="006D4C9E" w:rsidP="006D4C9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7F1E0" w14:textId="77777777" w:rsidR="000D0175" w:rsidRDefault="000D0175">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t>1</w:t>
    </w:r>
    <w:r>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61F2" w14:textId="7E2D28BD" w:rsidR="000D0175" w:rsidRDefault="000D0175">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rsidR="006D4C9E">
      <w:rPr>
        <w:noProof/>
      </w:rPr>
      <w:t>2</w:t>
    </w:r>
    <w:r>
      <w:rPr>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77EB" w14:textId="77777777" w:rsidR="000D0175" w:rsidRDefault="000D0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4ABAD" w14:textId="77777777" w:rsidR="007D75DC" w:rsidRPr="00987DDC" w:rsidRDefault="007D75DC">
      <w:pPr>
        <w:spacing w:after="0"/>
      </w:pPr>
      <w:r w:rsidRPr="00987DDC">
        <w:separator/>
      </w:r>
    </w:p>
  </w:footnote>
  <w:footnote w:type="continuationSeparator" w:id="0">
    <w:p w14:paraId="67855528" w14:textId="77777777" w:rsidR="007D75DC" w:rsidRPr="00987DDC" w:rsidRDefault="007D75DC">
      <w:pPr>
        <w:spacing w:after="0"/>
      </w:pPr>
      <w:r w:rsidRPr="00987DDC">
        <w:continuationSeparator/>
      </w:r>
    </w:p>
  </w:footnote>
  <w:footnote w:type="continuationNotice" w:id="1">
    <w:p w14:paraId="6425CD20" w14:textId="77777777" w:rsidR="007D75DC" w:rsidRPr="00987DDC" w:rsidRDefault="007D75DC">
      <w:pPr>
        <w:spacing w:after="0"/>
      </w:pPr>
    </w:p>
  </w:footnote>
  <w:footnote w:id="2">
    <w:p w14:paraId="4A5D4C5F" w14:textId="4B61DB1B" w:rsidR="00504A0C"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Ochrona danych jako filar wzmacniania pozycji obywateli oraz podejścia UE do transformacji cyfrowej – dwa lata stosowania ogólnego rozporządzenia</w:t>
      </w:r>
      <w:r w:rsidR="00987DDC" w:rsidRPr="00987DDC">
        <w:t xml:space="preserve"> o</w:t>
      </w:r>
      <w:r w:rsidR="00987DDC">
        <w:t> </w:t>
      </w:r>
      <w:r w:rsidR="00987DDC" w:rsidRPr="00987DDC">
        <w:t>och</w:t>
      </w:r>
      <w:r w:rsidRPr="00987DDC">
        <w:t>ronie danych, COM(2020) 264 final</w:t>
      </w:r>
      <w:r w:rsidR="00987DDC" w:rsidRPr="00987DDC">
        <w:t xml:space="preserve"> z</w:t>
      </w:r>
      <w:r w:rsidR="00987DDC">
        <w:t> </w:t>
      </w:r>
      <w:r w:rsidR="00987DDC" w:rsidRPr="00987DDC">
        <w:t>2</w:t>
      </w:r>
      <w:r w:rsidRPr="00987DDC">
        <w:t xml:space="preserve">4.6.2020. </w:t>
      </w:r>
    </w:p>
  </w:footnote>
  <w:footnote w:id="3">
    <w:p w14:paraId="7041A77F" w14:textId="18C556E6" w:rsidR="00504A0C"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r>
      <w:hyperlink r:id="rId1" w:history="1">
        <w:r w:rsidRPr="00987DDC">
          <w:rPr>
            <w:rStyle w:val="Hyperlink"/>
          </w:rPr>
          <w:t>https://data.consilium.europa.eu/doc/document/ST-15507-2023-INIT/pl/pdf</w:t>
        </w:r>
      </w:hyperlink>
      <w:r w:rsidRPr="00987DDC">
        <w:t xml:space="preserve">. </w:t>
      </w:r>
    </w:p>
  </w:footnote>
  <w:footnote w:id="4">
    <w:p w14:paraId="21C3A268" w14:textId="57FC2A10" w:rsidR="00504A0C"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Podsumowanie wkładu grupy ekspertów ds. RODO</w:t>
      </w:r>
      <w:r w:rsidR="00987DDC" w:rsidRPr="00987DDC">
        <w:t xml:space="preserve"> z</w:t>
      </w:r>
      <w:r w:rsidR="00987DDC">
        <w:t> </w:t>
      </w:r>
      <w:r w:rsidR="00987DDC" w:rsidRPr="00987DDC">
        <w:t>udz</w:t>
      </w:r>
      <w:r w:rsidRPr="00987DDC">
        <w:t xml:space="preserve">iałem wielu zainteresowanych stron jest dostępne tutaj: </w:t>
      </w:r>
      <w:hyperlink r:id="rId2" w:history="1">
        <w:r w:rsidRPr="00987DDC">
          <w:rPr>
            <w:rStyle w:val="Hyperlink"/>
          </w:rPr>
          <w:t>Sprawozdanie wielostronnej grupy ekspertów ds. stosowania RODO – czerwiec 2024</w:t>
        </w:r>
        <w:r w:rsidR="00987DDC" w:rsidRPr="00987DDC">
          <w:rPr>
            <w:rStyle w:val="Hyperlink"/>
          </w:rPr>
          <w:t> </w:t>
        </w:r>
        <w:r w:rsidRPr="00987DDC">
          <w:rPr>
            <w:rStyle w:val="Hyperlink"/>
          </w:rPr>
          <w:t>r.</w:t>
        </w:r>
      </w:hyperlink>
      <w:r w:rsidRPr="00987DDC">
        <w:t xml:space="preserve"> Uwagi otrzymane</w:t>
      </w:r>
      <w:r w:rsidR="00987DDC" w:rsidRPr="00987DDC">
        <w:t xml:space="preserve"> w</w:t>
      </w:r>
      <w:r w:rsidR="00987DDC">
        <w:t> </w:t>
      </w:r>
      <w:r w:rsidR="00987DDC" w:rsidRPr="00987DDC">
        <w:t>odp</w:t>
      </w:r>
      <w:r w:rsidRPr="00987DDC">
        <w:t>owiedzi na publiczne zaproszenie do zgłaszania uwag oraz</w:t>
      </w:r>
      <w:r w:rsidR="00987DDC" w:rsidRPr="00987DDC">
        <w:t xml:space="preserve"> w</w:t>
      </w:r>
      <w:r w:rsidR="00987DDC">
        <w:t> </w:t>
      </w:r>
      <w:r w:rsidR="00987DDC" w:rsidRPr="00987DDC">
        <w:t>ram</w:t>
      </w:r>
      <w:r w:rsidRPr="00987DDC">
        <w:t>ach spotkań dwustronnych</w:t>
      </w:r>
      <w:r w:rsidR="00987DDC" w:rsidRPr="00987DDC">
        <w:t xml:space="preserve"> z</w:t>
      </w:r>
      <w:r w:rsidR="00987DDC">
        <w:t> </w:t>
      </w:r>
      <w:r w:rsidR="00987DDC" w:rsidRPr="00987DDC">
        <w:t>zai</w:t>
      </w:r>
      <w:r w:rsidRPr="00987DDC">
        <w:t>nteresowanymi stronami</w:t>
      </w:r>
      <w:r w:rsidR="00987DDC" w:rsidRPr="00987DDC">
        <w:t xml:space="preserve"> w</w:t>
      </w:r>
      <w:r w:rsidR="00987DDC">
        <w:t> </w:t>
      </w:r>
      <w:r w:rsidR="00987DDC" w:rsidRPr="00987DDC">
        <w:t>duż</w:t>
      </w:r>
      <w:r w:rsidRPr="00987DDC">
        <w:t>ej mierze odzwierciedlają opinie wyrażone przez członków grupy ekspertów ds. RODO</w:t>
      </w:r>
      <w:r w:rsidR="00987DDC" w:rsidRPr="00987DDC">
        <w:t xml:space="preserve"> z</w:t>
      </w:r>
      <w:r w:rsidR="00987DDC">
        <w:t> </w:t>
      </w:r>
      <w:r w:rsidR="00987DDC" w:rsidRPr="00987DDC">
        <w:t>udz</w:t>
      </w:r>
      <w:r w:rsidRPr="00987DDC">
        <w:t xml:space="preserve">iałem wielu zainteresowanych stron. </w:t>
      </w:r>
    </w:p>
  </w:footnote>
  <w:footnote w:id="5">
    <w:p w14:paraId="693A3F94" w14:textId="6004B298" w:rsidR="00504A0C" w:rsidRPr="00987DDC" w:rsidRDefault="0041051C" w:rsidP="00B22C1A">
      <w:pPr>
        <w:pStyle w:val="FootnoteText"/>
        <w:spacing w:after="0"/>
      </w:pPr>
      <w:r w:rsidRPr="00987DDC">
        <w:t>(</w:t>
      </w:r>
      <w:r w:rsidRPr="00987DDC">
        <w:rPr>
          <w:rStyle w:val="FootnoteReference"/>
        </w:rPr>
        <w:footnoteRef/>
      </w:r>
      <w:r w:rsidRPr="00987DDC">
        <w:t xml:space="preserve">) </w:t>
      </w:r>
      <w:r w:rsidRPr="00987DDC">
        <w:tab/>
      </w:r>
      <w:hyperlink r:id="rId3" w:history="1">
        <w:r w:rsidRPr="00987DDC">
          <w:rPr>
            <w:rStyle w:val="Hyperlink"/>
          </w:rPr>
          <w:t>https://ec.europa.eu/info/law/better-regulation/have-your-say_pl</w:t>
        </w:r>
      </w:hyperlink>
      <w:r w:rsidRPr="00987DDC">
        <w:t xml:space="preserve">. </w:t>
      </w:r>
    </w:p>
  </w:footnote>
  <w:footnote w:id="6">
    <w:p w14:paraId="7AA5FBC3" w14:textId="7E6639A5" w:rsidR="00504A0C"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 xml:space="preserve"> </w:t>
      </w:r>
      <w:hyperlink r:id="rId4" w:history="1">
        <w:r w:rsidRPr="00987DDC">
          <w:rPr>
            <w:rStyle w:val="Hyperlink"/>
          </w:rPr>
          <w:t>Wkład EROD</w:t>
        </w:r>
        <w:r w:rsidR="00987DDC" w:rsidRPr="00987DDC">
          <w:rPr>
            <w:rStyle w:val="Hyperlink"/>
          </w:rPr>
          <w:t xml:space="preserve"> w</w:t>
        </w:r>
        <w:r w:rsidR="00987DDC">
          <w:rPr>
            <w:rStyle w:val="Hyperlink"/>
          </w:rPr>
          <w:t> </w:t>
        </w:r>
        <w:r w:rsidR="00987DDC" w:rsidRPr="00987DDC">
          <w:rPr>
            <w:rStyle w:val="Hyperlink"/>
          </w:rPr>
          <w:t>oce</w:t>
        </w:r>
        <w:r w:rsidRPr="00987DDC">
          <w:rPr>
            <w:rStyle w:val="Hyperlink"/>
          </w:rPr>
          <w:t>nę RODO na podstawie art.</w:t>
        </w:r>
        <w:r w:rsidR="00987DDC" w:rsidRPr="00987DDC">
          <w:rPr>
            <w:rStyle w:val="Hyperlink"/>
          </w:rPr>
          <w:t> </w:t>
        </w:r>
        <w:r w:rsidRPr="00987DDC">
          <w:rPr>
            <w:rStyle w:val="Hyperlink"/>
          </w:rPr>
          <w:t>97 |</w:t>
        </w:r>
      </w:hyperlink>
      <w:hyperlink r:id="rId5" w:history="1">
        <w:r w:rsidRPr="00987DDC">
          <w:rPr>
            <w:rStyle w:val="Hyperlink"/>
          </w:rPr>
          <w:t xml:space="preserve"> Europejska Rada Ochrony Danych (europa.eu)</w:t>
        </w:r>
      </w:hyperlink>
      <w:r w:rsidRPr="00987DDC">
        <w:t>.</w:t>
      </w:r>
    </w:p>
  </w:footnote>
  <w:footnote w:id="7">
    <w:p w14:paraId="4CB8505D" w14:textId="2A6EE37A" w:rsidR="00504A0C"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r>
      <w:hyperlink r:id="rId6" w:history="1">
        <w:r w:rsidRPr="00987DDC">
          <w:rPr>
            <w:rStyle w:val="Hyperlink"/>
          </w:rPr>
          <w:t>RODO</w:t>
        </w:r>
        <w:r w:rsidR="00987DDC" w:rsidRPr="00987DDC">
          <w:rPr>
            <w:rStyle w:val="Hyperlink"/>
          </w:rPr>
          <w:t xml:space="preserve"> w</w:t>
        </w:r>
        <w:r w:rsidR="00987DDC">
          <w:rPr>
            <w:rStyle w:val="Hyperlink"/>
          </w:rPr>
          <w:t> </w:t>
        </w:r>
        <w:r w:rsidR="00987DDC" w:rsidRPr="00987DDC">
          <w:rPr>
            <w:rStyle w:val="Hyperlink"/>
          </w:rPr>
          <w:t>pra</w:t>
        </w:r>
        <w:r w:rsidRPr="00987DDC">
          <w:rPr>
            <w:rStyle w:val="Hyperlink"/>
          </w:rPr>
          <w:t>ktyce – doświadczenia organów ochrony danych |</w:t>
        </w:r>
      </w:hyperlink>
      <w:hyperlink r:id="rId7" w:history="1">
        <w:r w:rsidRPr="00987DDC">
          <w:rPr>
            <w:rStyle w:val="Hyperlink"/>
          </w:rPr>
          <w:t xml:space="preserve"> Agencja Praw Podstawowych Unii Europejskiej (europa.eu)</w:t>
        </w:r>
      </w:hyperlink>
      <w:r w:rsidRPr="00987DDC">
        <w:t>.</w:t>
      </w:r>
    </w:p>
  </w:footnote>
  <w:footnote w:id="8">
    <w:p w14:paraId="6CD9A59F" w14:textId="5322B808" w:rsidR="4EB025D0" w:rsidRPr="00987DDC" w:rsidRDefault="0041051C" w:rsidP="00BE4B2F">
      <w:pPr>
        <w:pStyle w:val="FootnoteText"/>
        <w:spacing w:after="0"/>
      </w:pPr>
      <w:r w:rsidRPr="00987DDC">
        <w:t>(</w:t>
      </w:r>
      <w:r w:rsidRPr="00987DDC">
        <w:rPr>
          <w:rStyle w:val="FootnoteReference"/>
        </w:rPr>
        <w:footnoteRef/>
      </w:r>
      <w:r w:rsidRPr="00987DDC">
        <w:t xml:space="preserve">) </w:t>
      </w:r>
      <w:r w:rsidRPr="00987DDC">
        <w:tab/>
        <w:t>Wniosek dotyczący rozporządzenia Parlamentu Europejskiego</w:t>
      </w:r>
      <w:r w:rsidR="00987DDC" w:rsidRPr="00987DDC">
        <w:t xml:space="preserve"> i</w:t>
      </w:r>
      <w:r w:rsidR="00987DDC">
        <w:t> </w:t>
      </w:r>
      <w:r w:rsidR="00987DDC" w:rsidRPr="00987DDC">
        <w:t>Rad</w:t>
      </w:r>
      <w:r w:rsidRPr="00987DDC">
        <w:t xml:space="preserve">y ustanawiającego dodatkowe przepisy proceduralne dotyczące egzekwowania rozporządzenia (UE) 2016/679 (COM(2023) 348 final). </w:t>
      </w:r>
    </w:p>
  </w:footnote>
  <w:footnote w:id="9">
    <w:p w14:paraId="266D7AA9" w14:textId="780C6A26" w:rsidR="00514C01" w:rsidRPr="00987DDC" w:rsidRDefault="0041051C" w:rsidP="00BE4B2F">
      <w:pPr>
        <w:pStyle w:val="FootnoteText"/>
        <w:spacing w:after="0"/>
      </w:pPr>
      <w:r w:rsidRPr="00987DDC">
        <w:t>(</w:t>
      </w:r>
      <w:r w:rsidRPr="00987DDC">
        <w:rPr>
          <w:rStyle w:val="FootnoteReference"/>
        </w:rPr>
        <w:footnoteRef/>
      </w:r>
      <w:r w:rsidRPr="00987DDC">
        <w:t>)</w:t>
      </w:r>
      <w:r w:rsidRPr="00987DDC">
        <w:tab/>
      </w:r>
      <w:hyperlink r:id="rId8" w:history="1">
        <w:r w:rsidRPr="00987DDC">
          <w:rPr>
            <w:rStyle w:val="Hyperlink"/>
          </w:rPr>
          <w:t>https://edpb.europa.eu/our-work-tools/our-documents/letters/edpb-letter-eu-commission-procedural-aspects-could-be_en</w:t>
        </w:r>
      </w:hyperlink>
      <w:r w:rsidRPr="00987DDC">
        <w:t xml:space="preserve">. </w:t>
      </w:r>
    </w:p>
  </w:footnote>
  <w:footnote w:id="10">
    <w:p w14:paraId="51077172" w14:textId="0B9D4AEA" w:rsidR="00514C01" w:rsidRPr="00987DDC" w:rsidRDefault="0041051C" w:rsidP="00250143">
      <w:pPr>
        <w:pStyle w:val="FootnoteText"/>
        <w:spacing w:after="0"/>
      </w:pPr>
      <w:r w:rsidRPr="00987DDC">
        <w:t>(</w:t>
      </w:r>
      <w:r w:rsidRPr="00987DDC">
        <w:rPr>
          <w:rStyle w:val="FootnoteReference"/>
        </w:rPr>
        <w:footnoteRef/>
      </w:r>
      <w:r w:rsidRPr="00987DDC">
        <w:t>)</w:t>
      </w:r>
      <w:r w:rsidRPr="00987DDC">
        <w:tab/>
        <w:t>Za pośrednictwem grupy ekspertów ds. RODO</w:t>
      </w:r>
      <w:r w:rsidR="00987DDC" w:rsidRPr="00987DDC">
        <w:t xml:space="preserve"> z</w:t>
      </w:r>
      <w:r w:rsidR="00987DDC">
        <w:t> </w:t>
      </w:r>
      <w:r w:rsidR="00987DDC" w:rsidRPr="00987DDC">
        <w:t>udz</w:t>
      </w:r>
      <w:r w:rsidRPr="00987DDC">
        <w:t>iałem wielu zainteresowanych stron oraz</w:t>
      </w:r>
      <w:r w:rsidR="00987DDC" w:rsidRPr="00987DDC">
        <w:t xml:space="preserve"> w</w:t>
      </w:r>
      <w:r w:rsidR="00987DDC">
        <w:t> </w:t>
      </w:r>
      <w:r w:rsidR="00987DDC" w:rsidRPr="00987DDC">
        <w:t>odp</w:t>
      </w:r>
      <w:r w:rsidRPr="00987DDC">
        <w:t>owiedzi na zaproszenie do zgłaszania uwag ogłoszone</w:t>
      </w:r>
      <w:r w:rsidR="00987DDC" w:rsidRPr="00987DDC">
        <w:t xml:space="preserve"> w</w:t>
      </w:r>
      <w:r w:rsidR="00987DDC">
        <w:t> </w:t>
      </w:r>
      <w:r w:rsidR="00987DDC" w:rsidRPr="00987DDC">
        <w:t>lut</w:t>
      </w:r>
      <w:r w:rsidRPr="00987DDC">
        <w:t>ym 2023</w:t>
      </w:r>
      <w:r w:rsidR="00987DDC" w:rsidRPr="00987DDC">
        <w:t> </w:t>
      </w:r>
      <w:r w:rsidRPr="00987DDC">
        <w:t>r.</w:t>
      </w:r>
    </w:p>
  </w:footnote>
  <w:footnote w:id="11">
    <w:p w14:paraId="25980A44" w14:textId="50B247BB" w:rsidR="00514C01" w:rsidRPr="00987DDC" w:rsidRDefault="0041051C" w:rsidP="00250143">
      <w:pPr>
        <w:pStyle w:val="FootnoteText"/>
        <w:spacing w:after="0"/>
      </w:pPr>
      <w:r w:rsidRPr="00987DDC">
        <w:t>(</w:t>
      </w:r>
      <w:r w:rsidRPr="00987DDC">
        <w:rPr>
          <w:rStyle w:val="FootnoteReference"/>
        </w:rPr>
        <w:footnoteRef/>
      </w:r>
      <w:r w:rsidRPr="00987DDC">
        <w:t>)</w:t>
      </w:r>
      <w:r w:rsidRPr="00987DDC">
        <w:tab/>
        <w:t>W szczególności za pośrednictwem grupy ekspertów ds. RODO</w:t>
      </w:r>
      <w:r w:rsidR="00987DDC" w:rsidRPr="00987DDC">
        <w:t xml:space="preserve"> z</w:t>
      </w:r>
      <w:r w:rsidR="00987DDC">
        <w:t> </w:t>
      </w:r>
      <w:r w:rsidR="00987DDC" w:rsidRPr="00987DDC">
        <w:t>pań</w:t>
      </w:r>
      <w:r w:rsidRPr="00987DDC">
        <w:t xml:space="preserve">stw członkowskich: </w:t>
      </w:r>
      <w:hyperlink r:id="rId9" w:history="1">
        <w:r w:rsidRPr="00987DDC">
          <w:rPr>
            <w:rStyle w:val="Hyperlink"/>
          </w:rPr>
          <w:t>https://ec.europa.eu/transparency/expert-groups-register/screen/expert-groups/consult?lang=pl&amp;do=groupDetail.groupDetail&amp;groupID=3461</w:t>
        </w:r>
      </w:hyperlink>
      <w:r w:rsidRPr="00987DDC">
        <w:t xml:space="preserve">. </w:t>
      </w:r>
    </w:p>
  </w:footnote>
  <w:footnote w:id="12">
    <w:p w14:paraId="13A5FFBA" w14:textId="4D2ABA6B" w:rsidR="006856F4" w:rsidRPr="00987DDC" w:rsidRDefault="0041051C" w:rsidP="000D1571">
      <w:pPr>
        <w:pStyle w:val="FootnoteText"/>
        <w:spacing w:after="0"/>
      </w:pPr>
      <w:r w:rsidRPr="00987DDC">
        <w:t>(</w:t>
      </w:r>
      <w:r w:rsidRPr="00987DDC">
        <w:rPr>
          <w:rStyle w:val="FootnoteReference"/>
        </w:rPr>
        <w:footnoteRef/>
      </w:r>
      <w:r w:rsidRPr="00987DDC">
        <w:t>)</w:t>
      </w:r>
      <w:r w:rsidRPr="00987DDC">
        <w:tab/>
        <w:t>Art. 61 RODO.</w:t>
      </w:r>
    </w:p>
  </w:footnote>
  <w:footnote w:id="13">
    <w:p w14:paraId="2AE69F16" w14:textId="1F90F8C3" w:rsidR="00D47EC9" w:rsidRPr="00987DDC" w:rsidRDefault="0041051C" w:rsidP="00D47EC9">
      <w:pPr>
        <w:pStyle w:val="FootnoteText"/>
        <w:spacing w:after="0"/>
      </w:pPr>
      <w:r w:rsidRPr="00987DDC">
        <w:t>(</w:t>
      </w:r>
      <w:r w:rsidRPr="00987DDC">
        <w:rPr>
          <w:vertAlign w:val="superscript"/>
        </w:rPr>
        <w:footnoteRef/>
      </w:r>
      <w:r w:rsidRPr="00987DDC">
        <w:t>)</w:t>
      </w:r>
      <w:r w:rsidRPr="00987DDC">
        <w:tab/>
      </w:r>
      <w:hyperlink r:id="rId10" w:history="1">
        <w:r w:rsidRPr="00987DDC">
          <w:rPr>
            <w:rStyle w:val="Hyperlink"/>
          </w:rPr>
          <w:t>internal_edpb_document_1_2021_on_art_62_joint_operations_en.pdf (europa.eu)</w:t>
        </w:r>
      </w:hyperlink>
    </w:p>
  </w:footnote>
  <w:footnote w:id="14">
    <w:p w14:paraId="0114D115" w14:textId="6B53EAFC" w:rsidR="00F60511" w:rsidRPr="00987DDC" w:rsidRDefault="0041051C" w:rsidP="000D1571">
      <w:pPr>
        <w:pStyle w:val="FootnoteText"/>
        <w:spacing w:after="0"/>
      </w:pPr>
      <w:r w:rsidRPr="00987DDC">
        <w:t>(</w:t>
      </w:r>
      <w:r w:rsidRPr="00987DDC">
        <w:rPr>
          <w:vertAlign w:val="superscript"/>
        </w:rPr>
        <w:footnoteRef/>
      </w:r>
      <w:r w:rsidRPr="00987DDC">
        <w:t>)</w:t>
      </w:r>
      <w:r w:rsidRPr="00987DDC">
        <w:tab/>
        <w:t>Art. 62 RODO.</w:t>
      </w:r>
    </w:p>
  </w:footnote>
  <w:footnote w:id="15">
    <w:p w14:paraId="26D26519" w14:textId="5467C61D" w:rsidR="003A0AD4" w:rsidRPr="00987DDC" w:rsidRDefault="0041051C" w:rsidP="000D1571">
      <w:pPr>
        <w:pStyle w:val="FootnoteText"/>
        <w:spacing w:after="0"/>
      </w:pPr>
      <w:r w:rsidRPr="00987DDC">
        <w:t>(</w:t>
      </w:r>
      <w:r w:rsidRPr="00987DDC">
        <w:rPr>
          <w:vertAlign w:val="superscript"/>
        </w:rPr>
        <w:footnoteRef/>
      </w:r>
      <w:r w:rsidRPr="00987DDC">
        <w:t>)</w:t>
      </w:r>
      <w:r w:rsidRPr="00987DDC">
        <w:tab/>
        <w:t>Art. 65 RODO.</w:t>
      </w:r>
    </w:p>
  </w:footnote>
  <w:footnote w:id="16">
    <w:p w14:paraId="507AFF84" w14:textId="396E149C" w:rsidR="00DA4DD5" w:rsidRPr="00987DDC" w:rsidRDefault="0041051C" w:rsidP="005B642F">
      <w:pPr>
        <w:pStyle w:val="FootnoteText"/>
        <w:spacing w:after="0"/>
      </w:pPr>
      <w:r w:rsidRPr="00987DDC">
        <w:t>(</w:t>
      </w:r>
      <w:r w:rsidRPr="00987DDC">
        <w:rPr>
          <w:vertAlign w:val="superscript"/>
        </w:rPr>
        <w:footnoteRef/>
      </w:r>
      <w:r w:rsidRPr="00987DDC">
        <w:t xml:space="preserve">) </w:t>
      </w:r>
      <w:r w:rsidRPr="00987DDC">
        <w:tab/>
        <w:t>Na dzień 3 listopada 2023</w:t>
      </w:r>
      <w:r w:rsidR="00987DDC" w:rsidRPr="00987DDC">
        <w:t> </w:t>
      </w:r>
      <w:r w:rsidRPr="00987DDC">
        <w:t>r. (wkład EROD).</w:t>
      </w:r>
    </w:p>
  </w:footnote>
  <w:footnote w:id="17">
    <w:p w14:paraId="3896890B" w14:textId="08AC9485" w:rsidR="27DF98C2" w:rsidRPr="00987DDC" w:rsidRDefault="0041051C" w:rsidP="000D1571">
      <w:pPr>
        <w:pStyle w:val="FootnoteText"/>
        <w:spacing w:after="0"/>
      </w:pPr>
      <w:r w:rsidRPr="00987DDC">
        <w:t>(</w:t>
      </w:r>
      <w:r w:rsidRPr="00987DDC">
        <w:rPr>
          <w:rStyle w:val="FootnoteReference"/>
        </w:rPr>
        <w:footnoteRef/>
      </w:r>
      <w:r w:rsidRPr="00987DDC">
        <w:t xml:space="preserve">) </w:t>
      </w:r>
      <w:r w:rsidRPr="00987DDC">
        <w:tab/>
        <w:t>Zgodnie</w:t>
      </w:r>
      <w:r w:rsidR="00987DDC" w:rsidRPr="00987DDC">
        <w:t xml:space="preserve"> z</w:t>
      </w:r>
      <w:r w:rsidR="00987DDC">
        <w:t> </w:t>
      </w:r>
      <w:r w:rsidR="00987DDC" w:rsidRPr="00987DDC">
        <w:t>art</w:t>
      </w:r>
      <w:r w:rsidRPr="00987DDC">
        <w:t>.</w:t>
      </w:r>
      <w:r w:rsidR="00987DDC" w:rsidRPr="00987DDC">
        <w:t> </w:t>
      </w:r>
      <w:r w:rsidRPr="00987DDC">
        <w:t>60 ust.</w:t>
      </w:r>
      <w:r w:rsidR="00987DDC" w:rsidRPr="00987DDC">
        <w:t> </w:t>
      </w:r>
      <w:r w:rsidRPr="00987DDC">
        <w:t>3 RODO.</w:t>
      </w:r>
    </w:p>
  </w:footnote>
  <w:footnote w:id="18">
    <w:p w14:paraId="19A957AE" w14:textId="6876EDE3" w:rsidR="00DA4DD5" w:rsidRPr="00987DDC" w:rsidRDefault="0041051C" w:rsidP="005B642F">
      <w:pPr>
        <w:pStyle w:val="FootnoteText"/>
        <w:spacing w:after="0"/>
      </w:pPr>
      <w:r w:rsidRPr="00987DDC">
        <w:t>(</w:t>
      </w:r>
      <w:r w:rsidRPr="00987DDC">
        <w:rPr>
          <w:rStyle w:val="FootnoteReference"/>
        </w:rPr>
        <w:footnoteRef/>
      </w:r>
      <w:r w:rsidRPr="00987DDC">
        <w:t xml:space="preserve">) </w:t>
      </w:r>
      <w:r w:rsidRPr="00987DDC">
        <w:tab/>
        <w:t>Na dzień 3 listopada 2023</w:t>
      </w:r>
      <w:r w:rsidR="00987DDC" w:rsidRPr="00987DDC">
        <w:t> </w:t>
      </w:r>
      <w:r w:rsidRPr="00987DDC">
        <w:t xml:space="preserve">r. </w:t>
      </w:r>
    </w:p>
  </w:footnote>
  <w:footnote w:id="19">
    <w:p w14:paraId="109567D6" w14:textId="1C37DFFD" w:rsidR="00DA4DD5" w:rsidRPr="00987DDC" w:rsidRDefault="0041051C" w:rsidP="005B642F">
      <w:pPr>
        <w:pStyle w:val="FootnoteText"/>
        <w:spacing w:after="0"/>
      </w:pPr>
      <w:r w:rsidRPr="00987DDC">
        <w:t>(</w:t>
      </w:r>
      <w:r w:rsidRPr="00987DDC">
        <w:rPr>
          <w:rStyle w:val="FootnoteReference"/>
        </w:rPr>
        <w:footnoteRef/>
      </w:r>
      <w:r w:rsidRPr="00987DDC">
        <w:t xml:space="preserve">) </w:t>
      </w:r>
      <w:r w:rsidRPr="00987DDC">
        <w:tab/>
        <w:t xml:space="preserve">Najwięcej formalnych wniosków złożył organ irlandzki (246), zaś najwięcej wniosków otrzymały organy niemieckie (516). </w:t>
      </w:r>
    </w:p>
  </w:footnote>
  <w:footnote w:id="20">
    <w:p w14:paraId="4EBD2401" w14:textId="0F0BFC02" w:rsidR="00DA4DD5" w:rsidRPr="00987DDC" w:rsidRDefault="0041051C" w:rsidP="55E7C498">
      <w:pPr>
        <w:pStyle w:val="FootnoteText"/>
        <w:spacing w:after="0"/>
      </w:pPr>
      <w:r w:rsidRPr="00987DDC">
        <w:t>(</w:t>
      </w:r>
      <w:r w:rsidRPr="00987DDC">
        <w:rPr>
          <w:rStyle w:val="FootnoteReference"/>
        </w:rPr>
        <w:footnoteRef/>
      </w:r>
      <w:r w:rsidRPr="00987DDC">
        <w:t xml:space="preserve">) </w:t>
      </w:r>
      <w:r w:rsidRPr="00987DDC">
        <w:tab/>
        <w:t>Organ irlandzki złożył też najwięcej nieformalnych wniosków (4 245), na drugim miejscu uplasowały się organy niemieckie (2 036).</w:t>
      </w:r>
    </w:p>
  </w:footnote>
  <w:footnote w:id="21">
    <w:p w14:paraId="32BDE4CB" w14:textId="23E8FC4D" w:rsidR="00CB1A3F"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Niemieckie władze zgłosiły 101 (35 %) spośród 289 mających znaczenie dla sprawy</w:t>
      </w:r>
      <w:r w:rsidR="00987DDC" w:rsidRPr="00987DDC">
        <w:t xml:space="preserve"> i</w:t>
      </w:r>
      <w:r w:rsidR="00987DDC">
        <w:t> </w:t>
      </w:r>
      <w:r w:rsidR="00987DDC" w:rsidRPr="00987DDC">
        <w:t>uza</w:t>
      </w:r>
      <w:r w:rsidRPr="00987DDC">
        <w:t>sadnionych sprzeciwów . Wskaźnik powodzenia</w:t>
      </w:r>
      <w:r w:rsidR="00987DDC" w:rsidRPr="00987DDC">
        <w:t xml:space="preserve"> w</w:t>
      </w:r>
      <w:r w:rsidR="00987DDC">
        <w:t> </w:t>
      </w:r>
      <w:r w:rsidR="00987DDC" w:rsidRPr="00987DDC">
        <w:t>osi</w:t>
      </w:r>
      <w:r w:rsidRPr="00987DDC">
        <w:t>ągnięciu porozumienia</w:t>
      </w:r>
      <w:r w:rsidR="00987DDC" w:rsidRPr="00987DDC">
        <w:t xml:space="preserve"> w</w:t>
      </w:r>
      <w:r w:rsidR="00987DDC">
        <w:t> </w:t>
      </w:r>
      <w:r w:rsidR="00987DDC" w:rsidRPr="00987DDC">
        <w:t>kwe</w:t>
      </w:r>
      <w:r w:rsidRPr="00987DDC">
        <w:t>stiach mających znaczenie dla sprawy</w:t>
      </w:r>
      <w:r w:rsidR="00987DDC" w:rsidRPr="00987DDC">
        <w:t xml:space="preserve"> i</w:t>
      </w:r>
      <w:r w:rsidR="00987DDC">
        <w:t> </w:t>
      </w:r>
      <w:r w:rsidR="00987DDC" w:rsidRPr="00987DDC">
        <w:t>uza</w:t>
      </w:r>
      <w:r w:rsidRPr="00987DDC">
        <w:t>sadnionych sprzeciwów waha się od</w:t>
      </w:r>
      <w:r w:rsidR="00987DDC" w:rsidRPr="00987DDC">
        <w:t> </w:t>
      </w:r>
      <w:r w:rsidRPr="00987DDC">
        <w:t>15 % (sprzeciwów zgłoszonych przez władze niemieckie) do</w:t>
      </w:r>
      <w:r w:rsidR="00987DDC" w:rsidRPr="00987DDC">
        <w:t> </w:t>
      </w:r>
      <w:r w:rsidRPr="00987DDC">
        <w:t>100 % (sprzeciwów zgłoszonych przez władze polskie).</w:t>
      </w:r>
    </w:p>
  </w:footnote>
  <w:footnote w:id="22">
    <w:p w14:paraId="4E6E229C" w14:textId="21E349B0" w:rsidR="27DF98C2" w:rsidRPr="00987DDC" w:rsidRDefault="0041051C" w:rsidP="00E40074">
      <w:pPr>
        <w:spacing w:after="0"/>
        <w:ind w:left="360" w:hanging="360"/>
        <w:rPr>
          <w:sz w:val="20"/>
        </w:rPr>
      </w:pPr>
      <w:r w:rsidRPr="00987DDC">
        <w:rPr>
          <w:sz w:val="20"/>
        </w:rPr>
        <w:t>(</w:t>
      </w:r>
      <w:r w:rsidRPr="00987DDC">
        <w:rPr>
          <w:rStyle w:val="FootnoteReference"/>
          <w:sz w:val="20"/>
        </w:rPr>
        <w:footnoteRef/>
      </w:r>
      <w:r w:rsidRPr="00987DDC">
        <w:rPr>
          <w:sz w:val="20"/>
        </w:rPr>
        <w:t xml:space="preserve">) </w:t>
      </w:r>
      <w:r w:rsidRPr="00987DDC">
        <w:tab/>
      </w:r>
      <w:r w:rsidRPr="00987DDC">
        <w:rPr>
          <w:sz w:val="20"/>
        </w:rPr>
        <w:t>Odpowiednio art.</w:t>
      </w:r>
      <w:r w:rsidR="00987DDC" w:rsidRPr="00987DDC">
        <w:rPr>
          <w:sz w:val="20"/>
        </w:rPr>
        <w:t> </w:t>
      </w:r>
      <w:r w:rsidRPr="00987DDC">
        <w:rPr>
          <w:sz w:val="20"/>
        </w:rPr>
        <w:t>64, 65</w:t>
      </w:r>
      <w:r w:rsidR="00987DDC" w:rsidRPr="00987DDC">
        <w:rPr>
          <w:sz w:val="20"/>
        </w:rPr>
        <w:t xml:space="preserve"> i</w:t>
      </w:r>
      <w:r w:rsidR="00987DDC">
        <w:rPr>
          <w:sz w:val="20"/>
        </w:rPr>
        <w:t> </w:t>
      </w:r>
      <w:r w:rsidR="00987DDC" w:rsidRPr="00987DDC">
        <w:rPr>
          <w:sz w:val="20"/>
        </w:rPr>
        <w:t>6</w:t>
      </w:r>
      <w:r w:rsidRPr="00987DDC">
        <w:rPr>
          <w:sz w:val="20"/>
        </w:rPr>
        <w:t>6 RODO.</w:t>
      </w:r>
    </w:p>
  </w:footnote>
  <w:footnote w:id="23">
    <w:p w14:paraId="13EEEECA" w14:textId="0A381F29" w:rsidR="004F076D" w:rsidRPr="00987DDC" w:rsidRDefault="004F076D" w:rsidP="00D76C27">
      <w:pPr>
        <w:pStyle w:val="FootnoteText"/>
        <w:spacing w:after="0"/>
      </w:pPr>
      <w:r w:rsidRPr="00987DDC">
        <w:t>(</w:t>
      </w:r>
      <w:r w:rsidRPr="00987DDC">
        <w:rPr>
          <w:rStyle w:val="FootnoteReference"/>
        </w:rPr>
        <w:footnoteRef/>
      </w:r>
      <w:r w:rsidRPr="00987DDC">
        <w:t>)</w:t>
      </w:r>
      <w:r w:rsidRPr="00987DDC">
        <w:tab/>
        <w:t>Opinie na podstawie art.</w:t>
      </w:r>
      <w:r w:rsidR="00987DDC" w:rsidRPr="00987DDC">
        <w:t> </w:t>
      </w:r>
      <w:r w:rsidRPr="00987DDC">
        <w:t>64 ust.</w:t>
      </w:r>
      <w:r w:rsidR="00987DDC" w:rsidRPr="00987DDC">
        <w:t> </w:t>
      </w:r>
      <w:r w:rsidRPr="00987DDC">
        <w:t>2 RODO.</w:t>
      </w:r>
    </w:p>
  </w:footnote>
  <w:footnote w:id="24">
    <w:p w14:paraId="66FF2F69" w14:textId="6B7B7C4A" w:rsidR="27DF98C2" w:rsidRPr="00987DDC" w:rsidRDefault="0041051C" w:rsidP="00E40074">
      <w:pPr>
        <w:spacing w:after="0"/>
        <w:ind w:left="360" w:hanging="360"/>
      </w:pPr>
      <w:r w:rsidRPr="00987DDC">
        <w:rPr>
          <w:sz w:val="20"/>
        </w:rPr>
        <w:t>(</w:t>
      </w:r>
      <w:r w:rsidRPr="00987DDC">
        <w:rPr>
          <w:rStyle w:val="FootnoteReference"/>
          <w:sz w:val="20"/>
        </w:rPr>
        <w:footnoteRef/>
      </w:r>
      <w:r w:rsidRPr="00987DDC">
        <w:rPr>
          <w:sz w:val="20"/>
        </w:rPr>
        <w:t xml:space="preserve">) </w:t>
      </w:r>
      <w:r w:rsidRPr="00987DDC">
        <w:tab/>
      </w:r>
      <w:r w:rsidRPr="00987DDC">
        <w:rPr>
          <w:sz w:val="20"/>
        </w:rPr>
        <w:t>Zgodnie</w:t>
      </w:r>
      <w:r w:rsidR="00987DDC" w:rsidRPr="00987DDC">
        <w:rPr>
          <w:sz w:val="20"/>
        </w:rPr>
        <w:t xml:space="preserve"> z</w:t>
      </w:r>
      <w:r w:rsidR="00987DDC">
        <w:rPr>
          <w:sz w:val="20"/>
        </w:rPr>
        <w:t> </w:t>
      </w:r>
      <w:r w:rsidR="00987DDC" w:rsidRPr="00987DDC">
        <w:rPr>
          <w:sz w:val="20"/>
        </w:rPr>
        <w:t>art</w:t>
      </w:r>
      <w:r w:rsidRPr="00987DDC">
        <w:rPr>
          <w:sz w:val="20"/>
        </w:rPr>
        <w:t>.</w:t>
      </w:r>
      <w:r w:rsidR="00987DDC" w:rsidRPr="00987DDC">
        <w:rPr>
          <w:sz w:val="20"/>
        </w:rPr>
        <w:t> </w:t>
      </w:r>
      <w:r w:rsidRPr="00987DDC">
        <w:rPr>
          <w:sz w:val="20"/>
        </w:rPr>
        <w:t>65 ust.</w:t>
      </w:r>
      <w:r w:rsidR="00987DDC" w:rsidRPr="00987DDC">
        <w:rPr>
          <w:sz w:val="20"/>
        </w:rPr>
        <w:t> </w:t>
      </w:r>
      <w:r w:rsidRPr="00987DDC">
        <w:rPr>
          <w:sz w:val="20"/>
        </w:rPr>
        <w:t>1 lit.</w:t>
      </w:r>
      <w:r w:rsidR="00987DDC" w:rsidRPr="00987DDC">
        <w:rPr>
          <w:sz w:val="20"/>
        </w:rPr>
        <w:t> </w:t>
      </w:r>
      <w:r w:rsidRPr="00987DDC">
        <w:rPr>
          <w:sz w:val="20"/>
        </w:rPr>
        <w:t>a) RODO.</w:t>
      </w:r>
    </w:p>
  </w:footnote>
  <w:footnote w:id="25">
    <w:p w14:paraId="3BFA59A6" w14:textId="268A4EB0" w:rsidR="27DF98C2"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Na podstawie art.</w:t>
      </w:r>
      <w:r w:rsidR="00987DDC" w:rsidRPr="00987DDC">
        <w:t> </w:t>
      </w:r>
      <w:r w:rsidRPr="00987DDC">
        <w:t>66 ust.</w:t>
      </w:r>
      <w:r w:rsidR="00987DDC" w:rsidRPr="00987DDC">
        <w:t> </w:t>
      </w:r>
      <w:r w:rsidRPr="00987DDC">
        <w:t xml:space="preserve">2 RODO. </w:t>
      </w:r>
    </w:p>
  </w:footnote>
  <w:footnote w:id="26">
    <w:p w14:paraId="41BABE74" w14:textId="4284EB4B" w:rsidR="005C21BD" w:rsidRPr="00987DDC" w:rsidRDefault="005C21BD" w:rsidP="003E0E6A">
      <w:pPr>
        <w:pStyle w:val="FootnoteText"/>
        <w:spacing w:after="0"/>
      </w:pPr>
      <w:r w:rsidRPr="00987DDC">
        <w:t>(</w:t>
      </w:r>
      <w:r w:rsidRPr="00987DDC">
        <w:rPr>
          <w:rStyle w:val="FootnoteReference"/>
        </w:rPr>
        <w:footnoteRef/>
      </w:r>
      <w:r w:rsidRPr="00987DDC">
        <w:t>)</w:t>
      </w:r>
      <w:r w:rsidRPr="00987DDC">
        <w:tab/>
        <w:t>Zob. sekcja 5.3.4 wkładu EROD.</w:t>
      </w:r>
    </w:p>
  </w:footnote>
  <w:footnote w:id="27">
    <w:p w14:paraId="0D8E0AAE" w14:textId="60605EEA" w:rsidR="00B430DB" w:rsidRPr="00987DDC" w:rsidRDefault="00B430DB" w:rsidP="00B430DB">
      <w:pPr>
        <w:pStyle w:val="FootnoteText"/>
        <w:spacing w:after="0"/>
      </w:pPr>
      <w:r w:rsidRPr="00987DDC">
        <w:t>(</w:t>
      </w:r>
      <w:r w:rsidRPr="00987DDC">
        <w:rPr>
          <w:rStyle w:val="FootnoteReference"/>
        </w:rPr>
        <w:footnoteRef/>
      </w:r>
      <w:r w:rsidRPr="00987DDC">
        <w:t>)</w:t>
      </w:r>
      <w:r w:rsidRPr="00987DDC">
        <w:tab/>
        <w:t>Sprawozdanie FRA, s. 36.</w:t>
      </w:r>
    </w:p>
  </w:footnote>
  <w:footnote w:id="28">
    <w:p w14:paraId="07FBEE01" w14:textId="7520BFBE" w:rsidR="003912C7" w:rsidRPr="00987DDC" w:rsidRDefault="0041051C" w:rsidP="00B430DB">
      <w:pPr>
        <w:pStyle w:val="FootnoteText"/>
        <w:spacing w:after="0"/>
      </w:pPr>
      <w:r w:rsidRPr="00987DDC">
        <w:t>(</w:t>
      </w:r>
      <w:r w:rsidRPr="00987DDC">
        <w:rPr>
          <w:rStyle w:val="FootnoteReference"/>
        </w:rPr>
        <w:footnoteRef/>
      </w:r>
      <w:r w:rsidRPr="00987DDC">
        <w:t>)</w:t>
      </w:r>
      <w:r w:rsidRPr="00987DDC">
        <w:tab/>
        <w:t>Art. 5 wniosku dotyczącego przepisów proceduralnych.</w:t>
      </w:r>
    </w:p>
  </w:footnote>
  <w:footnote w:id="29">
    <w:p w14:paraId="683AA84A" w14:textId="4915D355" w:rsidR="003912C7" w:rsidRPr="00987DDC" w:rsidRDefault="0041051C" w:rsidP="00104DF8">
      <w:pPr>
        <w:pStyle w:val="FootnoteText"/>
        <w:spacing w:after="0"/>
      </w:pPr>
      <w:r w:rsidRPr="00987DDC">
        <w:t>(</w:t>
      </w:r>
      <w:r w:rsidRPr="00987DDC">
        <w:rPr>
          <w:rStyle w:val="FootnoteReference"/>
        </w:rPr>
        <w:footnoteRef/>
      </w:r>
      <w:r w:rsidRPr="00987DDC">
        <w:t xml:space="preserve">) </w:t>
      </w:r>
      <w:r w:rsidRPr="00987DDC">
        <w:tab/>
        <w:t>W Rumunii do sądu zaskarżono wszystkie 26 decyzji stwierdzających naruszenie, natomiast</w:t>
      </w:r>
      <w:r w:rsidR="00987DDC" w:rsidRPr="00987DDC">
        <w:t xml:space="preserve"> w</w:t>
      </w:r>
      <w:r w:rsidR="00987DDC">
        <w:t> </w:t>
      </w:r>
      <w:r w:rsidR="00987DDC" w:rsidRPr="00987DDC">
        <w:t>Nid</w:t>
      </w:r>
      <w:r w:rsidRPr="00987DDC">
        <w:t>erlandach wskaźnik zaskarżenia wyniósł 23</w:t>
      </w:r>
      <w:r w:rsidR="00987DDC" w:rsidRPr="00987DDC">
        <w:t> </w:t>
      </w:r>
      <w:r w:rsidRPr="00987DDC">
        <w:t>%. Wskaźnik powodzenia wniesionych środków zaskarżenia był najwyższy</w:t>
      </w:r>
      <w:r w:rsidR="00987DDC" w:rsidRPr="00987DDC">
        <w:t xml:space="preserve"> w</w:t>
      </w:r>
      <w:r w:rsidR="00987DDC">
        <w:t> </w:t>
      </w:r>
      <w:r w:rsidR="00987DDC" w:rsidRPr="00987DDC">
        <w:t>Bel</w:t>
      </w:r>
      <w:r w:rsidRPr="00987DDC">
        <w:t xml:space="preserve">gii (39 %). </w:t>
      </w:r>
    </w:p>
  </w:footnote>
  <w:footnote w:id="30">
    <w:p w14:paraId="41591932" w14:textId="0E086273" w:rsidR="23D2B290"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Największą liczbę postępowań</w:t>
      </w:r>
      <w:r w:rsidR="00987DDC" w:rsidRPr="00987DDC">
        <w:t xml:space="preserve"> z</w:t>
      </w:r>
      <w:r w:rsidR="00987DDC">
        <w:t> </w:t>
      </w:r>
      <w:r w:rsidR="00987DDC" w:rsidRPr="00987DDC">
        <w:t>wła</w:t>
      </w:r>
      <w:r w:rsidRPr="00987DDC">
        <w:t>snej inicjatywy wszczęły organy ochrony danych</w:t>
      </w:r>
      <w:r w:rsidR="00987DDC" w:rsidRPr="00987DDC">
        <w:t xml:space="preserve"> w</w:t>
      </w:r>
      <w:r w:rsidR="00987DDC">
        <w:t> </w:t>
      </w:r>
      <w:r w:rsidR="00987DDC" w:rsidRPr="00987DDC">
        <w:t>Nie</w:t>
      </w:r>
      <w:r w:rsidRPr="00987DDC">
        <w:t>mczech (7 647), wyprzedzając Węgry (3 332), Austrię (1 681)</w:t>
      </w:r>
      <w:r w:rsidR="00987DDC" w:rsidRPr="00987DDC">
        <w:t xml:space="preserve"> i</w:t>
      </w:r>
      <w:r w:rsidR="00987DDC">
        <w:t> </w:t>
      </w:r>
      <w:r w:rsidR="00987DDC" w:rsidRPr="00987DDC">
        <w:t>Fra</w:t>
      </w:r>
      <w:r w:rsidRPr="00987DDC">
        <w:t>ncję (1 571).</w:t>
      </w:r>
    </w:p>
  </w:footnote>
  <w:footnote w:id="31">
    <w:p w14:paraId="5D30E94E" w14:textId="3C09180B" w:rsidR="23D2B290" w:rsidRPr="00987DDC" w:rsidRDefault="0041051C" w:rsidP="00F9148F">
      <w:pPr>
        <w:pStyle w:val="FootnoteText"/>
        <w:spacing w:after="0"/>
      </w:pPr>
      <w:r w:rsidRPr="00987DDC">
        <w:rPr>
          <w:vertAlign w:val="superscript"/>
        </w:rPr>
        <w:t>(</w:t>
      </w:r>
      <w:r w:rsidRPr="00987DDC">
        <w:rPr>
          <w:vertAlign w:val="superscript"/>
        </w:rPr>
        <w:footnoteRef/>
      </w:r>
      <w:r w:rsidRPr="00987DDC">
        <w:rPr>
          <w:vertAlign w:val="superscript"/>
        </w:rPr>
        <w:t xml:space="preserve">) </w:t>
      </w:r>
      <w:r w:rsidRPr="00987DDC">
        <w:tab/>
        <w:t>W 2022</w:t>
      </w:r>
      <w:r w:rsidR="00987DDC" w:rsidRPr="00987DDC">
        <w:t> </w:t>
      </w:r>
      <w:r w:rsidRPr="00987DDC">
        <w:t>r. dziewięć organów ochrony danych otrzymało ponad 2 000 skarg. Największą liczbę skarg odnotowano</w:t>
      </w:r>
      <w:r w:rsidR="00987DDC" w:rsidRPr="00987DDC">
        <w:t xml:space="preserve"> w</w:t>
      </w:r>
      <w:r w:rsidR="00987DDC">
        <w:t> </w:t>
      </w:r>
      <w:r w:rsidR="00987DDC" w:rsidRPr="00987DDC">
        <w:t>Nie</w:t>
      </w:r>
      <w:r w:rsidRPr="00987DDC">
        <w:t>mczech (32 300), we Włoszech (30 880),</w:t>
      </w:r>
      <w:r w:rsidR="00987DDC" w:rsidRPr="00987DDC">
        <w:t xml:space="preserve"> w</w:t>
      </w:r>
      <w:r w:rsidR="00987DDC">
        <w:t> </w:t>
      </w:r>
      <w:r w:rsidR="00987DDC" w:rsidRPr="00987DDC">
        <w:t>His</w:t>
      </w:r>
      <w:r w:rsidRPr="00987DDC">
        <w:t>zpanii (15 128), Niderlandach (13 133) i we Francji (12 193), natomiast najniższą</w:t>
      </w:r>
      <w:r w:rsidR="00987DDC" w:rsidRPr="00987DDC">
        <w:t xml:space="preserve"> w</w:t>
      </w:r>
      <w:r w:rsidR="00987DDC">
        <w:t> </w:t>
      </w:r>
      <w:r w:rsidR="00987DDC" w:rsidRPr="00987DDC">
        <w:t>Lie</w:t>
      </w:r>
      <w:r w:rsidRPr="00987DDC">
        <w:t>chtensteinie (40), Islandii (140)</w:t>
      </w:r>
      <w:r w:rsidR="00987DDC" w:rsidRPr="00987DDC">
        <w:t xml:space="preserve"> i</w:t>
      </w:r>
      <w:r w:rsidR="00987DDC">
        <w:t> </w:t>
      </w:r>
      <w:r w:rsidR="00987DDC" w:rsidRPr="00987DDC">
        <w:t>Cho</w:t>
      </w:r>
      <w:r w:rsidRPr="00987DDC">
        <w:t>rwacji (271).</w:t>
      </w:r>
    </w:p>
  </w:footnote>
  <w:footnote w:id="32">
    <w:p w14:paraId="193666C1" w14:textId="63125119" w:rsidR="23D2B290"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Administracyjne kary pieniężne nakładały wszystkie organy</w:t>
      </w:r>
      <w:r w:rsidR="00987DDC" w:rsidRPr="00987DDC">
        <w:t xml:space="preserve"> z</w:t>
      </w:r>
      <w:r w:rsidR="00987DDC">
        <w:t> </w:t>
      </w:r>
      <w:r w:rsidR="00987DDC" w:rsidRPr="00987DDC">
        <w:t>wyj</w:t>
      </w:r>
      <w:r w:rsidRPr="00987DDC">
        <w:t>ątkiem Danii,</w:t>
      </w:r>
      <w:r w:rsidR="00987DDC" w:rsidRPr="00987DDC">
        <w:t xml:space="preserve"> w</w:t>
      </w:r>
      <w:r w:rsidR="00987DDC">
        <w:t> </w:t>
      </w:r>
      <w:r w:rsidR="00987DDC" w:rsidRPr="00987DDC">
        <w:t>któ</w:t>
      </w:r>
      <w:r w:rsidRPr="00987DDC">
        <w:t>rej nie stosuje się administracyjnych kar pieniężnych. Największą liczbę kar pieniężnych nałożono</w:t>
      </w:r>
      <w:r w:rsidR="00987DDC" w:rsidRPr="00987DDC">
        <w:t xml:space="preserve"> w</w:t>
      </w:r>
      <w:r w:rsidR="00987DDC">
        <w:t> </w:t>
      </w:r>
      <w:r w:rsidR="00987DDC" w:rsidRPr="00987DDC">
        <w:t>Nie</w:t>
      </w:r>
      <w:r w:rsidRPr="00987DDC">
        <w:t>mczech (2 106)</w:t>
      </w:r>
      <w:r w:rsidR="00987DDC" w:rsidRPr="00987DDC">
        <w:t xml:space="preserve"> i</w:t>
      </w:r>
      <w:r w:rsidR="00987DDC">
        <w:t> </w:t>
      </w:r>
      <w:r w:rsidR="00987DDC" w:rsidRPr="00987DDC">
        <w:t>His</w:t>
      </w:r>
      <w:r w:rsidRPr="00987DDC">
        <w:t>zpanii (1 596). Najmniej kar pieniężnych nałożono</w:t>
      </w:r>
      <w:r w:rsidR="00987DDC" w:rsidRPr="00987DDC">
        <w:t xml:space="preserve"> w</w:t>
      </w:r>
      <w:r w:rsidR="00987DDC">
        <w:t> </w:t>
      </w:r>
      <w:r w:rsidR="00987DDC" w:rsidRPr="00987DDC">
        <w:t>Lie</w:t>
      </w:r>
      <w:r w:rsidRPr="00987DDC">
        <w:t>chtensteinie (3), Islandii (15)</w:t>
      </w:r>
      <w:r w:rsidR="00987DDC" w:rsidRPr="00987DDC">
        <w:t xml:space="preserve"> i</w:t>
      </w:r>
      <w:r w:rsidR="00987DDC">
        <w:t> </w:t>
      </w:r>
      <w:r w:rsidR="00987DDC" w:rsidRPr="00987DDC">
        <w:t>Fin</w:t>
      </w:r>
      <w:r w:rsidRPr="00987DDC">
        <w:t>landii (20).</w:t>
      </w:r>
    </w:p>
  </w:footnote>
  <w:footnote w:id="33">
    <w:p w14:paraId="2D570FE0" w14:textId="637E9502" w:rsidR="003912C7"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Sprawozdanie FRA, s. 38.</w:t>
      </w:r>
    </w:p>
  </w:footnote>
  <w:footnote w:id="34">
    <w:p w14:paraId="6EC33B57" w14:textId="78EA802F" w:rsidR="003912C7"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Sprawozdanie FRA, s. 20</w:t>
      </w:r>
      <w:r w:rsidR="00987DDC" w:rsidRPr="00987DDC">
        <w:t xml:space="preserve"> i</w:t>
      </w:r>
      <w:r w:rsidR="00987DDC">
        <w:t> </w:t>
      </w:r>
      <w:r w:rsidR="00987DDC" w:rsidRPr="00987DDC">
        <w:t>2</w:t>
      </w:r>
      <w:r w:rsidRPr="00987DDC">
        <w:t>3. Zob. również stanowisko</w:t>
      </w:r>
      <w:r w:rsidR="00987DDC" w:rsidRPr="00987DDC">
        <w:t xml:space="preserve"> i</w:t>
      </w:r>
      <w:r w:rsidR="00987DDC">
        <w:t> </w:t>
      </w:r>
      <w:r w:rsidR="00987DDC" w:rsidRPr="00987DDC">
        <w:t>ust</w:t>
      </w:r>
      <w:r w:rsidRPr="00987DDC">
        <w:t>alenia Rady, pkt</w:t>
      </w:r>
      <w:r w:rsidR="00987DDC" w:rsidRPr="00987DDC">
        <w:t> </w:t>
      </w:r>
      <w:r w:rsidRPr="00987DDC">
        <w:t>17.</w:t>
      </w:r>
    </w:p>
  </w:footnote>
  <w:footnote w:id="35">
    <w:p w14:paraId="7780E55B" w14:textId="00C72AD4" w:rsidR="0015792D"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Art. 70 ust.</w:t>
      </w:r>
      <w:r w:rsidR="00987DDC" w:rsidRPr="00987DDC">
        <w:t> </w:t>
      </w:r>
      <w:r w:rsidRPr="00987DDC">
        <w:t xml:space="preserve">1 RODO. </w:t>
      </w:r>
    </w:p>
  </w:footnote>
  <w:footnote w:id="36">
    <w:p w14:paraId="443B824C" w14:textId="6062C767" w:rsidR="0015792D"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Sprawozdanie FRA, s. 64.</w:t>
      </w:r>
    </w:p>
  </w:footnote>
  <w:footnote w:id="37">
    <w:p w14:paraId="3A027AF9" w14:textId="6716CB6A" w:rsidR="00D4057E"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Sprawozdanie FRA, s. 67. W 2023</w:t>
      </w:r>
      <w:r w:rsidR="00987DDC" w:rsidRPr="00987DDC">
        <w:t> </w:t>
      </w:r>
      <w:r w:rsidRPr="00987DDC">
        <w:t>r. niemieckie organy ochrony danych przeznaczyły najwięcej zasobów na działania EROD (26 ekwiwalentów pełnego czasu pracy (EPC)), wyprzedzając Irlandię (16 EPC)</w:t>
      </w:r>
      <w:r w:rsidR="00987DDC" w:rsidRPr="00987DDC">
        <w:t xml:space="preserve"> i</w:t>
      </w:r>
      <w:r w:rsidR="00987DDC">
        <w:t> </w:t>
      </w:r>
      <w:r w:rsidR="00987DDC" w:rsidRPr="00987DDC">
        <w:t>Fra</w:t>
      </w:r>
      <w:r w:rsidRPr="00987DDC">
        <w:t>ncję (12 EPC) (wkład EROD).</w:t>
      </w:r>
    </w:p>
  </w:footnote>
  <w:footnote w:id="38">
    <w:p w14:paraId="0C346260" w14:textId="4888A963" w:rsidR="0015792D"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 xml:space="preserve">Sprawozdanie FRA, s. 67. </w:t>
      </w:r>
    </w:p>
  </w:footnote>
  <w:footnote w:id="39">
    <w:p w14:paraId="2526A649" w14:textId="66B70303" w:rsidR="55E7C498"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Sprawozdanie FRA, s. 67; 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40">
    <w:p w14:paraId="734EC90D" w14:textId="0DEBCC2E" w:rsidR="55E7C498"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41">
    <w:p w14:paraId="19438481" w14:textId="11DF9409" w:rsidR="55E7C498" w:rsidRPr="00987DDC" w:rsidRDefault="0041051C" w:rsidP="00DF456A">
      <w:pPr>
        <w:pStyle w:val="FootnoteText"/>
        <w:spacing w:after="0"/>
      </w:pPr>
      <w:r w:rsidRPr="00987DDC">
        <w:t>(</w:t>
      </w:r>
      <w:r w:rsidRPr="00987DDC">
        <w:rPr>
          <w:rStyle w:val="FootnoteReference"/>
        </w:rPr>
        <w:footnoteRef/>
      </w:r>
      <w:r w:rsidRPr="00987DDC">
        <w:t xml:space="preserve">) </w:t>
      </w:r>
      <w:r w:rsidRPr="00987DDC">
        <w:tab/>
        <w:t>Zob. również stanowisko</w:t>
      </w:r>
      <w:r w:rsidR="00987DDC" w:rsidRPr="00987DDC">
        <w:t xml:space="preserve"> i</w:t>
      </w:r>
      <w:r w:rsidR="00987DDC">
        <w:t> </w:t>
      </w:r>
      <w:r w:rsidR="00987DDC" w:rsidRPr="00987DDC">
        <w:t>ust</w:t>
      </w:r>
      <w:r w:rsidRPr="00987DDC">
        <w:t>alenia Rady, pkt</w:t>
      </w:r>
      <w:r w:rsidR="00987DDC" w:rsidRPr="00987DDC">
        <w:t> </w:t>
      </w:r>
      <w:r w:rsidRPr="00987DDC">
        <w:t>45.</w:t>
      </w:r>
    </w:p>
  </w:footnote>
  <w:footnote w:id="42">
    <w:p w14:paraId="0B073779" w14:textId="27550ACE" w:rsidR="55E7C498" w:rsidRPr="00987DDC" w:rsidRDefault="0041051C" w:rsidP="00A830CC">
      <w:pPr>
        <w:pStyle w:val="FootnoteText"/>
        <w:spacing w:after="0"/>
      </w:pPr>
      <w:r w:rsidRPr="00987DDC">
        <w:t>(</w:t>
      </w:r>
      <w:r w:rsidRPr="00987DDC">
        <w:rPr>
          <w:rStyle w:val="FootnoteReference"/>
        </w:rPr>
        <w:footnoteRef/>
      </w:r>
      <w:r w:rsidRPr="00987DDC">
        <w:t xml:space="preserve">) </w:t>
      </w:r>
      <w:r w:rsidRPr="00987DDC">
        <w:tab/>
        <w:t>Zob. również stanowisko</w:t>
      </w:r>
      <w:r w:rsidR="00987DDC" w:rsidRPr="00987DDC">
        <w:t xml:space="preserve"> i</w:t>
      </w:r>
      <w:r w:rsidR="00987DDC">
        <w:t> </w:t>
      </w:r>
      <w:r w:rsidR="00987DDC" w:rsidRPr="00987DDC">
        <w:t>ust</w:t>
      </w:r>
      <w:r w:rsidRPr="00987DDC">
        <w:t>alenia Rady, pkt</w:t>
      </w:r>
      <w:r w:rsidR="00987DDC" w:rsidRPr="00987DDC">
        <w:t> </w:t>
      </w:r>
      <w:r w:rsidRPr="00987DDC">
        <w:t>34.</w:t>
      </w:r>
    </w:p>
  </w:footnote>
  <w:footnote w:id="43">
    <w:p w14:paraId="3119E1D7" w14:textId="3FFF8656" w:rsidR="00621BD4" w:rsidRPr="00987DDC" w:rsidRDefault="0041051C" w:rsidP="00F9148F">
      <w:pPr>
        <w:pStyle w:val="FootnoteText"/>
        <w:spacing w:after="0"/>
      </w:pPr>
      <w:r w:rsidRPr="00987DDC">
        <w:t>(</w:t>
      </w:r>
      <w:r w:rsidRPr="00987DDC">
        <w:rPr>
          <w:rStyle w:val="FootnoteReference"/>
        </w:rPr>
        <w:footnoteRef/>
      </w:r>
      <w:r w:rsidRPr="00987DDC">
        <w:t>)</w:t>
      </w:r>
      <w:r w:rsidRPr="00987DDC">
        <w:tab/>
      </w:r>
      <w:hyperlink r:id="rId11" w:history="1">
        <w:r w:rsidRPr="00987DDC">
          <w:rPr>
            <w:rStyle w:val="Hyperlink"/>
          </w:rPr>
          <w:t>https://www.edpb.europa.eu/system/files/2024-04/edpb_strategy_2024-2027_en.pdf</w:t>
        </w:r>
      </w:hyperlink>
      <w:r w:rsidRPr="00987DDC">
        <w:t xml:space="preserve">. </w:t>
      </w:r>
    </w:p>
  </w:footnote>
  <w:footnote w:id="44">
    <w:p w14:paraId="38AC7156" w14:textId="16548BB4" w:rsidR="007A3E08"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Zob. również stanowisko</w:t>
      </w:r>
      <w:r w:rsidR="00987DDC" w:rsidRPr="00987DDC">
        <w:t xml:space="preserve"> i</w:t>
      </w:r>
      <w:r w:rsidR="00987DDC">
        <w:t> </w:t>
      </w:r>
      <w:r w:rsidR="00987DDC" w:rsidRPr="00987DDC">
        <w:t>ust</w:t>
      </w:r>
      <w:r w:rsidRPr="00987DDC">
        <w:t>alenia Rady, pkt</w:t>
      </w:r>
      <w:r w:rsidR="00987DDC" w:rsidRPr="00987DDC">
        <w:t> </w:t>
      </w:r>
      <w:r w:rsidRPr="00987DDC">
        <w:t>31 lit.</w:t>
      </w:r>
      <w:r w:rsidR="00987DDC" w:rsidRPr="00987DDC">
        <w:t> </w:t>
      </w:r>
      <w:r w:rsidRPr="00987DDC">
        <w:t>d).</w:t>
      </w:r>
    </w:p>
  </w:footnote>
  <w:footnote w:id="45">
    <w:p w14:paraId="115D48C0" w14:textId="1B23C26A" w:rsidR="00837CA2"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W szczególności wymagają one jasności co do znaczenia terminu „badań naukowych”, roli zgody na przetwarzanie danych osobowych na potrzeby badań naukowych, odpowiedniej podstawy prawnej oraz ról</w:t>
      </w:r>
      <w:r w:rsidR="00987DDC" w:rsidRPr="00987DDC">
        <w:t xml:space="preserve"> i</w:t>
      </w:r>
      <w:r w:rsidR="00987DDC">
        <w:t> </w:t>
      </w:r>
      <w:r w:rsidR="00987DDC" w:rsidRPr="00987DDC">
        <w:t>odp</w:t>
      </w:r>
      <w:r w:rsidRPr="00987DDC">
        <w:t>owiedzialności zaangażowanych podmiotów.</w:t>
      </w:r>
    </w:p>
  </w:footnote>
  <w:footnote w:id="46">
    <w:p w14:paraId="6DA46BCA" w14:textId="74015CF1" w:rsidR="55E7C498"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Zob. również stanowisko</w:t>
      </w:r>
      <w:r w:rsidR="00987DDC" w:rsidRPr="00987DDC">
        <w:t xml:space="preserve"> i</w:t>
      </w:r>
      <w:r w:rsidR="00987DDC">
        <w:t> </w:t>
      </w:r>
      <w:r w:rsidR="00987DDC" w:rsidRPr="00987DDC">
        <w:t>ust</w:t>
      </w:r>
      <w:r w:rsidRPr="00987DDC">
        <w:t>alenia Rady, pkt</w:t>
      </w:r>
      <w:r w:rsidR="00987DDC" w:rsidRPr="00987DDC">
        <w:t> </w:t>
      </w:r>
      <w:r w:rsidRPr="00987DDC">
        <w:t>31 lit.</w:t>
      </w:r>
      <w:r w:rsidR="00987DDC" w:rsidRPr="00987DDC">
        <w:t> </w:t>
      </w:r>
      <w:r w:rsidRPr="00987DDC">
        <w:t>b).</w:t>
      </w:r>
    </w:p>
  </w:footnote>
  <w:footnote w:id="47">
    <w:p w14:paraId="35F6EBCC" w14:textId="144261FB" w:rsidR="004543C6"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Stanowisko</w:t>
      </w:r>
      <w:r w:rsidR="00987DDC" w:rsidRPr="00987DDC">
        <w:t xml:space="preserve"> i</w:t>
      </w:r>
      <w:r w:rsidR="00987DDC">
        <w:t> </w:t>
      </w:r>
      <w:r w:rsidR="00987DDC" w:rsidRPr="00987DDC">
        <w:t>ust</w:t>
      </w:r>
      <w:r w:rsidRPr="00987DDC">
        <w:t>alenia Rady, pkt</w:t>
      </w:r>
      <w:r w:rsidR="00987DDC" w:rsidRPr="00987DDC">
        <w:t> </w:t>
      </w:r>
      <w:r w:rsidRPr="00987DDC">
        <w:t>27–28.</w:t>
      </w:r>
    </w:p>
  </w:footnote>
  <w:footnote w:id="48">
    <w:p w14:paraId="0ACF28F3" w14:textId="27F02F1F" w:rsidR="00081470"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 xml:space="preserve">Art. 52 RODO. </w:t>
      </w:r>
    </w:p>
  </w:footnote>
  <w:footnote w:id="49">
    <w:p w14:paraId="4862A6E1" w14:textId="664C84DC" w:rsidR="00081470" w:rsidRPr="00987DDC" w:rsidRDefault="0041051C" w:rsidP="00A41CF7">
      <w:pPr>
        <w:pStyle w:val="FootnoteText"/>
        <w:spacing w:after="0"/>
      </w:pPr>
      <w:r w:rsidRPr="00987DDC">
        <w:t>(</w:t>
      </w:r>
      <w:r w:rsidRPr="00987DDC">
        <w:rPr>
          <w:rStyle w:val="FootnoteReference"/>
        </w:rPr>
        <w:footnoteRef/>
      </w:r>
      <w:r w:rsidRPr="00987DDC">
        <w:t xml:space="preserve">) </w:t>
      </w:r>
      <w:r w:rsidRPr="00987DDC">
        <w:tab/>
        <w:t>Sprawozdanie FRA, s. 31.</w:t>
      </w:r>
    </w:p>
  </w:footnote>
  <w:footnote w:id="50">
    <w:p w14:paraId="762310F7" w14:textId="58A8AB0D" w:rsidR="00D363B5" w:rsidRPr="00987DDC" w:rsidRDefault="00D363B5" w:rsidP="00A41CF7">
      <w:pPr>
        <w:pStyle w:val="FootnoteText"/>
        <w:spacing w:after="0"/>
      </w:pPr>
      <w:r w:rsidRPr="00987DDC">
        <w:t>(</w:t>
      </w:r>
      <w:r w:rsidRPr="00987DDC">
        <w:rPr>
          <w:rStyle w:val="FootnoteReference"/>
        </w:rPr>
        <w:footnoteRef/>
      </w:r>
      <w:r w:rsidRPr="00987DDC">
        <w:t>)</w:t>
      </w:r>
      <w:r w:rsidRPr="00987DDC">
        <w:tab/>
        <w:t>Zob. sekcja 4.4.1 wkładu EROD – również pod kątem liczb bezwzględnych.</w:t>
      </w:r>
    </w:p>
  </w:footnote>
  <w:footnote w:id="51">
    <w:p w14:paraId="5FC51CE2" w14:textId="77777777" w:rsidR="00B55687" w:rsidRPr="00987DDC" w:rsidRDefault="00B55687" w:rsidP="00A41CF7">
      <w:pPr>
        <w:pStyle w:val="FootnoteText"/>
        <w:spacing w:after="0"/>
      </w:pPr>
      <w:r w:rsidRPr="00987DDC">
        <w:t>(</w:t>
      </w:r>
      <w:r w:rsidRPr="00987DDC">
        <w:rPr>
          <w:rStyle w:val="FootnoteReference"/>
        </w:rPr>
        <w:footnoteRef/>
      </w:r>
      <w:r w:rsidRPr="00987DDC">
        <w:t xml:space="preserve">) </w:t>
      </w:r>
      <w:r w:rsidRPr="00987DDC">
        <w:tab/>
        <w:t>Tylko pięć organów ochrony danych uważa, że dysponują odpowiednimi zasobami ludzkimi (wkład EROD, s. 33).</w:t>
      </w:r>
    </w:p>
  </w:footnote>
  <w:footnote w:id="52">
    <w:p w14:paraId="29DBA949" w14:textId="5BE39322" w:rsidR="00A228AF" w:rsidRPr="00987DDC" w:rsidRDefault="0041051C" w:rsidP="00A41CF7">
      <w:pPr>
        <w:pStyle w:val="FootnoteText"/>
        <w:spacing w:after="0"/>
      </w:pPr>
      <w:r w:rsidRPr="00987DDC">
        <w:t>(</w:t>
      </w:r>
      <w:r w:rsidRPr="00987DDC">
        <w:rPr>
          <w:rStyle w:val="FootnoteReference"/>
        </w:rPr>
        <w:footnoteRef/>
      </w:r>
      <w:r w:rsidRPr="00987DDC">
        <w:t xml:space="preserve">) </w:t>
      </w:r>
      <w:r w:rsidRPr="00987DDC">
        <w:tab/>
        <w:t>Sprawozdanie FRA, s. 20. Niektóre organy ochrony danych podzlecają zewnętrznym wykonawcom niektóre zadania, takie jak rozpatrywanie skarg, analiza prawna</w:t>
      </w:r>
      <w:r w:rsidR="00987DDC" w:rsidRPr="00987DDC">
        <w:t xml:space="preserve"> i</w:t>
      </w:r>
      <w:r w:rsidR="00987DDC">
        <w:t> </w:t>
      </w:r>
      <w:r w:rsidR="00987DDC" w:rsidRPr="00987DDC">
        <w:t>ana</w:t>
      </w:r>
      <w:r w:rsidRPr="00987DDC">
        <w:t xml:space="preserve">liza kryminalistyczna. </w:t>
      </w:r>
    </w:p>
  </w:footnote>
  <w:footnote w:id="53">
    <w:p w14:paraId="6AFA0FF6" w14:textId="7F5453DC" w:rsidR="00A228AF"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 xml:space="preserve">Sprawozdanie FRA, s. 24. </w:t>
      </w:r>
    </w:p>
  </w:footnote>
  <w:footnote w:id="54">
    <w:p w14:paraId="16434449" w14:textId="61220A11" w:rsidR="00A228AF"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 xml:space="preserve">Sprawozdanie FRA, s. 22. </w:t>
      </w:r>
    </w:p>
  </w:footnote>
  <w:footnote w:id="55">
    <w:p w14:paraId="2D9F57FF" w14:textId="314F7ADA" w:rsidR="00A228AF"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 xml:space="preserve">Zob. sekcja 4.4.5 wkładu EROD. </w:t>
      </w:r>
    </w:p>
  </w:footnote>
  <w:footnote w:id="56">
    <w:p w14:paraId="54FFA34F" w14:textId="63A789CE" w:rsidR="00A228AF"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 xml:space="preserve">Wkład EROD, s. 32. </w:t>
      </w:r>
    </w:p>
  </w:footnote>
  <w:footnote w:id="57">
    <w:p w14:paraId="6840AD29" w14:textId="71E924C9" w:rsidR="00153956" w:rsidRPr="00987DDC" w:rsidRDefault="0041051C" w:rsidP="00250143">
      <w:pPr>
        <w:pStyle w:val="FootnoteText"/>
        <w:spacing w:after="0"/>
      </w:pPr>
      <w:r w:rsidRPr="00987DDC">
        <w:t>(</w:t>
      </w:r>
      <w:r w:rsidRPr="00987DDC">
        <w:rPr>
          <w:rStyle w:val="FootnoteReference"/>
        </w:rPr>
        <w:footnoteRef/>
      </w:r>
      <w:r w:rsidRPr="00987DDC">
        <w:t>)</w:t>
      </w:r>
      <w:r w:rsidRPr="00987DDC">
        <w:tab/>
        <w:t xml:space="preserve">Sprawozdanie FRA, s. 48. </w:t>
      </w:r>
    </w:p>
  </w:footnote>
  <w:footnote w:id="58">
    <w:p w14:paraId="6E28E716" w14:textId="08903E2D" w:rsidR="00A228AF" w:rsidRPr="00987DDC" w:rsidRDefault="0041051C" w:rsidP="00D73F17">
      <w:pPr>
        <w:pStyle w:val="FootnoteText"/>
        <w:spacing w:after="0"/>
      </w:pPr>
      <w:r w:rsidRPr="00987DDC">
        <w:t>(</w:t>
      </w:r>
      <w:r w:rsidRPr="00987DDC">
        <w:rPr>
          <w:rStyle w:val="FootnoteReference"/>
        </w:rPr>
        <w:footnoteRef/>
      </w:r>
      <w:r w:rsidRPr="00987DDC">
        <w:t xml:space="preserve">) </w:t>
      </w:r>
      <w:r w:rsidRPr="00987DDC">
        <w:tab/>
        <w:t>Sprawozdanie FRA, s. 45. Organy ochrony danych uznają postępowania</w:t>
      </w:r>
      <w:r w:rsidR="00987DDC" w:rsidRPr="00987DDC">
        <w:t xml:space="preserve"> z</w:t>
      </w:r>
      <w:r w:rsidR="00987DDC">
        <w:t> </w:t>
      </w:r>
      <w:r w:rsidR="00987DDC" w:rsidRPr="00987DDC">
        <w:t>urz</w:t>
      </w:r>
      <w:r w:rsidRPr="00987DDC">
        <w:t xml:space="preserve">ędu za szczególnie istotne, ponieważ skarżący mogą nie być świadomi wielu naruszeń RODO. </w:t>
      </w:r>
    </w:p>
  </w:footnote>
  <w:footnote w:id="59">
    <w:p w14:paraId="26B2CCF0" w14:textId="5BC79148" w:rsidR="00126B76"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Sprawozdanie FRA, s. 8.</w:t>
      </w:r>
    </w:p>
  </w:footnote>
  <w:footnote w:id="60">
    <w:p w14:paraId="346CD05E" w14:textId="0AB04D31" w:rsidR="00126B76"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 xml:space="preserve">Sprawozdanie FRA, s. 39. </w:t>
      </w:r>
    </w:p>
  </w:footnote>
  <w:footnote w:id="61">
    <w:p w14:paraId="4D8278AE" w14:textId="288DFAB0" w:rsidR="00126B76"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 xml:space="preserve">Sprawozdanie FRA, s. 41. </w:t>
      </w:r>
    </w:p>
  </w:footnote>
  <w:footnote w:id="62">
    <w:p w14:paraId="1F60B431" w14:textId="5BB9AFE5" w:rsidR="00A228AF"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t xml:space="preserve">Motyw 9 RODO. </w:t>
      </w:r>
    </w:p>
  </w:footnote>
  <w:footnote w:id="63">
    <w:p w14:paraId="6F6E9E61" w14:textId="3C64DCD3" w:rsidR="00F9148F" w:rsidRPr="00987DDC" w:rsidRDefault="0041051C" w:rsidP="00F9148F">
      <w:pPr>
        <w:pStyle w:val="FootnoteText"/>
        <w:spacing w:after="0"/>
      </w:pPr>
      <w:r w:rsidRPr="00987DDC">
        <w:t>(</w:t>
      </w:r>
      <w:r w:rsidRPr="00987DDC">
        <w:rPr>
          <w:rStyle w:val="FootnoteReference"/>
        </w:rPr>
        <w:footnoteRef/>
      </w:r>
      <w:r w:rsidRPr="00987DDC">
        <w:t>)</w:t>
      </w:r>
      <w:r w:rsidRPr="00987DDC">
        <w:tab/>
        <w:t>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p>
  </w:footnote>
  <w:footnote w:id="64">
    <w:p w14:paraId="7AEE1E38" w14:textId="18ACA2D6" w:rsidR="55E7C498"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65">
    <w:p w14:paraId="006F5A16" w14:textId="4C3D86C6" w:rsidR="55E7C498"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66">
    <w:p w14:paraId="3F27D685" w14:textId="0EBF3EF8" w:rsidR="008E3A07" w:rsidRPr="00987DDC" w:rsidRDefault="008E3A07" w:rsidP="008E3A07">
      <w:pPr>
        <w:pStyle w:val="FootnoteText"/>
        <w:spacing w:after="0"/>
      </w:pPr>
      <w:r w:rsidRPr="00987DDC">
        <w:t>(</w:t>
      </w:r>
      <w:r w:rsidRPr="00987DDC">
        <w:rPr>
          <w:rStyle w:val="FootnoteReference"/>
        </w:rPr>
        <w:footnoteRef/>
      </w:r>
      <w:r w:rsidRPr="00987DDC">
        <w:t>)</w:t>
      </w:r>
      <w:r w:rsidRPr="00987DDC">
        <w:tab/>
        <w:t>Odpowiednio art.</w:t>
      </w:r>
      <w:r w:rsidR="00987DDC" w:rsidRPr="00987DDC">
        <w:t> </w:t>
      </w:r>
      <w:r w:rsidRPr="00987DDC">
        <w:t>6 ust.</w:t>
      </w:r>
      <w:r w:rsidR="00987DDC" w:rsidRPr="00987DDC">
        <w:t> </w:t>
      </w:r>
      <w:r w:rsidRPr="00987DDC">
        <w:t>1 lit.</w:t>
      </w:r>
      <w:r w:rsidR="00987DDC" w:rsidRPr="00987DDC">
        <w:t> </w:t>
      </w:r>
      <w:r w:rsidRPr="00987DDC">
        <w:t>f) i a) RODO.</w:t>
      </w:r>
    </w:p>
  </w:footnote>
  <w:footnote w:id="67">
    <w:p w14:paraId="4FE6D9BE" w14:textId="69D08BA6" w:rsidR="27DF98C2"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Art. 22 ust.</w:t>
      </w:r>
      <w:r w:rsidR="00987DDC" w:rsidRPr="00987DDC">
        <w:t> </w:t>
      </w:r>
      <w:r w:rsidRPr="00987DDC">
        <w:t xml:space="preserve">2 RODO. </w:t>
      </w:r>
    </w:p>
  </w:footnote>
  <w:footnote w:id="68">
    <w:p w14:paraId="4577F39B" w14:textId="0D27C12C" w:rsidR="00164AC1" w:rsidRPr="00987DDC" w:rsidRDefault="0041051C" w:rsidP="00F9148F">
      <w:pPr>
        <w:pStyle w:val="FootnoteText"/>
        <w:spacing w:after="0"/>
      </w:pPr>
      <w:r w:rsidRPr="00987DDC">
        <w:t>(</w:t>
      </w:r>
      <w:r w:rsidRPr="00987DDC">
        <w:rPr>
          <w:rStyle w:val="FootnoteReference"/>
        </w:rPr>
        <w:footnoteRef/>
      </w:r>
      <w:r w:rsidRPr="00987DDC">
        <w:t>)</w:t>
      </w:r>
      <w:r w:rsidRPr="00987DDC">
        <w:tab/>
        <w:t xml:space="preserve">Motyw 4. </w:t>
      </w:r>
    </w:p>
  </w:footnote>
  <w:footnote w:id="69">
    <w:p w14:paraId="7B49D38D" w14:textId="3C4BA722" w:rsidR="00E766FC" w:rsidRPr="00987DDC" w:rsidRDefault="0041051C" w:rsidP="00250143">
      <w:pPr>
        <w:pStyle w:val="FootnoteText"/>
        <w:spacing w:after="0"/>
      </w:pPr>
      <w:r w:rsidRPr="00987DDC">
        <w:t>(</w:t>
      </w:r>
      <w:r w:rsidRPr="00987DDC">
        <w:rPr>
          <w:rStyle w:val="FootnoteReference"/>
        </w:rPr>
        <w:footnoteRef/>
      </w:r>
      <w:r w:rsidRPr="00987DDC">
        <w:t xml:space="preserve">) </w:t>
      </w:r>
      <w:r w:rsidRPr="00987DDC">
        <w:tab/>
      </w:r>
      <w:bookmarkStart w:id="18" w:name="_Hlk164343791"/>
      <w:r w:rsidRPr="00987DDC">
        <w:t>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bookmarkEnd w:id="18"/>
      <w:r w:rsidRPr="00987DDC">
        <w:t xml:space="preserve"> </w:t>
      </w:r>
    </w:p>
  </w:footnote>
  <w:footnote w:id="70">
    <w:p w14:paraId="4F2084A6" w14:textId="42C10E2C" w:rsidR="00DB6F0E" w:rsidRPr="00987DDC" w:rsidRDefault="0041051C" w:rsidP="00250143">
      <w:pPr>
        <w:pStyle w:val="FootnoteText"/>
        <w:spacing w:after="0"/>
      </w:pPr>
      <w:r w:rsidRPr="00987DDC">
        <w:t>(</w:t>
      </w:r>
      <w:r w:rsidRPr="00987DDC">
        <w:rPr>
          <w:rStyle w:val="FootnoteReference"/>
        </w:rPr>
        <w:footnoteRef/>
      </w:r>
      <w:r w:rsidRPr="00987DDC">
        <w:t>)</w:t>
      </w:r>
      <w:r w:rsidRPr="00987DDC">
        <w:tab/>
        <w:t>Np. minimalny wiek dziecka wymagany do wyrażenia zgody</w:t>
      </w:r>
      <w:r w:rsidR="00987DDC" w:rsidRPr="00987DDC">
        <w:t xml:space="preserve"> w</w:t>
      </w:r>
      <w:r w:rsidR="00987DDC">
        <w:t> </w:t>
      </w:r>
      <w:r w:rsidR="00987DDC" w:rsidRPr="00987DDC">
        <w:t>prz</w:t>
      </w:r>
      <w:r w:rsidRPr="00987DDC">
        <w:t>ypadku usług społeczeństwa informacyjnego (art.</w:t>
      </w:r>
      <w:r w:rsidR="00987DDC" w:rsidRPr="00987DDC">
        <w:t> </w:t>
      </w:r>
      <w:r w:rsidRPr="00987DDC">
        <w:t>8 ust.</w:t>
      </w:r>
      <w:r w:rsidR="00987DDC" w:rsidRPr="00987DDC">
        <w:t> </w:t>
      </w:r>
      <w:r w:rsidRPr="00987DDC">
        <w:t>1 RODO).</w:t>
      </w:r>
    </w:p>
  </w:footnote>
  <w:footnote w:id="71">
    <w:p w14:paraId="31C1DB5E" w14:textId="56278DCE" w:rsidR="006E1C97" w:rsidRPr="00987DDC" w:rsidRDefault="0041051C" w:rsidP="00F9148F">
      <w:pPr>
        <w:pStyle w:val="FootnoteText"/>
        <w:spacing w:after="0"/>
      </w:pPr>
      <w:r w:rsidRPr="00987DDC">
        <w:t>(</w:t>
      </w:r>
      <w:r w:rsidRPr="00987DDC">
        <w:rPr>
          <w:rStyle w:val="FootnoteReference"/>
        </w:rPr>
        <w:footnoteRef/>
      </w:r>
      <w:r w:rsidRPr="00987DDC">
        <w:t>)</w:t>
      </w:r>
      <w:r w:rsidRPr="00987DDC">
        <w:tab/>
        <w:t>Art. 8 ust.</w:t>
      </w:r>
      <w:r w:rsidR="00987DDC" w:rsidRPr="00987DDC">
        <w:t> </w:t>
      </w:r>
      <w:r w:rsidRPr="00987DDC">
        <w:t>1 RODO.</w:t>
      </w:r>
    </w:p>
  </w:footnote>
  <w:footnote w:id="72">
    <w:p w14:paraId="16833698" w14:textId="77D96B69" w:rsidR="006E1C97" w:rsidRPr="00987DDC" w:rsidRDefault="0041051C" w:rsidP="00F9148F">
      <w:pPr>
        <w:pStyle w:val="FootnoteText"/>
        <w:spacing w:after="0"/>
      </w:pPr>
      <w:r w:rsidRPr="00987DDC">
        <w:t>(</w:t>
      </w:r>
      <w:r w:rsidRPr="00987DDC">
        <w:rPr>
          <w:rStyle w:val="FootnoteReference"/>
        </w:rPr>
        <w:footnoteRef/>
      </w:r>
      <w:r w:rsidRPr="00987DDC">
        <w:t>)</w:t>
      </w:r>
      <w:r w:rsidRPr="00987DDC">
        <w:tab/>
        <w:t>Możliwość przewidziana</w:t>
      </w:r>
      <w:r w:rsidR="00987DDC" w:rsidRPr="00987DDC">
        <w:t xml:space="preserve"> w</w:t>
      </w:r>
      <w:r w:rsidR="00987DDC">
        <w:t> </w:t>
      </w:r>
      <w:r w:rsidR="00987DDC" w:rsidRPr="00987DDC">
        <w:t>art</w:t>
      </w:r>
      <w:r w:rsidRPr="00987DDC">
        <w:t>.</w:t>
      </w:r>
      <w:r w:rsidR="00987DDC" w:rsidRPr="00987DDC">
        <w:t> </w:t>
      </w:r>
      <w:r w:rsidRPr="00987DDC">
        <w:t>9 ust.</w:t>
      </w:r>
      <w:r w:rsidR="00987DDC" w:rsidRPr="00987DDC">
        <w:t> </w:t>
      </w:r>
      <w:r w:rsidRPr="00987DDC">
        <w:t>4 RODO.</w:t>
      </w:r>
    </w:p>
  </w:footnote>
  <w:footnote w:id="73">
    <w:p w14:paraId="55B3514E" w14:textId="766B0632" w:rsidR="006E1C97" w:rsidRPr="00987DDC" w:rsidRDefault="0041051C" w:rsidP="00F9148F">
      <w:pPr>
        <w:pStyle w:val="FootnoteText"/>
        <w:spacing w:after="0"/>
      </w:pPr>
      <w:r w:rsidRPr="00987DDC">
        <w:t>(</w:t>
      </w:r>
      <w:r w:rsidRPr="00987DDC">
        <w:rPr>
          <w:rStyle w:val="FootnoteReference"/>
        </w:rPr>
        <w:footnoteRef/>
      </w:r>
      <w:r w:rsidRPr="00987DDC">
        <w:t>)</w:t>
      </w:r>
      <w:r w:rsidRPr="00987DDC">
        <w:tab/>
        <w:t>Art. 10 RODO.</w:t>
      </w:r>
    </w:p>
  </w:footnote>
  <w:footnote w:id="74">
    <w:p w14:paraId="7241717D" w14:textId="5928FCB6" w:rsidR="00851339" w:rsidRPr="00987DDC" w:rsidRDefault="0041051C" w:rsidP="00F9148F">
      <w:pPr>
        <w:pStyle w:val="FootnoteText"/>
        <w:spacing w:after="0"/>
      </w:pPr>
      <w:r w:rsidRPr="00987DDC">
        <w:t>(</w:t>
      </w:r>
      <w:r w:rsidRPr="00987DDC">
        <w:rPr>
          <w:rStyle w:val="FootnoteReference"/>
        </w:rPr>
        <w:footnoteRef/>
      </w:r>
      <w:r w:rsidRPr="00987DDC">
        <w:t>)</w:t>
      </w:r>
      <w:r w:rsidRPr="00987DDC">
        <w:tab/>
        <w:t>Stanowisko</w:t>
      </w:r>
      <w:r w:rsidR="00987DDC" w:rsidRPr="00987DDC">
        <w:t xml:space="preserve"> i</w:t>
      </w:r>
      <w:r w:rsidR="00987DDC">
        <w:t> </w:t>
      </w:r>
      <w:r w:rsidR="00987DDC" w:rsidRPr="00987DDC">
        <w:t>ust</w:t>
      </w:r>
      <w:r w:rsidRPr="00987DDC">
        <w:t>alenia Rady, pkt</w:t>
      </w:r>
      <w:r w:rsidR="00987DDC" w:rsidRPr="00987DDC">
        <w:t> </w:t>
      </w:r>
      <w:r w:rsidRPr="00987DDC">
        <w:t xml:space="preserve">30. </w:t>
      </w:r>
    </w:p>
  </w:footnote>
  <w:footnote w:id="75">
    <w:p w14:paraId="3D58046E" w14:textId="2654D6C4" w:rsidR="006E1C97" w:rsidRPr="00987DDC" w:rsidRDefault="0041051C" w:rsidP="00F9148F">
      <w:pPr>
        <w:pStyle w:val="FootnoteText"/>
        <w:spacing w:after="0"/>
      </w:pPr>
      <w:r w:rsidRPr="00987DDC">
        <w:t>(</w:t>
      </w:r>
      <w:r w:rsidRPr="00987DDC">
        <w:rPr>
          <w:rStyle w:val="FootnoteReference"/>
        </w:rPr>
        <w:footnoteRef/>
      </w:r>
      <w:r w:rsidRPr="00987DDC">
        <w:t>)</w:t>
      </w:r>
      <w:r w:rsidRPr="00987DDC">
        <w:tab/>
        <w:t>Art. 36 RODO.</w:t>
      </w:r>
    </w:p>
  </w:footnote>
  <w:footnote w:id="76">
    <w:p w14:paraId="53ABAACA" w14:textId="4E3DAEA4" w:rsidR="00851339" w:rsidRPr="00987DDC" w:rsidRDefault="0041051C" w:rsidP="00F9148F">
      <w:pPr>
        <w:pStyle w:val="FootnoteText"/>
        <w:spacing w:after="0"/>
      </w:pPr>
      <w:r w:rsidRPr="00987DDC">
        <w:t>(</w:t>
      </w:r>
      <w:r w:rsidRPr="00987DDC">
        <w:rPr>
          <w:rStyle w:val="FootnoteReference"/>
        </w:rPr>
        <w:footnoteRef/>
      </w:r>
      <w:r w:rsidRPr="00987DDC">
        <w:t xml:space="preserve">) </w:t>
      </w:r>
      <w:r w:rsidRPr="00987DDC">
        <w:tab/>
        <w:t xml:space="preserve">Sprawozdanie FRA, s. 11. </w:t>
      </w:r>
    </w:p>
  </w:footnote>
  <w:footnote w:id="77">
    <w:p w14:paraId="277E3888" w14:textId="3155FD61" w:rsidR="00851339" w:rsidRPr="00987DDC" w:rsidRDefault="0041051C" w:rsidP="00250143">
      <w:pPr>
        <w:pStyle w:val="FootnoteText"/>
        <w:spacing w:after="0"/>
      </w:pPr>
      <w:r w:rsidRPr="00987DDC">
        <w:t>(</w:t>
      </w:r>
      <w:r w:rsidRPr="00987DDC">
        <w:rPr>
          <w:rStyle w:val="FootnoteReference"/>
        </w:rPr>
        <w:footnoteRef/>
      </w:r>
      <w:r w:rsidRPr="00987DDC">
        <w:t>)</w:t>
      </w:r>
      <w:r w:rsidRPr="00987DDC">
        <w:tab/>
        <w:t>Belgia (2021/4045)</w:t>
      </w:r>
      <w:r w:rsidR="00987DDC" w:rsidRPr="00987DDC">
        <w:t xml:space="preserve"> i</w:t>
      </w:r>
      <w:r w:rsidR="00987DDC">
        <w:t> </w:t>
      </w:r>
      <w:r w:rsidR="00987DDC" w:rsidRPr="00987DDC">
        <w:t>Bel</w:t>
      </w:r>
      <w:r w:rsidRPr="00987DDC">
        <w:t>gia (2022/2160).</w:t>
      </w:r>
    </w:p>
  </w:footnote>
  <w:footnote w:id="78">
    <w:p w14:paraId="304B87DC" w14:textId="1498C194" w:rsidR="00851339" w:rsidRPr="00987DDC" w:rsidRDefault="0041051C" w:rsidP="00250143">
      <w:pPr>
        <w:pStyle w:val="FootnoteText"/>
        <w:spacing w:after="0"/>
      </w:pPr>
      <w:r w:rsidRPr="00987DDC">
        <w:t>(</w:t>
      </w:r>
      <w:r w:rsidRPr="00987DDC">
        <w:rPr>
          <w:rStyle w:val="FootnoteReference"/>
        </w:rPr>
        <w:footnoteRef/>
      </w:r>
      <w:r w:rsidRPr="00987DDC">
        <w:t>)</w:t>
      </w:r>
      <w:r w:rsidRPr="00987DDC">
        <w:tab/>
        <w:t>Finlandia (2022/4010)</w:t>
      </w:r>
      <w:r w:rsidR="00987DDC" w:rsidRPr="00987DDC">
        <w:t xml:space="preserve"> i</w:t>
      </w:r>
      <w:r w:rsidR="00987DDC">
        <w:t> </w:t>
      </w:r>
      <w:r w:rsidR="00987DDC" w:rsidRPr="00987DDC">
        <w:t>Szw</w:t>
      </w:r>
      <w:r w:rsidRPr="00987DDC">
        <w:t>ecja (2022/2022).</w:t>
      </w:r>
    </w:p>
  </w:footnote>
  <w:footnote w:id="79">
    <w:p w14:paraId="34130B9D" w14:textId="69136897" w:rsidR="000B0494" w:rsidRPr="00987DDC" w:rsidRDefault="0041051C" w:rsidP="000D1571">
      <w:pPr>
        <w:pStyle w:val="FootnoteText"/>
        <w:spacing w:after="0"/>
      </w:pPr>
      <w:r w:rsidRPr="00987DDC">
        <w:t>(</w:t>
      </w:r>
      <w:r w:rsidRPr="00987DDC">
        <w:rPr>
          <w:rStyle w:val="FootnoteReference"/>
        </w:rPr>
        <w:footnoteRef/>
      </w:r>
      <w:r w:rsidRPr="00987DDC">
        <w:t>)</w:t>
      </w:r>
      <w:r w:rsidRPr="00987DDC">
        <w:tab/>
        <w:t>W tym informacji</w:t>
      </w:r>
      <w:r w:rsidR="00987DDC" w:rsidRPr="00987DDC">
        <w:t xml:space="preserve"> o</w:t>
      </w:r>
      <w:r w:rsidR="00987DDC">
        <w:t> </w:t>
      </w:r>
      <w:r w:rsidR="00987DDC" w:rsidRPr="00987DDC">
        <w:t>num</w:t>
      </w:r>
      <w:r w:rsidRPr="00987DDC">
        <w:t>erze referencyjnym sprawy, rodzaju postępowania (z własnej inicjatywy lub na podstawie skargi), zakresie postępowania, organach ochrony danych, których sprawa dotyczy, podjętych kluczowych krokach proceduralnych</w:t>
      </w:r>
      <w:r w:rsidR="00987DDC" w:rsidRPr="00987DDC">
        <w:t xml:space="preserve"> i</w:t>
      </w:r>
      <w:r w:rsidR="00987DDC">
        <w:t> </w:t>
      </w:r>
      <w:r w:rsidR="00987DDC" w:rsidRPr="00987DDC">
        <w:t>dat</w:t>
      </w:r>
      <w:r w:rsidRPr="00987DDC">
        <w:t>ach, czynnościach wyjaśniających lub wszelkich innych wprowadzonych środkach</w:t>
      </w:r>
      <w:r w:rsidR="00987DDC" w:rsidRPr="00987DDC">
        <w:t xml:space="preserve"> i</w:t>
      </w:r>
      <w:r w:rsidR="00987DDC">
        <w:t> </w:t>
      </w:r>
      <w:r w:rsidR="00987DDC" w:rsidRPr="00987DDC">
        <w:t>dat</w:t>
      </w:r>
      <w:r w:rsidRPr="00987DDC">
        <w:t>ach.</w:t>
      </w:r>
    </w:p>
  </w:footnote>
  <w:footnote w:id="80">
    <w:p w14:paraId="44838230" w14:textId="1793935B" w:rsidR="002F6D6E" w:rsidRPr="00987DDC" w:rsidRDefault="0041051C" w:rsidP="004F1144">
      <w:pPr>
        <w:pStyle w:val="FootnoteText"/>
        <w:spacing w:after="0"/>
      </w:pPr>
      <w:r w:rsidRPr="00987DDC">
        <w:t>(</w:t>
      </w:r>
      <w:r w:rsidRPr="00987DDC">
        <w:rPr>
          <w:rStyle w:val="FootnoteReference"/>
        </w:rPr>
        <w:footnoteRef/>
      </w:r>
      <w:r w:rsidRPr="00987DDC">
        <w:t>)</w:t>
      </w:r>
      <w:r w:rsidRPr="00987DDC">
        <w:tab/>
      </w:r>
      <w:hyperlink r:id="rId12" w:history="1">
        <w:r w:rsidRPr="00987DDC">
          <w:rPr>
            <w:rStyle w:val="Hyperlink"/>
          </w:rPr>
          <w:t>https://ec.europa.eu/transparency/expert-groups-register/screen/expert-groups/consult?lang=pl&amp;do=groupDetail.groupDetail&amp;groupID=3461</w:t>
        </w:r>
      </w:hyperlink>
      <w:r w:rsidRPr="00987DDC">
        <w:t xml:space="preserve">. </w:t>
      </w:r>
    </w:p>
  </w:footnote>
  <w:footnote w:id="81">
    <w:p w14:paraId="223DC0A9" w14:textId="0E432F17" w:rsidR="0014771D" w:rsidRPr="00987DDC" w:rsidRDefault="0041051C" w:rsidP="004F1144">
      <w:pPr>
        <w:pStyle w:val="FootnoteText"/>
        <w:spacing w:after="0"/>
      </w:pPr>
      <w:r w:rsidRPr="00987DDC">
        <w:t>(</w:t>
      </w:r>
      <w:r w:rsidRPr="00987DDC">
        <w:rPr>
          <w:rStyle w:val="FootnoteReference"/>
        </w:rPr>
        <w:footnoteRef/>
      </w:r>
      <w:r w:rsidRPr="00987DDC">
        <w:t>)</w:t>
      </w:r>
      <w:r w:rsidRPr="00987DDC">
        <w:tab/>
      </w:r>
      <w:hyperlink r:id="rId13" w:history="1">
        <w:r w:rsidRPr="00987DDC">
          <w:rPr>
            <w:rStyle w:val="Hyperlink"/>
          </w:rPr>
          <w:t>https://ec.europa.eu/transparency/expert-groups-register/screen/meetings/consult?lang=pl&amp;meetingId=31754&amp;fromExpertGroups=3461</w:t>
        </w:r>
      </w:hyperlink>
      <w:r w:rsidRPr="00987DDC">
        <w:t xml:space="preserve">. </w:t>
      </w:r>
    </w:p>
  </w:footnote>
  <w:footnote w:id="82">
    <w:p w14:paraId="2D4C77EC" w14:textId="2F250C19" w:rsidR="007C4435" w:rsidRPr="00987DDC" w:rsidRDefault="0041051C" w:rsidP="004F1144">
      <w:pPr>
        <w:pStyle w:val="FootnoteText"/>
        <w:spacing w:after="0"/>
      </w:pPr>
      <w:r w:rsidRPr="00987DDC">
        <w:t>(</w:t>
      </w:r>
      <w:r w:rsidRPr="00987DDC">
        <w:rPr>
          <w:rStyle w:val="FootnoteReference"/>
        </w:rPr>
        <w:footnoteRef/>
      </w:r>
      <w:r w:rsidRPr="00987DDC">
        <w:t>)</w:t>
      </w:r>
      <w:r w:rsidRPr="00987DDC">
        <w:tab/>
        <w:t>Sprawa C-319/22, ECLI:EU:C:2023:837</w:t>
      </w:r>
      <w:r w:rsidRPr="00987DDC">
        <w:rPr>
          <w:i/>
        </w:rPr>
        <w:t>.</w:t>
      </w:r>
    </w:p>
  </w:footnote>
  <w:footnote w:id="83">
    <w:p w14:paraId="1F444005" w14:textId="6A572121" w:rsidR="002733CC" w:rsidRPr="00987DDC" w:rsidRDefault="002733CC" w:rsidP="00D76C27">
      <w:pPr>
        <w:pStyle w:val="FootnoteText"/>
        <w:spacing w:after="0"/>
      </w:pPr>
      <w:r w:rsidRPr="00987DDC">
        <w:t>(</w:t>
      </w:r>
      <w:r w:rsidRPr="00987DDC">
        <w:rPr>
          <w:rStyle w:val="FootnoteReference"/>
        </w:rPr>
        <w:footnoteRef/>
      </w:r>
      <w:r w:rsidRPr="00987DDC">
        <w:t>)</w:t>
      </w:r>
      <w:r w:rsidRPr="00987DDC">
        <w:tab/>
        <w:t>Sprawy C-184/20, ECLI:EU:C:2022:601; C-252/21, ECLI:EU:C:2023:537.</w:t>
      </w:r>
    </w:p>
  </w:footnote>
  <w:footnote w:id="84">
    <w:p w14:paraId="4A0A8E55" w14:textId="5203A8AA" w:rsidR="005C0C78" w:rsidRPr="00987DDC" w:rsidRDefault="005C0C78" w:rsidP="003E0E6A">
      <w:pPr>
        <w:pStyle w:val="FootnoteText"/>
        <w:spacing w:after="0"/>
        <w:jc w:val="left"/>
      </w:pPr>
      <w:r w:rsidRPr="00987DDC">
        <w:t>(</w:t>
      </w:r>
      <w:r w:rsidRPr="00987DDC">
        <w:rPr>
          <w:rStyle w:val="FootnoteReference"/>
        </w:rPr>
        <w:footnoteRef/>
      </w:r>
      <w:r w:rsidRPr="00987DDC">
        <w:t>)</w:t>
      </w:r>
      <w:r w:rsidRPr="00987DDC">
        <w:tab/>
        <w:t xml:space="preserve">Sprawy C-683/21, ECLI:EU:C:2023:949; C-604/22, ECLI:EU:C:2024:214; C-231/22, ECLI:EU:C:2024:7. </w:t>
      </w:r>
    </w:p>
  </w:footnote>
  <w:footnote w:id="85">
    <w:p w14:paraId="69A154E6" w14:textId="63F2AE6E" w:rsidR="007C4435" w:rsidRPr="00987DDC" w:rsidRDefault="0041051C" w:rsidP="00F83589">
      <w:pPr>
        <w:pStyle w:val="FootnoteText"/>
        <w:spacing w:after="0"/>
      </w:pPr>
      <w:r w:rsidRPr="00987DDC">
        <w:t>(</w:t>
      </w:r>
      <w:r w:rsidRPr="00987DDC">
        <w:rPr>
          <w:rStyle w:val="FootnoteReference"/>
        </w:rPr>
        <w:footnoteRef/>
      </w:r>
      <w:r w:rsidRPr="00987DDC">
        <w:t>)</w:t>
      </w:r>
      <w:r w:rsidRPr="00987DDC">
        <w:tab/>
        <w:t>Sprawa C-61/19, ECLI:EU:C:2020:901.</w:t>
      </w:r>
    </w:p>
  </w:footnote>
  <w:footnote w:id="86">
    <w:p w14:paraId="6D42F649" w14:textId="4956DB2E" w:rsidR="007C4435" w:rsidRPr="00987DDC" w:rsidRDefault="0041051C" w:rsidP="00F83589">
      <w:pPr>
        <w:pStyle w:val="FootnoteText"/>
        <w:spacing w:after="0"/>
      </w:pPr>
      <w:r w:rsidRPr="00987DDC">
        <w:t>(</w:t>
      </w:r>
      <w:r w:rsidRPr="00987DDC">
        <w:rPr>
          <w:rStyle w:val="FootnoteReference"/>
        </w:rPr>
        <w:footnoteRef/>
      </w:r>
      <w:r w:rsidRPr="00987DDC">
        <w:t>)</w:t>
      </w:r>
      <w:r w:rsidRPr="00987DDC">
        <w:tab/>
        <w:t>Sprawy C-597/19, ECLI:EU:C:2021:492; C-252/21, ECLI:EU:C:2023:537.</w:t>
      </w:r>
    </w:p>
  </w:footnote>
  <w:footnote w:id="87">
    <w:p w14:paraId="3CEF3C97" w14:textId="7B91FA25" w:rsidR="007C4435" w:rsidRPr="00987DDC" w:rsidRDefault="0041051C" w:rsidP="004F1144">
      <w:pPr>
        <w:pStyle w:val="FootnoteText"/>
        <w:spacing w:after="0"/>
      </w:pPr>
      <w:r w:rsidRPr="00987DDC">
        <w:t>(</w:t>
      </w:r>
      <w:r w:rsidRPr="00987DDC">
        <w:rPr>
          <w:rStyle w:val="FootnoteReference"/>
        </w:rPr>
        <w:footnoteRef/>
      </w:r>
      <w:r w:rsidRPr="00987DDC">
        <w:t xml:space="preserve">) </w:t>
      </w:r>
      <w:r w:rsidRPr="00987DDC">
        <w:tab/>
      </w:r>
      <w:bookmarkStart w:id="24" w:name="_Hlk165991260"/>
      <w:r w:rsidRPr="00987DDC">
        <w:t>Sprawy C-307/22, ECLI:EU:C:2023:811</w:t>
      </w:r>
      <w:bookmarkEnd w:id="24"/>
      <w:r w:rsidRPr="00987DDC">
        <w:t>; C-154/21, ECLI:EU:C:2023:3.</w:t>
      </w:r>
    </w:p>
  </w:footnote>
  <w:footnote w:id="88">
    <w:p w14:paraId="40F44040" w14:textId="04BCDCAC" w:rsidR="007C4435" w:rsidRPr="00987DDC" w:rsidRDefault="0041051C" w:rsidP="00F83589">
      <w:pPr>
        <w:pStyle w:val="FootnoteText"/>
        <w:spacing w:after="0"/>
      </w:pPr>
      <w:r w:rsidRPr="00987DDC">
        <w:t>(</w:t>
      </w:r>
      <w:r w:rsidRPr="00987DDC">
        <w:rPr>
          <w:rStyle w:val="FootnoteReference"/>
        </w:rPr>
        <w:footnoteRef/>
      </w:r>
      <w:r w:rsidRPr="00987DDC">
        <w:t>)</w:t>
      </w:r>
      <w:r w:rsidRPr="00987DDC">
        <w:tab/>
        <w:t>Case C-460/20, ECLI:EU:C:2022:962.</w:t>
      </w:r>
    </w:p>
  </w:footnote>
  <w:footnote w:id="89">
    <w:p w14:paraId="7551B774" w14:textId="70C8CEDB" w:rsidR="007C4435" w:rsidRPr="00987DDC" w:rsidRDefault="0041051C" w:rsidP="002939BD">
      <w:pPr>
        <w:pStyle w:val="FootnoteText"/>
        <w:spacing w:after="0"/>
      </w:pPr>
      <w:r w:rsidRPr="00987DDC">
        <w:t>(</w:t>
      </w:r>
      <w:r w:rsidRPr="00987DDC">
        <w:rPr>
          <w:rStyle w:val="FootnoteReference"/>
        </w:rPr>
        <w:footnoteRef/>
      </w:r>
      <w:r w:rsidRPr="00987DDC">
        <w:t xml:space="preserve">) </w:t>
      </w:r>
      <w:r w:rsidRPr="00987DDC">
        <w:tab/>
        <w:t>Case C-300/21,</w:t>
      </w:r>
      <w:r w:rsidRPr="00987DDC">
        <w:rPr>
          <w:rFonts w:ascii="Open Sans" w:hAnsi="Open Sans"/>
          <w:color w:val="666666"/>
          <w:sz w:val="18"/>
        </w:rPr>
        <w:t xml:space="preserve"> </w:t>
      </w:r>
      <w:r w:rsidRPr="00987DDC">
        <w:t>ECLI:EU:C:2023:370; Case C-687/21, ECLI:EU:C:2024:72; Case C-667/21, ECLI:EU:C:2023:1022</w:t>
      </w:r>
      <w:r w:rsidRPr="00987DDC">
        <w:rPr>
          <w:i/>
        </w:rPr>
        <w:t>.</w:t>
      </w:r>
    </w:p>
  </w:footnote>
  <w:footnote w:id="90">
    <w:p w14:paraId="5AF7E609" w14:textId="12AC2F9B" w:rsidR="007C4435"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Sprawy połączone C‑26/22 oraz C‑64/22, ECLI:EU:C:2023:958.</w:t>
      </w:r>
    </w:p>
  </w:footnote>
  <w:footnote w:id="91">
    <w:p w14:paraId="7340BBB6" w14:textId="37C7990D" w:rsidR="007C4435"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Sprawy C-807/21, ECLI:EU:C:2023:950; Sprawa C-683/21, ECLI:EU:C:2023:949.</w:t>
      </w:r>
    </w:p>
  </w:footnote>
  <w:footnote w:id="92">
    <w:p w14:paraId="156E2A28" w14:textId="420B1836" w:rsidR="007C4435"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Sprawa C-453/21, ECLI:EU:C:2023:79.</w:t>
      </w:r>
    </w:p>
  </w:footnote>
  <w:footnote w:id="93">
    <w:p w14:paraId="3E540FE1" w14:textId="2A3656D4" w:rsidR="007C4435"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Sprawy C-439/19, ECLI:EU:C:2021:504; C-184/20, ECLI:EU:C:2022:601.</w:t>
      </w:r>
    </w:p>
  </w:footnote>
  <w:footnote w:id="94">
    <w:p w14:paraId="39F2124A" w14:textId="6144755F" w:rsidR="007C4435"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Sprawy C-33/22, ECLI:EU:C:2024:46; C‑272/19,</w:t>
      </w:r>
      <w:r w:rsidRPr="00987DDC">
        <w:rPr>
          <w:rFonts w:ascii="Open Sans" w:hAnsi="Open Sans"/>
          <w:color w:val="666666"/>
          <w:sz w:val="18"/>
        </w:rPr>
        <w:t xml:space="preserve"> </w:t>
      </w:r>
      <w:r w:rsidRPr="00987DDC">
        <w:t>ECLI:EU:C:2020:535</w:t>
      </w:r>
      <w:r w:rsidRPr="00987DDC">
        <w:rPr>
          <w:i/>
        </w:rPr>
        <w:t>.</w:t>
      </w:r>
    </w:p>
  </w:footnote>
  <w:footnote w:id="95">
    <w:p w14:paraId="666118CE" w14:textId="544D1C54" w:rsidR="55E7C498"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Stanowisko</w:t>
      </w:r>
      <w:r w:rsidR="00987DDC" w:rsidRPr="00987DDC">
        <w:t xml:space="preserve"> i</w:t>
      </w:r>
      <w:r w:rsidR="00987DDC">
        <w:t> </w:t>
      </w:r>
      <w:r w:rsidR="00987DDC" w:rsidRPr="00987DDC">
        <w:t>ust</w:t>
      </w:r>
      <w:r w:rsidRPr="00987DDC">
        <w:t>alenia Rady, pkt</w:t>
      </w:r>
      <w:r w:rsidR="00987DDC" w:rsidRPr="00987DDC">
        <w:t> </w:t>
      </w:r>
      <w:r w:rsidRPr="00987DDC">
        <w:t xml:space="preserve">13. </w:t>
      </w:r>
    </w:p>
  </w:footnote>
  <w:footnote w:id="96">
    <w:p w14:paraId="4D50A25E" w14:textId="6446268E" w:rsidR="00034FFF"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 xml:space="preserve">Sekcja 6 wkładu EROD. </w:t>
      </w:r>
    </w:p>
  </w:footnote>
  <w:footnote w:id="97">
    <w:p w14:paraId="5E1B686B" w14:textId="57D7B821" w:rsidR="00F221C0"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hyperlink r:id="rId14" w:history="1">
        <w:r w:rsidRPr="00987DDC">
          <w:rPr>
            <w:rStyle w:val="Hyperlink"/>
          </w:rPr>
          <w:t>https://commission.europa.eu/law/law-topic/data-protection/eu-funding-supporting-implementation-general-data-protection-regulation-gdpr_en</w:t>
        </w:r>
      </w:hyperlink>
      <w:r w:rsidRPr="00987DDC">
        <w:t xml:space="preserve">. </w:t>
      </w:r>
    </w:p>
  </w:footnote>
  <w:footnote w:id="98">
    <w:p w14:paraId="6D776C40" w14:textId="5AB24F13" w:rsidR="00D73F17"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Sprawozdanie FRA, s. 9</w:t>
      </w:r>
      <w:r w:rsidR="00987DDC" w:rsidRPr="00987DDC">
        <w:t xml:space="preserve"> i</w:t>
      </w:r>
      <w:r w:rsidR="00987DDC">
        <w:t> </w:t>
      </w:r>
      <w:r w:rsidR="00987DDC" w:rsidRPr="00987DDC">
        <w:t>4</w:t>
      </w:r>
      <w:r w:rsidRPr="00987DDC">
        <w:t xml:space="preserve">8. </w:t>
      </w:r>
    </w:p>
  </w:footnote>
  <w:footnote w:id="99">
    <w:p w14:paraId="59656CFC" w14:textId="6B87660A" w:rsidR="001F4A7B"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100">
    <w:p w14:paraId="696F6E35" w14:textId="5CFCBBE9" w:rsidR="001C045F"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Art. 10 rozporządzenia (UE) 2022/868 (akt</w:t>
      </w:r>
      <w:r w:rsidR="00987DDC" w:rsidRPr="00987DDC">
        <w:t xml:space="preserve"> w</w:t>
      </w:r>
      <w:r w:rsidR="00987DDC">
        <w:t> </w:t>
      </w:r>
      <w:r w:rsidR="00987DDC" w:rsidRPr="00987DDC">
        <w:t>spr</w:t>
      </w:r>
      <w:r w:rsidRPr="00987DDC">
        <w:t>awie zarządzania danymi), Dz.U. L 152</w:t>
      </w:r>
      <w:r w:rsidR="00987DDC" w:rsidRPr="00987DDC">
        <w:t xml:space="preserve"> z</w:t>
      </w:r>
      <w:r w:rsidR="00987DDC">
        <w:t> </w:t>
      </w:r>
      <w:r w:rsidR="00987DDC" w:rsidRPr="00987DDC">
        <w:t>3</w:t>
      </w:r>
      <w:r w:rsidRPr="00987DDC">
        <w:t>.6.2022, s. 1.</w:t>
      </w:r>
    </w:p>
  </w:footnote>
  <w:footnote w:id="101">
    <w:p w14:paraId="5726782B" w14:textId="5F0038D0" w:rsidR="002705AF"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Art. 12 ust.</w:t>
      </w:r>
      <w:r w:rsidR="00987DDC" w:rsidRPr="00987DDC">
        <w:t> </w:t>
      </w:r>
      <w:r w:rsidRPr="00987DDC">
        <w:t>5 RODO.</w:t>
      </w:r>
    </w:p>
  </w:footnote>
  <w:footnote w:id="102">
    <w:p w14:paraId="77B8E953" w14:textId="0D3934A0" w:rsidR="00BF2601"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Trybunał Sprawiedliwości wyjaśnił jednak, że osoba, której dane dotyczą, nie jest zobowiązana do podania powodów żądania dostępu do danych osobowych: Sprawa C-307/22, ECLI:EU:C:2023:811, pkt</w:t>
      </w:r>
      <w:r w:rsidR="00987DDC" w:rsidRPr="00987DDC">
        <w:t> </w:t>
      </w:r>
      <w:r w:rsidRPr="00987DDC">
        <w:t xml:space="preserve">38. </w:t>
      </w:r>
    </w:p>
  </w:footnote>
  <w:footnote w:id="103">
    <w:p w14:paraId="54E14275" w14:textId="47083475" w:rsidR="006B07A7"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bookmarkStart w:id="27" w:name="_Hlk164348682"/>
      <w:r w:rsidRPr="00987DDC">
        <w:t>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bookmarkEnd w:id="27"/>
      <w:r w:rsidRPr="00987DDC">
        <w:t xml:space="preserve"> </w:t>
      </w:r>
    </w:p>
  </w:footnote>
  <w:footnote w:id="104">
    <w:p w14:paraId="50124FC5" w14:textId="5448DDD2" w:rsidR="00725DFD"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Stanowisko</w:t>
      </w:r>
      <w:r w:rsidR="00987DDC" w:rsidRPr="00987DDC">
        <w:t xml:space="preserve"> i</w:t>
      </w:r>
      <w:r w:rsidR="00987DDC">
        <w:t> </w:t>
      </w:r>
      <w:r w:rsidR="00987DDC" w:rsidRPr="00987DDC">
        <w:t>ust</w:t>
      </w:r>
      <w:r w:rsidRPr="00987DDC">
        <w:t>alenia Rady, pkt</w:t>
      </w:r>
      <w:r w:rsidR="00987DDC" w:rsidRPr="00987DDC">
        <w:t> </w:t>
      </w:r>
      <w:r w:rsidRPr="00987DDC">
        <w:t>27–28.</w:t>
      </w:r>
    </w:p>
  </w:footnote>
  <w:footnote w:id="105">
    <w:p w14:paraId="5135A2FC" w14:textId="5CD70C08" w:rsidR="004D5197"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hyperlink r:id="rId15" w:history="1">
        <w:r w:rsidRPr="00987DDC">
          <w:rPr>
            <w:rStyle w:val="Hyperlink"/>
          </w:rPr>
          <w:t>https://www.edpb.europa.eu/news/news/2024/cef-2024-launch-coordinated-enforcement-right-access_en</w:t>
        </w:r>
      </w:hyperlink>
      <w:r w:rsidRPr="00987DDC">
        <w:t>.</w:t>
      </w:r>
    </w:p>
  </w:footnote>
  <w:footnote w:id="106">
    <w:p w14:paraId="0F3CD83F" w14:textId="21DFF407" w:rsidR="0058046B"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hyperlink r:id="rId16" w:history="1">
        <w:r w:rsidRPr="00987DDC">
          <w:rPr>
            <w:rStyle w:val="Hyperlink"/>
          </w:rPr>
          <w:t>Osoby pracujące za pośrednictwem platform internetowych:</w:t>
        </w:r>
      </w:hyperlink>
      <w:hyperlink r:id="rId17" w:history="1">
        <w:r w:rsidRPr="00987DDC">
          <w:rPr>
            <w:rStyle w:val="Hyperlink"/>
          </w:rPr>
          <w:t xml:space="preserve"> Rada zatwierdza porozumienie</w:t>
        </w:r>
        <w:r w:rsidR="00987DDC" w:rsidRPr="00987DDC">
          <w:rPr>
            <w:rStyle w:val="Hyperlink"/>
          </w:rPr>
          <w:t xml:space="preserve"> w</w:t>
        </w:r>
        <w:r w:rsidR="00987DDC">
          <w:rPr>
            <w:rStyle w:val="Hyperlink"/>
          </w:rPr>
          <w:t> </w:t>
        </w:r>
        <w:r w:rsidR="00987DDC" w:rsidRPr="00987DDC">
          <w:rPr>
            <w:rStyle w:val="Hyperlink"/>
          </w:rPr>
          <w:t>spr</w:t>
        </w:r>
        <w:r w:rsidRPr="00987DDC">
          <w:rPr>
            <w:rStyle w:val="Hyperlink"/>
          </w:rPr>
          <w:t>awie nowych przepisów mających poprawić warunki pracy – Consilium (europa.eu)</w:t>
        </w:r>
      </w:hyperlink>
      <w:r w:rsidRPr="00987DDC">
        <w:t>.</w:t>
      </w:r>
    </w:p>
  </w:footnote>
  <w:footnote w:id="107">
    <w:p w14:paraId="179A1B62" w14:textId="0BC1BBB5" w:rsidR="00494F41" w:rsidRPr="00987DDC" w:rsidRDefault="00494F41" w:rsidP="00332499">
      <w:pPr>
        <w:pStyle w:val="FootnoteText"/>
        <w:spacing w:after="0"/>
        <w:ind w:left="480" w:hanging="480"/>
      </w:pPr>
      <w:r w:rsidRPr="00987DDC">
        <w:t>(</w:t>
      </w:r>
      <w:r w:rsidRPr="00987DDC">
        <w:rPr>
          <w:rStyle w:val="FootnoteReference"/>
        </w:rPr>
        <w:footnoteRef/>
      </w:r>
      <w:r w:rsidRPr="00987DDC">
        <w:t>)</w:t>
      </w:r>
      <w:r w:rsidRPr="00987DDC">
        <w:tab/>
        <w:t>Wniosek dotyczący rozporządzenia</w:t>
      </w:r>
      <w:r w:rsidR="00987DDC" w:rsidRPr="00987DDC">
        <w:t xml:space="preserve"> w</w:t>
      </w:r>
      <w:r w:rsidR="00987DDC">
        <w:t> </w:t>
      </w:r>
      <w:r w:rsidR="00987DDC" w:rsidRPr="00987DDC">
        <w:t>spr</w:t>
      </w:r>
      <w:r w:rsidRPr="00987DDC">
        <w:t>awie europejskiej przestrzeni danych dotyczących zdrowia (COM(2022) 197 final).</w:t>
      </w:r>
    </w:p>
  </w:footnote>
  <w:footnote w:id="108">
    <w:p w14:paraId="63606ED4" w14:textId="3658CE2D" w:rsidR="009A3743"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Wniosek dotyczący rozporządzenia</w:t>
      </w:r>
      <w:r w:rsidR="00987DDC" w:rsidRPr="00987DDC">
        <w:t xml:space="preserve"> w</w:t>
      </w:r>
      <w:r w:rsidR="00987DDC">
        <w:t> </w:t>
      </w:r>
      <w:r w:rsidR="00987DDC" w:rsidRPr="00987DDC">
        <w:t>spr</w:t>
      </w:r>
      <w:r w:rsidRPr="00987DDC">
        <w:t>awie ram dostępu do danych finansowych oraz zmiany rozporządzeń (UE) nr</w:t>
      </w:r>
      <w:r w:rsidR="00987DDC" w:rsidRPr="00987DDC">
        <w:t> </w:t>
      </w:r>
      <w:r w:rsidRPr="00987DDC">
        <w:t>1093/2010, (UE) nr</w:t>
      </w:r>
      <w:r w:rsidR="00987DDC" w:rsidRPr="00987DDC">
        <w:t> </w:t>
      </w:r>
      <w:r w:rsidRPr="00987DDC">
        <w:t>1094/2010, (UE) 1095/2010 i (UE) 2022/2554 (COM(2023) 360 final).</w:t>
      </w:r>
    </w:p>
  </w:footnote>
  <w:footnote w:id="109">
    <w:p w14:paraId="0C12660F" w14:textId="5CBF401F" w:rsidR="00707CC8"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Dyrektywa (UE) 2020/1828</w:t>
      </w:r>
      <w:r w:rsidR="00987DDC" w:rsidRPr="00987DDC">
        <w:t xml:space="preserve"> z</w:t>
      </w:r>
      <w:r w:rsidR="00987DDC">
        <w:t> </w:t>
      </w:r>
      <w:r w:rsidR="00987DDC" w:rsidRPr="00987DDC">
        <w:t>dni</w:t>
      </w:r>
      <w:r w:rsidRPr="00987DDC">
        <w:t>a 25 listopada 2020</w:t>
      </w:r>
      <w:r w:rsidR="00987DDC" w:rsidRPr="00987DDC">
        <w:t> </w:t>
      </w:r>
      <w:r w:rsidRPr="00987DDC">
        <w:t>r.</w:t>
      </w:r>
      <w:r w:rsidR="00987DDC" w:rsidRPr="00987DDC">
        <w:t xml:space="preserve"> w</w:t>
      </w:r>
      <w:r w:rsidR="00987DDC">
        <w:t> </w:t>
      </w:r>
      <w:r w:rsidR="00987DDC" w:rsidRPr="00987DDC">
        <w:t>spr</w:t>
      </w:r>
      <w:r w:rsidRPr="00987DDC">
        <w:t>awie powództw przedstawicielskich wytaczanych</w:t>
      </w:r>
      <w:r w:rsidR="00987DDC" w:rsidRPr="00987DDC">
        <w:t xml:space="preserve"> w</w:t>
      </w:r>
      <w:r w:rsidR="00987DDC">
        <w:t> </w:t>
      </w:r>
      <w:r w:rsidR="00987DDC" w:rsidRPr="00987DDC">
        <w:t>cel</w:t>
      </w:r>
      <w:r w:rsidRPr="00987DDC">
        <w:t>u ochrony zbiorowych interesów konsumentów</w:t>
      </w:r>
      <w:r w:rsidR="00987DDC" w:rsidRPr="00987DDC">
        <w:t xml:space="preserve"> i</w:t>
      </w:r>
      <w:r w:rsidR="00987DDC">
        <w:t> </w:t>
      </w:r>
      <w:r w:rsidR="00987DDC" w:rsidRPr="00987DDC">
        <w:t>uch</w:t>
      </w:r>
      <w:r w:rsidRPr="00987DDC">
        <w:t>ylająca dyrektywę 2009/22/WE – Dz.U. L 409</w:t>
      </w:r>
      <w:r w:rsidR="00987DDC" w:rsidRPr="00987DDC">
        <w:t xml:space="preserve"> z</w:t>
      </w:r>
      <w:r w:rsidR="00987DDC">
        <w:t> </w:t>
      </w:r>
      <w:r w:rsidR="00987DDC" w:rsidRPr="00987DDC">
        <w:t>4</w:t>
      </w:r>
      <w:r w:rsidRPr="00987DDC">
        <w:t>.12.2020, s. 1.</w:t>
      </w:r>
    </w:p>
  </w:footnote>
  <w:footnote w:id="110">
    <w:p w14:paraId="2E44C298" w14:textId="606F541D" w:rsidR="00311105"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Motyw 38 RODO.</w:t>
      </w:r>
    </w:p>
  </w:footnote>
  <w:footnote w:id="111">
    <w:p w14:paraId="5F25D22E" w14:textId="3F55A8C6" w:rsidR="0076549A"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Zalecenie</w:t>
      </w:r>
      <w:r w:rsidR="00987DDC" w:rsidRPr="00987DDC">
        <w:t xml:space="preserve"> w</w:t>
      </w:r>
      <w:r w:rsidR="00987DDC">
        <w:t> </w:t>
      </w:r>
      <w:r w:rsidR="00987DDC" w:rsidRPr="00987DDC">
        <w:t>spr</w:t>
      </w:r>
      <w:r w:rsidRPr="00987DDC">
        <w:t>awie rozwoju</w:t>
      </w:r>
      <w:r w:rsidR="00987DDC" w:rsidRPr="00987DDC">
        <w:t xml:space="preserve"> i</w:t>
      </w:r>
      <w:r w:rsidR="00987DDC">
        <w:t> </w:t>
      </w:r>
      <w:r w:rsidR="00987DDC" w:rsidRPr="00987DDC">
        <w:t>wzm</w:t>
      </w:r>
      <w:r w:rsidRPr="00987DDC">
        <w:t>ocnienia zintegrowanych systemów ochrony dziecka</w:t>
      </w:r>
      <w:r w:rsidR="00987DDC" w:rsidRPr="00987DDC">
        <w:t xml:space="preserve"> w</w:t>
      </w:r>
      <w:r w:rsidR="00987DDC">
        <w:t> </w:t>
      </w:r>
      <w:r w:rsidR="00987DDC" w:rsidRPr="00987DDC">
        <w:t>naj</w:t>
      </w:r>
      <w:r w:rsidRPr="00987DDC">
        <w:t xml:space="preserve">lepszym interesie dziecka: </w:t>
      </w:r>
      <w:hyperlink r:id="rId18" w:history="1">
        <w:r w:rsidRPr="00987DDC">
          <w:rPr>
            <w:rStyle w:val="Hyperlink"/>
          </w:rPr>
          <w:t>https://commission.europa.eu/strategy-and-policy/policies/justice-and-fundamental-rights/rights-child/combating-violence-against-children-and-ensuring-child-protection_en</w:t>
        </w:r>
      </w:hyperlink>
      <w:r w:rsidRPr="00987DDC">
        <w:t xml:space="preserve">. </w:t>
      </w:r>
    </w:p>
  </w:footnote>
  <w:footnote w:id="112">
    <w:p w14:paraId="48828903" w14:textId="350D6BBC" w:rsidR="55E7C498"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Zob. również stanowisko</w:t>
      </w:r>
      <w:r w:rsidR="00987DDC" w:rsidRPr="00987DDC">
        <w:t xml:space="preserve"> i</w:t>
      </w:r>
      <w:r w:rsidR="00987DDC">
        <w:t> </w:t>
      </w:r>
      <w:r w:rsidR="00987DDC" w:rsidRPr="00987DDC">
        <w:t>ust</w:t>
      </w:r>
      <w:r w:rsidRPr="00987DDC">
        <w:t>alenia Rady, pkt</w:t>
      </w:r>
      <w:r w:rsidR="00987DDC" w:rsidRPr="00987DDC">
        <w:t> </w:t>
      </w:r>
      <w:r w:rsidRPr="00987DDC">
        <w:t>31 lit.</w:t>
      </w:r>
      <w:r w:rsidR="00987DDC" w:rsidRPr="00987DDC">
        <w:t> </w:t>
      </w:r>
      <w:r w:rsidRPr="00987DDC">
        <w:t xml:space="preserve">a). </w:t>
      </w:r>
    </w:p>
  </w:footnote>
  <w:footnote w:id="113">
    <w:p w14:paraId="52B556DB" w14:textId="37149321" w:rsidR="00896CDE"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bookmarkStart w:id="31" w:name="_Hlk164435945"/>
      <w:r w:rsidRPr="00987DDC">
        <w:t>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bookmarkEnd w:id="31"/>
      <w:r w:rsidRPr="00987DDC">
        <w:t xml:space="preserve"> </w:t>
      </w:r>
    </w:p>
  </w:footnote>
  <w:footnote w:id="114">
    <w:p w14:paraId="01ABB820" w14:textId="504A8A6E" w:rsidR="00700645"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hyperlink r:id="rId19" w:history="1">
        <w:r w:rsidRPr="00987DDC">
          <w:rPr>
            <w:rStyle w:val="Hyperlink"/>
          </w:rPr>
          <w:t>https://commission.europa.eu/law/law-topic/data-protection/eu-funding-supporting-implementation-general-data-protection-regulation-gdpr_en</w:t>
        </w:r>
      </w:hyperlink>
      <w:r w:rsidRPr="00987DDC">
        <w:t xml:space="preserve">. </w:t>
      </w:r>
    </w:p>
  </w:footnote>
  <w:footnote w:id="115">
    <w:p w14:paraId="2CAA618D" w14:textId="75C3C861" w:rsidR="008F18DE"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hyperlink r:id="rId20" w:history="1">
        <w:r w:rsidRPr="00987DDC">
          <w:rPr>
            <w:rStyle w:val="Hyperlink"/>
          </w:rPr>
          <w:t>https://digital-strategy.ec.europa.eu/en/policies/strategy-better-internet-kids</w:t>
        </w:r>
      </w:hyperlink>
      <w:r w:rsidRPr="00987DDC">
        <w:t>.</w:t>
      </w:r>
    </w:p>
  </w:footnote>
  <w:footnote w:id="116">
    <w:p w14:paraId="0FF69769" w14:textId="76129A22" w:rsidR="00CB77DD" w:rsidRPr="00987DDC" w:rsidRDefault="00CB77DD" w:rsidP="00CB77DD">
      <w:pPr>
        <w:pStyle w:val="FootnoteText"/>
        <w:spacing w:after="0"/>
        <w:ind w:left="480" w:hanging="480"/>
      </w:pPr>
      <w:r w:rsidRPr="00987DDC">
        <w:t>(</w:t>
      </w:r>
      <w:r w:rsidRPr="00987DDC">
        <w:rPr>
          <w:rStyle w:val="FootnoteReference"/>
        </w:rPr>
        <w:footnoteRef/>
      </w:r>
      <w:r w:rsidRPr="00987DDC">
        <w:t xml:space="preserve">) </w:t>
      </w:r>
      <w:r w:rsidRPr="00987DDC">
        <w:tab/>
        <w:t>Rozporządzenie (UE) 2024/1183</w:t>
      </w:r>
      <w:r w:rsidR="00987DDC" w:rsidRPr="00987DDC">
        <w:t xml:space="preserve"> w</w:t>
      </w:r>
      <w:r w:rsidR="00987DDC">
        <w:t> </w:t>
      </w:r>
      <w:r w:rsidR="00987DDC" w:rsidRPr="00987DDC">
        <w:t>spr</w:t>
      </w:r>
      <w:r w:rsidRPr="00987DDC">
        <w:t>awie zmiany rozporządzenia (UE) nr</w:t>
      </w:r>
      <w:r w:rsidR="00987DDC" w:rsidRPr="00987DDC">
        <w:t> </w:t>
      </w:r>
      <w:r w:rsidRPr="00987DDC">
        <w:t>910/2014</w:t>
      </w:r>
      <w:r w:rsidR="00987DDC" w:rsidRPr="00987DDC">
        <w:t xml:space="preserve"> w</w:t>
      </w:r>
      <w:r w:rsidR="00987DDC">
        <w:t> </w:t>
      </w:r>
      <w:r w:rsidR="00987DDC" w:rsidRPr="00987DDC">
        <w:t>odn</w:t>
      </w:r>
      <w:r w:rsidRPr="00987DDC">
        <w:t>iesieniu do ustanowienia europejskich ram tożsamości cyfrowej, Dz.U. L 2024/1183</w:t>
      </w:r>
      <w:r w:rsidR="00987DDC" w:rsidRPr="00987DDC">
        <w:t xml:space="preserve"> z</w:t>
      </w:r>
      <w:r w:rsidR="00987DDC">
        <w:t> </w:t>
      </w:r>
      <w:r w:rsidR="00987DDC" w:rsidRPr="00987DDC">
        <w:t>3</w:t>
      </w:r>
      <w:r w:rsidRPr="00987DDC">
        <w:t xml:space="preserve">0.4.2024. </w:t>
      </w:r>
    </w:p>
  </w:footnote>
  <w:footnote w:id="117">
    <w:p w14:paraId="45249C6D" w14:textId="4B79F6D5" w:rsidR="00FE410F"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Jak stwierdzono</w:t>
      </w:r>
      <w:r w:rsidR="00987DDC" w:rsidRPr="00987DDC">
        <w:t xml:space="preserve"> w</w:t>
      </w:r>
      <w:r w:rsidR="00987DDC">
        <w:t> </w:t>
      </w:r>
      <w:r w:rsidR="00987DDC" w:rsidRPr="00987DDC">
        <w:t>spr</w:t>
      </w:r>
      <w:r w:rsidRPr="00987DDC">
        <w:t>awozdaniu platformy ds. dostosowania się do wymogów przyszłości, powołano grupę ekspertów wysokiego szczebla, którzy pomogą Komisji</w:t>
      </w:r>
      <w:r w:rsidR="00987DDC" w:rsidRPr="00987DDC">
        <w:t xml:space="preserve"> w</w:t>
      </w:r>
      <w:r w:rsidR="00987DDC">
        <w:t> </w:t>
      </w:r>
      <w:r w:rsidR="00987DDC" w:rsidRPr="00987DDC">
        <w:t>upr</w:t>
      </w:r>
      <w:r w:rsidRPr="00987DDC">
        <w:t>aszczaniu przepisów UE</w:t>
      </w:r>
      <w:r w:rsidR="00987DDC" w:rsidRPr="00987DDC">
        <w:t xml:space="preserve"> i</w:t>
      </w:r>
      <w:r w:rsidR="00987DDC">
        <w:t> </w:t>
      </w:r>
      <w:r w:rsidR="00987DDC" w:rsidRPr="00987DDC">
        <w:t>zmn</w:t>
      </w:r>
      <w:r w:rsidRPr="00987DDC">
        <w:t xml:space="preserve">iejszaniu niepotrzebnych kosztów: </w:t>
      </w:r>
      <w:hyperlink r:id="rId21" w:history="1">
        <w:r w:rsidRPr="00987DDC">
          <w:rPr>
            <w:rStyle w:val="Hyperlink"/>
          </w:rPr>
          <w:t>https://commission.europa.eu/law/law-making-process/evaluating-and-improving-existing-laws/refit-making-eu-law-simpler-less-costly-and-future-proof/fit-future-platform-f4f_pl</w:t>
        </w:r>
      </w:hyperlink>
      <w:r w:rsidRPr="00987DDC">
        <w:t>. Zob. również streszczenie informacji zwrotnych przekazanych przez grupę ekspertów ds. RODO</w:t>
      </w:r>
      <w:r w:rsidR="00987DDC" w:rsidRPr="00987DDC">
        <w:t xml:space="preserve"> z</w:t>
      </w:r>
      <w:r w:rsidR="00987DDC">
        <w:t> </w:t>
      </w:r>
      <w:r w:rsidR="00987DDC" w:rsidRPr="00987DDC">
        <w:t>udz</w:t>
      </w:r>
      <w:r w:rsidRPr="00987DDC">
        <w:t>iałem wielu zainteresowanych stron oraz stanowisko</w:t>
      </w:r>
      <w:r w:rsidR="00987DDC" w:rsidRPr="00987DDC">
        <w:t xml:space="preserve"> i</w:t>
      </w:r>
      <w:r w:rsidR="00987DDC">
        <w:t> </w:t>
      </w:r>
      <w:r w:rsidR="00987DDC" w:rsidRPr="00987DDC">
        <w:t>ust</w:t>
      </w:r>
      <w:r w:rsidRPr="00987DDC">
        <w:t>alenia Rady, pkt</w:t>
      </w:r>
      <w:r w:rsidR="00987DDC" w:rsidRPr="00987DDC">
        <w:t> </w:t>
      </w:r>
      <w:r w:rsidRPr="00987DDC">
        <w:t xml:space="preserve">12. </w:t>
      </w:r>
    </w:p>
  </w:footnote>
  <w:footnote w:id="118">
    <w:p w14:paraId="7A2C8248" w14:textId="3D5EE0BC" w:rsidR="55E7C498"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119">
    <w:p w14:paraId="2247DEB3" w14:textId="6C153D00" w:rsidR="004A7666"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Decyzja wykonawcza Komisji (UE) 2021/915</w:t>
      </w:r>
      <w:r w:rsidR="00987DDC" w:rsidRPr="00987DDC">
        <w:t xml:space="preserve"> z</w:t>
      </w:r>
      <w:r w:rsidR="00987DDC">
        <w:t> </w:t>
      </w:r>
      <w:r w:rsidR="00987DDC" w:rsidRPr="00987DDC">
        <w:t>dni</w:t>
      </w:r>
      <w:r w:rsidRPr="00987DDC">
        <w:t>a 4 czerwca 2021</w:t>
      </w:r>
      <w:r w:rsidR="00987DDC" w:rsidRPr="00987DDC">
        <w:t> </w:t>
      </w:r>
      <w:r w:rsidRPr="00987DDC">
        <w:t>r.</w:t>
      </w:r>
      <w:r w:rsidR="00987DDC" w:rsidRPr="00987DDC">
        <w:t xml:space="preserve"> w</w:t>
      </w:r>
      <w:r w:rsidR="00987DDC">
        <w:t> </w:t>
      </w:r>
      <w:r w:rsidR="00987DDC" w:rsidRPr="00987DDC">
        <w:t>spr</w:t>
      </w:r>
      <w:r w:rsidRPr="00987DDC">
        <w:t>awie standardowych klauzul umownych między administratorami</w:t>
      </w:r>
      <w:r w:rsidR="00987DDC" w:rsidRPr="00987DDC">
        <w:t xml:space="preserve"> a</w:t>
      </w:r>
      <w:r w:rsidR="00987DDC">
        <w:t> </w:t>
      </w:r>
      <w:r w:rsidR="00987DDC" w:rsidRPr="00987DDC">
        <w:t>pod</w:t>
      </w:r>
      <w:r w:rsidRPr="00987DDC">
        <w:t>miotami przetwarzającymi na podstawie art.</w:t>
      </w:r>
      <w:r w:rsidR="00987DDC" w:rsidRPr="00987DDC">
        <w:t> </w:t>
      </w:r>
      <w:r w:rsidRPr="00987DDC">
        <w:t>28 ust.</w:t>
      </w:r>
      <w:r w:rsidR="00987DDC" w:rsidRPr="00987DDC">
        <w:t> </w:t>
      </w:r>
      <w:r w:rsidRPr="00987DDC">
        <w:t>7 rozporządzenia Parlamentu Europejskiego</w:t>
      </w:r>
      <w:r w:rsidR="00987DDC" w:rsidRPr="00987DDC">
        <w:t xml:space="preserve"> i</w:t>
      </w:r>
      <w:r w:rsidR="00987DDC">
        <w:t> </w:t>
      </w:r>
      <w:r w:rsidR="00987DDC" w:rsidRPr="00987DDC">
        <w:t>Rad</w:t>
      </w:r>
      <w:r w:rsidRPr="00987DDC">
        <w:t>y (UE) 2016/679 oraz art.</w:t>
      </w:r>
      <w:r w:rsidR="00987DDC" w:rsidRPr="00987DDC">
        <w:t> </w:t>
      </w:r>
      <w:r w:rsidRPr="00987DDC">
        <w:t>29 ust.</w:t>
      </w:r>
      <w:r w:rsidR="00987DDC" w:rsidRPr="00987DDC">
        <w:t> </w:t>
      </w:r>
      <w:r w:rsidRPr="00987DDC">
        <w:t>7 rozporządzenia Parlamentu Europejskiego</w:t>
      </w:r>
      <w:r w:rsidR="00987DDC" w:rsidRPr="00987DDC">
        <w:t xml:space="preserve"> i</w:t>
      </w:r>
      <w:r w:rsidR="00987DDC">
        <w:t> </w:t>
      </w:r>
      <w:r w:rsidR="00987DDC" w:rsidRPr="00987DDC">
        <w:t>Rad</w:t>
      </w:r>
      <w:r w:rsidRPr="00987DDC">
        <w:t>y (UE) 2018/1725 (C/2021/3701) – Dz.U. L 199</w:t>
      </w:r>
      <w:r w:rsidR="00987DDC" w:rsidRPr="00987DDC">
        <w:t xml:space="preserve"> z</w:t>
      </w:r>
      <w:r w:rsidR="00987DDC">
        <w:t> </w:t>
      </w:r>
      <w:r w:rsidR="00987DDC" w:rsidRPr="00987DDC">
        <w:t>7</w:t>
      </w:r>
      <w:r w:rsidRPr="00987DDC">
        <w:t>.6.2021, s. 18.</w:t>
      </w:r>
    </w:p>
  </w:footnote>
  <w:footnote w:id="120">
    <w:p w14:paraId="3DA25CDF" w14:textId="4D55DC9C" w:rsidR="55E7C498"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121">
    <w:p w14:paraId="6F868D9D" w14:textId="69FC87C7" w:rsidR="00010297"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Stanowisko</w:t>
      </w:r>
      <w:r w:rsidR="00987DDC" w:rsidRPr="00987DDC">
        <w:t xml:space="preserve"> i</w:t>
      </w:r>
      <w:r w:rsidR="00987DDC">
        <w:t> </w:t>
      </w:r>
      <w:r w:rsidR="00987DDC" w:rsidRPr="00987DDC">
        <w:t>ust</w:t>
      </w:r>
      <w:r w:rsidRPr="00987DDC">
        <w:t>alenia Rady, pkt</w:t>
      </w:r>
      <w:r w:rsidR="00987DDC" w:rsidRPr="00987DDC">
        <w:t> </w:t>
      </w:r>
      <w:r w:rsidRPr="00987DDC">
        <w:t xml:space="preserve">25. </w:t>
      </w:r>
    </w:p>
  </w:footnote>
  <w:footnote w:id="122">
    <w:p w14:paraId="360FF40C" w14:textId="3EFEC5FC" w:rsidR="006D0E41"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hyperlink r:id="rId22" w:history="1">
        <w:r w:rsidRPr="00987DDC">
          <w:rPr>
            <w:rStyle w:val="Hyperlink"/>
          </w:rPr>
          <w:t>https://www.edpb.europa.eu/our-work-tools/accountability-tools/register-codes-conduct-amendments-and-extensions-art-4011_en?f%5B0%5D=coc_scope%3Anational</w:t>
        </w:r>
      </w:hyperlink>
      <w:r w:rsidRPr="00987DDC">
        <w:t xml:space="preserve">. </w:t>
      </w:r>
    </w:p>
  </w:footnote>
  <w:footnote w:id="123">
    <w:p w14:paraId="3F27CB60" w14:textId="7F7DC4D8" w:rsidR="55E7C498"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124">
    <w:p w14:paraId="108CD1A5" w14:textId="093A46BB" w:rsidR="00B9448E"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hyperlink r:id="rId23" w:history="1">
        <w:r w:rsidRPr="00987DDC">
          <w:rPr>
            <w:rStyle w:val="Hyperlink"/>
          </w:rPr>
          <w:t>https://www.edpb.europa.eu/system/files/2024-04/edpb_strategy_2024-2027_en.pdf</w:t>
        </w:r>
      </w:hyperlink>
      <w:r w:rsidRPr="00987DDC">
        <w:t xml:space="preserve">. </w:t>
      </w:r>
    </w:p>
  </w:footnote>
  <w:footnote w:id="125">
    <w:p w14:paraId="3397697F" w14:textId="08CD839D" w:rsidR="00BF7101"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hyperlink r:id="rId24" w:history="1">
        <w:r w:rsidRPr="00987DDC">
          <w:rPr>
            <w:rStyle w:val="Hyperlink"/>
          </w:rPr>
          <w:t>https://commission.europa.eu/law/law-topic/data-protection/eu-funding-supporting-implementation-general-data-protection-regulation-gdpr_en</w:t>
        </w:r>
      </w:hyperlink>
      <w:r w:rsidRPr="00987DDC">
        <w:t xml:space="preserve">. </w:t>
      </w:r>
    </w:p>
  </w:footnote>
  <w:footnote w:id="126">
    <w:p w14:paraId="52B6FDAF" w14:textId="2EAA4069" w:rsidR="00BF7101"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r>
      <w:hyperlink r:id="rId25" w:history="1">
        <w:r w:rsidRPr="00987DDC">
          <w:rPr>
            <w:rStyle w:val="Hyperlink"/>
          </w:rPr>
          <w:t>https://edpb.europa.eu/sme-data-protection-guide/home_en</w:t>
        </w:r>
      </w:hyperlink>
      <w:r w:rsidRPr="00987DDC">
        <w:t xml:space="preserve">. </w:t>
      </w:r>
    </w:p>
  </w:footnote>
  <w:footnote w:id="127">
    <w:p w14:paraId="6D8C1617" w14:textId="269AFA30" w:rsidR="55E7C498"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128">
    <w:p w14:paraId="07B37A5B" w14:textId="448A1856" w:rsidR="55E7C498"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Zob. stanowisko</w:t>
      </w:r>
      <w:r w:rsidR="00987DDC" w:rsidRPr="00987DDC">
        <w:t xml:space="preserve"> i</w:t>
      </w:r>
      <w:r w:rsidR="00987DDC">
        <w:t> </w:t>
      </w:r>
      <w:r w:rsidR="00987DDC" w:rsidRPr="00987DDC">
        <w:t>ust</w:t>
      </w:r>
      <w:r w:rsidRPr="00987DDC">
        <w:t>alenia Rady, pkt</w:t>
      </w:r>
      <w:r w:rsidR="00987DDC" w:rsidRPr="00987DDC">
        <w:t> </w:t>
      </w:r>
      <w:r w:rsidRPr="00987DDC">
        <w:t>24; 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p>
  </w:footnote>
  <w:footnote w:id="129">
    <w:p w14:paraId="65D97F22" w14:textId="70104C02" w:rsidR="00ED7F73"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Art. 30 ust.</w:t>
      </w:r>
      <w:r w:rsidR="00987DDC" w:rsidRPr="00987DDC">
        <w:t> </w:t>
      </w:r>
      <w:r w:rsidRPr="00987DDC">
        <w:t>5 RODO.</w:t>
      </w:r>
    </w:p>
  </w:footnote>
  <w:footnote w:id="130">
    <w:p w14:paraId="512F0687" w14:textId="48223BA5" w:rsidR="00BF7101"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W przypadku gdy podmiot zatrudnia</w:t>
      </w:r>
      <w:r w:rsidRPr="00987DDC">
        <w:rPr>
          <w:color w:val="333333"/>
          <w:sz w:val="27"/>
          <w:shd w:val="clear" w:color="auto" w:fill="FFFFFF"/>
        </w:rPr>
        <w:t xml:space="preserve"> </w:t>
      </w:r>
      <w:r w:rsidRPr="00987DDC">
        <w:t>mniej niż 250 osób, chyba że przetwarzanie, którego dokonuje, może powodować ryzyko naruszenia praw lub wolności osób, których dane dotyczą, nie ma charakteru sporadycznego lub obejmuje szczególne kategorie danych osobowych,</w:t>
      </w:r>
      <w:r w:rsidR="00987DDC" w:rsidRPr="00987DDC">
        <w:t xml:space="preserve"> o</w:t>
      </w:r>
      <w:r w:rsidR="00987DDC">
        <w:t> </w:t>
      </w:r>
      <w:r w:rsidR="00987DDC" w:rsidRPr="00987DDC">
        <w:t>któ</w:t>
      </w:r>
      <w:r w:rsidRPr="00987DDC">
        <w:t>rych mowa</w:t>
      </w:r>
      <w:r w:rsidR="00987DDC" w:rsidRPr="00987DDC">
        <w:t xml:space="preserve"> w</w:t>
      </w:r>
      <w:r w:rsidR="00987DDC">
        <w:t> </w:t>
      </w:r>
      <w:r w:rsidR="00987DDC" w:rsidRPr="00987DDC">
        <w:t>art</w:t>
      </w:r>
      <w:r w:rsidRPr="00987DDC">
        <w:t>.</w:t>
      </w:r>
      <w:r w:rsidR="00987DDC" w:rsidRPr="00987DDC">
        <w:t> </w:t>
      </w:r>
      <w:r w:rsidRPr="00987DDC">
        <w:t>9 ust.</w:t>
      </w:r>
      <w:r w:rsidR="00987DDC" w:rsidRPr="00987DDC">
        <w:t> </w:t>
      </w:r>
      <w:r w:rsidRPr="00987DDC">
        <w:t>1 RODO, lub dane osobowe dotyczące wyroków skazujących</w:t>
      </w:r>
      <w:r w:rsidR="00987DDC" w:rsidRPr="00987DDC">
        <w:t xml:space="preserve"> i</w:t>
      </w:r>
      <w:r w:rsidR="00987DDC">
        <w:t> </w:t>
      </w:r>
      <w:r w:rsidR="00987DDC" w:rsidRPr="00987DDC">
        <w:t>nar</w:t>
      </w:r>
      <w:r w:rsidRPr="00987DDC">
        <w:t>uszeń prawa,</w:t>
      </w:r>
      <w:r w:rsidR="00987DDC" w:rsidRPr="00987DDC">
        <w:t xml:space="preserve"> o</w:t>
      </w:r>
      <w:r w:rsidR="00987DDC">
        <w:t> </w:t>
      </w:r>
      <w:r w:rsidR="00987DDC" w:rsidRPr="00987DDC">
        <w:t>czy</w:t>
      </w:r>
      <w:r w:rsidRPr="00987DDC">
        <w:t>m mowa</w:t>
      </w:r>
      <w:r w:rsidR="00987DDC" w:rsidRPr="00987DDC">
        <w:t xml:space="preserve"> w</w:t>
      </w:r>
      <w:r w:rsidR="00987DDC">
        <w:t> </w:t>
      </w:r>
      <w:r w:rsidR="00987DDC" w:rsidRPr="00987DDC">
        <w:t>art</w:t>
      </w:r>
      <w:r w:rsidRPr="00987DDC">
        <w:t>.</w:t>
      </w:r>
      <w:r w:rsidR="00987DDC" w:rsidRPr="00987DDC">
        <w:t> </w:t>
      </w:r>
      <w:r w:rsidRPr="00987DDC">
        <w:t xml:space="preserve">10 RODO. </w:t>
      </w:r>
    </w:p>
  </w:footnote>
  <w:footnote w:id="131">
    <w:p w14:paraId="37DB08AC" w14:textId="3829BBCA" w:rsidR="00523B00"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Pkt 26 stanowiska</w:t>
      </w:r>
      <w:r w:rsidR="00987DDC" w:rsidRPr="00987DDC">
        <w:t xml:space="preserve"> i</w:t>
      </w:r>
      <w:r w:rsidR="00987DDC">
        <w:t> </w:t>
      </w:r>
      <w:r w:rsidR="00987DDC" w:rsidRPr="00987DDC">
        <w:t>ust</w:t>
      </w:r>
      <w:r w:rsidRPr="00987DDC">
        <w:t>aleń Rady; EROD, Skoordynowane egzekwowanie przepisów</w:t>
      </w:r>
      <w:r w:rsidR="00987DDC" w:rsidRPr="00987DDC">
        <w:t xml:space="preserve"> w</w:t>
      </w:r>
      <w:r w:rsidR="00987DDC">
        <w:t> </w:t>
      </w:r>
      <w:r w:rsidR="00987DDC" w:rsidRPr="00987DDC">
        <w:t>2</w:t>
      </w:r>
      <w:r w:rsidRPr="00987DDC">
        <w:t>023</w:t>
      </w:r>
      <w:r w:rsidR="00987DDC" w:rsidRPr="00987DDC">
        <w:t> </w:t>
      </w:r>
      <w:r w:rsidRPr="00987DDC">
        <w:t>r. – wyznaczanie</w:t>
      </w:r>
      <w:r w:rsidR="00987DDC" w:rsidRPr="00987DDC">
        <w:t xml:space="preserve"> i</w:t>
      </w:r>
      <w:r w:rsidR="00987DDC">
        <w:t> </w:t>
      </w:r>
      <w:r w:rsidR="00987DDC" w:rsidRPr="00987DDC">
        <w:t>poz</w:t>
      </w:r>
      <w:r w:rsidRPr="00987DDC">
        <w:t xml:space="preserve">ycja inspektorów ochrony danych: </w:t>
      </w:r>
      <w:hyperlink r:id="rId26" w:history="1">
        <w:r w:rsidRPr="00987DDC">
          <w:rPr>
            <w:rStyle w:val="Hyperlink"/>
          </w:rPr>
          <w:t>https://www.edpb.europa.eu/system/files/2024-01/edpb_report_20240116_cef_dpo_en.pdf</w:t>
        </w:r>
      </w:hyperlink>
      <w:r w:rsidRPr="00987DDC">
        <w:t xml:space="preserve">. </w:t>
      </w:r>
    </w:p>
  </w:footnote>
  <w:footnote w:id="132">
    <w:p w14:paraId="056F2916" w14:textId="36B44351" w:rsidR="00527671"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 xml:space="preserve">Streszczenie </w:t>
      </w:r>
      <w:bookmarkStart w:id="36" w:name="_Hlk165301896"/>
      <w:r w:rsidRPr="00987DDC">
        <w:t>informacji zwrotnych przekazanych przez grupę ekspertów ds. RODO</w:t>
      </w:r>
      <w:r w:rsidR="00987DDC" w:rsidRPr="00987DDC">
        <w:t xml:space="preserve"> z</w:t>
      </w:r>
      <w:r w:rsidR="00987DDC">
        <w:t> </w:t>
      </w:r>
      <w:r w:rsidR="00987DDC" w:rsidRPr="00987DDC">
        <w:t>udz</w:t>
      </w:r>
      <w:r w:rsidRPr="00987DDC">
        <w:t>iałem wielu zainteresowanych stron</w:t>
      </w:r>
      <w:bookmarkEnd w:id="36"/>
      <w:r w:rsidRPr="00987DDC">
        <w:t xml:space="preserve">. </w:t>
      </w:r>
    </w:p>
  </w:footnote>
  <w:footnote w:id="133">
    <w:p w14:paraId="6C25FEB8" w14:textId="646E23E2" w:rsidR="00523B00"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 xml:space="preserve">Zob. zalecenia EROD dotyczące skoordynowanego egzekwowania przepisów. </w:t>
      </w:r>
    </w:p>
  </w:footnote>
  <w:footnote w:id="134">
    <w:p w14:paraId="30ED3899" w14:textId="6A0B1657" w:rsidR="000B8937"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Rozporządzenie Parlamentu Europejskiego</w:t>
      </w:r>
      <w:r w:rsidR="00987DDC" w:rsidRPr="00987DDC">
        <w:t xml:space="preserve"> i</w:t>
      </w:r>
      <w:r w:rsidR="00987DDC">
        <w:t> </w:t>
      </w:r>
      <w:r w:rsidR="00987DDC" w:rsidRPr="00987DDC">
        <w:t>Rad</w:t>
      </w:r>
      <w:r w:rsidRPr="00987DDC">
        <w:t>y (UE) 2022/2065</w:t>
      </w:r>
      <w:r w:rsidR="00987DDC" w:rsidRPr="00987DDC">
        <w:t xml:space="preserve"> z</w:t>
      </w:r>
      <w:r w:rsidR="00987DDC">
        <w:t> </w:t>
      </w:r>
      <w:r w:rsidR="00987DDC" w:rsidRPr="00987DDC">
        <w:t>dni</w:t>
      </w:r>
      <w:r w:rsidRPr="00987DDC">
        <w:t>a 19 października 2022</w:t>
      </w:r>
      <w:r w:rsidR="00987DDC" w:rsidRPr="00987DDC">
        <w:t> </w:t>
      </w:r>
      <w:r w:rsidRPr="00987DDC">
        <w:t>r.</w:t>
      </w:r>
      <w:r w:rsidR="00987DDC" w:rsidRPr="00987DDC">
        <w:t xml:space="preserve"> w</w:t>
      </w:r>
      <w:r w:rsidR="00987DDC">
        <w:t> </w:t>
      </w:r>
      <w:r w:rsidR="00987DDC" w:rsidRPr="00987DDC">
        <w:t>spr</w:t>
      </w:r>
      <w:r w:rsidRPr="00987DDC">
        <w:t>awie jednolitego rynku usług cyfrowych oraz zmiany dyrektywy 2000/31/WE (akt</w:t>
      </w:r>
      <w:r w:rsidR="00987DDC" w:rsidRPr="00987DDC">
        <w:t xml:space="preserve"> o</w:t>
      </w:r>
      <w:r w:rsidR="00987DDC">
        <w:t> </w:t>
      </w:r>
      <w:r w:rsidR="00987DDC" w:rsidRPr="00987DDC">
        <w:t>usł</w:t>
      </w:r>
      <w:r w:rsidRPr="00987DDC">
        <w:t>ugach cyfrowych), Dz.U. L 277</w:t>
      </w:r>
      <w:r w:rsidR="00987DDC" w:rsidRPr="00987DDC">
        <w:t xml:space="preserve"> z</w:t>
      </w:r>
      <w:r w:rsidR="00987DDC">
        <w:t> </w:t>
      </w:r>
      <w:r w:rsidR="00987DDC" w:rsidRPr="00987DDC">
        <w:t>2</w:t>
      </w:r>
      <w:r w:rsidRPr="00987DDC">
        <w:t xml:space="preserve">7.10.2022, s. 1. </w:t>
      </w:r>
    </w:p>
  </w:footnote>
  <w:footnote w:id="135">
    <w:p w14:paraId="34EFADB6" w14:textId="3F18F50B" w:rsidR="000B8937"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Rozporządzenie (UE) 2022/1925 (akt</w:t>
      </w:r>
      <w:r w:rsidR="00987DDC" w:rsidRPr="00987DDC">
        <w:t xml:space="preserve"> o</w:t>
      </w:r>
      <w:r w:rsidR="00987DDC">
        <w:t> </w:t>
      </w:r>
      <w:r w:rsidR="00987DDC" w:rsidRPr="00987DDC">
        <w:t>ryn</w:t>
      </w:r>
      <w:r w:rsidRPr="00987DDC">
        <w:t>kach cyfrowych), Dz.U. L 265</w:t>
      </w:r>
      <w:r w:rsidR="00987DDC" w:rsidRPr="00987DDC">
        <w:t xml:space="preserve"> z</w:t>
      </w:r>
      <w:r w:rsidR="00987DDC">
        <w:t> </w:t>
      </w:r>
      <w:r w:rsidR="00987DDC" w:rsidRPr="00987DDC">
        <w:t>1</w:t>
      </w:r>
      <w:r w:rsidRPr="00987DDC">
        <w:t xml:space="preserve">2.10.2022, s. 1. </w:t>
      </w:r>
    </w:p>
  </w:footnote>
  <w:footnote w:id="136">
    <w:p w14:paraId="50DDEB7D" w14:textId="2F870695" w:rsidR="000B8937"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Rozporządzenie (UE) 2024/1689 (akt</w:t>
      </w:r>
      <w:r w:rsidR="00987DDC" w:rsidRPr="00987DDC">
        <w:t xml:space="preserve"> w</w:t>
      </w:r>
      <w:r w:rsidR="00987DDC">
        <w:t> </w:t>
      </w:r>
      <w:r w:rsidR="00987DDC" w:rsidRPr="00987DDC">
        <w:t>spr</w:t>
      </w:r>
      <w:r w:rsidRPr="00987DDC">
        <w:t>awie sztucznej inteligencji), Dz.U. L 2024/1689</w:t>
      </w:r>
      <w:r w:rsidR="00987DDC" w:rsidRPr="00987DDC">
        <w:t xml:space="preserve"> z</w:t>
      </w:r>
      <w:r w:rsidR="00987DDC">
        <w:t> </w:t>
      </w:r>
      <w:r w:rsidR="00987DDC" w:rsidRPr="00987DDC">
        <w:t>1</w:t>
      </w:r>
      <w:r w:rsidRPr="00987DDC">
        <w:t xml:space="preserve">2.07.2024. </w:t>
      </w:r>
    </w:p>
  </w:footnote>
  <w:footnote w:id="137">
    <w:p w14:paraId="0CE0FCF8" w14:textId="671CC819" w:rsidR="000B8937"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r>
      <w:hyperlink r:id="rId27" w:history="1">
        <w:r w:rsidRPr="00987DDC">
          <w:rPr>
            <w:rStyle w:val="Hyperlink"/>
          </w:rPr>
          <w:t>Osoby pracujące za pośrednictwem platform internetowych:</w:t>
        </w:r>
      </w:hyperlink>
      <w:hyperlink r:id="rId28" w:history="1">
        <w:r w:rsidRPr="00987DDC">
          <w:rPr>
            <w:rStyle w:val="Hyperlink"/>
          </w:rPr>
          <w:t xml:space="preserve"> Rada zatwierdza porozumienie</w:t>
        </w:r>
        <w:r w:rsidR="00987DDC" w:rsidRPr="00987DDC">
          <w:rPr>
            <w:rStyle w:val="Hyperlink"/>
          </w:rPr>
          <w:t xml:space="preserve"> w</w:t>
        </w:r>
        <w:r w:rsidR="00987DDC">
          <w:rPr>
            <w:rStyle w:val="Hyperlink"/>
          </w:rPr>
          <w:t> </w:t>
        </w:r>
        <w:r w:rsidR="00987DDC" w:rsidRPr="00987DDC">
          <w:rPr>
            <w:rStyle w:val="Hyperlink"/>
          </w:rPr>
          <w:t>spr</w:t>
        </w:r>
        <w:r w:rsidRPr="00987DDC">
          <w:rPr>
            <w:rStyle w:val="Hyperlink"/>
          </w:rPr>
          <w:t>awie nowych przepisów mających poprawić warunki pracy – Consilium (europa.eu)</w:t>
        </w:r>
      </w:hyperlink>
      <w:r w:rsidRPr="00987DDC">
        <w:t>.</w:t>
      </w:r>
    </w:p>
  </w:footnote>
  <w:footnote w:id="138">
    <w:p w14:paraId="497F5399" w14:textId="75E6E25C" w:rsidR="55E7C498"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Rozporządzenie (UE) 2024/900</w:t>
      </w:r>
      <w:r w:rsidR="00987DDC" w:rsidRPr="00987DDC">
        <w:t xml:space="preserve"> w</w:t>
      </w:r>
      <w:r w:rsidR="00987DDC">
        <w:t> </w:t>
      </w:r>
      <w:r w:rsidR="00987DDC" w:rsidRPr="00987DDC">
        <w:t>spr</w:t>
      </w:r>
      <w:r w:rsidRPr="00987DDC">
        <w:t>awie przejrzystości</w:t>
      </w:r>
      <w:r w:rsidR="00987DDC" w:rsidRPr="00987DDC">
        <w:t xml:space="preserve"> i</w:t>
      </w:r>
      <w:r w:rsidR="00987DDC">
        <w:t> </w:t>
      </w:r>
      <w:r w:rsidR="00987DDC" w:rsidRPr="00987DDC">
        <w:t>tar</w:t>
      </w:r>
      <w:r w:rsidRPr="00987DDC">
        <w:t>getowania reklamy politycznej, Dz.U. L 2024/900</w:t>
      </w:r>
      <w:r w:rsidR="00987DDC" w:rsidRPr="00987DDC">
        <w:t xml:space="preserve"> z</w:t>
      </w:r>
      <w:r w:rsidR="00987DDC">
        <w:t> </w:t>
      </w:r>
      <w:r w:rsidR="00987DDC" w:rsidRPr="00987DDC">
        <w:t>2</w:t>
      </w:r>
      <w:r w:rsidRPr="00987DDC">
        <w:t xml:space="preserve">0.3.2024. </w:t>
      </w:r>
    </w:p>
  </w:footnote>
  <w:footnote w:id="139">
    <w:p w14:paraId="1D6835F6" w14:textId="16379E09" w:rsidR="00C21BF2"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Wniosek dotyczący rozporządzenia</w:t>
      </w:r>
      <w:r w:rsidR="00987DDC" w:rsidRPr="00987DDC">
        <w:t xml:space="preserve"> w</w:t>
      </w:r>
      <w:r w:rsidR="00987DDC">
        <w:t> </w:t>
      </w:r>
      <w:r w:rsidR="00987DDC" w:rsidRPr="00987DDC">
        <w:t>spr</w:t>
      </w:r>
      <w:r w:rsidRPr="00987DDC">
        <w:t>awie prywatności</w:t>
      </w:r>
      <w:r w:rsidR="00987DDC" w:rsidRPr="00987DDC">
        <w:t xml:space="preserve"> i</w:t>
      </w:r>
      <w:r w:rsidR="00987DDC">
        <w:t> </w:t>
      </w:r>
      <w:r w:rsidR="00987DDC" w:rsidRPr="00987DDC">
        <w:t>łąc</w:t>
      </w:r>
      <w:r w:rsidRPr="00987DDC">
        <w:t>zności elektronicznej – COM(2017) 10 final.</w:t>
      </w:r>
    </w:p>
  </w:footnote>
  <w:footnote w:id="140">
    <w:p w14:paraId="6BA0EA44" w14:textId="6322B8CA" w:rsidR="0094717F"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Dyrektywa 2002/58/WE (dyrektywa o e-prywatności) – Dz.U. L 201</w:t>
      </w:r>
      <w:r w:rsidR="00987DDC" w:rsidRPr="00987DDC">
        <w:t xml:space="preserve"> z</w:t>
      </w:r>
      <w:r w:rsidR="00987DDC">
        <w:t> </w:t>
      </w:r>
      <w:r w:rsidR="00987DDC" w:rsidRPr="00987DDC">
        <w:t>3</w:t>
      </w:r>
      <w:r w:rsidRPr="00987DDC">
        <w:t>1.7.2002, s. 37.</w:t>
      </w:r>
    </w:p>
  </w:footnote>
  <w:footnote w:id="141">
    <w:p w14:paraId="7989E62D" w14:textId="5A6A10B0" w:rsidR="00CB0B2B" w:rsidRPr="00987DDC" w:rsidRDefault="00CB0B2B" w:rsidP="00CB0B2B">
      <w:pPr>
        <w:spacing w:after="0"/>
        <w:ind w:left="480" w:hanging="480"/>
        <w:rPr>
          <w:sz w:val="20"/>
        </w:rPr>
      </w:pPr>
      <w:r w:rsidRPr="00987DDC">
        <w:t>(</w:t>
      </w:r>
      <w:r w:rsidRPr="00987DDC">
        <w:rPr>
          <w:sz w:val="20"/>
          <w:vertAlign w:val="superscript"/>
        </w:rPr>
        <w:footnoteRef/>
      </w:r>
      <w:r w:rsidRPr="00987DDC">
        <w:t>)</w:t>
      </w:r>
      <w:r w:rsidRPr="00987DDC">
        <w:tab/>
      </w:r>
      <w:r w:rsidRPr="00987DDC">
        <w:rPr>
          <w:sz w:val="20"/>
        </w:rPr>
        <w:t>Rozporządzenie (UE) 2024/903 (akt</w:t>
      </w:r>
      <w:r w:rsidR="00987DDC" w:rsidRPr="00987DDC">
        <w:rPr>
          <w:sz w:val="20"/>
        </w:rPr>
        <w:t xml:space="preserve"> w</w:t>
      </w:r>
      <w:r w:rsidR="00987DDC">
        <w:rPr>
          <w:sz w:val="20"/>
        </w:rPr>
        <w:t> </w:t>
      </w:r>
      <w:r w:rsidR="00987DDC" w:rsidRPr="00987DDC">
        <w:rPr>
          <w:sz w:val="20"/>
        </w:rPr>
        <w:t>spr</w:t>
      </w:r>
      <w:r w:rsidRPr="00987DDC">
        <w:rPr>
          <w:sz w:val="20"/>
        </w:rPr>
        <w:t>awie Interoperacyjnej Europy), Dz.U. L 2024/903</w:t>
      </w:r>
      <w:r w:rsidR="00987DDC" w:rsidRPr="00987DDC">
        <w:rPr>
          <w:sz w:val="20"/>
        </w:rPr>
        <w:t xml:space="preserve"> z</w:t>
      </w:r>
      <w:r w:rsidR="00987DDC">
        <w:rPr>
          <w:sz w:val="20"/>
        </w:rPr>
        <w:t> </w:t>
      </w:r>
      <w:r w:rsidR="00987DDC" w:rsidRPr="00987DDC">
        <w:rPr>
          <w:sz w:val="20"/>
        </w:rPr>
        <w:t>2</w:t>
      </w:r>
      <w:r w:rsidRPr="00987DDC">
        <w:rPr>
          <w:sz w:val="20"/>
        </w:rPr>
        <w:t>2.3.2024.</w:t>
      </w:r>
    </w:p>
  </w:footnote>
  <w:footnote w:id="142">
    <w:p w14:paraId="2515ECB7" w14:textId="65E7C581" w:rsidR="76BF2719"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Zob. stanowisko</w:t>
      </w:r>
      <w:r w:rsidR="00987DDC" w:rsidRPr="00987DDC">
        <w:t xml:space="preserve"> i</w:t>
      </w:r>
      <w:r w:rsidR="00987DDC">
        <w:t> </w:t>
      </w:r>
      <w:r w:rsidR="00987DDC" w:rsidRPr="00987DDC">
        <w:t>ust</w:t>
      </w:r>
      <w:r w:rsidRPr="00987DDC">
        <w:t>alenia Rady, pkt</w:t>
      </w:r>
      <w:r w:rsidR="00987DDC" w:rsidRPr="00987DDC">
        <w:t> </w:t>
      </w:r>
      <w:r w:rsidRPr="00987DDC">
        <w:t>31 lit.</w:t>
      </w:r>
      <w:r w:rsidR="00987DDC" w:rsidRPr="00987DDC">
        <w:t> </w:t>
      </w:r>
      <w:r w:rsidRPr="00987DDC">
        <w:t>f).</w:t>
      </w:r>
    </w:p>
  </w:footnote>
  <w:footnote w:id="143">
    <w:p w14:paraId="688C9909" w14:textId="6C92A5A0" w:rsidR="000B8937"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r>
      <w:hyperlink r:id="rId29" w:history="1">
        <w:r w:rsidRPr="00987DDC">
          <w:rPr>
            <w:rStyle w:val="Hyperlink"/>
          </w:rPr>
          <w:t>https://finance.ec.europa.eu/publications/anti-money-laundering-and-countering-financing-terrorism-legislative-package_en</w:t>
        </w:r>
      </w:hyperlink>
      <w:r w:rsidRPr="00987DDC">
        <w:t xml:space="preserve">. </w:t>
      </w:r>
    </w:p>
  </w:footnote>
  <w:footnote w:id="144">
    <w:p w14:paraId="07D3151B" w14:textId="1E357727" w:rsidR="000B8937"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Rozporządzenie (UE) 2022/868 (akt</w:t>
      </w:r>
      <w:r w:rsidR="00987DDC" w:rsidRPr="00987DDC">
        <w:t xml:space="preserve"> w</w:t>
      </w:r>
      <w:r w:rsidR="00987DDC">
        <w:t> </w:t>
      </w:r>
      <w:r w:rsidR="00987DDC" w:rsidRPr="00987DDC">
        <w:t>spr</w:t>
      </w:r>
      <w:r w:rsidRPr="00987DDC">
        <w:t>awie zarządzania danymi), Dz.U. L 152</w:t>
      </w:r>
      <w:r w:rsidR="00987DDC" w:rsidRPr="00987DDC">
        <w:t xml:space="preserve"> z</w:t>
      </w:r>
      <w:r w:rsidR="00987DDC">
        <w:t> </w:t>
      </w:r>
      <w:r w:rsidR="00987DDC" w:rsidRPr="00987DDC">
        <w:t>3</w:t>
      </w:r>
      <w:r w:rsidRPr="00987DDC">
        <w:t>.6.2022, s. 1.</w:t>
      </w:r>
    </w:p>
  </w:footnote>
  <w:footnote w:id="145">
    <w:p w14:paraId="3A5032A1" w14:textId="7FB275D6" w:rsidR="000B8937"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Rozporządzenie (UE) 2023/2854 (akt</w:t>
      </w:r>
      <w:r w:rsidR="00987DDC" w:rsidRPr="00987DDC">
        <w:t xml:space="preserve"> w</w:t>
      </w:r>
      <w:r w:rsidR="00987DDC">
        <w:t> </w:t>
      </w:r>
      <w:r w:rsidR="00987DDC" w:rsidRPr="00987DDC">
        <w:t>spr</w:t>
      </w:r>
      <w:r w:rsidRPr="00987DDC">
        <w:t>awie danych), Dz.U. L 2023/2854</w:t>
      </w:r>
      <w:r w:rsidR="00987DDC" w:rsidRPr="00987DDC">
        <w:t xml:space="preserve"> z</w:t>
      </w:r>
      <w:r w:rsidR="00987DDC">
        <w:t> </w:t>
      </w:r>
      <w:r w:rsidR="00987DDC" w:rsidRPr="00987DDC">
        <w:t>2</w:t>
      </w:r>
      <w:r w:rsidRPr="00987DDC">
        <w:t>2.12.2023.</w:t>
      </w:r>
    </w:p>
  </w:footnote>
  <w:footnote w:id="146">
    <w:p w14:paraId="05D7ECE2" w14:textId="40B54982" w:rsidR="00E046F8" w:rsidRPr="00987DDC" w:rsidRDefault="0041051C" w:rsidP="00F01DE7">
      <w:pPr>
        <w:spacing w:after="0"/>
        <w:ind w:left="480" w:hanging="480"/>
        <w:rPr>
          <w:sz w:val="20"/>
        </w:rPr>
      </w:pPr>
      <w:r w:rsidRPr="00987DDC">
        <w:rPr>
          <w:sz w:val="20"/>
        </w:rPr>
        <w:t>(</w:t>
      </w:r>
      <w:r w:rsidRPr="00987DDC">
        <w:rPr>
          <w:rStyle w:val="FootnoteReference"/>
          <w:sz w:val="20"/>
        </w:rPr>
        <w:footnoteRef/>
      </w:r>
      <w:r w:rsidRPr="00987DDC">
        <w:rPr>
          <w:sz w:val="20"/>
        </w:rPr>
        <w:t>)</w:t>
      </w:r>
      <w:r w:rsidRPr="00987DDC">
        <w:tab/>
      </w:r>
      <w:hyperlink r:id="rId30" w:history="1">
        <w:r w:rsidRPr="00987DDC">
          <w:rPr>
            <w:rStyle w:val="Hyperlink"/>
            <w:sz w:val="20"/>
          </w:rPr>
          <w:t>https://www.europarl.europa.eu/doceo/document/TA-9-2024-0331_PL.html</w:t>
        </w:r>
      </w:hyperlink>
      <w:r w:rsidRPr="00987DDC">
        <w:rPr>
          <w:sz w:val="20"/>
        </w:rPr>
        <w:t>.</w:t>
      </w:r>
    </w:p>
    <w:p w14:paraId="2E415969" w14:textId="7ED799C4" w:rsidR="000E4291" w:rsidRPr="00987DDC" w:rsidRDefault="000E4291" w:rsidP="00B10179">
      <w:pPr>
        <w:pStyle w:val="FootnoteText"/>
        <w:spacing w:after="0"/>
        <w:ind w:left="480" w:hanging="480"/>
      </w:pPr>
    </w:p>
  </w:footnote>
  <w:footnote w:id="147">
    <w:p w14:paraId="0E047002" w14:textId="0AEC567A" w:rsidR="00800617" w:rsidRPr="00987DDC" w:rsidRDefault="0041051C" w:rsidP="00B10179">
      <w:pPr>
        <w:pStyle w:val="FootnoteText"/>
        <w:spacing w:after="0"/>
        <w:ind w:left="480" w:hanging="480"/>
      </w:pPr>
      <w:r w:rsidRPr="00987DDC">
        <w:t>(</w:t>
      </w:r>
      <w:r w:rsidRPr="00987DDC">
        <w:rPr>
          <w:rStyle w:val="FootnoteReference"/>
        </w:rPr>
        <w:footnoteRef/>
      </w:r>
      <w:r w:rsidRPr="00987DDC">
        <w:t>)</w:t>
      </w:r>
      <w:r w:rsidRPr="00987DDC">
        <w:tab/>
        <w:t>Zob. stanowisko</w:t>
      </w:r>
      <w:r w:rsidR="00987DDC" w:rsidRPr="00987DDC">
        <w:t xml:space="preserve"> i</w:t>
      </w:r>
      <w:r w:rsidR="00987DDC">
        <w:t> </w:t>
      </w:r>
      <w:r w:rsidR="00987DDC" w:rsidRPr="00987DDC">
        <w:t>ust</w:t>
      </w:r>
      <w:r w:rsidRPr="00987DDC">
        <w:t>alenia Rady, pkt</w:t>
      </w:r>
      <w:r w:rsidR="00987DDC" w:rsidRPr="00987DDC">
        <w:t> </w:t>
      </w:r>
      <w:r w:rsidRPr="00987DDC">
        <w:t>40–41; 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p>
  </w:footnote>
  <w:footnote w:id="148">
    <w:p w14:paraId="12A45EE2" w14:textId="3F1A7ABB" w:rsidR="003A6ECE" w:rsidRPr="00987DDC" w:rsidRDefault="0041051C" w:rsidP="0003154B">
      <w:pPr>
        <w:pStyle w:val="FootnoteText"/>
        <w:spacing w:after="0"/>
        <w:ind w:left="480" w:hanging="480"/>
      </w:pPr>
      <w:r w:rsidRPr="00987DDC">
        <w:t>(</w:t>
      </w:r>
      <w:r w:rsidRPr="00987DDC">
        <w:rPr>
          <w:rStyle w:val="FootnoteReference"/>
        </w:rPr>
        <w:footnoteRef/>
      </w:r>
      <w:r w:rsidRPr="00987DDC">
        <w:t>)</w:t>
      </w:r>
      <w:r w:rsidRPr="00987DDC">
        <w:tab/>
        <w:t>Zob. na przykład art.</w:t>
      </w:r>
      <w:r w:rsidR="00987DDC" w:rsidRPr="00987DDC">
        <w:t> </w:t>
      </w:r>
      <w:r w:rsidRPr="00987DDC">
        <w:t>37 ust.</w:t>
      </w:r>
      <w:r w:rsidR="00987DDC" w:rsidRPr="00987DDC">
        <w:t> </w:t>
      </w:r>
      <w:r w:rsidRPr="00987DDC">
        <w:t>3 aktu</w:t>
      </w:r>
      <w:r w:rsidR="00987DDC" w:rsidRPr="00987DDC">
        <w:t xml:space="preserve"> w</w:t>
      </w:r>
      <w:r w:rsidR="00987DDC">
        <w:t> </w:t>
      </w:r>
      <w:r w:rsidR="00987DDC" w:rsidRPr="00987DDC">
        <w:t>spr</w:t>
      </w:r>
      <w:r w:rsidRPr="00987DDC">
        <w:t>awie danych.</w:t>
      </w:r>
    </w:p>
  </w:footnote>
  <w:footnote w:id="149">
    <w:p w14:paraId="1E92BE6B" w14:textId="22F89D69" w:rsidR="000B8937"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Dyrektywa (UE) 2022/2555 (dyrektywa NIS 2), Dz.U. L 333</w:t>
      </w:r>
      <w:r w:rsidR="00987DDC" w:rsidRPr="00987DDC">
        <w:t xml:space="preserve"> z</w:t>
      </w:r>
      <w:r w:rsidR="00987DDC">
        <w:t> </w:t>
      </w:r>
      <w:r w:rsidR="00987DDC" w:rsidRPr="00987DDC">
        <w:t>2</w:t>
      </w:r>
      <w:r w:rsidRPr="00987DDC">
        <w:t>7.12.2022, s. 80.</w:t>
      </w:r>
    </w:p>
  </w:footnote>
  <w:footnote w:id="150">
    <w:p w14:paraId="56DDEBBE" w14:textId="17FC177D" w:rsidR="0053073A" w:rsidRPr="00987DDC" w:rsidRDefault="0041051C" w:rsidP="0003154B">
      <w:pPr>
        <w:pStyle w:val="FootnoteText"/>
        <w:spacing w:after="0"/>
        <w:ind w:left="480" w:hanging="480"/>
      </w:pPr>
      <w:r w:rsidRPr="00987DDC">
        <w:t>(</w:t>
      </w:r>
      <w:r w:rsidRPr="00987DDC">
        <w:rPr>
          <w:rStyle w:val="FootnoteReference"/>
        </w:rPr>
        <w:footnoteRef/>
      </w:r>
      <w:r w:rsidRPr="00987DDC">
        <w:t xml:space="preserve">) </w:t>
      </w:r>
      <w:r w:rsidRPr="00987DDC">
        <w:tab/>
        <w:t>Zob. stanowisko</w:t>
      </w:r>
      <w:r w:rsidR="00987DDC" w:rsidRPr="00987DDC">
        <w:t xml:space="preserve"> i</w:t>
      </w:r>
      <w:r w:rsidR="00987DDC">
        <w:t> </w:t>
      </w:r>
      <w:r w:rsidR="00987DDC" w:rsidRPr="00987DDC">
        <w:t>ust</w:t>
      </w:r>
      <w:r w:rsidRPr="00987DDC">
        <w:t>alenia Rady, pkt</w:t>
      </w:r>
      <w:r w:rsidR="00987DDC" w:rsidRPr="00987DDC">
        <w:t> </w:t>
      </w:r>
      <w:r w:rsidRPr="00987DDC">
        <w:t>18</w:t>
      </w:r>
      <w:r w:rsidR="00987DDC" w:rsidRPr="00987DDC">
        <w:t xml:space="preserve"> i</w:t>
      </w:r>
      <w:r w:rsidR="00987DDC">
        <w:t> </w:t>
      </w:r>
      <w:r w:rsidR="00987DDC" w:rsidRPr="00987DDC">
        <w:t>4</w:t>
      </w:r>
      <w:r w:rsidRPr="00987DDC">
        <w:t>0–41 oraz 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p>
  </w:footnote>
  <w:footnote w:id="151">
    <w:p w14:paraId="59346A40" w14:textId="739AC28C" w:rsidR="003A6ECE" w:rsidRPr="00987DDC" w:rsidRDefault="0041051C" w:rsidP="00250143">
      <w:pPr>
        <w:pStyle w:val="FootnoteText"/>
        <w:spacing w:after="0"/>
      </w:pPr>
      <w:r w:rsidRPr="00987DDC">
        <w:t>(</w:t>
      </w:r>
      <w:r w:rsidRPr="00987DDC">
        <w:rPr>
          <w:rStyle w:val="FootnoteReference"/>
        </w:rPr>
        <w:footnoteRef/>
      </w:r>
      <w:r w:rsidRPr="00987DDC">
        <w:t>)</w:t>
      </w:r>
      <w:r w:rsidRPr="00987DDC">
        <w:tab/>
        <w:t xml:space="preserve"> Niemcy utworzyły „klaster cyfrowy” składający się</w:t>
      </w:r>
      <w:r w:rsidR="00987DDC" w:rsidRPr="00987DDC">
        <w:t xml:space="preserve"> z</w:t>
      </w:r>
      <w:r w:rsidR="00987DDC">
        <w:t> </w:t>
      </w:r>
      <w:r w:rsidR="00987DDC" w:rsidRPr="00987DDC">
        <w:t>org</w:t>
      </w:r>
      <w:r w:rsidRPr="00987DDC">
        <w:t>anów regulacyjnych</w:t>
      </w:r>
      <w:r w:rsidR="00987DDC" w:rsidRPr="00987DDC">
        <w:t xml:space="preserve"> w</w:t>
      </w:r>
      <w:r w:rsidR="00987DDC">
        <w:t> </w:t>
      </w:r>
      <w:r w:rsidR="00987DDC" w:rsidRPr="00987DDC">
        <w:t>z</w:t>
      </w:r>
      <w:r w:rsidR="00987DDC">
        <w:t> </w:t>
      </w:r>
      <w:r w:rsidR="00987DDC" w:rsidRPr="00987DDC">
        <w:t>róż</w:t>
      </w:r>
      <w:r w:rsidRPr="00987DDC">
        <w:t>nych dziedzin, aby rozszerzyć współpracę we wszystkich aspektach cyfryzacji oraz dzielić się wiedzą</w:t>
      </w:r>
      <w:r w:rsidR="00987DDC" w:rsidRPr="00987DDC">
        <w:t xml:space="preserve"> i</w:t>
      </w:r>
      <w:r w:rsidR="00987DDC">
        <w:t> </w:t>
      </w:r>
      <w:r w:rsidR="00987DDC" w:rsidRPr="00987DDC">
        <w:t>naj</w:t>
      </w:r>
      <w:r w:rsidRPr="00987DDC">
        <w:t xml:space="preserve">lepszymi praktykami: </w:t>
      </w:r>
      <w:hyperlink r:id="rId31" w:history="1">
        <w:r w:rsidRPr="00987DDC">
          <w:rPr>
            <w:rStyle w:val="Hyperlink"/>
          </w:rPr>
          <w:t>https://www.dataguidance.com/news/germany-bsi-announces-formation-digital-cluster-bonn</w:t>
        </w:r>
      </w:hyperlink>
      <w:r w:rsidRPr="00987DDC">
        <w:t xml:space="preserve">. </w:t>
      </w:r>
    </w:p>
  </w:footnote>
  <w:footnote w:id="152">
    <w:p w14:paraId="268C1A0E" w14:textId="1BBA707F" w:rsidR="00724CA9" w:rsidRPr="00987DDC" w:rsidRDefault="00724CA9" w:rsidP="0003154B">
      <w:pPr>
        <w:pStyle w:val="FootnoteText"/>
        <w:spacing w:after="0"/>
      </w:pPr>
      <w:r w:rsidRPr="00987DDC">
        <w:t>(</w:t>
      </w:r>
      <w:r w:rsidRPr="00987DDC">
        <w:rPr>
          <w:rStyle w:val="FootnoteReference"/>
        </w:rPr>
        <w:footnoteRef/>
      </w:r>
      <w:r w:rsidRPr="00987DDC">
        <w:t>)</w:t>
      </w:r>
      <w:r w:rsidRPr="00987DDC">
        <w:tab/>
        <w:t xml:space="preserve"> Wytyczne EROD 05/2021.</w:t>
      </w:r>
    </w:p>
  </w:footnote>
  <w:footnote w:id="153">
    <w:p w14:paraId="5269076D" w14:textId="3414D71E" w:rsidR="00724CA9" w:rsidRPr="00987DDC" w:rsidRDefault="00724CA9" w:rsidP="008B13BD">
      <w:pPr>
        <w:pStyle w:val="FootnoteText"/>
        <w:spacing w:after="0"/>
      </w:pPr>
      <w:r w:rsidRPr="00987DDC">
        <w:t>(</w:t>
      </w:r>
      <w:r w:rsidRPr="00987DDC">
        <w:rPr>
          <w:rStyle w:val="FootnoteReference"/>
        </w:rPr>
        <w:footnoteRef/>
      </w:r>
      <w:r w:rsidRPr="00987DDC">
        <w:t>)</w:t>
      </w:r>
      <w:r w:rsidRPr="00987DDC">
        <w:tab/>
        <w:t xml:space="preserve"> Sekcja 2 wytycznych EROD 05/2021.</w:t>
      </w:r>
    </w:p>
  </w:footnote>
  <w:footnote w:id="154">
    <w:p w14:paraId="2DED4C45" w14:textId="77777777" w:rsidR="00C97EC1" w:rsidRPr="00987DDC" w:rsidRDefault="00C97EC1" w:rsidP="00C97EC1">
      <w:pPr>
        <w:pStyle w:val="FootnoteText"/>
        <w:spacing w:after="0"/>
      </w:pPr>
      <w:r w:rsidRPr="00987DDC">
        <w:t>(</w:t>
      </w:r>
      <w:r w:rsidRPr="00987DDC">
        <w:rPr>
          <w:rStyle w:val="FootnoteReference"/>
        </w:rPr>
        <w:footnoteRef/>
      </w:r>
      <w:r w:rsidRPr="00987DDC">
        <w:t>)</w:t>
      </w:r>
      <w:r w:rsidRPr="00987DDC">
        <w:tab/>
        <w:t xml:space="preserve"> Sprawa C-311/18, ECLI:EU:C:2020:559 (Schrems II).</w:t>
      </w:r>
    </w:p>
  </w:footnote>
  <w:footnote w:id="155">
    <w:p w14:paraId="430E1EE5" w14:textId="0ABECFD5" w:rsidR="004100BA" w:rsidRPr="00987DDC" w:rsidRDefault="004100BA" w:rsidP="004100BA">
      <w:pPr>
        <w:pStyle w:val="FootnoteText"/>
        <w:spacing w:after="0"/>
      </w:pPr>
      <w:r w:rsidRPr="00987DDC">
        <w:t>(</w:t>
      </w:r>
      <w:r w:rsidRPr="00987DDC">
        <w:rPr>
          <w:rStyle w:val="FootnoteReference"/>
        </w:rPr>
        <w:footnoteRef/>
      </w:r>
      <w:r w:rsidRPr="00987DDC">
        <w:t>)</w:t>
      </w:r>
      <w:r w:rsidRPr="00987DDC">
        <w:tab/>
        <w:t xml:space="preserve"> Schrems II, pkt</w:t>
      </w:r>
      <w:r w:rsidR="00987DDC" w:rsidRPr="00987DDC">
        <w:t> </w:t>
      </w:r>
      <w:r w:rsidRPr="00987DDC">
        <w:t>93.</w:t>
      </w:r>
    </w:p>
  </w:footnote>
  <w:footnote w:id="156">
    <w:p w14:paraId="50D684E7" w14:textId="59519527" w:rsidR="004100BA" w:rsidRPr="00987DDC" w:rsidRDefault="004100BA" w:rsidP="004100BA">
      <w:pPr>
        <w:pStyle w:val="FootnoteText"/>
        <w:spacing w:after="0"/>
      </w:pPr>
      <w:r w:rsidRPr="00987DDC">
        <w:t>(</w:t>
      </w:r>
      <w:r w:rsidRPr="00987DDC">
        <w:rPr>
          <w:rStyle w:val="FootnoteReference"/>
        </w:rPr>
        <w:footnoteRef/>
      </w:r>
      <w:r w:rsidRPr="00987DDC">
        <w:t>)</w:t>
      </w:r>
      <w:r w:rsidRPr="00987DDC">
        <w:tab/>
        <w:t xml:space="preserve"> Schrems II, pkt</w:t>
      </w:r>
      <w:r w:rsidR="00987DDC" w:rsidRPr="00987DDC">
        <w:t> </w:t>
      </w:r>
      <w:r w:rsidRPr="00987DDC">
        <w:t>96</w:t>
      </w:r>
      <w:r w:rsidR="00987DDC" w:rsidRPr="00987DDC">
        <w:t xml:space="preserve"> i</w:t>
      </w:r>
      <w:r w:rsidR="00987DDC">
        <w:t> </w:t>
      </w:r>
      <w:r w:rsidR="00987DDC" w:rsidRPr="00987DDC">
        <w:t>1</w:t>
      </w:r>
      <w:r w:rsidRPr="00987DDC">
        <w:t>05.</w:t>
      </w:r>
    </w:p>
  </w:footnote>
  <w:footnote w:id="157">
    <w:p w14:paraId="50B57127" w14:textId="0C7D7020" w:rsidR="004100BA" w:rsidRPr="00987DDC" w:rsidRDefault="004100BA" w:rsidP="004100BA">
      <w:pPr>
        <w:pStyle w:val="FootnoteText"/>
        <w:spacing w:after="0"/>
      </w:pPr>
      <w:r w:rsidRPr="00987DDC">
        <w:t>(</w:t>
      </w:r>
      <w:r w:rsidRPr="00987DDC">
        <w:rPr>
          <w:rStyle w:val="FootnoteReference"/>
        </w:rPr>
        <w:footnoteRef/>
      </w:r>
      <w:r w:rsidRPr="00987DDC">
        <w:t>)</w:t>
      </w:r>
      <w:r w:rsidRPr="00987DDC">
        <w:tab/>
        <w:t xml:space="preserve"> Schrems II, pkt</w:t>
      </w:r>
      <w:r w:rsidR="00987DDC" w:rsidRPr="00987DDC">
        <w:t> </w:t>
      </w:r>
      <w:r w:rsidRPr="00987DDC">
        <w:t>131.</w:t>
      </w:r>
    </w:p>
  </w:footnote>
  <w:footnote w:id="158">
    <w:p w14:paraId="5BC2B9D6" w14:textId="04643F42" w:rsidR="004100BA" w:rsidRPr="00987DDC" w:rsidRDefault="004100BA" w:rsidP="004100BA">
      <w:pPr>
        <w:pStyle w:val="FootnoteText"/>
        <w:spacing w:after="0"/>
      </w:pPr>
      <w:r w:rsidRPr="00987DDC">
        <w:t>(</w:t>
      </w:r>
      <w:r w:rsidRPr="00987DDC">
        <w:rPr>
          <w:rStyle w:val="FootnoteReference"/>
        </w:rPr>
        <w:footnoteRef/>
      </w:r>
      <w:r w:rsidRPr="00987DDC">
        <w:t>)</w:t>
      </w:r>
      <w:r w:rsidRPr="00987DDC">
        <w:tab/>
        <w:t xml:space="preserve"> Schrems II, pkt</w:t>
      </w:r>
      <w:r w:rsidR="00987DDC" w:rsidRPr="00987DDC">
        <w:t> </w:t>
      </w:r>
      <w:r w:rsidRPr="00987DDC">
        <w:t>105.</w:t>
      </w:r>
    </w:p>
  </w:footnote>
  <w:footnote w:id="159">
    <w:p w14:paraId="2F99AA41" w14:textId="4C47F75E" w:rsidR="00DE7E57" w:rsidRPr="00987DDC" w:rsidRDefault="00DE7E57" w:rsidP="00DE7E57">
      <w:pPr>
        <w:pStyle w:val="FootnoteText"/>
        <w:spacing w:after="0"/>
      </w:pPr>
      <w:r w:rsidRPr="00987DDC">
        <w:t>(</w:t>
      </w:r>
      <w:r w:rsidRPr="00987DDC">
        <w:rPr>
          <w:rStyle w:val="FootnoteReference"/>
        </w:rPr>
        <w:footnoteRef/>
      </w:r>
      <w:r w:rsidRPr="00987DDC">
        <w:t>)</w:t>
      </w:r>
      <w:r w:rsidRPr="00987DDC">
        <w:tab/>
        <w:t xml:space="preserve"> Zalecenia EROD 02/2020</w:t>
      </w:r>
      <w:r w:rsidR="00987DDC" w:rsidRPr="00987DDC">
        <w:t xml:space="preserve"> i</w:t>
      </w:r>
      <w:r w:rsidR="00987DDC">
        <w:t> </w:t>
      </w:r>
      <w:r w:rsidR="00987DDC" w:rsidRPr="00987DDC">
        <w:t>Odp</w:t>
      </w:r>
      <w:r w:rsidRPr="00987DDC">
        <w:t>owiedni stopień ochrony przekazywanych danych osobowych, WP 254 rev.</w:t>
      </w:r>
      <w:r w:rsidR="00987DDC" w:rsidRPr="00987DDC">
        <w:t> </w:t>
      </w:r>
      <w:r w:rsidRPr="00987DDC">
        <w:t>01.</w:t>
      </w:r>
    </w:p>
  </w:footnote>
  <w:footnote w:id="160">
    <w:p w14:paraId="7A72C7D4" w14:textId="7F4C32AB" w:rsidR="00DE7E57" w:rsidRPr="00987DDC" w:rsidRDefault="00DE7E57" w:rsidP="00DE7E57">
      <w:pPr>
        <w:pStyle w:val="FootnoteText"/>
        <w:spacing w:after="0"/>
      </w:pPr>
      <w:r w:rsidRPr="00987DDC">
        <w:t>(</w:t>
      </w:r>
      <w:r w:rsidRPr="00987DDC">
        <w:rPr>
          <w:rStyle w:val="FootnoteReference"/>
        </w:rPr>
        <w:footnoteRef/>
      </w:r>
      <w:r w:rsidRPr="00987DDC">
        <w:t>)</w:t>
      </w:r>
      <w:r w:rsidRPr="00987DDC">
        <w:tab/>
        <w:t xml:space="preserve"> Zalecenia EROD 01/2020, uzupełnione zaleceniami 02/2020.</w:t>
      </w:r>
    </w:p>
  </w:footnote>
  <w:footnote w:id="161">
    <w:p w14:paraId="20691504" w14:textId="744AA282" w:rsidR="00DE7E57" w:rsidRPr="00987DDC" w:rsidRDefault="00DE7E57" w:rsidP="00DE7E57">
      <w:pPr>
        <w:pStyle w:val="FootnoteText"/>
        <w:spacing w:after="0"/>
      </w:pPr>
      <w:r w:rsidRPr="00987DDC">
        <w:t>(</w:t>
      </w:r>
      <w:r w:rsidRPr="00987DDC">
        <w:rPr>
          <w:rStyle w:val="FootnoteReference"/>
        </w:rPr>
        <w:footnoteRef/>
      </w:r>
      <w:r w:rsidRPr="00987DDC">
        <w:t>)</w:t>
      </w:r>
      <w:r w:rsidRPr="00987DDC">
        <w:tab/>
        <w:t xml:space="preserve"> Zob. np. pkt</w:t>
      </w:r>
      <w:r w:rsidR="00987DDC" w:rsidRPr="00987DDC">
        <w:t> </w:t>
      </w:r>
      <w:r w:rsidRPr="00987DDC">
        <w:t>8–13</w:t>
      </w:r>
      <w:r w:rsidR="00987DDC" w:rsidRPr="00987DDC">
        <w:t xml:space="preserve"> i</w:t>
      </w:r>
      <w:r w:rsidR="00987DDC">
        <w:t> </w:t>
      </w:r>
      <w:r w:rsidR="00987DDC" w:rsidRPr="00987DDC">
        <w:t>3</w:t>
      </w:r>
      <w:r w:rsidRPr="00987DDC">
        <w:t>2–33 zaleceń EROD 01/2020.</w:t>
      </w:r>
    </w:p>
  </w:footnote>
  <w:footnote w:id="162">
    <w:p w14:paraId="5F422C16" w14:textId="18606D10" w:rsidR="0097312A" w:rsidRPr="00987DDC" w:rsidRDefault="0097312A" w:rsidP="008E3A07">
      <w:pPr>
        <w:pStyle w:val="FootnoteText"/>
        <w:spacing w:after="0"/>
      </w:pPr>
      <w:r w:rsidRPr="00987DDC">
        <w:t>(</w:t>
      </w:r>
      <w:r w:rsidRPr="00987DDC">
        <w:rPr>
          <w:rStyle w:val="FootnoteReference"/>
        </w:rPr>
        <w:footnoteRef/>
      </w:r>
      <w:r w:rsidRPr="00987DDC">
        <w:t>)</w:t>
      </w:r>
      <w:r w:rsidRPr="00987DDC">
        <w:tab/>
        <w:t xml:space="preserve"> Zob. np. wkład EROD, s. 7–8. Pkt 36 stanowiska</w:t>
      </w:r>
      <w:r w:rsidR="00987DDC" w:rsidRPr="00987DDC">
        <w:t xml:space="preserve"> i</w:t>
      </w:r>
      <w:r w:rsidR="00987DDC">
        <w:t> </w:t>
      </w:r>
      <w:r w:rsidR="00987DDC" w:rsidRPr="00987DDC">
        <w:t>ust</w:t>
      </w:r>
      <w:r w:rsidRPr="00987DDC">
        <w:t>aleń Rady; 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p>
  </w:footnote>
  <w:footnote w:id="163">
    <w:p w14:paraId="0140EE1F" w14:textId="11D3983F" w:rsidR="004E7CC9" w:rsidRPr="00987DDC" w:rsidRDefault="004E7CC9" w:rsidP="008E3A07">
      <w:pPr>
        <w:pStyle w:val="FootnoteText"/>
        <w:spacing w:after="0"/>
      </w:pPr>
      <w:r w:rsidRPr="00987DDC">
        <w:t>(</w:t>
      </w:r>
      <w:r w:rsidRPr="00987DDC">
        <w:rPr>
          <w:rStyle w:val="FootnoteReference"/>
        </w:rPr>
        <w:footnoteRef/>
      </w:r>
      <w:r w:rsidRPr="00987DDC">
        <w:t>)</w:t>
      </w:r>
      <w:r w:rsidRPr="00987DDC">
        <w:tab/>
        <w:t>Komunikat Komisji „Wymiana</w:t>
      </w:r>
      <w:r w:rsidR="00987DDC" w:rsidRPr="00987DDC">
        <w:t xml:space="preserve"> i</w:t>
      </w:r>
      <w:r w:rsidR="00987DDC">
        <w:t> </w:t>
      </w:r>
      <w:r w:rsidR="00987DDC" w:rsidRPr="00987DDC">
        <w:t>och</w:t>
      </w:r>
      <w:r w:rsidRPr="00987DDC">
        <w:t>rona danych osobowych</w:t>
      </w:r>
      <w:r w:rsidR="00987DDC" w:rsidRPr="00987DDC">
        <w:t xml:space="preserve"> w</w:t>
      </w:r>
      <w:r w:rsidR="00987DDC">
        <w:t> </w:t>
      </w:r>
      <w:r w:rsidR="00987DDC" w:rsidRPr="00987DDC">
        <w:t>zgl</w:t>
      </w:r>
      <w:r w:rsidRPr="00987DDC">
        <w:t>obalizowanym świecie”, COM(2017) 7 final</w:t>
      </w:r>
      <w:r w:rsidR="00987DDC" w:rsidRPr="00987DDC">
        <w:t xml:space="preserve"> z</w:t>
      </w:r>
      <w:r w:rsidR="00987DDC">
        <w:t> </w:t>
      </w:r>
      <w:r w:rsidR="00987DDC" w:rsidRPr="00987DDC">
        <w:t>1</w:t>
      </w:r>
      <w:r w:rsidRPr="00987DDC">
        <w:t>0.1.2017.</w:t>
      </w:r>
    </w:p>
  </w:footnote>
  <w:footnote w:id="164">
    <w:p w14:paraId="26ADED66" w14:textId="5E713CE5" w:rsidR="004E7CC9" w:rsidRPr="00987DDC" w:rsidRDefault="004E7CC9" w:rsidP="008E3A07">
      <w:pPr>
        <w:pStyle w:val="FootnoteText"/>
        <w:spacing w:after="0"/>
      </w:pPr>
      <w:r w:rsidRPr="00987DDC">
        <w:t>(</w:t>
      </w:r>
      <w:r w:rsidRPr="00987DDC">
        <w:rPr>
          <w:rStyle w:val="FootnoteReference"/>
        </w:rPr>
        <w:footnoteRef/>
      </w:r>
      <w:r w:rsidRPr="00987DDC">
        <w:t>)</w:t>
      </w:r>
      <w:r w:rsidRPr="00987DDC">
        <w:tab/>
        <w:t xml:space="preserve"> Decyzja wykonawcza Komisji (UE) 2021/1772, Dz.U. L 360</w:t>
      </w:r>
      <w:r w:rsidR="00987DDC" w:rsidRPr="00987DDC">
        <w:t xml:space="preserve"> z</w:t>
      </w:r>
      <w:r w:rsidR="00987DDC">
        <w:t> </w:t>
      </w:r>
      <w:r w:rsidR="00987DDC" w:rsidRPr="00987DDC">
        <w:t>1</w:t>
      </w:r>
      <w:r w:rsidRPr="00987DDC">
        <w:t>1.10.2021, s. 1.</w:t>
      </w:r>
    </w:p>
  </w:footnote>
  <w:footnote w:id="165">
    <w:p w14:paraId="43D2BC2A" w14:textId="110BA906" w:rsidR="004E7CC9" w:rsidRPr="00987DDC" w:rsidRDefault="004E7CC9" w:rsidP="008E3A07">
      <w:pPr>
        <w:pStyle w:val="FootnoteText"/>
        <w:spacing w:after="0"/>
      </w:pPr>
      <w:r w:rsidRPr="00987DDC">
        <w:t>(</w:t>
      </w:r>
      <w:r w:rsidRPr="00987DDC">
        <w:rPr>
          <w:rStyle w:val="FootnoteReference"/>
        </w:rPr>
        <w:footnoteRef/>
      </w:r>
      <w:r w:rsidRPr="00987DDC">
        <w:t>)</w:t>
      </w:r>
      <w:r w:rsidRPr="00987DDC">
        <w:tab/>
        <w:t>Decyzja wykonawcza Komisji (UE) 2022/254, Dz.U. L 44</w:t>
      </w:r>
      <w:r w:rsidR="00987DDC" w:rsidRPr="00987DDC">
        <w:t xml:space="preserve"> z</w:t>
      </w:r>
      <w:r w:rsidR="00987DDC">
        <w:t> </w:t>
      </w:r>
      <w:r w:rsidR="00987DDC" w:rsidRPr="00987DDC">
        <w:t>2</w:t>
      </w:r>
      <w:r w:rsidRPr="00987DDC">
        <w:t>4.2.2022, s. 1.</w:t>
      </w:r>
    </w:p>
  </w:footnote>
  <w:footnote w:id="166">
    <w:p w14:paraId="3586BDEE" w14:textId="61BA31F1" w:rsidR="00A266B8" w:rsidRPr="00987DDC" w:rsidRDefault="00A266B8" w:rsidP="008E3A07">
      <w:pPr>
        <w:pStyle w:val="FootnoteText"/>
        <w:spacing w:after="0"/>
      </w:pPr>
      <w:r w:rsidRPr="00987DDC">
        <w:t>(</w:t>
      </w:r>
      <w:r w:rsidRPr="00987DDC">
        <w:rPr>
          <w:rStyle w:val="FootnoteReference"/>
        </w:rPr>
        <w:footnoteRef/>
      </w:r>
      <w:r w:rsidRPr="00987DDC">
        <w:t>)</w:t>
      </w:r>
      <w:r w:rsidRPr="00987DDC">
        <w:tab/>
        <w:t xml:space="preserve"> </w:t>
      </w:r>
      <w:hyperlink r:id="rId32" w:history="1">
        <w:r w:rsidRPr="00987DDC">
          <w:rPr>
            <w:rStyle w:val="Hyperlink"/>
          </w:rPr>
          <w:t>https://commission.europa.eu/news/joint-press-statement-european-commissioner-justice-didier-reynders-and-us-secretary-commerce-wilbur-2020-08-10_en</w:t>
        </w:r>
      </w:hyperlink>
      <w:r w:rsidRPr="00987DDC">
        <w:t xml:space="preserve">. </w:t>
      </w:r>
    </w:p>
  </w:footnote>
  <w:footnote w:id="167">
    <w:p w14:paraId="7DDB0C05" w14:textId="2B0FA159" w:rsidR="00A266B8" w:rsidRPr="00987DDC" w:rsidRDefault="00A266B8" w:rsidP="008E3A07">
      <w:pPr>
        <w:pStyle w:val="FootnoteText"/>
        <w:spacing w:after="0"/>
      </w:pPr>
      <w:r w:rsidRPr="00987DDC">
        <w:t>(</w:t>
      </w:r>
      <w:r w:rsidRPr="00987DDC">
        <w:rPr>
          <w:rStyle w:val="FootnoteReference"/>
        </w:rPr>
        <w:footnoteRef/>
      </w:r>
      <w:r w:rsidRPr="00987DDC">
        <w:t>)</w:t>
      </w:r>
      <w:r w:rsidRPr="00987DDC">
        <w:tab/>
        <w:t>Decyzja wykonawcza Komisji (UE) 2023/1795, Dz.U. L 231</w:t>
      </w:r>
      <w:r w:rsidR="00987DDC" w:rsidRPr="00987DDC">
        <w:t xml:space="preserve"> z</w:t>
      </w:r>
      <w:r w:rsidR="00987DDC">
        <w:t> </w:t>
      </w:r>
      <w:r w:rsidR="00987DDC" w:rsidRPr="00987DDC">
        <w:t>2</w:t>
      </w:r>
      <w:r w:rsidRPr="00987DDC">
        <w:t>0.9.2023, s. 118.</w:t>
      </w:r>
    </w:p>
  </w:footnote>
  <w:footnote w:id="168">
    <w:p w14:paraId="6CBB29E6" w14:textId="20E4D147" w:rsidR="00B1343F" w:rsidRPr="00987DDC" w:rsidRDefault="00B1343F" w:rsidP="008E3A07">
      <w:pPr>
        <w:pStyle w:val="FootnoteText"/>
        <w:spacing w:after="0"/>
      </w:pPr>
      <w:r w:rsidRPr="00987DDC">
        <w:t>(</w:t>
      </w:r>
      <w:r w:rsidRPr="00987DDC">
        <w:rPr>
          <w:rStyle w:val="FootnoteReference"/>
        </w:rPr>
        <w:footnoteRef/>
      </w:r>
      <w:r w:rsidRPr="00987DDC">
        <w:t>)</w:t>
      </w:r>
      <w:r w:rsidRPr="00987DDC">
        <w:tab/>
        <w:t xml:space="preserve"> Europejska Organizacja Patentowa jest organizacją międzyrządową utworzoną na podstawie konwencji</w:t>
      </w:r>
      <w:r w:rsidR="00987DDC" w:rsidRPr="00987DDC">
        <w:t xml:space="preserve"> o</w:t>
      </w:r>
      <w:r w:rsidR="00987DDC">
        <w:t> </w:t>
      </w:r>
      <w:r w:rsidR="00987DDC" w:rsidRPr="00987DDC">
        <w:t>pat</w:t>
      </w:r>
      <w:r w:rsidRPr="00987DDC">
        <w:t>encie europejskim. Jej głównym zadaniem jest udzielanie patentów europejskich</w:t>
      </w:r>
      <w:r w:rsidR="00987DDC" w:rsidRPr="00987DDC">
        <w:t>. W</w:t>
      </w:r>
      <w:r w:rsidR="00987DDC">
        <w:t> </w:t>
      </w:r>
      <w:r w:rsidR="00987DDC" w:rsidRPr="00987DDC">
        <w:t>tym</w:t>
      </w:r>
      <w:r w:rsidRPr="00987DDC">
        <w:t xml:space="preserve"> zakresie ściśle współpracuje ona</w:t>
      </w:r>
      <w:r w:rsidR="00987DDC" w:rsidRPr="00987DDC">
        <w:t xml:space="preserve"> z</w:t>
      </w:r>
      <w:r w:rsidR="00987DDC">
        <w:t> </w:t>
      </w:r>
      <w:r w:rsidR="00987DDC" w:rsidRPr="00987DDC">
        <w:t>prz</w:t>
      </w:r>
      <w:r w:rsidRPr="00987DDC">
        <w:t>edsiębiorstwami</w:t>
      </w:r>
      <w:r w:rsidR="00987DDC" w:rsidRPr="00987DDC">
        <w:t xml:space="preserve"> i</w:t>
      </w:r>
      <w:r w:rsidR="00987DDC">
        <w:t> </w:t>
      </w:r>
      <w:r w:rsidR="00987DDC" w:rsidRPr="00987DDC">
        <w:t>org</w:t>
      </w:r>
      <w:r w:rsidRPr="00987DDC">
        <w:t>anami publicznymi</w:t>
      </w:r>
      <w:r w:rsidR="00987DDC" w:rsidRPr="00987DDC">
        <w:t xml:space="preserve"> w</w:t>
      </w:r>
      <w:r w:rsidR="00987DDC">
        <w:t> </w:t>
      </w:r>
      <w:r w:rsidR="00987DDC" w:rsidRPr="00987DDC">
        <w:t>pań</w:t>
      </w:r>
      <w:r w:rsidRPr="00987DDC">
        <w:t>stwach członkowskich UE,</w:t>
      </w:r>
      <w:r w:rsidR="00987DDC" w:rsidRPr="00987DDC">
        <w:t xml:space="preserve"> a</w:t>
      </w:r>
      <w:r w:rsidR="00987DDC">
        <w:t> </w:t>
      </w:r>
      <w:r w:rsidR="00987DDC" w:rsidRPr="00987DDC">
        <w:t>tak</w:t>
      </w:r>
      <w:r w:rsidRPr="00987DDC">
        <w:t>że</w:t>
      </w:r>
      <w:r w:rsidR="00987DDC" w:rsidRPr="00987DDC">
        <w:t xml:space="preserve"> z</w:t>
      </w:r>
      <w:r w:rsidR="00987DDC">
        <w:t> </w:t>
      </w:r>
      <w:r w:rsidR="00987DDC" w:rsidRPr="00987DDC">
        <w:t>róż</w:t>
      </w:r>
      <w:r w:rsidRPr="00987DDC">
        <w:t>nymi instytucjami</w:t>
      </w:r>
      <w:r w:rsidR="00987DDC" w:rsidRPr="00987DDC">
        <w:t xml:space="preserve"> i</w:t>
      </w:r>
      <w:r w:rsidR="00987DDC">
        <w:t> </w:t>
      </w:r>
      <w:r w:rsidR="00987DDC" w:rsidRPr="00987DDC">
        <w:t>org</w:t>
      </w:r>
      <w:r w:rsidRPr="00987DDC">
        <w:t>anami UE.</w:t>
      </w:r>
    </w:p>
  </w:footnote>
  <w:footnote w:id="169">
    <w:p w14:paraId="0615A697" w14:textId="333738C7" w:rsidR="003254C1" w:rsidRPr="00987DDC" w:rsidRDefault="003254C1" w:rsidP="008E3A07">
      <w:pPr>
        <w:pStyle w:val="FootnoteText"/>
        <w:spacing w:after="0"/>
      </w:pPr>
      <w:r w:rsidRPr="00987DDC">
        <w:t>(</w:t>
      </w:r>
      <w:r w:rsidRPr="00987DDC">
        <w:rPr>
          <w:rStyle w:val="FootnoteReference"/>
        </w:rPr>
        <w:footnoteRef/>
      </w:r>
      <w:r w:rsidRPr="00987DDC">
        <w:t>)</w:t>
      </w:r>
      <w:r w:rsidRPr="00987DDC">
        <w:tab/>
        <w:t xml:space="preserve"> Wkład EROD, s. 7–8.</w:t>
      </w:r>
    </w:p>
  </w:footnote>
  <w:footnote w:id="170">
    <w:p w14:paraId="7F3FC086" w14:textId="5F2FB49E" w:rsidR="00F164C1" w:rsidRPr="00987DDC" w:rsidRDefault="00F164C1" w:rsidP="008E3A07">
      <w:pPr>
        <w:pStyle w:val="FootnoteText"/>
        <w:spacing w:after="0"/>
      </w:pPr>
      <w:r w:rsidRPr="00987DDC">
        <w:t>(</w:t>
      </w:r>
      <w:r w:rsidRPr="00987DDC">
        <w:rPr>
          <w:rStyle w:val="FootnoteReference"/>
        </w:rPr>
        <w:footnoteRef/>
      </w:r>
      <w:r w:rsidRPr="00987DDC">
        <w:t>)</w:t>
      </w:r>
      <w:r w:rsidRPr="00987DDC">
        <w:tab/>
        <w:t>Art. 45 ust.</w:t>
      </w:r>
      <w:r w:rsidR="00987DDC" w:rsidRPr="00987DDC">
        <w:t> </w:t>
      </w:r>
      <w:r w:rsidRPr="00987DDC">
        <w:t>4</w:t>
      </w:r>
      <w:r w:rsidR="00987DDC" w:rsidRPr="00987DDC">
        <w:t xml:space="preserve"> i</w:t>
      </w:r>
      <w:r w:rsidR="00987DDC">
        <w:t> </w:t>
      </w:r>
      <w:r w:rsidR="00987DDC" w:rsidRPr="00987DDC">
        <w:t>5</w:t>
      </w:r>
      <w:r w:rsidRPr="00987DDC">
        <w:t xml:space="preserve"> RODO. Zob. również wyrok</w:t>
      </w:r>
      <w:r w:rsidR="00987DDC" w:rsidRPr="00987DDC">
        <w:t xml:space="preserve"> w</w:t>
      </w:r>
      <w:r w:rsidR="00987DDC">
        <w:t> </w:t>
      </w:r>
      <w:r w:rsidR="00987DDC" w:rsidRPr="00987DDC">
        <w:t>spr</w:t>
      </w:r>
      <w:r w:rsidRPr="00987DDC">
        <w:t>awie Schrems I, pkt</w:t>
      </w:r>
      <w:r w:rsidR="00987DDC" w:rsidRPr="00987DDC">
        <w:t> </w:t>
      </w:r>
      <w:r w:rsidRPr="00987DDC">
        <w:t>76.</w:t>
      </w:r>
    </w:p>
  </w:footnote>
  <w:footnote w:id="171">
    <w:p w14:paraId="1DBD67C2" w14:textId="6D493629" w:rsidR="000905DC" w:rsidRPr="00987DDC" w:rsidRDefault="000905DC" w:rsidP="008E3A07">
      <w:pPr>
        <w:pStyle w:val="FootnoteText"/>
        <w:spacing w:after="0"/>
      </w:pPr>
      <w:r w:rsidRPr="00987DDC">
        <w:t>(</w:t>
      </w:r>
      <w:r w:rsidRPr="00987DDC">
        <w:rPr>
          <w:rStyle w:val="FootnoteReference"/>
        </w:rPr>
        <w:footnoteRef/>
      </w:r>
      <w:r w:rsidRPr="00987DDC">
        <w:t>)</w:t>
      </w:r>
      <w:r w:rsidRPr="00987DDC">
        <w:tab/>
        <w:t xml:space="preserve"> Decyzja wykonawcza Komisji (UE) 2019/419, Dz.U. L 76</w:t>
      </w:r>
      <w:r w:rsidR="00987DDC" w:rsidRPr="00987DDC">
        <w:t xml:space="preserve"> z</w:t>
      </w:r>
      <w:r w:rsidR="00987DDC">
        <w:t> </w:t>
      </w:r>
      <w:r w:rsidR="00987DDC" w:rsidRPr="00987DDC">
        <w:t>1</w:t>
      </w:r>
      <w:r w:rsidRPr="00987DDC">
        <w:t xml:space="preserve">9.3.2019, s. 1. Zob. także </w:t>
      </w:r>
      <w:hyperlink r:id="rId33" w:history="1">
        <w:r w:rsidRPr="00987DDC">
          <w:rPr>
            <w:rStyle w:val="Hyperlink"/>
          </w:rPr>
          <w:t>https://ec.europa.eu/commission/presscorner/detail/pl/IP_19_421</w:t>
        </w:r>
      </w:hyperlink>
      <w:r w:rsidRPr="00987DDC">
        <w:t>. Decyzja ta była pierwszą decyzją stwierdzającą odpowiedni stopień ochrony przyjętą na podstawie RODO</w:t>
      </w:r>
      <w:r w:rsidR="00987DDC" w:rsidRPr="00987DDC">
        <w:t xml:space="preserve"> i</w:t>
      </w:r>
      <w:r w:rsidR="00987DDC">
        <w:t> </w:t>
      </w:r>
      <w:r w:rsidR="00987DDC" w:rsidRPr="00987DDC">
        <w:t>pie</w:t>
      </w:r>
      <w:r w:rsidRPr="00987DDC">
        <w:t>rwszym porozumieniem</w:t>
      </w:r>
      <w:r w:rsidR="00987DDC" w:rsidRPr="00987DDC">
        <w:t xml:space="preserve"> w</w:t>
      </w:r>
      <w:r w:rsidR="00987DDC">
        <w:t> </w:t>
      </w:r>
      <w:r w:rsidR="00987DDC" w:rsidRPr="00987DDC">
        <w:t>spr</w:t>
      </w:r>
      <w:r w:rsidRPr="00987DDC">
        <w:t>awie wzajemnej ochrony danych osobowych.</w:t>
      </w:r>
    </w:p>
  </w:footnote>
  <w:footnote w:id="172">
    <w:p w14:paraId="33DC39D7" w14:textId="4F632D84" w:rsidR="00F164C1" w:rsidRPr="00987DDC" w:rsidRDefault="00F164C1" w:rsidP="008E3A07">
      <w:pPr>
        <w:pStyle w:val="FootnoteText"/>
        <w:spacing w:after="0"/>
      </w:pPr>
      <w:r w:rsidRPr="00987DDC">
        <w:t>(</w:t>
      </w:r>
      <w:r w:rsidRPr="00987DDC">
        <w:rPr>
          <w:rStyle w:val="FootnoteReference"/>
        </w:rPr>
        <w:footnoteRef/>
      </w:r>
      <w:r w:rsidRPr="00987DDC">
        <w:t>)</w:t>
      </w:r>
      <w:r w:rsidRPr="00987DDC">
        <w:tab/>
        <w:t xml:space="preserve"> Sprawozdanie Komisji dotyczące pierwszego przeglądu funkcjonowania decyzji stwierdzającej odpowiedni stopień ochrony</w:t>
      </w:r>
      <w:r w:rsidR="00987DDC" w:rsidRPr="00987DDC">
        <w:t xml:space="preserve"> w</w:t>
      </w:r>
      <w:r w:rsidR="00987DDC">
        <w:t> </w:t>
      </w:r>
      <w:r w:rsidR="00987DDC" w:rsidRPr="00987DDC">
        <w:t>Jap</w:t>
      </w:r>
      <w:r w:rsidRPr="00987DDC">
        <w:t>onii, 3.4.2023, COM(2023) 275 final (i SWD(2023) 75 final).</w:t>
      </w:r>
    </w:p>
  </w:footnote>
  <w:footnote w:id="173">
    <w:p w14:paraId="3B9DDD7A" w14:textId="173E7DB9" w:rsidR="008C1516" w:rsidRPr="00987DDC" w:rsidRDefault="008C1516" w:rsidP="008C1516">
      <w:pPr>
        <w:pStyle w:val="FootnoteText"/>
        <w:spacing w:after="0"/>
      </w:pPr>
      <w:r w:rsidRPr="00987DDC">
        <w:t>(</w:t>
      </w:r>
      <w:r w:rsidRPr="00987DDC">
        <w:rPr>
          <w:rStyle w:val="FootnoteReference"/>
        </w:rPr>
        <w:footnoteRef/>
      </w:r>
      <w:r w:rsidRPr="00987DDC">
        <w:t>)</w:t>
      </w:r>
      <w:r w:rsidRPr="00987DDC">
        <w:tab/>
        <w:t xml:space="preserve"> Andora, Argentyna, Guernsey, Izrael, Jersey, Kanada (dla podmiotów handlowych), Nowa Zelandia, Szwajcaria, Urugwaj, Wyspy Owcze</w:t>
      </w:r>
      <w:r w:rsidR="00987DDC" w:rsidRPr="00987DDC">
        <w:t xml:space="preserve"> i</w:t>
      </w:r>
      <w:r w:rsidR="00987DDC">
        <w:t> </w:t>
      </w:r>
      <w:r w:rsidR="00987DDC" w:rsidRPr="00987DDC">
        <w:t>Wys</w:t>
      </w:r>
      <w:r w:rsidRPr="00987DDC">
        <w:t>pa Man.</w:t>
      </w:r>
    </w:p>
  </w:footnote>
  <w:footnote w:id="174">
    <w:p w14:paraId="5C322E9E" w14:textId="5AC54C7B" w:rsidR="005375D9" w:rsidRPr="00987DDC" w:rsidRDefault="005375D9" w:rsidP="008E3A07">
      <w:pPr>
        <w:pStyle w:val="FootnoteText"/>
        <w:spacing w:after="0"/>
      </w:pPr>
      <w:r w:rsidRPr="00987DDC">
        <w:t>(</w:t>
      </w:r>
      <w:r w:rsidRPr="00987DDC">
        <w:rPr>
          <w:rStyle w:val="FootnoteReference"/>
        </w:rPr>
        <w:footnoteRef/>
      </w:r>
      <w:r w:rsidRPr="00987DDC">
        <w:t>)</w:t>
      </w:r>
      <w:r w:rsidRPr="00987DDC">
        <w:tab/>
        <w:t xml:space="preserve"> Sprawozdanie Komisji</w:t>
      </w:r>
      <w:r w:rsidR="00987DDC" w:rsidRPr="00987DDC">
        <w:t xml:space="preserve"> w</w:t>
      </w:r>
      <w:r w:rsidR="00987DDC">
        <w:t> </w:t>
      </w:r>
      <w:r w:rsidR="00987DDC" w:rsidRPr="00987DDC">
        <w:t>spr</w:t>
      </w:r>
      <w:r w:rsidRPr="00987DDC">
        <w:t>awie pierwszego przeglądu decyzji stwierdzających odpowiedni stopień ochrony, które przyjęto na podstawie art.</w:t>
      </w:r>
      <w:r w:rsidR="00987DDC" w:rsidRPr="00987DDC">
        <w:t> </w:t>
      </w:r>
      <w:r w:rsidRPr="00987DDC">
        <w:t>25 ust.</w:t>
      </w:r>
      <w:r w:rsidR="00987DDC" w:rsidRPr="00987DDC">
        <w:t> </w:t>
      </w:r>
      <w:r w:rsidRPr="00987DDC">
        <w:t>6 dyrektywy 95/46/WE, COM(2024) 7 final (oraz SWD(2024) 3 final)</w:t>
      </w:r>
      <w:r w:rsidR="00987DDC" w:rsidRPr="00987DDC">
        <w:t xml:space="preserve"> z</w:t>
      </w:r>
      <w:r w:rsidR="00987DDC">
        <w:t> </w:t>
      </w:r>
      <w:r w:rsidR="00987DDC" w:rsidRPr="00987DDC">
        <w:t>1</w:t>
      </w:r>
      <w:r w:rsidRPr="00987DDC">
        <w:t>5.1.2024.</w:t>
      </w:r>
    </w:p>
  </w:footnote>
  <w:footnote w:id="175">
    <w:p w14:paraId="0F9B4CA4" w14:textId="53928922" w:rsidR="00E42287" w:rsidRPr="00987DDC" w:rsidRDefault="00E42287" w:rsidP="008E3A07">
      <w:pPr>
        <w:pStyle w:val="FootnoteText"/>
        <w:spacing w:after="0"/>
      </w:pPr>
      <w:r w:rsidRPr="00987DDC">
        <w:t>(</w:t>
      </w:r>
      <w:r w:rsidRPr="00987DDC">
        <w:rPr>
          <w:rStyle w:val="FootnoteReference"/>
        </w:rPr>
        <w:footnoteRef/>
      </w:r>
      <w:r w:rsidRPr="00987DDC">
        <w:t>)</w:t>
      </w:r>
      <w:r w:rsidRPr="00987DDC">
        <w:tab/>
        <w:t xml:space="preserve"> </w:t>
      </w:r>
      <w:hyperlink r:id="rId34" w:anchor="11" w:history="1">
        <w:r w:rsidRPr="00987DDC">
          <w:rPr>
            <w:rStyle w:val="Hyperlink"/>
          </w:rPr>
          <w:t>https://ec.europa.eu/commission/presscorner/detail/en/mex_24_1307#11</w:t>
        </w:r>
      </w:hyperlink>
      <w:r w:rsidRPr="00987DDC">
        <w:t xml:space="preserve">. </w:t>
      </w:r>
    </w:p>
  </w:footnote>
  <w:footnote w:id="176">
    <w:p w14:paraId="38219D14" w14:textId="6808C081" w:rsidR="000E6A77" w:rsidRPr="00987DDC" w:rsidRDefault="000E6A77" w:rsidP="008E3A07">
      <w:pPr>
        <w:pStyle w:val="FootnoteText"/>
        <w:spacing w:after="0"/>
      </w:pPr>
      <w:r w:rsidRPr="00987DDC">
        <w:t>(</w:t>
      </w:r>
      <w:r w:rsidRPr="00987DDC">
        <w:rPr>
          <w:rStyle w:val="FootnoteReference"/>
        </w:rPr>
        <w:footnoteRef/>
      </w:r>
      <w:r w:rsidRPr="00987DDC">
        <w:t>)</w:t>
      </w:r>
      <w:r w:rsidRPr="00987DDC">
        <w:tab/>
        <w:t xml:space="preserve"> Np. Argentyna, Izrael, Kolumbia, Maroko, Szwajcaria</w:t>
      </w:r>
      <w:r w:rsidR="00987DDC" w:rsidRPr="00987DDC">
        <w:t xml:space="preserve"> i</w:t>
      </w:r>
      <w:r w:rsidR="00987DDC">
        <w:t> </w:t>
      </w:r>
      <w:r w:rsidR="00987DDC" w:rsidRPr="00987DDC">
        <w:t>Uru</w:t>
      </w:r>
      <w:r w:rsidRPr="00987DDC">
        <w:t>gwaj.</w:t>
      </w:r>
    </w:p>
  </w:footnote>
  <w:footnote w:id="177">
    <w:p w14:paraId="17EE8C6F" w14:textId="78A54CE9" w:rsidR="00C95C04" w:rsidRPr="00987DDC" w:rsidRDefault="00C95C04" w:rsidP="008E3A07">
      <w:pPr>
        <w:pStyle w:val="FootnoteText"/>
        <w:spacing w:after="0"/>
      </w:pPr>
      <w:r w:rsidRPr="00987DDC">
        <w:t>(</w:t>
      </w:r>
      <w:r w:rsidRPr="00987DDC">
        <w:rPr>
          <w:rStyle w:val="FootnoteReference"/>
        </w:rPr>
        <w:footnoteRef/>
      </w:r>
      <w:r w:rsidRPr="00987DDC">
        <w:t>)</w:t>
      </w:r>
      <w:r w:rsidRPr="00987DDC">
        <w:tab/>
        <w:t xml:space="preserve"> Decyzja wykonawcza Komisji (UE) 2021/914, Dz.U. L 199</w:t>
      </w:r>
      <w:r w:rsidR="00987DDC" w:rsidRPr="00987DDC">
        <w:t xml:space="preserve"> z</w:t>
      </w:r>
      <w:r w:rsidR="00987DDC">
        <w:t> </w:t>
      </w:r>
      <w:r w:rsidR="00987DDC" w:rsidRPr="00987DDC">
        <w:t>7</w:t>
      </w:r>
      <w:r w:rsidRPr="00987DDC">
        <w:t xml:space="preserve">.6.2021, s. 31. </w:t>
      </w:r>
    </w:p>
  </w:footnote>
  <w:footnote w:id="178">
    <w:p w14:paraId="54D7082C" w14:textId="0407258F" w:rsidR="00527807" w:rsidRPr="00987DDC" w:rsidRDefault="00527807" w:rsidP="008E3A07">
      <w:pPr>
        <w:pStyle w:val="FootnoteText"/>
        <w:spacing w:after="0"/>
      </w:pPr>
      <w:r w:rsidRPr="00987DDC">
        <w:t>(</w:t>
      </w:r>
      <w:r w:rsidRPr="00987DDC">
        <w:rPr>
          <w:rStyle w:val="FootnoteReference"/>
        </w:rPr>
        <w:footnoteRef/>
      </w:r>
      <w:r w:rsidRPr="00987DDC">
        <w:t>)</w:t>
      </w:r>
      <w:r w:rsidRPr="00987DDC">
        <w:tab/>
        <w:t xml:space="preserve"> Obejmowały one m.in. wspólną opinię EROD i EIOD 2/2021</w:t>
      </w:r>
      <w:r w:rsidR="00987DDC" w:rsidRPr="00987DDC">
        <w:t xml:space="preserve"> w</w:t>
      </w:r>
      <w:r w:rsidR="00987DDC">
        <w:t> </w:t>
      </w:r>
      <w:r w:rsidR="00987DDC" w:rsidRPr="00987DDC">
        <w:t>ram</w:t>
      </w:r>
      <w:r w:rsidRPr="00987DDC">
        <w:t>ach procedury przyjmowania standardowych klauzul umownych.</w:t>
      </w:r>
    </w:p>
  </w:footnote>
  <w:footnote w:id="179">
    <w:p w14:paraId="1AE7EA11" w14:textId="31D275C7" w:rsidR="00F60845" w:rsidRPr="00987DDC" w:rsidRDefault="00F60845" w:rsidP="008E3A07">
      <w:pPr>
        <w:pStyle w:val="FootnoteText"/>
        <w:spacing w:after="0"/>
      </w:pPr>
      <w:r w:rsidRPr="00987DDC">
        <w:t>(</w:t>
      </w:r>
      <w:r w:rsidRPr="00987DDC">
        <w:rPr>
          <w:rStyle w:val="FootnoteReference"/>
        </w:rPr>
        <w:footnoteRef/>
      </w:r>
      <w:r w:rsidRPr="00987DDC">
        <w:t>)</w:t>
      </w:r>
      <w:r w:rsidRPr="00987DDC">
        <w:tab/>
        <w:t xml:space="preserve"> Stanowisko</w:t>
      </w:r>
      <w:r w:rsidR="00987DDC" w:rsidRPr="00987DDC">
        <w:t xml:space="preserve"> i</w:t>
      </w:r>
      <w:r w:rsidR="00987DDC">
        <w:t> </w:t>
      </w:r>
      <w:r w:rsidR="00987DDC" w:rsidRPr="00987DDC">
        <w:t>ust</w:t>
      </w:r>
      <w:r w:rsidRPr="00987DDC">
        <w:t>alenia Rady, pkt</w:t>
      </w:r>
      <w:r w:rsidR="00987DDC" w:rsidRPr="00987DDC">
        <w:t> </w:t>
      </w:r>
      <w:r w:rsidRPr="00987DDC">
        <w:t>37, wkład EROD, s. 9, 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p>
  </w:footnote>
  <w:footnote w:id="180">
    <w:p w14:paraId="00BC71D5" w14:textId="65C2E6F5" w:rsidR="0053487F" w:rsidRPr="00987DDC" w:rsidRDefault="0053487F" w:rsidP="008E3A07">
      <w:pPr>
        <w:pStyle w:val="FootnoteText"/>
        <w:spacing w:after="0"/>
      </w:pPr>
      <w:r w:rsidRPr="00987DDC">
        <w:t>(</w:t>
      </w:r>
      <w:r w:rsidRPr="00987DDC">
        <w:rPr>
          <w:rStyle w:val="FootnoteReference"/>
        </w:rPr>
        <w:footnoteRef/>
      </w:r>
      <w:r w:rsidRPr="00987DDC">
        <w:t>)</w:t>
      </w:r>
      <w:r w:rsidRPr="00987DDC">
        <w:tab/>
        <w:t xml:space="preserve"> </w:t>
      </w:r>
      <w:hyperlink r:id="rId35" w:history="1">
        <w:r w:rsidRPr="00987DDC">
          <w:rPr>
            <w:rStyle w:val="Hyperlink"/>
          </w:rPr>
          <w:t>https://commission.europa.eu/law/law-topic/data-protection/international-dimension-data-protection/new-standard-contractual-clauses-questions-and-answers-overview_en</w:t>
        </w:r>
      </w:hyperlink>
      <w:r w:rsidRPr="00987DDC">
        <w:t>.</w:t>
      </w:r>
    </w:p>
  </w:footnote>
  <w:footnote w:id="181">
    <w:p w14:paraId="497E1A88" w14:textId="01F30D7F" w:rsidR="00DE7E57" w:rsidRPr="00987DDC" w:rsidRDefault="00DE7E57" w:rsidP="00DE7E57">
      <w:pPr>
        <w:pStyle w:val="FootnoteText"/>
        <w:spacing w:after="0"/>
      </w:pPr>
      <w:r w:rsidRPr="00987DDC">
        <w:t>(</w:t>
      </w:r>
      <w:r w:rsidRPr="00987DDC">
        <w:rPr>
          <w:rStyle w:val="FootnoteReference"/>
        </w:rPr>
        <w:footnoteRef/>
      </w:r>
      <w:r w:rsidRPr="00987DDC">
        <w:t>)</w:t>
      </w:r>
      <w:r w:rsidRPr="00987DDC">
        <w:tab/>
        <w:t xml:space="preserve"> Zob. np. 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p>
  </w:footnote>
  <w:footnote w:id="182">
    <w:p w14:paraId="75210A69" w14:textId="7A261F4F" w:rsidR="00105766" w:rsidRPr="00987DDC" w:rsidRDefault="00105766" w:rsidP="008E3A07">
      <w:pPr>
        <w:pStyle w:val="FootnoteText"/>
        <w:spacing w:after="0"/>
      </w:pPr>
      <w:r w:rsidRPr="00987DDC">
        <w:t>(</w:t>
      </w:r>
      <w:r w:rsidRPr="00987DDC">
        <w:rPr>
          <w:rStyle w:val="FootnoteReference"/>
        </w:rPr>
        <w:footnoteRef/>
      </w:r>
      <w:r w:rsidRPr="00987DDC">
        <w:t>)</w:t>
      </w:r>
      <w:r w:rsidRPr="00987DDC">
        <w:tab/>
        <w:t xml:space="preserve"> Zgodnie</w:t>
      </w:r>
      <w:r w:rsidR="00987DDC" w:rsidRPr="00987DDC">
        <w:t xml:space="preserve"> z</w:t>
      </w:r>
      <w:r w:rsidR="00987DDC">
        <w:t> </w:t>
      </w:r>
      <w:r w:rsidR="00987DDC" w:rsidRPr="00987DDC">
        <w:t>art</w:t>
      </w:r>
      <w:r w:rsidRPr="00987DDC">
        <w:t>.</w:t>
      </w:r>
      <w:r w:rsidR="00987DDC" w:rsidRPr="00987DDC">
        <w:t> </w:t>
      </w:r>
      <w:r w:rsidRPr="00987DDC">
        <w:t>48 ust.</w:t>
      </w:r>
      <w:r w:rsidR="00987DDC" w:rsidRPr="00987DDC">
        <w:t> </w:t>
      </w:r>
      <w:r w:rsidRPr="00987DDC">
        <w:t>2 lit.</w:t>
      </w:r>
      <w:r w:rsidR="00987DDC" w:rsidRPr="00987DDC">
        <w:t> </w:t>
      </w:r>
      <w:r w:rsidRPr="00987DDC">
        <w:t>b) rozporządzenia (UE) 2018/1725.</w:t>
      </w:r>
    </w:p>
  </w:footnote>
  <w:footnote w:id="183">
    <w:p w14:paraId="3CABB727" w14:textId="6F0F82CB" w:rsidR="00AC73D5" w:rsidRPr="00987DDC" w:rsidRDefault="00AC73D5" w:rsidP="008E3A07">
      <w:pPr>
        <w:pStyle w:val="FootnoteText"/>
        <w:spacing w:after="0"/>
      </w:pPr>
      <w:r w:rsidRPr="00987DDC">
        <w:t>(</w:t>
      </w:r>
      <w:r w:rsidRPr="00987DDC">
        <w:rPr>
          <w:rStyle w:val="FootnoteReference"/>
        </w:rPr>
        <w:footnoteRef/>
      </w:r>
      <w:r w:rsidRPr="00987DDC">
        <w:t>)</w:t>
      </w:r>
      <w:r w:rsidRPr="00987DDC">
        <w:tab/>
        <w:t xml:space="preserve"> Stanowisko</w:t>
      </w:r>
      <w:r w:rsidR="00987DDC" w:rsidRPr="00987DDC">
        <w:t xml:space="preserve"> i</w:t>
      </w:r>
      <w:r w:rsidR="00987DDC">
        <w:t> </w:t>
      </w:r>
      <w:r w:rsidR="00987DDC" w:rsidRPr="00987DDC">
        <w:t>ust</w:t>
      </w:r>
      <w:r w:rsidRPr="00987DDC">
        <w:t>alenia Rady, pkt</w:t>
      </w:r>
      <w:r w:rsidR="00987DDC" w:rsidRPr="00987DDC">
        <w:t> </w:t>
      </w:r>
      <w:r w:rsidRPr="00987DDC">
        <w:t>37, wkład EROD, s. 9, 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p>
  </w:footnote>
  <w:footnote w:id="184">
    <w:p w14:paraId="13BCC112" w14:textId="3B21E804" w:rsidR="000E0D6C" w:rsidRPr="00987DDC" w:rsidRDefault="000E0D6C" w:rsidP="008E3A07">
      <w:pPr>
        <w:pStyle w:val="FootnoteText"/>
        <w:spacing w:after="0"/>
      </w:pPr>
      <w:r w:rsidRPr="00987DDC">
        <w:t>(</w:t>
      </w:r>
      <w:r w:rsidRPr="00987DDC">
        <w:rPr>
          <w:rStyle w:val="FootnoteReference"/>
        </w:rPr>
        <w:footnoteRef/>
      </w:r>
      <w:r w:rsidRPr="00987DDC">
        <w:t>) Wytyczne EROD 05/2021, pkt</w:t>
      </w:r>
      <w:r w:rsidR="00987DDC" w:rsidRPr="00987DDC">
        <w:t> </w:t>
      </w:r>
      <w:r w:rsidRPr="00987DDC">
        <w:t xml:space="preserve">3. </w:t>
      </w:r>
    </w:p>
  </w:footnote>
  <w:footnote w:id="185">
    <w:p w14:paraId="693D738A" w14:textId="681F91A8" w:rsidR="00724CA9" w:rsidRPr="00987DDC" w:rsidRDefault="00724CA9" w:rsidP="008E3A07">
      <w:pPr>
        <w:pStyle w:val="FootnoteText"/>
        <w:spacing w:after="0"/>
      </w:pPr>
      <w:r w:rsidRPr="00987DDC">
        <w:t>(</w:t>
      </w:r>
      <w:r w:rsidRPr="00987DDC">
        <w:rPr>
          <w:rStyle w:val="FootnoteReference"/>
        </w:rPr>
        <w:footnoteRef/>
      </w:r>
      <w:r w:rsidRPr="00987DDC">
        <w:t>)</w:t>
      </w:r>
      <w:r w:rsidRPr="00987DDC">
        <w:tab/>
        <w:t xml:space="preserve"> Jak określono również</w:t>
      </w:r>
      <w:r w:rsidR="00987DDC" w:rsidRPr="00987DDC">
        <w:t xml:space="preserve"> w</w:t>
      </w:r>
      <w:r w:rsidR="00987DDC">
        <w:t> </w:t>
      </w:r>
      <w:r w:rsidR="00987DDC" w:rsidRPr="00987DDC">
        <w:t>sek</w:t>
      </w:r>
      <w:r w:rsidRPr="00987DDC">
        <w:t>cji 4 wytycznych EROD 05/2021.</w:t>
      </w:r>
    </w:p>
  </w:footnote>
  <w:footnote w:id="186">
    <w:p w14:paraId="78B75E49" w14:textId="249140D6" w:rsidR="001E33BF" w:rsidRPr="00987DDC" w:rsidRDefault="001E33BF" w:rsidP="008E3A07">
      <w:pPr>
        <w:pStyle w:val="FootnoteText"/>
        <w:spacing w:after="0"/>
      </w:pPr>
      <w:r w:rsidRPr="00987DDC">
        <w:t>(</w:t>
      </w:r>
      <w:r w:rsidRPr="00987DDC">
        <w:rPr>
          <w:rStyle w:val="FootnoteReference"/>
        </w:rPr>
        <w:footnoteRef/>
      </w:r>
      <w:r w:rsidRPr="00987DDC">
        <w:t>)</w:t>
      </w:r>
      <w:r w:rsidRPr="00987DDC">
        <w:tab/>
        <w:t xml:space="preserve"> Wkład EROD, s. 9, streszczenie informacji zwrotnych przekazanych przez grupę ekspertów ds. RODO</w:t>
      </w:r>
      <w:r w:rsidR="00987DDC" w:rsidRPr="00987DDC">
        <w:t xml:space="preserve"> z</w:t>
      </w:r>
      <w:r w:rsidR="00987DDC">
        <w:t> </w:t>
      </w:r>
      <w:r w:rsidR="00987DDC" w:rsidRPr="00987DDC">
        <w:t>udz</w:t>
      </w:r>
      <w:r w:rsidRPr="00987DDC">
        <w:t>iałem wielu zainteresowanych stron.</w:t>
      </w:r>
    </w:p>
  </w:footnote>
  <w:footnote w:id="187">
    <w:p w14:paraId="1CE06F14" w14:textId="2F6A837E" w:rsidR="001E33BF" w:rsidRPr="00987DDC" w:rsidRDefault="001E33BF" w:rsidP="008E3A07">
      <w:pPr>
        <w:pStyle w:val="FootnoteText"/>
        <w:spacing w:after="0"/>
      </w:pPr>
      <w:r w:rsidRPr="00987DDC">
        <w:t>(</w:t>
      </w:r>
      <w:r w:rsidRPr="00987DDC">
        <w:rPr>
          <w:rStyle w:val="FootnoteReference"/>
        </w:rPr>
        <w:footnoteRef/>
      </w:r>
      <w:r w:rsidRPr="00987DDC">
        <w:t>)</w:t>
      </w:r>
      <w:r w:rsidRPr="00987DDC">
        <w:tab/>
        <w:t xml:space="preserve"> Np. Wielka Brytania (</w:t>
      </w:r>
      <w:hyperlink r:id="rId36" w:history="1">
        <w:r w:rsidRPr="00987DDC">
          <w:rPr>
            <w:rStyle w:val="Hyperlink"/>
          </w:rPr>
          <w:t>https://ico.org.uk/media/for-organisations/documents/4019539/international-data-transfer-addendum.pdf</w:t>
        </w:r>
      </w:hyperlink>
      <w:r w:rsidRPr="00987DDC">
        <w:t>)</w:t>
      </w:r>
      <w:r w:rsidR="00987DDC" w:rsidRPr="00987DDC">
        <w:t xml:space="preserve"> i</w:t>
      </w:r>
      <w:r w:rsidR="00987DDC">
        <w:t> </w:t>
      </w:r>
      <w:r w:rsidR="00987DDC" w:rsidRPr="00987DDC">
        <w:t>Szw</w:t>
      </w:r>
      <w:r w:rsidRPr="00987DDC">
        <w:t>ajcaria (</w:t>
      </w:r>
      <w:hyperlink r:id="rId37" w:history="1">
        <w:r w:rsidRPr="00987DDC">
          <w:rPr>
            <w:rStyle w:val="Hyperlink"/>
          </w:rPr>
          <w:t>https://www.edoeb.admin.ch/edoeb/en/home/datenschutz/arbeit_wirtschaft/datenuebermittlung_ausland.html</w:t>
        </w:r>
      </w:hyperlink>
      <w:r w:rsidRPr="00987DDC">
        <w:t xml:space="preserve">). </w:t>
      </w:r>
    </w:p>
  </w:footnote>
  <w:footnote w:id="188">
    <w:p w14:paraId="1587345C" w14:textId="697145F2" w:rsidR="001E33BF" w:rsidRPr="00987DDC" w:rsidRDefault="001E33BF" w:rsidP="008E3A07">
      <w:pPr>
        <w:pStyle w:val="FootnoteText"/>
        <w:spacing w:after="0"/>
      </w:pPr>
      <w:r w:rsidRPr="00987DDC">
        <w:t>(</w:t>
      </w:r>
      <w:r w:rsidRPr="00987DDC">
        <w:rPr>
          <w:rStyle w:val="FootnoteReference"/>
        </w:rPr>
        <w:footnoteRef/>
      </w:r>
      <w:r w:rsidRPr="00987DDC">
        <w:t>)</w:t>
      </w:r>
      <w:r w:rsidRPr="00987DDC">
        <w:tab/>
        <w:t xml:space="preserve"> Np. Nowa Zelandia (</w:t>
      </w:r>
      <w:hyperlink r:id="rId38" w:history="1">
        <w:r w:rsidRPr="00987DDC">
          <w:rPr>
            <w:rStyle w:val="Hyperlink"/>
          </w:rPr>
          <w:t>https://privacy.org.nz/responsibilities/your-obligations/disclosing-personal-information-outside-new-zealand/</w:t>
        </w:r>
      </w:hyperlink>
      <w:r w:rsidRPr="00987DDC">
        <w:t>)</w:t>
      </w:r>
      <w:r w:rsidR="00987DDC" w:rsidRPr="00987DDC">
        <w:t xml:space="preserve"> i</w:t>
      </w:r>
      <w:r w:rsidR="00987DDC">
        <w:t> </w:t>
      </w:r>
      <w:r w:rsidR="00987DDC" w:rsidRPr="00987DDC">
        <w:t>Arg</w:t>
      </w:r>
      <w:r w:rsidRPr="00987DDC">
        <w:t>entyna (</w:t>
      </w:r>
      <w:hyperlink r:id="rId39" w:history="1">
        <w:r w:rsidRPr="00987DDC">
          <w:rPr>
            <w:rStyle w:val="Hyperlink"/>
          </w:rPr>
          <w:t>https://servicios.infoleg.gob.ar/infolegInternet/anexos/265000-269999/267922/norma.htm</w:t>
        </w:r>
      </w:hyperlink>
      <w:r w:rsidRPr="00987DDC">
        <w:t xml:space="preserve">). </w:t>
      </w:r>
    </w:p>
  </w:footnote>
  <w:footnote w:id="189">
    <w:p w14:paraId="16FF62F2" w14:textId="0A84FAF2" w:rsidR="006571CB" w:rsidRPr="00987DDC" w:rsidRDefault="006571CB" w:rsidP="008E3A07">
      <w:pPr>
        <w:pStyle w:val="FootnoteText"/>
        <w:spacing w:after="0"/>
      </w:pPr>
      <w:r w:rsidRPr="00987DDC">
        <w:t>(</w:t>
      </w:r>
      <w:r w:rsidRPr="00987DDC">
        <w:rPr>
          <w:rStyle w:val="FootnoteReference"/>
        </w:rPr>
        <w:footnoteRef/>
      </w:r>
      <w:r w:rsidRPr="00987DDC">
        <w:t>)</w:t>
      </w:r>
      <w:r w:rsidRPr="00987DDC">
        <w:tab/>
        <w:t xml:space="preserve"> Zob. </w:t>
      </w:r>
      <w:hyperlink r:id="rId40" w:history="1">
        <w:r w:rsidRPr="00987DDC">
          <w:rPr>
            <w:rStyle w:val="Hyperlink"/>
          </w:rPr>
          <w:t>https://rm.coe.int/t-pd-2022-1rev10-en-final/1680abc6b4</w:t>
        </w:r>
      </w:hyperlink>
      <w:r w:rsidRPr="00987DDC">
        <w:t xml:space="preserve">; </w:t>
      </w:r>
      <w:hyperlink r:id="rId41" w:history="1">
        <w:r w:rsidRPr="00987DDC">
          <w:rPr>
            <w:rStyle w:val="Hyperlink"/>
          </w:rPr>
          <w:t>https://www.redipd.org/sites/default/files/2023-02/anexo-modelos-clausulas-contractuales-en.pdf</w:t>
        </w:r>
      </w:hyperlink>
      <w:r w:rsidRPr="00987DDC">
        <w:t xml:space="preserve"> oraz </w:t>
      </w:r>
      <w:hyperlink r:id="rId42" w:history="1">
        <w:r w:rsidRPr="00987DDC">
          <w:rPr>
            <w:rStyle w:val="Hyperlink"/>
          </w:rPr>
          <w:t>https://asean.org/wp-content/uploads/3-ASEAN-Model-Contractual-Clauses-for-Cross-Border-Data-Flows_Final.pdf</w:t>
        </w:r>
      </w:hyperlink>
      <w:r w:rsidRPr="00987DDC">
        <w:t xml:space="preserve">. </w:t>
      </w:r>
    </w:p>
  </w:footnote>
  <w:footnote w:id="190">
    <w:p w14:paraId="7A9B722F" w14:textId="51E7CC9D" w:rsidR="00FA3F46" w:rsidRPr="00987DDC" w:rsidRDefault="00FA3F46" w:rsidP="00FA3F46">
      <w:pPr>
        <w:pStyle w:val="FootnoteText"/>
        <w:spacing w:after="0"/>
      </w:pPr>
      <w:r w:rsidRPr="00987DDC">
        <w:t>(</w:t>
      </w:r>
      <w:r w:rsidRPr="00987DDC">
        <w:rPr>
          <w:rStyle w:val="FootnoteReference"/>
        </w:rPr>
        <w:footnoteRef/>
      </w:r>
      <w:r w:rsidRPr="00987DDC">
        <w:t>)</w:t>
      </w:r>
      <w:r w:rsidRPr="00987DDC">
        <w:tab/>
      </w:r>
      <w:hyperlink r:id="rId43" w:history="1">
        <w:r w:rsidRPr="00987DDC">
          <w:rPr>
            <w:rStyle w:val="Hyperlink"/>
          </w:rPr>
          <w:t>https://commission.europa.eu/document/download/df5cd5a0-7387-4a2a-8058-8d2ccfec3062_en?filename=%28Final%29%20Joint_Guide_to_ASEAN_MCC_and_EU_SCC.pdf</w:t>
        </w:r>
      </w:hyperlink>
      <w:r w:rsidRPr="00987DDC">
        <w:t>.</w:t>
      </w:r>
    </w:p>
  </w:footnote>
  <w:footnote w:id="191">
    <w:p w14:paraId="12F5EF7A" w14:textId="141D00FE" w:rsidR="001142D9" w:rsidRPr="00987DDC" w:rsidRDefault="001142D9" w:rsidP="008E3A07">
      <w:pPr>
        <w:pStyle w:val="FootnoteText"/>
        <w:spacing w:after="0"/>
      </w:pPr>
      <w:r w:rsidRPr="00987DDC">
        <w:t>(</w:t>
      </w:r>
      <w:r w:rsidRPr="00987DDC">
        <w:rPr>
          <w:rStyle w:val="FootnoteReference"/>
        </w:rPr>
        <w:footnoteRef/>
      </w:r>
      <w:r w:rsidRPr="00987DDC">
        <w:t>)</w:t>
      </w:r>
      <w:r w:rsidRPr="00987DDC">
        <w:tab/>
        <w:t xml:space="preserve"> Wkład EROD, s. 9.</w:t>
      </w:r>
    </w:p>
  </w:footnote>
  <w:footnote w:id="192">
    <w:p w14:paraId="1D34C624" w14:textId="3B0EFA61" w:rsidR="00F00051" w:rsidRPr="00987DDC" w:rsidRDefault="00F00051" w:rsidP="008E3A07">
      <w:pPr>
        <w:pStyle w:val="FootnoteText"/>
        <w:spacing w:after="0"/>
      </w:pPr>
      <w:r w:rsidRPr="00987DDC">
        <w:t>(</w:t>
      </w:r>
      <w:r w:rsidRPr="00987DDC">
        <w:rPr>
          <w:rStyle w:val="FootnoteReference"/>
        </w:rPr>
        <w:footnoteRef/>
      </w:r>
      <w:r w:rsidRPr="00987DDC">
        <w:t>)</w:t>
      </w:r>
      <w:r w:rsidRPr="00987DDC">
        <w:tab/>
        <w:t xml:space="preserve"> Zalecenia EROD 01/2022. </w:t>
      </w:r>
    </w:p>
  </w:footnote>
  <w:footnote w:id="193">
    <w:p w14:paraId="09F6EC47" w14:textId="48A81BAD" w:rsidR="001142D9" w:rsidRPr="00987DDC" w:rsidRDefault="001142D9" w:rsidP="008E3A07">
      <w:pPr>
        <w:pStyle w:val="FootnoteText"/>
        <w:spacing w:after="0"/>
      </w:pPr>
      <w:r w:rsidRPr="00987DDC">
        <w:t>(</w:t>
      </w:r>
      <w:r w:rsidRPr="00987DDC">
        <w:rPr>
          <w:rStyle w:val="FootnoteReference"/>
        </w:rPr>
        <w:footnoteRef/>
      </w:r>
      <w:r w:rsidRPr="00987DDC">
        <w:t>)</w:t>
      </w:r>
      <w:r w:rsidRPr="00987DDC">
        <w:tab/>
        <w:t xml:space="preserve"> Wkład EROD, s. 9.</w:t>
      </w:r>
    </w:p>
  </w:footnote>
  <w:footnote w:id="194">
    <w:p w14:paraId="4A19DF2C" w14:textId="645B75A9" w:rsidR="0001290D" w:rsidRPr="00987DDC" w:rsidRDefault="0001290D" w:rsidP="008E3A07">
      <w:pPr>
        <w:pStyle w:val="FootnoteText"/>
        <w:spacing w:after="0"/>
      </w:pPr>
      <w:r w:rsidRPr="00987DDC">
        <w:t>(</w:t>
      </w:r>
      <w:r w:rsidRPr="00987DDC">
        <w:rPr>
          <w:rStyle w:val="FootnoteReference"/>
        </w:rPr>
        <w:footnoteRef/>
      </w:r>
      <w:r w:rsidRPr="00987DDC">
        <w:t>)</w:t>
      </w:r>
      <w:r w:rsidRPr="00987DDC">
        <w:tab/>
        <w:t xml:space="preserve"> Streszczenie informacji zwrotnych przekazanych przez grupę ekspertów ds. RODO</w:t>
      </w:r>
      <w:r w:rsidR="00987DDC" w:rsidRPr="00987DDC">
        <w:t xml:space="preserve"> z</w:t>
      </w:r>
      <w:r w:rsidR="00987DDC">
        <w:t> </w:t>
      </w:r>
      <w:r w:rsidR="00987DDC" w:rsidRPr="00987DDC">
        <w:t>udz</w:t>
      </w:r>
      <w:r w:rsidRPr="00987DDC">
        <w:t xml:space="preserve">iałem wielu zainteresowanych stron. </w:t>
      </w:r>
    </w:p>
  </w:footnote>
  <w:footnote w:id="195">
    <w:p w14:paraId="7B29141F" w14:textId="141AF560" w:rsidR="00EE7B55" w:rsidRPr="00987DDC" w:rsidRDefault="00EE7B55" w:rsidP="008E3A07">
      <w:pPr>
        <w:pStyle w:val="FootnoteText"/>
        <w:spacing w:after="0"/>
      </w:pPr>
      <w:r w:rsidRPr="00987DDC">
        <w:t>(</w:t>
      </w:r>
      <w:r w:rsidRPr="00987DDC">
        <w:rPr>
          <w:rStyle w:val="FootnoteReference"/>
        </w:rPr>
        <w:footnoteRef/>
      </w:r>
      <w:r w:rsidRPr="00987DDC">
        <w:t>)</w:t>
      </w:r>
      <w:r w:rsidRPr="00987DDC">
        <w:tab/>
        <w:t>Wytyczne EROD 07/2022</w:t>
      </w:r>
      <w:r w:rsidR="00987DDC" w:rsidRPr="00987DDC">
        <w:t xml:space="preserve"> i</w:t>
      </w:r>
      <w:r w:rsidR="00987DDC">
        <w:t> </w:t>
      </w:r>
      <w:r w:rsidR="00987DDC" w:rsidRPr="00987DDC">
        <w:t>0</w:t>
      </w:r>
      <w:r w:rsidRPr="00987DDC">
        <w:t>4/2021.</w:t>
      </w:r>
    </w:p>
  </w:footnote>
  <w:footnote w:id="196">
    <w:p w14:paraId="62C262C4" w14:textId="7CE862FB" w:rsidR="0017263F" w:rsidRPr="00987DDC" w:rsidRDefault="0017263F" w:rsidP="008E3A07">
      <w:pPr>
        <w:pStyle w:val="FootnoteText"/>
        <w:spacing w:after="0"/>
      </w:pPr>
      <w:r w:rsidRPr="00987DDC">
        <w:t>(</w:t>
      </w:r>
      <w:r w:rsidRPr="00987DDC">
        <w:rPr>
          <w:rStyle w:val="FootnoteReference"/>
        </w:rPr>
        <w:footnoteRef/>
      </w:r>
      <w:r w:rsidRPr="00987DDC">
        <w:t>)</w:t>
      </w:r>
      <w:r w:rsidRPr="00987DDC">
        <w:tab/>
        <w:t xml:space="preserve"> Wytyczne EROD 2/2020.</w:t>
      </w:r>
    </w:p>
  </w:footnote>
  <w:footnote w:id="197">
    <w:p w14:paraId="65EC50BA" w14:textId="44061AD8" w:rsidR="00BA51E4" w:rsidRPr="00987DDC" w:rsidRDefault="00BA51E4" w:rsidP="00616234">
      <w:pPr>
        <w:pStyle w:val="FootnoteText"/>
        <w:spacing w:after="0"/>
      </w:pPr>
      <w:r w:rsidRPr="00987DDC">
        <w:t>(</w:t>
      </w:r>
      <w:r w:rsidRPr="00987DDC">
        <w:rPr>
          <w:rStyle w:val="FootnoteReference"/>
        </w:rPr>
        <w:footnoteRef/>
      </w:r>
      <w:r w:rsidRPr="00987DDC">
        <w:t>)</w:t>
      </w:r>
      <w:r w:rsidRPr="00987DDC">
        <w:tab/>
        <w:t xml:space="preserve"> Drugi protokół dodatkowy do Konwencji</w:t>
      </w:r>
      <w:r w:rsidR="00987DDC" w:rsidRPr="00987DDC">
        <w:t xml:space="preserve"> o</w:t>
      </w:r>
      <w:r w:rsidR="00987DDC">
        <w:t> </w:t>
      </w:r>
      <w:r w:rsidR="00987DDC" w:rsidRPr="00987DDC">
        <w:t>cyb</w:t>
      </w:r>
      <w:r w:rsidRPr="00987DDC">
        <w:t>erprzestępczości dotyczący wzmocnionej współpracy</w:t>
      </w:r>
      <w:r w:rsidR="00987DDC" w:rsidRPr="00987DDC">
        <w:t xml:space="preserve"> i</w:t>
      </w:r>
      <w:r w:rsidR="00987DDC">
        <w:t> </w:t>
      </w:r>
      <w:r w:rsidR="00987DDC" w:rsidRPr="00987DDC">
        <w:t>uja</w:t>
      </w:r>
      <w:r w:rsidRPr="00987DDC">
        <w:t>wniania elektronicznego materiału dowodowego (CETS nr</w:t>
      </w:r>
      <w:r w:rsidR="00987DDC" w:rsidRPr="00987DDC">
        <w:t> </w:t>
      </w:r>
      <w:r w:rsidRPr="00987DDC">
        <w:t>224).</w:t>
      </w:r>
    </w:p>
  </w:footnote>
  <w:footnote w:id="198">
    <w:p w14:paraId="1973F5E1" w14:textId="5A744431" w:rsidR="00D9635D" w:rsidRPr="00987DDC" w:rsidRDefault="00D9635D" w:rsidP="008E3A07">
      <w:pPr>
        <w:pStyle w:val="FootnoteText"/>
        <w:spacing w:after="0"/>
      </w:pPr>
      <w:r w:rsidRPr="00987DDC">
        <w:t>(</w:t>
      </w:r>
      <w:r w:rsidRPr="00987DDC">
        <w:rPr>
          <w:rStyle w:val="FootnoteReference"/>
        </w:rPr>
        <w:footnoteRef/>
      </w:r>
      <w:r w:rsidRPr="00987DDC">
        <w:t>)</w:t>
      </w:r>
      <w:r w:rsidRPr="00987DDC">
        <w:tab/>
        <w:t xml:space="preserve"> </w:t>
      </w:r>
      <w:hyperlink r:id="rId44" w:history="1">
        <w:r w:rsidRPr="00987DDC">
          <w:rPr>
            <w:rStyle w:val="Hyperlink"/>
          </w:rPr>
          <w:t>https://commission.europa.eu/news/eu-us-announcement-resumption-negotiations-eu-us-agreement-facilitate-access-electronic-evidence-2023-03-02_en</w:t>
        </w:r>
      </w:hyperlink>
      <w:r w:rsidRPr="00987DDC">
        <w:t xml:space="preserve">. </w:t>
      </w:r>
    </w:p>
  </w:footnote>
  <w:footnote w:id="199">
    <w:p w14:paraId="58058E14" w14:textId="6752FC4B" w:rsidR="00877AE4" w:rsidRPr="00987DDC" w:rsidRDefault="00877AE4" w:rsidP="00301794">
      <w:pPr>
        <w:pStyle w:val="FootnoteText"/>
        <w:spacing w:after="0"/>
      </w:pPr>
      <w:r w:rsidRPr="00987DDC">
        <w:t>(</w:t>
      </w:r>
      <w:r w:rsidRPr="00987DDC">
        <w:rPr>
          <w:rStyle w:val="FootnoteReference"/>
        </w:rPr>
        <w:footnoteRef/>
      </w:r>
      <w:r w:rsidRPr="00987DDC">
        <w:t>)</w:t>
      </w:r>
      <w:r w:rsidRPr="00987DDC">
        <w:tab/>
        <w:t xml:space="preserve"> Wniosek Komisji dotyczący decyzji Rady</w:t>
      </w:r>
      <w:r w:rsidR="00987DDC" w:rsidRPr="00987DDC">
        <w:t xml:space="preserve"> w</w:t>
      </w:r>
      <w:r w:rsidR="00987DDC">
        <w:t> </w:t>
      </w:r>
      <w:r w:rsidR="00987DDC" w:rsidRPr="00987DDC">
        <w:t>spr</w:t>
      </w:r>
      <w:r w:rsidRPr="00987DDC">
        <w:t>awie podpisania,</w:t>
      </w:r>
      <w:r w:rsidR="00987DDC" w:rsidRPr="00987DDC">
        <w:t xml:space="preserve"> w</w:t>
      </w:r>
      <w:r w:rsidR="00987DDC">
        <w:t> </w:t>
      </w:r>
      <w:r w:rsidR="00987DDC" w:rsidRPr="00987DDC">
        <w:t>imi</w:t>
      </w:r>
      <w:r w:rsidRPr="00987DDC">
        <w:t>eniu Unii Europejskiej, umowy między Kanadą</w:t>
      </w:r>
      <w:r w:rsidR="00987DDC" w:rsidRPr="00987DDC">
        <w:t xml:space="preserve"> a</w:t>
      </w:r>
      <w:r w:rsidR="00987DDC">
        <w:t> </w:t>
      </w:r>
      <w:r w:rsidR="00987DDC" w:rsidRPr="00987DDC">
        <w:t>Uni</w:t>
      </w:r>
      <w:r w:rsidRPr="00987DDC">
        <w:t>ą Europejską</w:t>
      </w:r>
      <w:r w:rsidR="00987DDC" w:rsidRPr="00987DDC">
        <w:t xml:space="preserve"> o</w:t>
      </w:r>
      <w:r w:rsidR="00987DDC">
        <w:t> </w:t>
      </w:r>
      <w:r w:rsidR="00987DDC" w:rsidRPr="00987DDC">
        <w:t>prz</w:t>
      </w:r>
      <w:r w:rsidRPr="00987DDC">
        <w:t>ekazywaniu</w:t>
      </w:r>
      <w:r w:rsidR="00987DDC" w:rsidRPr="00987DDC">
        <w:t xml:space="preserve"> i</w:t>
      </w:r>
      <w:r w:rsidR="00987DDC">
        <w:t> </w:t>
      </w:r>
      <w:r w:rsidR="00987DDC" w:rsidRPr="00987DDC">
        <w:t>prz</w:t>
      </w:r>
      <w:r w:rsidRPr="00987DDC">
        <w:t>etwarzaniu danych dotyczących przelotu pasażera (PNR), COM(2024) 94 final.</w:t>
      </w:r>
    </w:p>
  </w:footnote>
  <w:footnote w:id="200">
    <w:p w14:paraId="6320C335" w14:textId="2F6D94B5" w:rsidR="00FF7880" w:rsidRPr="00987DDC" w:rsidRDefault="00FF7880" w:rsidP="008E3A07">
      <w:pPr>
        <w:pStyle w:val="FootnoteText"/>
        <w:spacing w:after="0"/>
      </w:pPr>
      <w:r w:rsidRPr="00987DDC">
        <w:t>(</w:t>
      </w:r>
      <w:r w:rsidRPr="00987DDC">
        <w:rPr>
          <w:rStyle w:val="FootnoteReference"/>
        </w:rPr>
        <w:footnoteRef/>
      </w:r>
      <w:r w:rsidRPr="00987DDC">
        <w:t>)</w:t>
      </w:r>
      <w:r w:rsidRPr="00987DDC">
        <w:tab/>
        <w:t xml:space="preserve"> Dotyczyło to konsultacji zorganizowanych na przykład przez Australię, Chiny, Rwandę, Argentynę, Brazylię, Etiopię, Indonezję, Peru, Malezję</w:t>
      </w:r>
      <w:r w:rsidR="00987DDC" w:rsidRPr="00987DDC">
        <w:t xml:space="preserve"> i</w:t>
      </w:r>
      <w:r w:rsidR="00987DDC">
        <w:t> </w:t>
      </w:r>
      <w:r w:rsidR="00987DDC" w:rsidRPr="00987DDC">
        <w:t>Taj</w:t>
      </w:r>
      <w:r w:rsidRPr="00987DDC">
        <w:t>landię.</w:t>
      </w:r>
    </w:p>
  </w:footnote>
  <w:footnote w:id="201">
    <w:p w14:paraId="30B4863F" w14:textId="64734126" w:rsidR="00FF7880" w:rsidRPr="00987DDC" w:rsidRDefault="00FF7880" w:rsidP="008E3A07">
      <w:pPr>
        <w:pStyle w:val="FootnoteText"/>
        <w:spacing w:after="0"/>
      </w:pPr>
      <w:r w:rsidRPr="00987DDC">
        <w:t>(</w:t>
      </w:r>
      <w:r w:rsidRPr="00987DDC">
        <w:rPr>
          <w:rStyle w:val="FootnoteReference"/>
        </w:rPr>
        <w:footnoteRef/>
      </w:r>
      <w:r w:rsidRPr="00987DDC">
        <w:t>)</w:t>
      </w:r>
      <w:r w:rsidRPr="00987DDC">
        <w:tab/>
        <w:t xml:space="preserve"> Np. przed organami parlamentarnymi Chile, Ekwadoru</w:t>
      </w:r>
      <w:r w:rsidR="00987DDC" w:rsidRPr="00987DDC">
        <w:t xml:space="preserve"> i</w:t>
      </w:r>
      <w:r w:rsidR="00987DDC">
        <w:t> </w:t>
      </w:r>
      <w:r w:rsidR="00987DDC" w:rsidRPr="00987DDC">
        <w:t>Par</w:t>
      </w:r>
      <w:r w:rsidRPr="00987DDC">
        <w:t>agwaju.</w:t>
      </w:r>
    </w:p>
  </w:footnote>
  <w:footnote w:id="202">
    <w:p w14:paraId="177A59E2" w14:textId="5CB204AA" w:rsidR="000E6C98" w:rsidRPr="00987DDC" w:rsidRDefault="000E6C98" w:rsidP="000E6C98">
      <w:pPr>
        <w:pStyle w:val="FootnoteText"/>
        <w:spacing w:after="0"/>
      </w:pPr>
      <w:r w:rsidRPr="00987DDC">
        <w:t>(</w:t>
      </w:r>
      <w:r w:rsidRPr="00987DDC">
        <w:rPr>
          <w:rStyle w:val="FootnoteReference"/>
        </w:rPr>
        <w:footnoteRef/>
      </w:r>
      <w:r w:rsidRPr="00987DDC">
        <w:t>) Obejmowało to również organizację seminariów</w:t>
      </w:r>
      <w:r w:rsidR="00987DDC" w:rsidRPr="00987DDC">
        <w:t xml:space="preserve"> i</w:t>
      </w:r>
      <w:r w:rsidR="00987DDC">
        <w:t> </w:t>
      </w:r>
      <w:r w:rsidR="00987DDC" w:rsidRPr="00987DDC">
        <w:t>wiz</w:t>
      </w:r>
      <w:r w:rsidRPr="00987DDC">
        <w:t>yt studyjnych, np.</w:t>
      </w:r>
      <w:r w:rsidR="00987DDC" w:rsidRPr="00987DDC">
        <w:t xml:space="preserve"> z</w:t>
      </w:r>
      <w:r w:rsidR="00987DDC">
        <w:t> </w:t>
      </w:r>
      <w:r w:rsidR="00987DDC" w:rsidRPr="00987DDC">
        <w:t>udz</w:t>
      </w:r>
      <w:r w:rsidRPr="00987DDC">
        <w:t>iałem przedstawicieli Kenii, Indonezji</w:t>
      </w:r>
      <w:r w:rsidR="00987DDC" w:rsidRPr="00987DDC">
        <w:t xml:space="preserve"> i</w:t>
      </w:r>
      <w:r w:rsidR="00987DDC">
        <w:t> </w:t>
      </w:r>
      <w:r w:rsidR="00987DDC" w:rsidRPr="00987DDC">
        <w:t>Sin</w:t>
      </w:r>
      <w:r w:rsidRPr="00987DDC">
        <w:t>gapuru.</w:t>
      </w:r>
    </w:p>
  </w:footnote>
  <w:footnote w:id="203">
    <w:p w14:paraId="35493FDE" w14:textId="2C84A6C3" w:rsidR="001D3C60" w:rsidRPr="00987DDC" w:rsidRDefault="001D3C60" w:rsidP="008E3A07">
      <w:pPr>
        <w:pStyle w:val="FootnoteText"/>
        <w:spacing w:after="0"/>
      </w:pPr>
      <w:r w:rsidRPr="00987DDC">
        <w:t>(</w:t>
      </w:r>
      <w:r w:rsidRPr="00987DDC">
        <w:rPr>
          <w:rStyle w:val="FootnoteReference"/>
        </w:rPr>
        <w:footnoteRef/>
      </w:r>
      <w:r w:rsidRPr="00987DDC">
        <w:t>)</w:t>
      </w:r>
      <w:r w:rsidRPr="00987DDC">
        <w:tab/>
        <w:t xml:space="preserve"> Wkład EROD, s. 8; stanowisko</w:t>
      </w:r>
      <w:r w:rsidR="00987DDC" w:rsidRPr="00987DDC">
        <w:t xml:space="preserve"> i</w:t>
      </w:r>
      <w:r w:rsidR="00987DDC">
        <w:t> </w:t>
      </w:r>
      <w:r w:rsidR="00987DDC" w:rsidRPr="00987DDC">
        <w:t>ust</w:t>
      </w:r>
      <w:r w:rsidRPr="00987DDC">
        <w:t>alenia Rady, pkt</w:t>
      </w:r>
      <w:r w:rsidR="00987DDC" w:rsidRPr="00987DDC">
        <w:t> </w:t>
      </w:r>
      <w:r w:rsidRPr="00987DDC">
        <w:t>38.</w:t>
      </w:r>
    </w:p>
  </w:footnote>
  <w:footnote w:id="204">
    <w:p w14:paraId="3201282F" w14:textId="4CD77FF9" w:rsidR="001F413B" w:rsidRPr="00987DDC" w:rsidRDefault="001F413B" w:rsidP="008E3A07">
      <w:pPr>
        <w:pStyle w:val="FootnoteText"/>
        <w:spacing w:after="0"/>
      </w:pPr>
      <w:r w:rsidRPr="00987DDC">
        <w:t>(</w:t>
      </w:r>
      <w:r w:rsidRPr="00987DDC">
        <w:rPr>
          <w:rStyle w:val="FootnoteReference"/>
        </w:rPr>
        <w:footnoteRef/>
      </w:r>
      <w:r w:rsidRPr="00987DDC">
        <w:t>)</w:t>
      </w:r>
      <w:r w:rsidRPr="00987DDC">
        <w:tab/>
        <w:t xml:space="preserve"> Wkład EROD, s. 8.</w:t>
      </w:r>
    </w:p>
  </w:footnote>
  <w:footnote w:id="205">
    <w:p w14:paraId="38820F89" w14:textId="35BB607D" w:rsidR="00205504" w:rsidRPr="00987DDC" w:rsidRDefault="00205504" w:rsidP="008E3A07">
      <w:pPr>
        <w:pStyle w:val="FootnoteText"/>
        <w:spacing w:after="0"/>
      </w:pPr>
      <w:r w:rsidRPr="00987DDC">
        <w:t>(</w:t>
      </w:r>
      <w:r w:rsidRPr="00987DDC">
        <w:rPr>
          <w:rStyle w:val="FootnoteReference"/>
        </w:rPr>
        <w:footnoteRef/>
      </w:r>
      <w:r w:rsidRPr="00987DDC">
        <w:t>)</w:t>
      </w:r>
      <w:r w:rsidRPr="00987DDC">
        <w:tab/>
        <w:t xml:space="preserve"> Stanowisko</w:t>
      </w:r>
      <w:r w:rsidR="00987DDC" w:rsidRPr="00987DDC">
        <w:t xml:space="preserve"> i</w:t>
      </w:r>
      <w:r w:rsidR="00987DDC">
        <w:t> </w:t>
      </w:r>
      <w:r w:rsidR="00987DDC" w:rsidRPr="00987DDC">
        <w:t>ust</w:t>
      </w:r>
      <w:r w:rsidRPr="00987DDC">
        <w:t>alenia Rady, pkt</w:t>
      </w:r>
      <w:r w:rsidR="00987DDC" w:rsidRPr="00987DDC">
        <w:t> </w:t>
      </w:r>
      <w:r w:rsidRPr="00987DDC">
        <w:t>39.</w:t>
      </w:r>
    </w:p>
  </w:footnote>
  <w:footnote w:id="206">
    <w:p w14:paraId="1FC407D6" w14:textId="0639FD8F" w:rsidR="0002460E" w:rsidRPr="00987DDC" w:rsidRDefault="0002460E" w:rsidP="00205635">
      <w:pPr>
        <w:pStyle w:val="FootnoteText"/>
        <w:spacing w:after="0"/>
      </w:pPr>
      <w:r w:rsidRPr="00987DDC">
        <w:t>(</w:t>
      </w:r>
      <w:r w:rsidRPr="00987DDC">
        <w:rPr>
          <w:rStyle w:val="FootnoteReference"/>
        </w:rPr>
        <w:footnoteRef/>
      </w:r>
      <w:r w:rsidRPr="00987DDC">
        <w:t>)</w:t>
      </w:r>
      <w:r w:rsidRPr="00987DDC">
        <w:tab/>
        <w:t xml:space="preserve"> Protokół zmieniający Konwencję</w:t>
      </w:r>
      <w:r w:rsidR="00987DDC" w:rsidRPr="00987DDC">
        <w:t xml:space="preserve"> o</w:t>
      </w:r>
      <w:r w:rsidR="00987DDC">
        <w:t> </w:t>
      </w:r>
      <w:r w:rsidR="00987DDC" w:rsidRPr="00987DDC">
        <w:t>och</w:t>
      </w:r>
      <w:r w:rsidRPr="00987DDC">
        <w:t>ronie osób</w:t>
      </w:r>
      <w:r w:rsidR="00987DDC" w:rsidRPr="00987DDC">
        <w:t xml:space="preserve"> w</w:t>
      </w:r>
      <w:r w:rsidR="00987DDC">
        <w:t> </w:t>
      </w:r>
      <w:r w:rsidR="00987DDC" w:rsidRPr="00987DDC">
        <w:t>zwi</w:t>
      </w:r>
      <w:r w:rsidRPr="00987DDC">
        <w:t>ązku</w:t>
      </w:r>
      <w:r w:rsidR="00987DDC" w:rsidRPr="00987DDC">
        <w:t xml:space="preserve"> z</w:t>
      </w:r>
      <w:r w:rsidR="00987DDC">
        <w:t> </w:t>
      </w:r>
      <w:r w:rsidR="00987DDC" w:rsidRPr="00987DDC">
        <w:t>aut</w:t>
      </w:r>
      <w:r w:rsidRPr="00987DDC">
        <w:t>omatycznym przetwarzaniem danych osobowych (CETS nr</w:t>
      </w:r>
      <w:r w:rsidR="00987DDC" w:rsidRPr="00987DDC">
        <w:t> </w:t>
      </w:r>
      <w:r w:rsidRPr="00987DDC">
        <w:t>223).</w:t>
      </w:r>
    </w:p>
  </w:footnote>
  <w:footnote w:id="207">
    <w:p w14:paraId="1171E892" w14:textId="3F5864B0" w:rsidR="00205635" w:rsidRPr="00987DDC" w:rsidRDefault="00205635" w:rsidP="00B958A2">
      <w:pPr>
        <w:pStyle w:val="FootnoteText"/>
        <w:spacing w:after="0"/>
      </w:pPr>
      <w:r w:rsidRPr="00987DDC">
        <w:t>(</w:t>
      </w:r>
      <w:r w:rsidRPr="00987DDC">
        <w:rPr>
          <w:rStyle w:val="FootnoteReference"/>
        </w:rPr>
        <w:footnoteRef/>
      </w:r>
      <w:r w:rsidRPr="00987DDC">
        <w:t>)</w:t>
      </w:r>
      <w:r w:rsidRPr="00987DDC">
        <w:tab/>
        <w:t>Dania.</w:t>
      </w:r>
    </w:p>
  </w:footnote>
  <w:footnote w:id="208">
    <w:p w14:paraId="627506B2" w14:textId="3C653384" w:rsidR="00205635" w:rsidRPr="00987DDC" w:rsidRDefault="00205635" w:rsidP="00B958A2">
      <w:pPr>
        <w:pStyle w:val="FootnoteText"/>
        <w:spacing w:after="0"/>
      </w:pPr>
      <w:r w:rsidRPr="00987DDC">
        <w:t>(</w:t>
      </w:r>
      <w:r w:rsidRPr="00987DDC">
        <w:rPr>
          <w:rStyle w:val="FootnoteReference"/>
        </w:rPr>
        <w:footnoteRef/>
      </w:r>
      <w:r w:rsidRPr="00987DDC">
        <w:t>)</w:t>
      </w:r>
      <w:r w:rsidRPr="00987DDC">
        <w:tab/>
        <w:t>Belgia, Czechy, Grecja, Irlandia, Łotwa, Luksemburg, Niderlandy</w:t>
      </w:r>
      <w:r w:rsidR="00987DDC" w:rsidRPr="00987DDC">
        <w:t xml:space="preserve"> i</w:t>
      </w:r>
      <w:r w:rsidR="00987DDC">
        <w:t> </w:t>
      </w:r>
      <w:r w:rsidR="00987DDC" w:rsidRPr="00987DDC">
        <w:t>Szw</w:t>
      </w:r>
      <w:r w:rsidRPr="00987DDC">
        <w:t>ecja.</w:t>
      </w:r>
    </w:p>
  </w:footnote>
  <w:footnote w:id="209">
    <w:p w14:paraId="66331867" w14:textId="1972F93A" w:rsidR="000A3A85" w:rsidRPr="00987DDC" w:rsidRDefault="000A3A85" w:rsidP="00205635">
      <w:pPr>
        <w:pStyle w:val="FootnoteText"/>
        <w:spacing w:after="0"/>
      </w:pPr>
      <w:r w:rsidRPr="00987DDC">
        <w:t>(</w:t>
      </w:r>
      <w:r w:rsidRPr="00987DDC">
        <w:rPr>
          <w:rStyle w:val="FootnoteReference"/>
        </w:rPr>
        <w:footnoteRef/>
      </w:r>
      <w:r w:rsidRPr="00987DDC">
        <w:t>)</w:t>
      </w:r>
      <w:r w:rsidRPr="00987DDC">
        <w:tab/>
        <w:t xml:space="preserve"> Zob. np. </w:t>
      </w:r>
      <w:hyperlink r:id="rId45" w:history="1">
        <w:r w:rsidRPr="00987DDC">
          <w:rPr>
            <w:rStyle w:val="Hyperlink"/>
          </w:rPr>
          <w:t>https://www.g7germany.de/resource/blob/974430/2062292/fbdb2c7e996205aee402386aae057c5e/2022-07-14-leaders-communique-data.pdf?download=1</w:t>
        </w:r>
      </w:hyperlink>
      <w:r w:rsidRPr="00987DDC">
        <w:t xml:space="preserve">. </w:t>
      </w:r>
    </w:p>
  </w:footnote>
  <w:footnote w:id="210">
    <w:p w14:paraId="1FAF30D5" w14:textId="68E87B7B" w:rsidR="00900535" w:rsidRPr="00987DDC" w:rsidRDefault="00900535">
      <w:pPr>
        <w:pStyle w:val="FootnoteText"/>
      </w:pPr>
      <w:r w:rsidRPr="00987DDC">
        <w:t>(</w:t>
      </w:r>
      <w:r w:rsidRPr="00987DDC">
        <w:rPr>
          <w:rStyle w:val="FootnoteReference"/>
        </w:rPr>
        <w:footnoteRef/>
      </w:r>
      <w:r w:rsidRPr="00987DDC">
        <w:t>)</w:t>
      </w:r>
      <w:r w:rsidRPr="00987DDC">
        <w:tab/>
      </w:r>
      <w:hyperlink r:id="rId46" w:history="1">
        <w:r w:rsidRPr="00987DDC">
          <w:rPr>
            <w:rStyle w:val="Hyperlink"/>
          </w:rPr>
          <w:t>https://www.edps.europa.eu/data-protection/our-work/edps-worldwide/data-protection-and-international-organisations_en</w:t>
        </w:r>
      </w:hyperlink>
      <w:r w:rsidRPr="00987DD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77A6" w14:textId="77777777" w:rsidR="006D4C9E" w:rsidRPr="006D4C9E" w:rsidRDefault="006D4C9E" w:rsidP="006D4C9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2A54" w14:textId="77777777" w:rsidR="006D4C9E" w:rsidRPr="006D4C9E" w:rsidRDefault="006D4C9E" w:rsidP="006D4C9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ED8C" w14:textId="77777777" w:rsidR="006D4C9E" w:rsidRPr="006D4C9E" w:rsidRDefault="006D4C9E" w:rsidP="006D4C9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AE24" w14:textId="77777777" w:rsidR="000D0175" w:rsidRDefault="000D01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96F60" w14:textId="77777777" w:rsidR="000D0175" w:rsidRDefault="000D01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2F93C" w14:textId="77777777" w:rsidR="000D0175" w:rsidRDefault="000D0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0444C8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A2900F7"/>
    <w:multiLevelType w:val="multilevel"/>
    <w:tmpl w:val="ACB0494A"/>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C6A2E0A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09D09CE"/>
    <w:multiLevelType w:val="hybridMultilevel"/>
    <w:tmpl w:val="BCEC323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11B6302"/>
    <w:multiLevelType w:val="hybridMultilevel"/>
    <w:tmpl w:val="46CA05BE"/>
    <w:lvl w:ilvl="0" w:tplc="4B8EEE9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19BC80D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8345"/>
    <w:multiLevelType w:val="multilevel"/>
    <w:tmpl w:val="7C902DDA"/>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81680D66"/>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85546B5E"/>
    <w:name w:val="ListBullet3Numbering"/>
    <w:lvl w:ilvl="0">
      <w:start w:val="1"/>
      <w:numFmt w:val="bullet"/>
      <w:lvlText w:val=""/>
      <w:lvlJc w:val="left"/>
      <w:pPr>
        <w:tabs>
          <w:tab w:val="num" w:pos="426"/>
        </w:tabs>
        <w:ind w:left="426" w:hanging="284"/>
      </w:pPr>
      <w:rPr>
        <w:rFonts w:ascii="Symbol" w:hAnsi="Symbol"/>
      </w:rPr>
    </w:lvl>
    <w:lvl w:ilvl="1">
      <w:start w:val="1"/>
      <w:numFmt w:val="bullet"/>
      <w:lvlText w:val=""/>
      <w:lvlJc w:val="left"/>
      <w:pPr>
        <w:tabs>
          <w:tab w:val="num" w:pos="709"/>
        </w:tabs>
        <w:ind w:left="709" w:hanging="283"/>
      </w:pPr>
      <w:rPr>
        <w:rFonts w:ascii="Symbol" w:hAnsi="Symbol"/>
      </w:rPr>
    </w:lvl>
    <w:lvl w:ilvl="2">
      <w:start w:val="1"/>
      <w:numFmt w:val="bullet"/>
      <w:lvlText w:val=""/>
      <w:lvlJc w:val="left"/>
      <w:pPr>
        <w:tabs>
          <w:tab w:val="num" w:pos="993"/>
        </w:tabs>
        <w:ind w:left="993" w:hanging="284"/>
      </w:pPr>
      <w:rPr>
        <w:rFonts w:ascii="Symbol" w:hAnsi="Symbol"/>
      </w:rPr>
    </w:lvl>
    <w:lvl w:ilvl="3">
      <w:start w:val="1"/>
      <w:numFmt w:val="bullet"/>
      <w:lvlText w:val=""/>
      <w:lvlJc w:val="left"/>
      <w:pPr>
        <w:tabs>
          <w:tab w:val="num" w:pos="1276"/>
        </w:tabs>
        <w:ind w:left="1276"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72F0AC5"/>
    <w:multiLevelType w:val="multilevel"/>
    <w:tmpl w:val="CC72DA5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E572D74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19E6A09"/>
    <w:multiLevelType w:val="hybridMultilevel"/>
    <w:tmpl w:val="FE468544"/>
    <w:lvl w:ilvl="0" w:tplc="35602BF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C7744BC8"/>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3C27A1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E13EC676"/>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6324F1E"/>
    <w:multiLevelType w:val="multilevel"/>
    <w:tmpl w:val="861EC23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5F9091A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44B0763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DCA34E6"/>
    <w:multiLevelType w:val="multilevel"/>
    <w:tmpl w:val="0840BD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12A3A5B"/>
    <w:multiLevelType w:val="hybridMultilevel"/>
    <w:tmpl w:val="B22A83CA"/>
    <w:lvl w:ilvl="0" w:tplc="FFFFFFFF">
      <w:start w:val="1"/>
      <w:numFmt w:val="bullet"/>
      <w:lvlText w:val="-"/>
      <w:lvlJc w:val="left"/>
      <w:pPr>
        <w:ind w:left="842" w:hanging="360"/>
      </w:pPr>
      <w:rPr>
        <w:rFonts w:ascii="Times New Roman" w:hAnsi="Times New Roman" w:hint="default"/>
      </w:rPr>
    </w:lvl>
    <w:lvl w:ilvl="1" w:tplc="18090003" w:tentative="1">
      <w:start w:val="1"/>
      <w:numFmt w:val="bullet"/>
      <w:lvlText w:val="o"/>
      <w:lvlJc w:val="left"/>
      <w:pPr>
        <w:ind w:left="1562" w:hanging="360"/>
      </w:pPr>
      <w:rPr>
        <w:rFonts w:ascii="Courier New" w:hAnsi="Courier New" w:cs="Courier New" w:hint="default"/>
      </w:rPr>
    </w:lvl>
    <w:lvl w:ilvl="2" w:tplc="18090005" w:tentative="1">
      <w:start w:val="1"/>
      <w:numFmt w:val="bullet"/>
      <w:lvlText w:val=""/>
      <w:lvlJc w:val="left"/>
      <w:pPr>
        <w:ind w:left="2282" w:hanging="360"/>
      </w:pPr>
      <w:rPr>
        <w:rFonts w:ascii="Wingdings" w:hAnsi="Wingdings" w:hint="default"/>
      </w:rPr>
    </w:lvl>
    <w:lvl w:ilvl="3" w:tplc="18090001" w:tentative="1">
      <w:start w:val="1"/>
      <w:numFmt w:val="bullet"/>
      <w:lvlText w:val=""/>
      <w:lvlJc w:val="left"/>
      <w:pPr>
        <w:ind w:left="3002" w:hanging="360"/>
      </w:pPr>
      <w:rPr>
        <w:rFonts w:ascii="Symbol" w:hAnsi="Symbol" w:hint="default"/>
      </w:rPr>
    </w:lvl>
    <w:lvl w:ilvl="4" w:tplc="18090003" w:tentative="1">
      <w:start w:val="1"/>
      <w:numFmt w:val="bullet"/>
      <w:lvlText w:val="o"/>
      <w:lvlJc w:val="left"/>
      <w:pPr>
        <w:ind w:left="3722" w:hanging="360"/>
      </w:pPr>
      <w:rPr>
        <w:rFonts w:ascii="Courier New" w:hAnsi="Courier New" w:cs="Courier New" w:hint="default"/>
      </w:rPr>
    </w:lvl>
    <w:lvl w:ilvl="5" w:tplc="18090005" w:tentative="1">
      <w:start w:val="1"/>
      <w:numFmt w:val="bullet"/>
      <w:lvlText w:val=""/>
      <w:lvlJc w:val="left"/>
      <w:pPr>
        <w:ind w:left="4442" w:hanging="360"/>
      </w:pPr>
      <w:rPr>
        <w:rFonts w:ascii="Wingdings" w:hAnsi="Wingdings" w:hint="default"/>
      </w:rPr>
    </w:lvl>
    <w:lvl w:ilvl="6" w:tplc="18090001" w:tentative="1">
      <w:start w:val="1"/>
      <w:numFmt w:val="bullet"/>
      <w:lvlText w:val=""/>
      <w:lvlJc w:val="left"/>
      <w:pPr>
        <w:ind w:left="5162" w:hanging="360"/>
      </w:pPr>
      <w:rPr>
        <w:rFonts w:ascii="Symbol" w:hAnsi="Symbol" w:hint="default"/>
      </w:rPr>
    </w:lvl>
    <w:lvl w:ilvl="7" w:tplc="18090003" w:tentative="1">
      <w:start w:val="1"/>
      <w:numFmt w:val="bullet"/>
      <w:lvlText w:val="o"/>
      <w:lvlJc w:val="left"/>
      <w:pPr>
        <w:ind w:left="5882" w:hanging="360"/>
      </w:pPr>
      <w:rPr>
        <w:rFonts w:ascii="Courier New" w:hAnsi="Courier New" w:cs="Courier New" w:hint="default"/>
      </w:rPr>
    </w:lvl>
    <w:lvl w:ilvl="8" w:tplc="18090005" w:tentative="1">
      <w:start w:val="1"/>
      <w:numFmt w:val="bullet"/>
      <w:lvlText w:val=""/>
      <w:lvlJc w:val="left"/>
      <w:pPr>
        <w:ind w:left="6602" w:hanging="360"/>
      </w:pPr>
      <w:rPr>
        <w:rFonts w:ascii="Wingdings" w:hAnsi="Wingdings" w:hint="default"/>
      </w:rPr>
    </w:lvl>
  </w:abstractNum>
  <w:abstractNum w:abstractNumId="20" w15:restartNumberingAfterBreak="0">
    <w:nsid w:val="41D70DED"/>
    <w:multiLevelType w:val="hybridMultilevel"/>
    <w:tmpl w:val="0ED2E9B2"/>
    <w:lvl w:ilvl="0" w:tplc="D318BB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E662A"/>
    <w:multiLevelType w:val="multilevel"/>
    <w:tmpl w:val="959633A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5D24919"/>
    <w:multiLevelType w:val="hybridMultilevel"/>
    <w:tmpl w:val="85546B5E"/>
    <w:lvl w:ilvl="0" w:tplc="A79C8D96">
      <w:start w:val="1"/>
      <w:numFmt w:val="bullet"/>
      <w:lvlText w:val=""/>
      <w:lvlJc w:val="left"/>
      <w:pPr>
        <w:tabs>
          <w:tab w:val="num" w:pos="426"/>
        </w:tabs>
        <w:ind w:left="426" w:hanging="284"/>
      </w:pPr>
      <w:rPr>
        <w:rFonts w:ascii="Symbol" w:hAnsi="Symbol" w:hint="default"/>
      </w:rPr>
    </w:lvl>
    <w:lvl w:ilvl="1" w:tplc="28CEBA44">
      <w:start w:val="1"/>
      <w:numFmt w:val="bullet"/>
      <w:pStyle w:val="ListBullet3Level2"/>
      <w:lvlText w:val=""/>
      <w:lvlJc w:val="left"/>
      <w:pPr>
        <w:tabs>
          <w:tab w:val="num" w:pos="709"/>
        </w:tabs>
        <w:ind w:left="709" w:hanging="283"/>
      </w:pPr>
      <w:rPr>
        <w:rFonts w:ascii="Symbol" w:hAnsi="Symbol" w:hint="default"/>
      </w:rPr>
    </w:lvl>
    <w:lvl w:ilvl="2" w:tplc="362CACFA">
      <w:start w:val="1"/>
      <w:numFmt w:val="bullet"/>
      <w:pStyle w:val="ListBullet3Level3"/>
      <w:lvlText w:val=""/>
      <w:lvlJc w:val="left"/>
      <w:pPr>
        <w:tabs>
          <w:tab w:val="num" w:pos="993"/>
        </w:tabs>
        <w:ind w:left="993" w:hanging="284"/>
      </w:pPr>
      <w:rPr>
        <w:rFonts w:ascii="Symbol" w:hAnsi="Symbol" w:hint="default"/>
      </w:rPr>
    </w:lvl>
    <w:lvl w:ilvl="3" w:tplc="7C241090">
      <w:start w:val="1"/>
      <w:numFmt w:val="bullet"/>
      <w:pStyle w:val="ListBullet3Level4"/>
      <w:lvlText w:val=""/>
      <w:lvlJc w:val="left"/>
      <w:pPr>
        <w:tabs>
          <w:tab w:val="num" w:pos="1276"/>
        </w:tabs>
        <w:ind w:left="1276" w:hanging="283"/>
      </w:pPr>
      <w:rPr>
        <w:rFonts w:ascii="Symbol" w:hAnsi="Symbol" w:hint="default"/>
      </w:rPr>
    </w:lvl>
    <w:lvl w:ilvl="4" w:tplc="B2948A04">
      <w:numFmt w:val="decimal"/>
      <w:lvlText w:val=""/>
      <w:lvlJc w:val="left"/>
    </w:lvl>
    <w:lvl w:ilvl="5" w:tplc="6024A7F2">
      <w:numFmt w:val="decimal"/>
      <w:lvlText w:val=""/>
      <w:lvlJc w:val="left"/>
    </w:lvl>
    <w:lvl w:ilvl="6" w:tplc="730AC21E">
      <w:numFmt w:val="decimal"/>
      <w:lvlText w:val=""/>
      <w:lvlJc w:val="left"/>
    </w:lvl>
    <w:lvl w:ilvl="7" w:tplc="8820A698">
      <w:numFmt w:val="decimal"/>
      <w:lvlText w:val=""/>
      <w:lvlJc w:val="left"/>
    </w:lvl>
    <w:lvl w:ilvl="8" w:tplc="BBA08752">
      <w:numFmt w:val="decimal"/>
      <w:lvlText w:val=""/>
      <w:lvlJc w:val="left"/>
    </w:lvl>
  </w:abstractNum>
  <w:abstractNum w:abstractNumId="23" w15:restartNumberingAfterBreak="0">
    <w:nsid w:val="47140127"/>
    <w:multiLevelType w:val="hybridMultilevel"/>
    <w:tmpl w:val="ACB40346"/>
    <w:name w:val="ListBullet2Numbering2"/>
    <w:lvl w:ilvl="0" w:tplc="BEA67E0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E1A63DF"/>
    <w:multiLevelType w:val="multilevel"/>
    <w:tmpl w:val="25080AB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4E1A982C"/>
    <w:multiLevelType w:val="multilevel"/>
    <w:tmpl w:val="82EE519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619B"/>
    <w:multiLevelType w:val="multilevel"/>
    <w:tmpl w:val="93BC0C3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0729B52"/>
    <w:multiLevelType w:val="multilevel"/>
    <w:tmpl w:val="2932AF1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580040BF"/>
    <w:multiLevelType w:val="hybridMultilevel"/>
    <w:tmpl w:val="27485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C70DB1"/>
    <w:multiLevelType w:val="hybridMultilevel"/>
    <w:tmpl w:val="451CA392"/>
    <w:lvl w:ilvl="0" w:tplc="9E2A4186">
      <w:numFmt w:val="bullet"/>
      <w:lvlText w:val="-"/>
      <w:lvlJc w:val="left"/>
      <w:pPr>
        <w:ind w:left="902" w:hanging="360"/>
      </w:pPr>
      <w:rPr>
        <w:rFonts w:ascii="Times New Roman" w:eastAsia="Times New Roman" w:hAnsi="Times New Roman" w:cs="Times New Roman" w:hint="default"/>
      </w:rPr>
    </w:lvl>
    <w:lvl w:ilvl="1" w:tplc="18090003" w:tentative="1">
      <w:start w:val="1"/>
      <w:numFmt w:val="bullet"/>
      <w:lvlText w:val="o"/>
      <w:lvlJc w:val="left"/>
      <w:pPr>
        <w:ind w:left="1622" w:hanging="360"/>
      </w:pPr>
      <w:rPr>
        <w:rFonts w:ascii="Courier New" w:hAnsi="Courier New" w:cs="Courier New" w:hint="default"/>
      </w:rPr>
    </w:lvl>
    <w:lvl w:ilvl="2" w:tplc="18090005" w:tentative="1">
      <w:start w:val="1"/>
      <w:numFmt w:val="bullet"/>
      <w:lvlText w:val=""/>
      <w:lvlJc w:val="left"/>
      <w:pPr>
        <w:ind w:left="2342" w:hanging="360"/>
      </w:pPr>
      <w:rPr>
        <w:rFonts w:ascii="Wingdings" w:hAnsi="Wingdings" w:hint="default"/>
      </w:rPr>
    </w:lvl>
    <w:lvl w:ilvl="3" w:tplc="18090001" w:tentative="1">
      <w:start w:val="1"/>
      <w:numFmt w:val="bullet"/>
      <w:lvlText w:val=""/>
      <w:lvlJc w:val="left"/>
      <w:pPr>
        <w:ind w:left="3062" w:hanging="360"/>
      </w:pPr>
      <w:rPr>
        <w:rFonts w:ascii="Symbol" w:hAnsi="Symbol" w:hint="default"/>
      </w:rPr>
    </w:lvl>
    <w:lvl w:ilvl="4" w:tplc="18090003" w:tentative="1">
      <w:start w:val="1"/>
      <w:numFmt w:val="bullet"/>
      <w:lvlText w:val="o"/>
      <w:lvlJc w:val="left"/>
      <w:pPr>
        <w:ind w:left="3782" w:hanging="360"/>
      </w:pPr>
      <w:rPr>
        <w:rFonts w:ascii="Courier New" w:hAnsi="Courier New" w:cs="Courier New" w:hint="default"/>
      </w:rPr>
    </w:lvl>
    <w:lvl w:ilvl="5" w:tplc="18090005" w:tentative="1">
      <w:start w:val="1"/>
      <w:numFmt w:val="bullet"/>
      <w:lvlText w:val=""/>
      <w:lvlJc w:val="left"/>
      <w:pPr>
        <w:ind w:left="4502" w:hanging="360"/>
      </w:pPr>
      <w:rPr>
        <w:rFonts w:ascii="Wingdings" w:hAnsi="Wingdings" w:hint="default"/>
      </w:rPr>
    </w:lvl>
    <w:lvl w:ilvl="6" w:tplc="18090001" w:tentative="1">
      <w:start w:val="1"/>
      <w:numFmt w:val="bullet"/>
      <w:lvlText w:val=""/>
      <w:lvlJc w:val="left"/>
      <w:pPr>
        <w:ind w:left="5222" w:hanging="360"/>
      </w:pPr>
      <w:rPr>
        <w:rFonts w:ascii="Symbol" w:hAnsi="Symbol" w:hint="default"/>
      </w:rPr>
    </w:lvl>
    <w:lvl w:ilvl="7" w:tplc="18090003" w:tentative="1">
      <w:start w:val="1"/>
      <w:numFmt w:val="bullet"/>
      <w:lvlText w:val="o"/>
      <w:lvlJc w:val="left"/>
      <w:pPr>
        <w:ind w:left="5942" w:hanging="360"/>
      </w:pPr>
      <w:rPr>
        <w:rFonts w:ascii="Courier New" w:hAnsi="Courier New" w:cs="Courier New" w:hint="default"/>
      </w:rPr>
    </w:lvl>
    <w:lvl w:ilvl="8" w:tplc="18090005" w:tentative="1">
      <w:start w:val="1"/>
      <w:numFmt w:val="bullet"/>
      <w:lvlText w:val=""/>
      <w:lvlJc w:val="left"/>
      <w:pPr>
        <w:ind w:left="6662" w:hanging="360"/>
      </w:pPr>
      <w:rPr>
        <w:rFonts w:ascii="Wingdings" w:hAnsi="Wingdings" w:hint="default"/>
      </w:rPr>
    </w:lvl>
  </w:abstractNum>
  <w:abstractNum w:abstractNumId="30" w15:restartNumberingAfterBreak="0">
    <w:nsid w:val="61586566"/>
    <w:multiLevelType w:val="hybridMultilevel"/>
    <w:tmpl w:val="FFFFFFFF"/>
    <w:lvl w:ilvl="0" w:tplc="485C3E0A">
      <w:start w:val="1"/>
      <w:numFmt w:val="bullet"/>
      <w:lvlText w:val=""/>
      <w:lvlJc w:val="left"/>
      <w:pPr>
        <w:ind w:left="720" w:hanging="360"/>
      </w:pPr>
      <w:rPr>
        <w:rFonts w:ascii="Symbol" w:hAnsi="Symbol" w:hint="default"/>
      </w:rPr>
    </w:lvl>
    <w:lvl w:ilvl="1" w:tplc="799CB43A">
      <w:start w:val="1"/>
      <w:numFmt w:val="bullet"/>
      <w:lvlText w:val="o"/>
      <w:lvlJc w:val="left"/>
      <w:pPr>
        <w:ind w:left="1440" w:hanging="360"/>
      </w:pPr>
      <w:rPr>
        <w:rFonts w:ascii="Courier New" w:hAnsi="Courier New" w:hint="default"/>
      </w:rPr>
    </w:lvl>
    <w:lvl w:ilvl="2" w:tplc="C39A7382">
      <w:start w:val="1"/>
      <w:numFmt w:val="bullet"/>
      <w:lvlText w:val=""/>
      <w:lvlJc w:val="left"/>
      <w:pPr>
        <w:ind w:left="2160" w:hanging="360"/>
      </w:pPr>
      <w:rPr>
        <w:rFonts w:ascii="Wingdings" w:hAnsi="Wingdings" w:hint="default"/>
      </w:rPr>
    </w:lvl>
    <w:lvl w:ilvl="3" w:tplc="C81C61C8">
      <w:start w:val="1"/>
      <w:numFmt w:val="bullet"/>
      <w:lvlText w:val=""/>
      <w:lvlJc w:val="left"/>
      <w:pPr>
        <w:ind w:left="2880" w:hanging="360"/>
      </w:pPr>
      <w:rPr>
        <w:rFonts w:ascii="Symbol" w:hAnsi="Symbol" w:hint="default"/>
      </w:rPr>
    </w:lvl>
    <w:lvl w:ilvl="4" w:tplc="C5223910">
      <w:start w:val="1"/>
      <w:numFmt w:val="bullet"/>
      <w:lvlText w:val="o"/>
      <w:lvlJc w:val="left"/>
      <w:pPr>
        <w:ind w:left="3600" w:hanging="360"/>
      </w:pPr>
      <w:rPr>
        <w:rFonts w:ascii="Courier New" w:hAnsi="Courier New" w:hint="default"/>
      </w:rPr>
    </w:lvl>
    <w:lvl w:ilvl="5" w:tplc="ADC85320">
      <w:start w:val="1"/>
      <w:numFmt w:val="bullet"/>
      <w:lvlText w:val=""/>
      <w:lvlJc w:val="left"/>
      <w:pPr>
        <w:ind w:left="4320" w:hanging="360"/>
      </w:pPr>
      <w:rPr>
        <w:rFonts w:ascii="Wingdings" w:hAnsi="Wingdings" w:hint="default"/>
      </w:rPr>
    </w:lvl>
    <w:lvl w:ilvl="6" w:tplc="631CABCE">
      <w:start w:val="1"/>
      <w:numFmt w:val="bullet"/>
      <w:lvlText w:val=""/>
      <w:lvlJc w:val="left"/>
      <w:pPr>
        <w:ind w:left="5040" w:hanging="360"/>
      </w:pPr>
      <w:rPr>
        <w:rFonts w:ascii="Symbol" w:hAnsi="Symbol" w:hint="default"/>
      </w:rPr>
    </w:lvl>
    <w:lvl w:ilvl="7" w:tplc="82D0F112">
      <w:start w:val="1"/>
      <w:numFmt w:val="bullet"/>
      <w:lvlText w:val="o"/>
      <w:lvlJc w:val="left"/>
      <w:pPr>
        <w:ind w:left="5760" w:hanging="360"/>
      </w:pPr>
      <w:rPr>
        <w:rFonts w:ascii="Courier New" w:hAnsi="Courier New" w:hint="default"/>
      </w:rPr>
    </w:lvl>
    <w:lvl w:ilvl="8" w:tplc="D8D05A3E">
      <w:start w:val="1"/>
      <w:numFmt w:val="bullet"/>
      <w:lvlText w:val=""/>
      <w:lvlJc w:val="left"/>
      <w:pPr>
        <w:ind w:left="6480" w:hanging="360"/>
      </w:pPr>
      <w:rPr>
        <w:rFonts w:ascii="Wingdings" w:hAnsi="Wingdings" w:hint="default"/>
      </w:rPr>
    </w:lvl>
  </w:abstractNum>
  <w:abstractNum w:abstractNumId="31" w15:restartNumberingAfterBreak="0">
    <w:nsid w:val="6977472E"/>
    <w:multiLevelType w:val="multilevel"/>
    <w:tmpl w:val="CD7CB6D6"/>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7B8857B1"/>
    <w:multiLevelType w:val="hybridMultilevel"/>
    <w:tmpl w:val="C170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65145E"/>
    <w:multiLevelType w:val="multilevel"/>
    <w:tmpl w:val="3718E652"/>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020"/>
        </w:tabs>
        <w:ind w:left="1020" w:hanging="595"/>
      </w:pPr>
    </w:lvl>
    <w:lvl w:ilvl="2">
      <w:start w:val="1"/>
      <w:numFmt w:val="decimal"/>
      <w:lvlText w:val="%1.%2."/>
      <w:lvlJc w:val="left"/>
      <w:pPr>
        <w:tabs>
          <w:tab w:val="num" w:pos="1696"/>
        </w:tabs>
        <w:ind w:left="1696" w:hanging="845"/>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3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5" w15:restartNumberingAfterBreak="0">
    <w:nsid w:val="7DF85C59"/>
    <w:multiLevelType w:val="hybridMultilevel"/>
    <w:tmpl w:val="F4CCFAEC"/>
    <w:lvl w:ilvl="0" w:tplc="18090001">
      <w:start w:val="1"/>
      <w:numFmt w:val="bullet"/>
      <w:lvlText w:val=""/>
      <w:lvlJc w:val="left"/>
      <w:pPr>
        <w:ind w:left="1202" w:hanging="360"/>
      </w:pPr>
      <w:rPr>
        <w:rFonts w:ascii="Symbol" w:hAnsi="Symbol" w:hint="default"/>
      </w:rPr>
    </w:lvl>
    <w:lvl w:ilvl="1" w:tplc="18090003" w:tentative="1">
      <w:start w:val="1"/>
      <w:numFmt w:val="bullet"/>
      <w:lvlText w:val="o"/>
      <w:lvlJc w:val="left"/>
      <w:pPr>
        <w:ind w:left="1922" w:hanging="360"/>
      </w:pPr>
      <w:rPr>
        <w:rFonts w:ascii="Courier New" w:hAnsi="Courier New" w:cs="Courier New" w:hint="default"/>
      </w:rPr>
    </w:lvl>
    <w:lvl w:ilvl="2" w:tplc="18090005" w:tentative="1">
      <w:start w:val="1"/>
      <w:numFmt w:val="bullet"/>
      <w:lvlText w:val=""/>
      <w:lvlJc w:val="left"/>
      <w:pPr>
        <w:ind w:left="2642" w:hanging="360"/>
      </w:pPr>
      <w:rPr>
        <w:rFonts w:ascii="Wingdings" w:hAnsi="Wingdings" w:hint="default"/>
      </w:rPr>
    </w:lvl>
    <w:lvl w:ilvl="3" w:tplc="18090001" w:tentative="1">
      <w:start w:val="1"/>
      <w:numFmt w:val="bullet"/>
      <w:lvlText w:val=""/>
      <w:lvlJc w:val="left"/>
      <w:pPr>
        <w:ind w:left="3362" w:hanging="360"/>
      </w:pPr>
      <w:rPr>
        <w:rFonts w:ascii="Symbol" w:hAnsi="Symbol" w:hint="default"/>
      </w:rPr>
    </w:lvl>
    <w:lvl w:ilvl="4" w:tplc="18090003" w:tentative="1">
      <w:start w:val="1"/>
      <w:numFmt w:val="bullet"/>
      <w:lvlText w:val="o"/>
      <w:lvlJc w:val="left"/>
      <w:pPr>
        <w:ind w:left="4082" w:hanging="360"/>
      </w:pPr>
      <w:rPr>
        <w:rFonts w:ascii="Courier New" w:hAnsi="Courier New" w:cs="Courier New" w:hint="default"/>
      </w:rPr>
    </w:lvl>
    <w:lvl w:ilvl="5" w:tplc="18090005" w:tentative="1">
      <w:start w:val="1"/>
      <w:numFmt w:val="bullet"/>
      <w:lvlText w:val=""/>
      <w:lvlJc w:val="left"/>
      <w:pPr>
        <w:ind w:left="4802" w:hanging="360"/>
      </w:pPr>
      <w:rPr>
        <w:rFonts w:ascii="Wingdings" w:hAnsi="Wingdings" w:hint="default"/>
      </w:rPr>
    </w:lvl>
    <w:lvl w:ilvl="6" w:tplc="18090001" w:tentative="1">
      <w:start w:val="1"/>
      <w:numFmt w:val="bullet"/>
      <w:lvlText w:val=""/>
      <w:lvlJc w:val="left"/>
      <w:pPr>
        <w:ind w:left="5522" w:hanging="360"/>
      </w:pPr>
      <w:rPr>
        <w:rFonts w:ascii="Symbol" w:hAnsi="Symbol" w:hint="default"/>
      </w:rPr>
    </w:lvl>
    <w:lvl w:ilvl="7" w:tplc="18090003" w:tentative="1">
      <w:start w:val="1"/>
      <w:numFmt w:val="bullet"/>
      <w:lvlText w:val="o"/>
      <w:lvlJc w:val="left"/>
      <w:pPr>
        <w:ind w:left="6242" w:hanging="360"/>
      </w:pPr>
      <w:rPr>
        <w:rFonts w:ascii="Courier New" w:hAnsi="Courier New" w:cs="Courier New" w:hint="default"/>
      </w:rPr>
    </w:lvl>
    <w:lvl w:ilvl="8" w:tplc="18090005" w:tentative="1">
      <w:start w:val="1"/>
      <w:numFmt w:val="bullet"/>
      <w:lvlText w:val=""/>
      <w:lvlJc w:val="left"/>
      <w:pPr>
        <w:ind w:left="6962" w:hanging="360"/>
      </w:pPr>
      <w:rPr>
        <w:rFonts w:ascii="Wingdings" w:hAnsi="Wingdings" w:hint="default"/>
      </w:rPr>
    </w:lvl>
  </w:abstractNum>
  <w:num w:numId="1">
    <w:abstractNumId w:val="30"/>
  </w:num>
  <w:num w:numId="2">
    <w:abstractNumId w:val="1"/>
  </w:num>
  <w:num w:numId="3">
    <w:abstractNumId w:val="15"/>
  </w:num>
  <w:num w:numId="4">
    <w:abstractNumId w:val="10"/>
  </w:num>
  <w:num w:numId="5">
    <w:abstractNumId w:val="16"/>
  </w:num>
  <w:num w:numId="6">
    <w:abstractNumId w:val="26"/>
  </w:num>
  <w:num w:numId="7">
    <w:abstractNumId w:val="31"/>
  </w:num>
  <w:num w:numId="8">
    <w:abstractNumId w:val="2"/>
  </w:num>
  <w:num w:numId="9">
    <w:abstractNumId w:val="9"/>
  </w:num>
  <w:num w:numId="10">
    <w:abstractNumId w:val="21"/>
  </w:num>
  <w:num w:numId="11">
    <w:abstractNumId w:val="5"/>
  </w:num>
  <w:num w:numId="12">
    <w:abstractNumId w:val="7"/>
  </w:num>
  <w:num w:numId="13">
    <w:abstractNumId w:val="12"/>
  </w:num>
  <w:num w:numId="14">
    <w:abstractNumId w:val="17"/>
  </w:num>
  <w:num w:numId="15">
    <w:abstractNumId w:val="25"/>
  </w:num>
  <w:num w:numId="16">
    <w:abstractNumId w:val="13"/>
  </w:num>
  <w:num w:numId="17">
    <w:abstractNumId w:val="14"/>
  </w:num>
  <w:num w:numId="18">
    <w:abstractNumId w:val="34"/>
  </w:num>
  <w:num w:numId="19">
    <w:abstractNumId w:val="24"/>
  </w:num>
  <w:num w:numId="20">
    <w:abstractNumId w:val="27"/>
  </w:num>
  <w:num w:numId="21">
    <w:abstractNumId w:val="6"/>
  </w:num>
  <w:num w:numId="22">
    <w:abstractNumId w:val="29"/>
  </w:num>
  <w:num w:numId="23">
    <w:abstractNumId w:val="19"/>
  </w:num>
  <w:num w:numId="24">
    <w:abstractNumId w:val="22"/>
  </w:num>
  <w:num w:numId="25">
    <w:abstractNumId w:val="4"/>
  </w:num>
  <w:num w:numId="26">
    <w:abstractNumId w:val="11"/>
  </w:num>
  <w:num w:numId="27">
    <w:abstractNumId w:val="20"/>
  </w:num>
  <w:num w:numId="28">
    <w:abstractNumId w:val="18"/>
  </w:num>
  <w:num w:numId="29">
    <w:abstractNumId w:val="23"/>
  </w:num>
  <w:num w:numId="30">
    <w:abstractNumId w:val="3"/>
  </w:num>
  <w:num w:numId="31">
    <w:abstractNumId w:val="35"/>
  </w:num>
  <w:num w:numId="32">
    <w:abstractNumId w:val="28"/>
  </w:num>
  <w:num w:numId="33">
    <w:abstractNumId w:val="32"/>
  </w:num>
  <w:num w:numId="3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19348CB-FCC9-45D0-8BA3-3B2D35A3AE9C"/>
    <w:docVar w:name="LW_COVERPAGE_TYPE" w:val="1"/>
    <w:docVar w:name="LW_CROSSREFERENCE" w:val="&lt;UNUSED&gt;"/>
    <w:docVar w:name="LW_DocType" w:val="263EDD4C231641F3BC4B91BB6801D704"/>
    <w:docVar w:name="LW_EMISSION" w:val="25.7.2024"/>
    <w:docVar w:name="LW_EMISSION_ISODATE" w:val="2024-07-25"/>
    <w:docVar w:name="LW_EMISSION_LOCATION" w:val="BRX"/>
    <w:docVar w:name="LW_EMISSION_PREFIX" w:val="Bruksela, dnia "/>
    <w:docVar w:name="LW_EMISSION_SUFFIX" w:val=" r."/>
    <w:docVar w:name="LW_ID_DOCTYPE_NONLW" w:val="CP-012"/>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4) 35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rugie sprawozdanie dotycz\u261?ce stosowania ogólnego rozporz\u261?dzenia o ochronie danych_x000d__x000b__x000d__x000d__x000b__x000d__x000d__x000b_ _x000d__x000d__x000b__x000d__x000d__x000b_"/>
    <w:docVar w:name="LW_TYPE.DOC.CP" w:val="KOMUNIKAT KOMISJI DO PARLAMENTU EUROPEJSKIEGO I RADY"/>
    <w:docVar w:name="LW_TYPE.DOC.CP.USERTEXT" w:val="&lt;EMPTY&gt;"/>
    <w:docVar w:name="LwApiVersions" w:val="LW4CoDe 1.24.5.0; LW 9.0, Build 20240221"/>
  </w:docVars>
  <w:rsids>
    <w:rsidRoot w:val="00A33E35"/>
    <w:rsid w:val="0000089E"/>
    <w:rsid w:val="00000A45"/>
    <w:rsid w:val="00001AED"/>
    <w:rsid w:val="000023A3"/>
    <w:rsid w:val="00002F76"/>
    <w:rsid w:val="00003A0F"/>
    <w:rsid w:val="0000404C"/>
    <w:rsid w:val="00004623"/>
    <w:rsid w:val="000049B5"/>
    <w:rsid w:val="00004D50"/>
    <w:rsid w:val="0000534A"/>
    <w:rsid w:val="00006014"/>
    <w:rsid w:val="000065E4"/>
    <w:rsid w:val="00006877"/>
    <w:rsid w:val="00006CC6"/>
    <w:rsid w:val="00007F13"/>
    <w:rsid w:val="00010297"/>
    <w:rsid w:val="000114D4"/>
    <w:rsid w:val="000115B8"/>
    <w:rsid w:val="00011D22"/>
    <w:rsid w:val="00012494"/>
    <w:rsid w:val="0001290D"/>
    <w:rsid w:val="00013A94"/>
    <w:rsid w:val="000140C2"/>
    <w:rsid w:val="000147B7"/>
    <w:rsid w:val="0001488B"/>
    <w:rsid w:val="00014F90"/>
    <w:rsid w:val="0001570F"/>
    <w:rsid w:val="00015F9C"/>
    <w:rsid w:val="000164DC"/>
    <w:rsid w:val="00016726"/>
    <w:rsid w:val="00016B99"/>
    <w:rsid w:val="00016C81"/>
    <w:rsid w:val="00017E58"/>
    <w:rsid w:val="00020CEF"/>
    <w:rsid w:val="00020FB0"/>
    <w:rsid w:val="00021016"/>
    <w:rsid w:val="000212A6"/>
    <w:rsid w:val="0002183A"/>
    <w:rsid w:val="000219DE"/>
    <w:rsid w:val="0002282F"/>
    <w:rsid w:val="000230C8"/>
    <w:rsid w:val="00023106"/>
    <w:rsid w:val="00023A43"/>
    <w:rsid w:val="0002460E"/>
    <w:rsid w:val="00024753"/>
    <w:rsid w:val="0002487A"/>
    <w:rsid w:val="00024D19"/>
    <w:rsid w:val="0002681C"/>
    <w:rsid w:val="000269D9"/>
    <w:rsid w:val="00027B6C"/>
    <w:rsid w:val="00027F3F"/>
    <w:rsid w:val="0003016F"/>
    <w:rsid w:val="0003154B"/>
    <w:rsid w:val="00031990"/>
    <w:rsid w:val="00031D83"/>
    <w:rsid w:val="00033824"/>
    <w:rsid w:val="00033A92"/>
    <w:rsid w:val="00033ACC"/>
    <w:rsid w:val="000342CC"/>
    <w:rsid w:val="000348E1"/>
    <w:rsid w:val="0003493E"/>
    <w:rsid w:val="00034FFF"/>
    <w:rsid w:val="00035B86"/>
    <w:rsid w:val="00035BA9"/>
    <w:rsid w:val="00036383"/>
    <w:rsid w:val="000368C9"/>
    <w:rsid w:val="0003704A"/>
    <w:rsid w:val="00037A2E"/>
    <w:rsid w:val="00040F56"/>
    <w:rsid w:val="00041EA6"/>
    <w:rsid w:val="00042D67"/>
    <w:rsid w:val="000432C3"/>
    <w:rsid w:val="0004515B"/>
    <w:rsid w:val="00045892"/>
    <w:rsid w:val="00045F5C"/>
    <w:rsid w:val="00047214"/>
    <w:rsid w:val="00050470"/>
    <w:rsid w:val="00052292"/>
    <w:rsid w:val="0005254A"/>
    <w:rsid w:val="00052590"/>
    <w:rsid w:val="00052F66"/>
    <w:rsid w:val="00053203"/>
    <w:rsid w:val="000535BF"/>
    <w:rsid w:val="00053691"/>
    <w:rsid w:val="00053D52"/>
    <w:rsid w:val="000544CC"/>
    <w:rsid w:val="00054D74"/>
    <w:rsid w:val="0005572C"/>
    <w:rsid w:val="00056075"/>
    <w:rsid w:val="000561E3"/>
    <w:rsid w:val="000569C3"/>
    <w:rsid w:val="000570CF"/>
    <w:rsid w:val="0005723B"/>
    <w:rsid w:val="000575BF"/>
    <w:rsid w:val="0006166F"/>
    <w:rsid w:val="00062723"/>
    <w:rsid w:val="00062D6B"/>
    <w:rsid w:val="00062E49"/>
    <w:rsid w:val="00064256"/>
    <w:rsid w:val="00064ED9"/>
    <w:rsid w:val="00064FEB"/>
    <w:rsid w:val="000661B2"/>
    <w:rsid w:val="00066978"/>
    <w:rsid w:val="000709A9"/>
    <w:rsid w:val="00071087"/>
    <w:rsid w:val="00073C88"/>
    <w:rsid w:val="00074C5E"/>
    <w:rsid w:val="00075349"/>
    <w:rsid w:val="00076785"/>
    <w:rsid w:val="0008106D"/>
    <w:rsid w:val="00081470"/>
    <w:rsid w:val="000832DB"/>
    <w:rsid w:val="00083A5B"/>
    <w:rsid w:val="0008438E"/>
    <w:rsid w:val="000846CC"/>
    <w:rsid w:val="00084DCA"/>
    <w:rsid w:val="000853C0"/>
    <w:rsid w:val="0008556D"/>
    <w:rsid w:val="000856EE"/>
    <w:rsid w:val="000858EC"/>
    <w:rsid w:val="00085BF4"/>
    <w:rsid w:val="000873FC"/>
    <w:rsid w:val="00087552"/>
    <w:rsid w:val="0008781E"/>
    <w:rsid w:val="000878D0"/>
    <w:rsid w:val="0009035A"/>
    <w:rsid w:val="000905DC"/>
    <w:rsid w:val="000909DD"/>
    <w:rsid w:val="000917D4"/>
    <w:rsid w:val="00091847"/>
    <w:rsid w:val="0009189F"/>
    <w:rsid w:val="000919BB"/>
    <w:rsid w:val="000919F5"/>
    <w:rsid w:val="00093113"/>
    <w:rsid w:val="0009399C"/>
    <w:rsid w:val="00093A44"/>
    <w:rsid w:val="00093E53"/>
    <w:rsid w:val="00094B89"/>
    <w:rsid w:val="00094D2F"/>
    <w:rsid w:val="00094F5C"/>
    <w:rsid w:val="00095151"/>
    <w:rsid w:val="0009515C"/>
    <w:rsid w:val="000954B9"/>
    <w:rsid w:val="0009720E"/>
    <w:rsid w:val="00097928"/>
    <w:rsid w:val="00097AD2"/>
    <w:rsid w:val="000A003A"/>
    <w:rsid w:val="000A0BF3"/>
    <w:rsid w:val="000A0E67"/>
    <w:rsid w:val="000A1757"/>
    <w:rsid w:val="000A230C"/>
    <w:rsid w:val="000A2482"/>
    <w:rsid w:val="000A2A4D"/>
    <w:rsid w:val="000A2CEF"/>
    <w:rsid w:val="000A2E37"/>
    <w:rsid w:val="000A3256"/>
    <w:rsid w:val="000A3A85"/>
    <w:rsid w:val="000A498A"/>
    <w:rsid w:val="000A5085"/>
    <w:rsid w:val="000A5774"/>
    <w:rsid w:val="000A68B2"/>
    <w:rsid w:val="000A73B2"/>
    <w:rsid w:val="000A76AC"/>
    <w:rsid w:val="000B0494"/>
    <w:rsid w:val="000B0814"/>
    <w:rsid w:val="000B0947"/>
    <w:rsid w:val="000B0A56"/>
    <w:rsid w:val="000B1486"/>
    <w:rsid w:val="000B182C"/>
    <w:rsid w:val="000B1AE1"/>
    <w:rsid w:val="000B1D93"/>
    <w:rsid w:val="000B20B0"/>
    <w:rsid w:val="000B2428"/>
    <w:rsid w:val="000B24C9"/>
    <w:rsid w:val="000B25B4"/>
    <w:rsid w:val="000B3A4F"/>
    <w:rsid w:val="000B5CD0"/>
    <w:rsid w:val="000B5D19"/>
    <w:rsid w:val="000B611F"/>
    <w:rsid w:val="000B66D9"/>
    <w:rsid w:val="000B6A6E"/>
    <w:rsid w:val="000B757C"/>
    <w:rsid w:val="000B761F"/>
    <w:rsid w:val="000B7CDE"/>
    <w:rsid w:val="000B7D2A"/>
    <w:rsid w:val="000B8937"/>
    <w:rsid w:val="000C0099"/>
    <w:rsid w:val="000C028F"/>
    <w:rsid w:val="000C0BE7"/>
    <w:rsid w:val="000C0EA0"/>
    <w:rsid w:val="000C0F3E"/>
    <w:rsid w:val="000C2212"/>
    <w:rsid w:val="000C27D0"/>
    <w:rsid w:val="000C31EA"/>
    <w:rsid w:val="000C36D9"/>
    <w:rsid w:val="000C373C"/>
    <w:rsid w:val="000C3D46"/>
    <w:rsid w:val="000C4D4F"/>
    <w:rsid w:val="000C5129"/>
    <w:rsid w:val="000C5195"/>
    <w:rsid w:val="000C5728"/>
    <w:rsid w:val="000C60F2"/>
    <w:rsid w:val="000C62AB"/>
    <w:rsid w:val="000C68BC"/>
    <w:rsid w:val="000C6FC5"/>
    <w:rsid w:val="000C7107"/>
    <w:rsid w:val="000C7325"/>
    <w:rsid w:val="000C7393"/>
    <w:rsid w:val="000D0175"/>
    <w:rsid w:val="000D0CF6"/>
    <w:rsid w:val="000D10B1"/>
    <w:rsid w:val="000D143F"/>
    <w:rsid w:val="000D1571"/>
    <w:rsid w:val="000D1633"/>
    <w:rsid w:val="000D1683"/>
    <w:rsid w:val="000D175B"/>
    <w:rsid w:val="000D1876"/>
    <w:rsid w:val="000D1C3A"/>
    <w:rsid w:val="000D1F2A"/>
    <w:rsid w:val="000D20AA"/>
    <w:rsid w:val="000D2426"/>
    <w:rsid w:val="000D29A4"/>
    <w:rsid w:val="000D2A13"/>
    <w:rsid w:val="000D3040"/>
    <w:rsid w:val="000D37EA"/>
    <w:rsid w:val="000D3B77"/>
    <w:rsid w:val="000D3C0C"/>
    <w:rsid w:val="000D415D"/>
    <w:rsid w:val="000D4C90"/>
    <w:rsid w:val="000D528D"/>
    <w:rsid w:val="000D5C56"/>
    <w:rsid w:val="000D6173"/>
    <w:rsid w:val="000D79AC"/>
    <w:rsid w:val="000D7B63"/>
    <w:rsid w:val="000E0053"/>
    <w:rsid w:val="000E0C46"/>
    <w:rsid w:val="000E0D6C"/>
    <w:rsid w:val="000E0F6C"/>
    <w:rsid w:val="000E3529"/>
    <w:rsid w:val="000E357A"/>
    <w:rsid w:val="000E3A06"/>
    <w:rsid w:val="000E4123"/>
    <w:rsid w:val="000E4291"/>
    <w:rsid w:val="000E471A"/>
    <w:rsid w:val="000E4C4B"/>
    <w:rsid w:val="000E5293"/>
    <w:rsid w:val="000E65C1"/>
    <w:rsid w:val="000E68AB"/>
    <w:rsid w:val="000E6A77"/>
    <w:rsid w:val="000E6B0A"/>
    <w:rsid w:val="000E6C98"/>
    <w:rsid w:val="000E7B5F"/>
    <w:rsid w:val="000F0624"/>
    <w:rsid w:val="000F11C2"/>
    <w:rsid w:val="000F1410"/>
    <w:rsid w:val="000F24B8"/>
    <w:rsid w:val="000F37BD"/>
    <w:rsid w:val="000F3BC0"/>
    <w:rsid w:val="000F3F16"/>
    <w:rsid w:val="000F418B"/>
    <w:rsid w:val="000F467B"/>
    <w:rsid w:val="000F48E0"/>
    <w:rsid w:val="000F4ADD"/>
    <w:rsid w:val="000F531C"/>
    <w:rsid w:val="000F5848"/>
    <w:rsid w:val="00100D9B"/>
    <w:rsid w:val="00101F41"/>
    <w:rsid w:val="00102DBD"/>
    <w:rsid w:val="001032A8"/>
    <w:rsid w:val="00103312"/>
    <w:rsid w:val="00103630"/>
    <w:rsid w:val="00103BD0"/>
    <w:rsid w:val="001043B5"/>
    <w:rsid w:val="00104BD0"/>
    <w:rsid w:val="00104C00"/>
    <w:rsid w:val="00104DF8"/>
    <w:rsid w:val="00105766"/>
    <w:rsid w:val="001059E2"/>
    <w:rsid w:val="00106C7D"/>
    <w:rsid w:val="0010729A"/>
    <w:rsid w:val="00110457"/>
    <w:rsid w:val="001105C0"/>
    <w:rsid w:val="001119B5"/>
    <w:rsid w:val="00111C98"/>
    <w:rsid w:val="00111EBE"/>
    <w:rsid w:val="001124E3"/>
    <w:rsid w:val="001128AC"/>
    <w:rsid w:val="00112AAC"/>
    <w:rsid w:val="00112B8D"/>
    <w:rsid w:val="00113A43"/>
    <w:rsid w:val="00114026"/>
    <w:rsid w:val="001142D9"/>
    <w:rsid w:val="00114464"/>
    <w:rsid w:val="00114FC9"/>
    <w:rsid w:val="00115005"/>
    <w:rsid w:val="00115756"/>
    <w:rsid w:val="001163D1"/>
    <w:rsid w:val="001169D2"/>
    <w:rsid w:val="00116DE7"/>
    <w:rsid w:val="001173F3"/>
    <w:rsid w:val="001178EE"/>
    <w:rsid w:val="00117C65"/>
    <w:rsid w:val="001215CB"/>
    <w:rsid w:val="001216A9"/>
    <w:rsid w:val="00121A6E"/>
    <w:rsid w:val="00122AB3"/>
    <w:rsid w:val="00122B20"/>
    <w:rsid w:val="00122F2E"/>
    <w:rsid w:val="0012303D"/>
    <w:rsid w:val="001230F6"/>
    <w:rsid w:val="00123510"/>
    <w:rsid w:val="00123C24"/>
    <w:rsid w:val="00125B83"/>
    <w:rsid w:val="00126026"/>
    <w:rsid w:val="001261A6"/>
    <w:rsid w:val="00126B76"/>
    <w:rsid w:val="00126F71"/>
    <w:rsid w:val="00127616"/>
    <w:rsid w:val="00127A7A"/>
    <w:rsid w:val="001308A6"/>
    <w:rsid w:val="00130F48"/>
    <w:rsid w:val="00131163"/>
    <w:rsid w:val="00132606"/>
    <w:rsid w:val="00132660"/>
    <w:rsid w:val="00132DEA"/>
    <w:rsid w:val="00133365"/>
    <w:rsid w:val="00133A2D"/>
    <w:rsid w:val="00133F2F"/>
    <w:rsid w:val="00134201"/>
    <w:rsid w:val="00135309"/>
    <w:rsid w:val="001353C3"/>
    <w:rsid w:val="00135CF9"/>
    <w:rsid w:val="00136D2F"/>
    <w:rsid w:val="00136EEB"/>
    <w:rsid w:val="001377A7"/>
    <w:rsid w:val="00137944"/>
    <w:rsid w:val="00140F7B"/>
    <w:rsid w:val="00141E78"/>
    <w:rsid w:val="00142C6F"/>
    <w:rsid w:val="0014434E"/>
    <w:rsid w:val="00144552"/>
    <w:rsid w:val="00145A00"/>
    <w:rsid w:val="0014600F"/>
    <w:rsid w:val="001464CC"/>
    <w:rsid w:val="0014672F"/>
    <w:rsid w:val="00146BDF"/>
    <w:rsid w:val="00146F8F"/>
    <w:rsid w:val="0014771D"/>
    <w:rsid w:val="0015025B"/>
    <w:rsid w:val="00151F53"/>
    <w:rsid w:val="0015263A"/>
    <w:rsid w:val="00153300"/>
    <w:rsid w:val="00153956"/>
    <w:rsid w:val="0015446F"/>
    <w:rsid w:val="0015453C"/>
    <w:rsid w:val="00154B7F"/>
    <w:rsid w:val="00154E27"/>
    <w:rsid w:val="00155926"/>
    <w:rsid w:val="00155F7D"/>
    <w:rsid w:val="0015772D"/>
    <w:rsid w:val="0015792D"/>
    <w:rsid w:val="00157E12"/>
    <w:rsid w:val="00157FB5"/>
    <w:rsid w:val="00160E5B"/>
    <w:rsid w:val="00160EB7"/>
    <w:rsid w:val="0016125A"/>
    <w:rsid w:val="001616C2"/>
    <w:rsid w:val="00161727"/>
    <w:rsid w:val="00161FE7"/>
    <w:rsid w:val="001621E0"/>
    <w:rsid w:val="00163152"/>
    <w:rsid w:val="0016345E"/>
    <w:rsid w:val="0016389F"/>
    <w:rsid w:val="00164243"/>
    <w:rsid w:val="001646FF"/>
    <w:rsid w:val="00164870"/>
    <w:rsid w:val="00164AC1"/>
    <w:rsid w:val="00165522"/>
    <w:rsid w:val="0016623F"/>
    <w:rsid w:val="001666C7"/>
    <w:rsid w:val="00166B18"/>
    <w:rsid w:val="001675EF"/>
    <w:rsid w:val="0017112A"/>
    <w:rsid w:val="001714DC"/>
    <w:rsid w:val="0017184B"/>
    <w:rsid w:val="0017263F"/>
    <w:rsid w:val="00172CD6"/>
    <w:rsid w:val="00173F4A"/>
    <w:rsid w:val="00174177"/>
    <w:rsid w:val="0017452A"/>
    <w:rsid w:val="00174822"/>
    <w:rsid w:val="001754A3"/>
    <w:rsid w:val="001765B8"/>
    <w:rsid w:val="00176BFA"/>
    <w:rsid w:val="00176D59"/>
    <w:rsid w:val="00176E81"/>
    <w:rsid w:val="001774B0"/>
    <w:rsid w:val="00177D99"/>
    <w:rsid w:val="001802E0"/>
    <w:rsid w:val="0018077C"/>
    <w:rsid w:val="00181376"/>
    <w:rsid w:val="001827DD"/>
    <w:rsid w:val="00182DAB"/>
    <w:rsid w:val="00183E08"/>
    <w:rsid w:val="0018640D"/>
    <w:rsid w:val="00186D95"/>
    <w:rsid w:val="001870EC"/>
    <w:rsid w:val="00187A56"/>
    <w:rsid w:val="00187CAE"/>
    <w:rsid w:val="00190214"/>
    <w:rsid w:val="0019078A"/>
    <w:rsid w:val="00191491"/>
    <w:rsid w:val="00191B54"/>
    <w:rsid w:val="00192345"/>
    <w:rsid w:val="00192681"/>
    <w:rsid w:val="00192B83"/>
    <w:rsid w:val="0019440F"/>
    <w:rsid w:val="00195337"/>
    <w:rsid w:val="001960A4"/>
    <w:rsid w:val="00196279"/>
    <w:rsid w:val="00196476"/>
    <w:rsid w:val="001971E3"/>
    <w:rsid w:val="001A0EB1"/>
    <w:rsid w:val="001A1531"/>
    <w:rsid w:val="001A197E"/>
    <w:rsid w:val="001A1EFF"/>
    <w:rsid w:val="001A3342"/>
    <w:rsid w:val="001A3C99"/>
    <w:rsid w:val="001A454A"/>
    <w:rsid w:val="001A48ED"/>
    <w:rsid w:val="001A4B83"/>
    <w:rsid w:val="001A4EDF"/>
    <w:rsid w:val="001A5F13"/>
    <w:rsid w:val="001A63A1"/>
    <w:rsid w:val="001A75D2"/>
    <w:rsid w:val="001A7BCF"/>
    <w:rsid w:val="001B0944"/>
    <w:rsid w:val="001B0D8A"/>
    <w:rsid w:val="001B0F0D"/>
    <w:rsid w:val="001B1CA9"/>
    <w:rsid w:val="001B2EC6"/>
    <w:rsid w:val="001B3678"/>
    <w:rsid w:val="001B3CAF"/>
    <w:rsid w:val="001B4F07"/>
    <w:rsid w:val="001B53B7"/>
    <w:rsid w:val="001B5C95"/>
    <w:rsid w:val="001B6541"/>
    <w:rsid w:val="001B6A99"/>
    <w:rsid w:val="001B6CA7"/>
    <w:rsid w:val="001B7177"/>
    <w:rsid w:val="001B7ED9"/>
    <w:rsid w:val="001C045F"/>
    <w:rsid w:val="001C0A8C"/>
    <w:rsid w:val="001C199B"/>
    <w:rsid w:val="001C1C32"/>
    <w:rsid w:val="001C34D9"/>
    <w:rsid w:val="001C383D"/>
    <w:rsid w:val="001C391F"/>
    <w:rsid w:val="001C3F1D"/>
    <w:rsid w:val="001C3FAA"/>
    <w:rsid w:val="001C4080"/>
    <w:rsid w:val="001C49B7"/>
    <w:rsid w:val="001C4BDA"/>
    <w:rsid w:val="001C4D95"/>
    <w:rsid w:val="001C4EAA"/>
    <w:rsid w:val="001C512B"/>
    <w:rsid w:val="001C563B"/>
    <w:rsid w:val="001C5874"/>
    <w:rsid w:val="001C5E4C"/>
    <w:rsid w:val="001C6488"/>
    <w:rsid w:val="001C6F6C"/>
    <w:rsid w:val="001C7580"/>
    <w:rsid w:val="001C7F3B"/>
    <w:rsid w:val="001D0424"/>
    <w:rsid w:val="001D1648"/>
    <w:rsid w:val="001D2798"/>
    <w:rsid w:val="001D3311"/>
    <w:rsid w:val="001D3AF3"/>
    <w:rsid w:val="001D3C60"/>
    <w:rsid w:val="001D4132"/>
    <w:rsid w:val="001D4415"/>
    <w:rsid w:val="001D4F18"/>
    <w:rsid w:val="001D51F5"/>
    <w:rsid w:val="001D54C7"/>
    <w:rsid w:val="001D6E13"/>
    <w:rsid w:val="001D714E"/>
    <w:rsid w:val="001D73AD"/>
    <w:rsid w:val="001D780F"/>
    <w:rsid w:val="001D7AC2"/>
    <w:rsid w:val="001E1863"/>
    <w:rsid w:val="001E2AC0"/>
    <w:rsid w:val="001E33BF"/>
    <w:rsid w:val="001E370D"/>
    <w:rsid w:val="001E42E8"/>
    <w:rsid w:val="001E45BF"/>
    <w:rsid w:val="001E48F1"/>
    <w:rsid w:val="001E4CE1"/>
    <w:rsid w:val="001E63A2"/>
    <w:rsid w:val="001E697C"/>
    <w:rsid w:val="001E77F7"/>
    <w:rsid w:val="001E7B53"/>
    <w:rsid w:val="001E7FB9"/>
    <w:rsid w:val="001F011E"/>
    <w:rsid w:val="001F1A16"/>
    <w:rsid w:val="001F2582"/>
    <w:rsid w:val="001F2DA7"/>
    <w:rsid w:val="001F2F5C"/>
    <w:rsid w:val="001F3955"/>
    <w:rsid w:val="001F3AC0"/>
    <w:rsid w:val="001F413B"/>
    <w:rsid w:val="001F4A7B"/>
    <w:rsid w:val="001F50BD"/>
    <w:rsid w:val="001F6024"/>
    <w:rsid w:val="001F6A21"/>
    <w:rsid w:val="001F6BB3"/>
    <w:rsid w:val="001F6C4B"/>
    <w:rsid w:val="001F7113"/>
    <w:rsid w:val="001F79EF"/>
    <w:rsid w:val="0020032B"/>
    <w:rsid w:val="00200A3F"/>
    <w:rsid w:val="002015A5"/>
    <w:rsid w:val="00201915"/>
    <w:rsid w:val="00201EB2"/>
    <w:rsid w:val="0020240D"/>
    <w:rsid w:val="002034CD"/>
    <w:rsid w:val="00203634"/>
    <w:rsid w:val="00203758"/>
    <w:rsid w:val="002039AC"/>
    <w:rsid w:val="002046BB"/>
    <w:rsid w:val="00205504"/>
    <w:rsid w:val="00205635"/>
    <w:rsid w:val="00205ED0"/>
    <w:rsid w:val="00206244"/>
    <w:rsid w:val="002063BF"/>
    <w:rsid w:val="0020698E"/>
    <w:rsid w:val="00206CB5"/>
    <w:rsid w:val="00207B16"/>
    <w:rsid w:val="00207BEE"/>
    <w:rsid w:val="002117FA"/>
    <w:rsid w:val="00211CC2"/>
    <w:rsid w:val="00211D81"/>
    <w:rsid w:val="00212383"/>
    <w:rsid w:val="0021367B"/>
    <w:rsid w:val="00213734"/>
    <w:rsid w:val="00213F3A"/>
    <w:rsid w:val="00214AAF"/>
    <w:rsid w:val="00215D1D"/>
    <w:rsid w:val="00215FC2"/>
    <w:rsid w:val="002161CF"/>
    <w:rsid w:val="00216529"/>
    <w:rsid w:val="002169DD"/>
    <w:rsid w:val="00216D30"/>
    <w:rsid w:val="00216E4C"/>
    <w:rsid w:val="00217919"/>
    <w:rsid w:val="002207EC"/>
    <w:rsid w:val="00220CB6"/>
    <w:rsid w:val="00220F72"/>
    <w:rsid w:val="0022263C"/>
    <w:rsid w:val="002227A1"/>
    <w:rsid w:val="00222BA0"/>
    <w:rsid w:val="00222D1D"/>
    <w:rsid w:val="00224103"/>
    <w:rsid w:val="00224CD1"/>
    <w:rsid w:val="00224F5F"/>
    <w:rsid w:val="002255A2"/>
    <w:rsid w:val="00226576"/>
    <w:rsid w:val="00226B78"/>
    <w:rsid w:val="00226D30"/>
    <w:rsid w:val="00227AA6"/>
    <w:rsid w:val="00227EDC"/>
    <w:rsid w:val="00230883"/>
    <w:rsid w:val="00231B8A"/>
    <w:rsid w:val="00232900"/>
    <w:rsid w:val="00232E5A"/>
    <w:rsid w:val="00233F12"/>
    <w:rsid w:val="002340A8"/>
    <w:rsid w:val="00234B41"/>
    <w:rsid w:val="00234F49"/>
    <w:rsid w:val="00235849"/>
    <w:rsid w:val="00237C9F"/>
    <w:rsid w:val="002405FE"/>
    <w:rsid w:val="00241097"/>
    <w:rsid w:val="00241FC6"/>
    <w:rsid w:val="00242C2B"/>
    <w:rsid w:val="00242CB2"/>
    <w:rsid w:val="00242E41"/>
    <w:rsid w:val="0024365A"/>
    <w:rsid w:val="002437F4"/>
    <w:rsid w:val="00243FBE"/>
    <w:rsid w:val="0024456D"/>
    <w:rsid w:val="00244942"/>
    <w:rsid w:val="00245C9A"/>
    <w:rsid w:val="0024600D"/>
    <w:rsid w:val="002464D4"/>
    <w:rsid w:val="002470C1"/>
    <w:rsid w:val="00247957"/>
    <w:rsid w:val="00250143"/>
    <w:rsid w:val="00250351"/>
    <w:rsid w:val="0025055C"/>
    <w:rsid w:val="00251171"/>
    <w:rsid w:val="00251488"/>
    <w:rsid w:val="002514F4"/>
    <w:rsid w:val="00251A39"/>
    <w:rsid w:val="00251AA5"/>
    <w:rsid w:val="00252EDF"/>
    <w:rsid w:val="00252F3C"/>
    <w:rsid w:val="00252F57"/>
    <w:rsid w:val="0025307D"/>
    <w:rsid w:val="00253625"/>
    <w:rsid w:val="0025425D"/>
    <w:rsid w:val="00254518"/>
    <w:rsid w:val="00254C20"/>
    <w:rsid w:val="00254E1A"/>
    <w:rsid w:val="002556CB"/>
    <w:rsid w:val="00255BD8"/>
    <w:rsid w:val="002567C3"/>
    <w:rsid w:val="0025786D"/>
    <w:rsid w:val="002616CE"/>
    <w:rsid w:val="0026188D"/>
    <w:rsid w:val="002618B6"/>
    <w:rsid w:val="00262B54"/>
    <w:rsid w:val="00262E8A"/>
    <w:rsid w:val="00263473"/>
    <w:rsid w:val="002634EF"/>
    <w:rsid w:val="0026359D"/>
    <w:rsid w:val="00263803"/>
    <w:rsid w:val="00264C68"/>
    <w:rsid w:val="00266311"/>
    <w:rsid w:val="002663FD"/>
    <w:rsid w:val="002669D6"/>
    <w:rsid w:val="00266D2C"/>
    <w:rsid w:val="0026718B"/>
    <w:rsid w:val="002705AF"/>
    <w:rsid w:val="00270F11"/>
    <w:rsid w:val="002717A5"/>
    <w:rsid w:val="002718FA"/>
    <w:rsid w:val="00271951"/>
    <w:rsid w:val="00271A0A"/>
    <w:rsid w:val="00271C44"/>
    <w:rsid w:val="00271C63"/>
    <w:rsid w:val="002733CC"/>
    <w:rsid w:val="002735E9"/>
    <w:rsid w:val="00273B1D"/>
    <w:rsid w:val="002741E6"/>
    <w:rsid w:val="00274C9F"/>
    <w:rsid w:val="002758D9"/>
    <w:rsid w:val="00275BC4"/>
    <w:rsid w:val="0027695F"/>
    <w:rsid w:val="00276C97"/>
    <w:rsid w:val="00276F85"/>
    <w:rsid w:val="0027772B"/>
    <w:rsid w:val="00277803"/>
    <w:rsid w:val="0027781E"/>
    <w:rsid w:val="00281131"/>
    <w:rsid w:val="002812BD"/>
    <w:rsid w:val="00281D35"/>
    <w:rsid w:val="00282D68"/>
    <w:rsid w:val="00282D90"/>
    <w:rsid w:val="0028311D"/>
    <w:rsid w:val="0028334C"/>
    <w:rsid w:val="00284A86"/>
    <w:rsid w:val="00284C44"/>
    <w:rsid w:val="00284DDB"/>
    <w:rsid w:val="0028543A"/>
    <w:rsid w:val="00285688"/>
    <w:rsid w:val="00285909"/>
    <w:rsid w:val="00285EB3"/>
    <w:rsid w:val="002863E9"/>
    <w:rsid w:val="0028681B"/>
    <w:rsid w:val="00286EE8"/>
    <w:rsid w:val="00287430"/>
    <w:rsid w:val="00290F1D"/>
    <w:rsid w:val="00290FD8"/>
    <w:rsid w:val="0029132E"/>
    <w:rsid w:val="002914A9"/>
    <w:rsid w:val="00291CFD"/>
    <w:rsid w:val="0029365E"/>
    <w:rsid w:val="002939BD"/>
    <w:rsid w:val="00294016"/>
    <w:rsid w:val="0029406C"/>
    <w:rsid w:val="0029510E"/>
    <w:rsid w:val="00295A00"/>
    <w:rsid w:val="00295E07"/>
    <w:rsid w:val="0029720A"/>
    <w:rsid w:val="00297444"/>
    <w:rsid w:val="002A0A83"/>
    <w:rsid w:val="002A11CA"/>
    <w:rsid w:val="002A232D"/>
    <w:rsid w:val="002A2441"/>
    <w:rsid w:val="002A3804"/>
    <w:rsid w:val="002A3A04"/>
    <w:rsid w:val="002A42AC"/>
    <w:rsid w:val="002A4E02"/>
    <w:rsid w:val="002A4E34"/>
    <w:rsid w:val="002A5436"/>
    <w:rsid w:val="002A5761"/>
    <w:rsid w:val="002A5762"/>
    <w:rsid w:val="002A640C"/>
    <w:rsid w:val="002A6653"/>
    <w:rsid w:val="002A7BB5"/>
    <w:rsid w:val="002B19F5"/>
    <w:rsid w:val="002B2F95"/>
    <w:rsid w:val="002B340C"/>
    <w:rsid w:val="002B53CA"/>
    <w:rsid w:val="002B5600"/>
    <w:rsid w:val="002B6720"/>
    <w:rsid w:val="002B692D"/>
    <w:rsid w:val="002B6CE2"/>
    <w:rsid w:val="002B78F8"/>
    <w:rsid w:val="002B7CC3"/>
    <w:rsid w:val="002B7CDA"/>
    <w:rsid w:val="002C0028"/>
    <w:rsid w:val="002C0345"/>
    <w:rsid w:val="002C07C6"/>
    <w:rsid w:val="002C0A9C"/>
    <w:rsid w:val="002C0DCE"/>
    <w:rsid w:val="002C19EA"/>
    <w:rsid w:val="002C1DB3"/>
    <w:rsid w:val="002C4955"/>
    <w:rsid w:val="002C4BFC"/>
    <w:rsid w:val="002C516C"/>
    <w:rsid w:val="002C5E5F"/>
    <w:rsid w:val="002C616A"/>
    <w:rsid w:val="002C6196"/>
    <w:rsid w:val="002C6427"/>
    <w:rsid w:val="002C64E9"/>
    <w:rsid w:val="002C6675"/>
    <w:rsid w:val="002C70FD"/>
    <w:rsid w:val="002C7355"/>
    <w:rsid w:val="002C77EA"/>
    <w:rsid w:val="002C79DB"/>
    <w:rsid w:val="002C79E2"/>
    <w:rsid w:val="002D0BB4"/>
    <w:rsid w:val="002D0E55"/>
    <w:rsid w:val="002D1031"/>
    <w:rsid w:val="002D141D"/>
    <w:rsid w:val="002D155F"/>
    <w:rsid w:val="002D15EB"/>
    <w:rsid w:val="002D22A2"/>
    <w:rsid w:val="002D287B"/>
    <w:rsid w:val="002D28DE"/>
    <w:rsid w:val="002D3A81"/>
    <w:rsid w:val="002D3D4F"/>
    <w:rsid w:val="002D42AA"/>
    <w:rsid w:val="002D48A7"/>
    <w:rsid w:val="002D5925"/>
    <w:rsid w:val="002D59C1"/>
    <w:rsid w:val="002D5A23"/>
    <w:rsid w:val="002D5FF8"/>
    <w:rsid w:val="002D6555"/>
    <w:rsid w:val="002D685B"/>
    <w:rsid w:val="002D6DBD"/>
    <w:rsid w:val="002D7BDE"/>
    <w:rsid w:val="002D7E07"/>
    <w:rsid w:val="002D7E40"/>
    <w:rsid w:val="002E17A0"/>
    <w:rsid w:val="002E1E1C"/>
    <w:rsid w:val="002E25AF"/>
    <w:rsid w:val="002E27DE"/>
    <w:rsid w:val="002E39E9"/>
    <w:rsid w:val="002E47E3"/>
    <w:rsid w:val="002E4AF6"/>
    <w:rsid w:val="002E4D7D"/>
    <w:rsid w:val="002E4EE2"/>
    <w:rsid w:val="002E543B"/>
    <w:rsid w:val="002E6259"/>
    <w:rsid w:val="002E6E0B"/>
    <w:rsid w:val="002E6EB5"/>
    <w:rsid w:val="002E743F"/>
    <w:rsid w:val="002E7651"/>
    <w:rsid w:val="002F0816"/>
    <w:rsid w:val="002F1550"/>
    <w:rsid w:val="002F1A99"/>
    <w:rsid w:val="002F1D8C"/>
    <w:rsid w:val="002F28E9"/>
    <w:rsid w:val="002F2E59"/>
    <w:rsid w:val="002F3C52"/>
    <w:rsid w:val="002F4D53"/>
    <w:rsid w:val="002F5281"/>
    <w:rsid w:val="002F6265"/>
    <w:rsid w:val="002F6D6E"/>
    <w:rsid w:val="002F6D80"/>
    <w:rsid w:val="002F7153"/>
    <w:rsid w:val="002F7303"/>
    <w:rsid w:val="003000F9"/>
    <w:rsid w:val="00300A86"/>
    <w:rsid w:val="00301112"/>
    <w:rsid w:val="00301794"/>
    <w:rsid w:val="003033B6"/>
    <w:rsid w:val="003036AC"/>
    <w:rsid w:val="00304121"/>
    <w:rsid w:val="00304A33"/>
    <w:rsid w:val="00305596"/>
    <w:rsid w:val="00305A17"/>
    <w:rsid w:val="00305F63"/>
    <w:rsid w:val="003060C1"/>
    <w:rsid w:val="00306164"/>
    <w:rsid w:val="00306E8B"/>
    <w:rsid w:val="00307891"/>
    <w:rsid w:val="003078A3"/>
    <w:rsid w:val="00307B54"/>
    <w:rsid w:val="00307F7C"/>
    <w:rsid w:val="00310031"/>
    <w:rsid w:val="003102BC"/>
    <w:rsid w:val="00310AF2"/>
    <w:rsid w:val="00310F9A"/>
    <w:rsid w:val="00311105"/>
    <w:rsid w:val="003115F5"/>
    <w:rsid w:val="0031160E"/>
    <w:rsid w:val="003121A6"/>
    <w:rsid w:val="00313B1D"/>
    <w:rsid w:val="00314BAC"/>
    <w:rsid w:val="00314F4C"/>
    <w:rsid w:val="003150EA"/>
    <w:rsid w:val="003155A8"/>
    <w:rsid w:val="003155F6"/>
    <w:rsid w:val="00315D4C"/>
    <w:rsid w:val="00315FE9"/>
    <w:rsid w:val="00317415"/>
    <w:rsid w:val="00317CD8"/>
    <w:rsid w:val="0032007F"/>
    <w:rsid w:val="003213DD"/>
    <w:rsid w:val="00321406"/>
    <w:rsid w:val="00321644"/>
    <w:rsid w:val="00321E56"/>
    <w:rsid w:val="00322471"/>
    <w:rsid w:val="00322517"/>
    <w:rsid w:val="00322623"/>
    <w:rsid w:val="00322680"/>
    <w:rsid w:val="00323748"/>
    <w:rsid w:val="00324538"/>
    <w:rsid w:val="003245D7"/>
    <w:rsid w:val="00324987"/>
    <w:rsid w:val="003254C1"/>
    <w:rsid w:val="00325701"/>
    <w:rsid w:val="00325C44"/>
    <w:rsid w:val="0032664B"/>
    <w:rsid w:val="003266CB"/>
    <w:rsid w:val="00327B76"/>
    <w:rsid w:val="00327FB2"/>
    <w:rsid w:val="00330C09"/>
    <w:rsid w:val="00330F3D"/>
    <w:rsid w:val="00330FA6"/>
    <w:rsid w:val="00331528"/>
    <w:rsid w:val="00331C24"/>
    <w:rsid w:val="003323B1"/>
    <w:rsid w:val="00332499"/>
    <w:rsid w:val="003325C0"/>
    <w:rsid w:val="00332AD9"/>
    <w:rsid w:val="00332F71"/>
    <w:rsid w:val="003333D9"/>
    <w:rsid w:val="00333A12"/>
    <w:rsid w:val="00335B1E"/>
    <w:rsid w:val="00335C5B"/>
    <w:rsid w:val="00336936"/>
    <w:rsid w:val="00336B01"/>
    <w:rsid w:val="003370F3"/>
    <w:rsid w:val="00337794"/>
    <w:rsid w:val="003412C5"/>
    <w:rsid w:val="00341A03"/>
    <w:rsid w:val="00342580"/>
    <w:rsid w:val="003425D8"/>
    <w:rsid w:val="003430F5"/>
    <w:rsid w:val="00343212"/>
    <w:rsid w:val="00343767"/>
    <w:rsid w:val="003438B3"/>
    <w:rsid w:val="00344719"/>
    <w:rsid w:val="00344D46"/>
    <w:rsid w:val="00345FCD"/>
    <w:rsid w:val="003460B3"/>
    <w:rsid w:val="00347910"/>
    <w:rsid w:val="00347F9A"/>
    <w:rsid w:val="00350440"/>
    <w:rsid w:val="00350D04"/>
    <w:rsid w:val="003510C7"/>
    <w:rsid w:val="003512AE"/>
    <w:rsid w:val="003512EA"/>
    <w:rsid w:val="00351CD2"/>
    <w:rsid w:val="003526E5"/>
    <w:rsid w:val="0035271F"/>
    <w:rsid w:val="003536AE"/>
    <w:rsid w:val="00353A32"/>
    <w:rsid w:val="00353C15"/>
    <w:rsid w:val="003550D5"/>
    <w:rsid w:val="003563AD"/>
    <w:rsid w:val="00356D74"/>
    <w:rsid w:val="00357238"/>
    <w:rsid w:val="00357523"/>
    <w:rsid w:val="003575E2"/>
    <w:rsid w:val="00357912"/>
    <w:rsid w:val="00357D7A"/>
    <w:rsid w:val="00360FF4"/>
    <w:rsid w:val="00361852"/>
    <w:rsid w:val="00361F1A"/>
    <w:rsid w:val="003620F5"/>
    <w:rsid w:val="003629D3"/>
    <w:rsid w:val="00365C6C"/>
    <w:rsid w:val="00365E77"/>
    <w:rsid w:val="00366741"/>
    <w:rsid w:val="00366A63"/>
    <w:rsid w:val="00366C4F"/>
    <w:rsid w:val="00366FC5"/>
    <w:rsid w:val="003671C9"/>
    <w:rsid w:val="00367396"/>
    <w:rsid w:val="0036792C"/>
    <w:rsid w:val="003704A7"/>
    <w:rsid w:val="00370AAC"/>
    <w:rsid w:val="00370C6F"/>
    <w:rsid w:val="00370CD8"/>
    <w:rsid w:val="00371384"/>
    <w:rsid w:val="00371653"/>
    <w:rsid w:val="003716B0"/>
    <w:rsid w:val="00372B9E"/>
    <w:rsid w:val="00372E95"/>
    <w:rsid w:val="003733D0"/>
    <w:rsid w:val="003735F3"/>
    <w:rsid w:val="003736D1"/>
    <w:rsid w:val="00373FB1"/>
    <w:rsid w:val="00374671"/>
    <w:rsid w:val="00374677"/>
    <w:rsid w:val="00374866"/>
    <w:rsid w:val="003748C9"/>
    <w:rsid w:val="00374C70"/>
    <w:rsid w:val="00374DE2"/>
    <w:rsid w:val="003755B5"/>
    <w:rsid w:val="003768A2"/>
    <w:rsid w:val="00376AAE"/>
    <w:rsid w:val="0037734C"/>
    <w:rsid w:val="003779DD"/>
    <w:rsid w:val="00380213"/>
    <w:rsid w:val="00380897"/>
    <w:rsid w:val="003808FA"/>
    <w:rsid w:val="0038185E"/>
    <w:rsid w:val="003818FC"/>
    <w:rsid w:val="003819CD"/>
    <w:rsid w:val="00381D6A"/>
    <w:rsid w:val="0038253F"/>
    <w:rsid w:val="00382BC5"/>
    <w:rsid w:val="003835A6"/>
    <w:rsid w:val="00383C42"/>
    <w:rsid w:val="0038403F"/>
    <w:rsid w:val="00384127"/>
    <w:rsid w:val="00384AD1"/>
    <w:rsid w:val="00384AD9"/>
    <w:rsid w:val="003850F5"/>
    <w:rsid w:val="00385817"/>
    <w:rsid w:val="0038686D"/>
    <w:rsid w:val="00386945"/>
    <w:rsid w:val="00386B58"/>
    <w:rsid w:val="00387E88"/>
    <w:rsid w:val="00390285"/>
    <w:rsid w:val="003905BD"/>
    <w:rsid w:val="00390712"/>
    <w:rsid w:val="003907C7"/>
    <w:rsid w:val="00390C95"/>
    <w:rsid w:val="003912C7"/>
    <w:rsid w:val="00391CD0"/>
    <w:rsid w:val="00392160"/>
    <w:rsid w:val="0039239A"/>
    <w:rsid w:val="00392D26"/>
    <w:rsid w:val="003937BB"/>
    <w:rsid w:val="00393A39"/>
    <w:rsid w:val="003952FD"/>
    <w:rsid w:val="00395408"/>
    <w:rsid w:val="00396281"/>
    <w:rsid w:val="00396900"/>
    <w:rsid w:val="00396A0A"/>
    <w:rsid w:val="00396CB6"/>
    <w:rsid w:val="0039728F"/>
    <w:rsid w:val="00397679"/>
    <w:rsid w:val="003A0AD4"/>
    <w:rsid w:val="003A0B88"/>
    <w:rsid w:val="003A0BD3"/>
    <w:rsid w:val="003A1FB4"/>
    <w:rsid w:val="003A2369"/>
    <w:rsid w:val="003A25D8"/>
    <w:rsid w:val="003A3B82"/>
    <w:rsid w:val="003A499A"/>
    <w:rsid w:val="003A522E"/>
    <w:rsid w:val="003A59CB"/>
    <w:rsid w:val="003A5A12"/>
    <w:rsid w:val="003A5EA2"/>
    <w:rsid w:val="003A669E"/>
    <w:rsid w:val="003A6D4C"/>
    <w:rsid w:val="003A6ECE"/>
    <w:rsid w:val="003A7EAA"/>
    <w:rsid w:val="003B1772"/>
    <w:rsid w:val="003B190F"/>
    <w:rsid w:val="003B2671"/>
    <w:rsid w:val="003B282E"/>
    <w:rsid w:val="003B3A9B"/>
    <w:rsid w:val="003B48A1"/>
    <w:rsid w:val="003B61EE"/>
    <w:rsid w:val="003B6788"/>
    <w:rsid w:val="003B69B6"/>
    <w:rsid w:val="003B7C9B"/>
    <w:rsid w:val="003C06AE"/>
    <w:rsid w:val="003C092D"/>
    <w:rsid w:val="003C122A"/>
    <w:rsid w:val="003C1B8F"/>
    <w:rsid w:val="003C2178"/>
    <w:rsid w:val="003C2E8F"/>
    <w:rsid w:val="003C301C"/>
    <w:rsid w:val="003C3A57"/>
    <w:rsid w:val="003C440B"/>
    <w:rsid w:val="003C4AB8"/>
    <w:rsid w:val="003C4CAF"/>
    <w:rsid w:val="003C52DD"/>
    <w:rsid w:val="003C7C3C"/>
    <w:rsid w:val="003C7D12"/>
    <w:rsid w:val="003D0556"/>
    <w:rsid w:val="003D0AD6"/>
    <w:rsid w:val="003D105E"/>
    <w:rsid w:val="003D29C5"/>
    <w:rsid w:val="003D2F9A"/>
    <w:rsid w:val="003D314B"/>
    <w:rsid w:val="003D368E"/>
    <w:rsid w:val="003D3E28"/>
    <w:rsid w:val="003D42FD"/>
    <w:rsid w:val="003D5B02"/>
    <w:rsid w:val="003D6E5C"/>
    <w:rsid w:val="003D6EB2"/>
    <w:rsid w:val="003D7B02"/>
    <w:rsid w:val="003D7EB8"/>
    <w:rsid w:val="003D7FE3"/>
    <w:rsid w:val="003E01C7"/>
    <w:rsid w:val="003E0203"/>
    <w:rsid w:val="003E0E6A"/>
    <w:rsid w:val="003E1467"/>
    <w:rsid w:val="003E1EF9"/>
    <w:rsid w:val="003E3267"/>
    <w:rsid w:val="003E32F6"/>
    <w:rsid w:val="003E404D"/>
    <w:rsid w:val="003E436E"/>
    <w:rsid w:val="003E443E"/>
    <w:rsid w:val="003E467F"/>
    <w:rsid w:val="003E4E2C"/>
    <w:rsid w:val="003E5311"/>
    <w:rsid w:val="003E56AD"/>
    <w:rsid w:val="003E5BD6"/>
    <w:rsid w:val="003E5E46"/>
    <w:rsid w:val="003F001C"/>
    <w:rsid w:val="003F095C"/>
    <w:rsid w:val="003F0D53"/>
    <w:rsid w:val="003F1FBF"/>
    <w:rsid w:val="003F2649"/>
    <w:rsid w:val="003F299B"/>
    <w:rsid w:val="003F2C9F"/>
    <w:rsid w:val="003F30CD"/>
    <w:rsid w:val="003F3B9B"/>
    <w:rsid w:val="003F3BDE"/>
    <w:rsid w:val="003F450F"/>
    <w:rsid w:val="003F4799"/>
    <w:rsid w:val="003F511F"/>
    <w:rsid w:val="003F52A4"/>
    <w:rsid w:val="003F5974"/>
    <w:rsid w:val="003F59A8"/>
    <w:rsid w:val="003F5F4A"/>
    <w:rsid w:val="003F619E"/>
    <w:rsid w:val="003F682A"/>
    <w:rsid w:val="003F68BA"/>
    <w:rsid w:val="003F77B4"/>
    <w:rsid w:val="003F7C87"/>
    <w:rsid w:val="004001E9"/>
    <w:rsid w:val="00401107"/>
    <w:rsid w:val="00401465"/>
    <w:rsid w:val="00401C3C"/>
    <w:rsid w:val="00402B4D"/>
    <w:rsid w:val="00402F99"/>
    <w:rsid w:val="00403194"/>
    <w:rsid w:val="00403955"/>
    <w:rsid w:val="00404130"/>
    <w:rsid w:val="00404570"/>
    <w:rsid w:val="00404791"/>
    <w:rsid w:val="00404C67"/>
    <w:rsid w:val="0040525F"/>
    <w:rsid w:val="00405863"/>
    <w:rsid w:val="00405B73"/>
    <w:rsid w:val="004069B1"/>
    <w:rsid w:val="00406EFD"/>
    <w:rsid w:val="00407069"/>
    <w:rsid w:val="00407C7E"/>
    <w:rsid w:val="00407C86"/>
    <w:rsid w:val="00407DA8"/>
    <w:rsid w:val="004100BA"/>
    <w:rsid w:val="0041051C"/>
    <w:rsid w:val="00410931"/>
    <w:rsid w:val="0041098A"/>
    <w:rsid w:val="00410F45"/>
    <w:rsid w:val="00411FAF"/>
    <w:rsid w:val="0041241A"/>
    <w:rsid w:val="00412683"/>
    <w:rsid w:val="00412B8D"/>
    <w:rsid w:val="004141A3"/>
    <w:rsid w:val="004149E4"/>
    <w:rsid w:val="0041548D"/>
    <w:rsid w:val="00415B3E"/>
    <w:rsid w:val="00415C98"/>
    <w:rsid w:val="00420360"/>
    <w:rsid w:val="004203CB"/>
    <w:rsid w:val="0042095C"/>
    <w:rsid w:val="00421606"/>
    <w:rsid w:val="00421716"/>
    <w:rsid w:val="00421947"/>
    <w:rsid w:val="00421C6F"/>
    <w:rsid w:val="00422372"/>
    <w:rsid w:val="0042343F"/>
    <w:rsid w:val="00423E44"/>
    <w:rsid w:val="00423F80"/>
    <w:rsid w:val="00424096"/>
    <w:rsid w:val="004245F1"/>
    <w:rsid w:val="00424A39"/>
    <w:rsid w:val="00424DF1"/>
    <w:rsid w:val="00424F76"/>
    <w:rsid w:val="00426E04"/>
    <w:rsid w:val="00427600"/>
    <w:rsid w:val="00427721"/>
    <w:rsid w:val="00430648"/>
    <w:rsid w:val="004309BA"/>
    <w:rsid w:val="00431EC2"/>
    <w:rsid w:val="004322C4"/>
    <w:rsid w:val="004328D7"/>
    <w:rsid w:val="00433829"/>
    <w:rsid w:val="00433905"/>
    <w:rsid w:val="00433C99"/>
    <w:rsid w:val="0043419F"/>
    <w:rsid w:val="0043438C"/>
    <w:rsid w:val="00434F77"/>
    <w:rsid w:val="00435B4B"/>
    <w:rsid w:val="00436D01"/>
    <w:rsid w:val="0044041B"/>
    <w:rsid w:val="00440FD6"/>
    <w:rsid w:val="00441192"/>
    <w:rsid w:val="00441A05"/>
    <w:rsid w:val="004433A5"/>
    <w:rsid w:val="004433B2"/>
    <w:rsid w:val="00443DB3"/>
    <w:rsid w:val="004448B1"/>
    <w:rsid w:val="004448C0"/>
    <w:rsid w:val="00444A1B"/>
    <w:rsid w:val="00444A4E"/>
    <w:rsid w:val="0044561B"/>
    <w:rsid w:val="0044563D"/>
    <w:rsid w:val="0044713E"/>
    <w:rsid w:val="0044783E"/>
    <w:rsid w:val="0045058A"/>
    <w:rsid w:val="00451836"/>
    <w:rsid w:val="004527AB"/>
    <w:rsid w:val="004533E1"/>
    <w:rsid w:val="004537B9"/>
    <w:rsid w:val="004539D0"/>
    <w:rsid w:val="004539FC"/>
    <w:rsid w:val="004543C6"/>
    <w:rsid w:val="00455382"/>
    <w:rsid w:val="0045657E"/>
    <w:rsid w:val="00456B1D"/>
    <w:rsid w:val="004571E1"/>
    <w:rsid w:val="00457B06"/>
    <w:rsid w:val="00461842"/>
    <w:rsid w:val="004620A5"/>
    <w:rsid w:val="0046214A"/>
    <w:rsid w:val="00462705"/>
    <w:rsid w:val="00462EC8"/>
    <w:rsid w:val="00462F8F"/>
    <w:rsid w:val="00463F3A"/>
    <w:rsid w:val="00464872"/>
    <w:rsid w:val="004652CA"/>
    <w:rsid w:val="004653F2"/>
    <w:rsid w:val="00465787"/>
    <w:rsid w:val="0046597A"/>
    <w:rsid w:val="00466BEA"/>
    <w:rsid w:val="00467680"/>
    <w:rsid w:val="00467AC2"/>
    <w:rsid w:val="00470925"/>
    <w:rsid w:val="00470BD7"/>
    <w:rsid w:val="00470DE1"/>
    <w:rsid w:val="00471910"/>
    <w:rsid w:val="00471EFB"/>
    <w:rsid w:val="004725A1"/>
    <w:rsid w:val="00473A0B"/>
    <w:rsid w:val="00473DF7"/>
    <w:rsid w:val="0047436D"/>
    <w:rsid w:val="00476234"/>
    <w:rsid w:val="00476407"/>
    <w:rsid w:val="00476572"/>
    <w:rsid w:val="004775F8"/>
    <w:rsid w:val="00481356"/>
    <w:rsid w:val="0048184F"/>
    <w:rsid w:val="004820E8"/>
    <w:rsid w:val="0048320E"/>
    <w:rsid w:val="0048378A"/>
    <w:rsid w:val="004840B9"/>
    <w:rsid w:val="00485687"/>
    <w:rsid w:val="00485FF7"/>
    <w:rsid w:val="0048678E"/>
    <w:rsid w:val="004867B8"/>
    <w:rsid w:val="00486FC5"/>
    <w:rsid w:val="00487409"/>
    <w:rsid w:val="00487B04"/>
    <w:rsid w:val="00490DC6"/>
    <w:rsid w:val="0049167D"/>
    <w:rsid w:val="0049169A"/>
    <w:rsid w:val="004924B0"/>
    <w:rsid w:val="0049270C"/>
    <w:rsid w:val="00492FC7"/>
    <w:rsid w:val="00493539"/>
    <w:rsid w:val="00494288"/>
    <w:rsid w:val="00494F41"/>
    <w:rsid w:val="00494FAE"/>
    <w:rsid w:val="004955F5"/>
    <w:rsid w:val="00495A60"/>
    <w:rsid w:val="00496B10"/>
    <w:rsid w:val="004A0129"/>
    <w:rsid w:val="004A082E"/>
    <w:rsid w:val="004A11C5"/>
    <w:rsid w:val="004A1A99"/>
    <w:rsid w:val="004A27C4"/>
    <w:rsid w:val="004A295C"/>
    <w:rsid w:val="004A29BC"/>
    <w:rsid w:val="004A29C7"/>
    <w:rsid w:val="004A2BCC"/>
    <w:rsid w:val="004A36F0"/>
    <w:rsid w:val="004A39C0"/>
    <w:rsid w:val="004A3F9C"/>
    <w:rsid w:val="004A4E7F"/>
    <w:rsid w:val="004A5006"/>
    <w:rsid w:val="004A66A4"/>
    <w:rsid w:val="004A7494"/>
    <w:rsid w:val="004A7533"/>
    <w:rsid w:val="004A758E"/>
    <w:rsid w:val="004A7666"/>
    <w:rsid w:val="004AAADB"/>
    <w:rsid w:val="004B0279"/>
    <w:rsid w:val="004B09F2"/>
    <w:rsid w:val="004B0A55"/>
    <w:rsid w:val="004B0E83"/>
    <w:rsid w:val="004B24AA"/>
    <w:rsid w:val="004B2BD2"/>
    <w:rsid w:val="004B3884"/>
    <w:rsid w:val="004B40C7"/>
    <w:rsid w:val="004B4859"/>
    <w:rsid w:val="004B6ABB"/>
    <w:rsid w:val="004B70BF"/>
    <w:rsid w:val="004B7146"/>
    <w:rsid w:val="004B77CC"/>
    <w:rsid w:val="004B79D7"/>
    <w:rsid w:val="004C03E7"/>
    <w:rsid w:val="004C074C"/>
    <w:rsid w:val="004C0F79"/>
    <w:rsid w:val="004C2ADD"/>
    <w:rsid w:val="004C2DBB"/>
    <w:rsid w:val="004C302F"/>
    <w:rsid w:val="004C3247"/>
    <w:rsid w:val="004C3890"/>
    <w:rsid w:val="004C3CDD"/>
    <w:rsid w:val="004C3E70"/>
    <w:rsid w:val="004C42F2"/>
    <w:rsid w:val="004C4E76"/>
    <w:rsid w:val="004C5851"/>
    <w:rsid w:val="004C655E"/>
    <w:rsid w:val="004D00EF"/>
    <w:rsid w:val="004D0490"/>
    <w:rsid w:val="004D2A7C"/>
    <w:rsid w:val="004D2D25"/>
    <w:rsid w:val="004D347B"/>
    <w:rsid w:val="004D3834"/>
    <w:rsid w:val="004D3F89"/>
    <w:rsid w:val="004D4501"/>
    <w:rsid w:val="004D5197"/>
    <w:rsid w:val="004D5528"/>
    <w:rsid w:val="004D5BB1"/>
    <w:rsid w:val="004D5FF1"/>
    <w:rsid w:val="004E0075"/>
    <w:rsid w:val="004E03D9"/>
    <w:rsid w:val="004E0CC4"/>
    <w:rsid w:val="004E17C3"/>
    <w:rsid w:val="004E180D"/>
    <w:rsid w:val="004E1D45"/>
    <w:rsid w:val="004E3F72"/>
    <w:rsid w:val="004E448F"/>
    <w:rsid w:val="004E46E0"/>
    <w:rsid w:val="004E499C"/>
    <w:rsid w:val="004E4A01"/>
    <w:rsid w:val="004E4A15"/>
    <w:rsid w:val="004E4A1B"/>
    <w:rsid w:val="004E4EB5"/>
    <w:rsid w:val="004E5603"/>
    <w:rsid w:val="004E5E9A"/>
    <w:rsid w:val="004E6DA0"/>
    <w:rsid w:val="004E7017"/>
    <w:rsid w:val="004E7CC9"/>
    <w:rsid w:val="004F0170"/>
    <w:rsid w:val="004F0279"/>
    <w:rsid w:val="004F033C"/>
    <w:rsid w:val="004F076D"/>
    <w:rsid w:val="004F1144"/>
    <w:rsid w:val="004F1805"/>
    <w:rsid w:val="004F18C5"/>
    <w:rsid w:val="004F1B9E"/>
    <w:rsid w:val="004F2362"/>
    <w:rsid w:val="004F3CE7"/>
    <w:rsid w:val="004F420D"/>
    <w:rsid w:val="004F4398"/>
    <w:rsid w:val="004F632E"/>
    <w:rsid w:val="004F6E5E"/>
    <w:rsid w:val="004F6ED6"/>
    <w:rsid w:val="004F73A6"/>
    <w:rsid w:val="004F7BD1"/>
    <w:rsid w:val="00500275"/>
    <w:rsid w:val="005009B2"/>
    <w:rsid w:val="00500DFE"/>
    <w:rsid w:val="0050178A"/>
    <w:rsid w:val="005018B7"/>
    <w:rsid w:val="00501C7D"/>
    <w:rsid w:val="00501E2C"/>
    <w:rsid w:val="00502391"/>
    <w:rsid w:val="00503DDD"/>
    <w:rsid w:val="0050488E"/>
    <w:rsid w:val="00504A0C"/>
    <w:rsid w:val="00504E0B"/>
    <w:rsid w:val="00506E01"/>
    <w:rsid w:val="0050776B"/>
    <w:rsid w:val="00507D31"/>
    <w:rsid w:val="00511296"/>
    <w:rsid w:val="00511649"/>
    <w:rsid w:val="0051247D"/>
    <w:rsid w:val="00512B07"/>
    <w:rsid w:val="00512B7D"/>
    <w:rsid w:val="00512BED"/>
    <w:rsid w:val="00513064"/>
    <w:rsid w:val="005132F1"/>
    <w:rsid w:val="00513417"/>
    <w:rsid w:val="00514614"/>
    <w:rsid w:val="00514C01"/>
    <w:rsid w:val="00515658"/>
    <w:rsid w:val="00515855"/>
    <w:rsid w:val="005158B3"/>
    <w:rsid w:val="00515CF8"/>
    <w:rsid w:val="00515E61"/>
    <w:rsid w:val="005163B4"/>
    <w:rsid w:val="00516AE7"/>
    <w:rsid w:val="00517296"/>
    <w:rsid w:val="00517AA7"/>
    <w:rsid w:val="00520170"/>
    <w:rsid w:val="0052092E"/>
    <w:rsid w:val="0052105B"/>
    <w:rsid w:val="005211E8"/>
    <w:rsid w:val="0052231F"/>
    <w:rsid w:val="00522D20"/>
    <w:rsid w:val="00523062"/>
    <w:rsid w:val="00523180"/>
    <w:rsid w:val="00523AB4"/>
    <w:rsid w:val="00523B00"/>
    <w:rsid w:val="00523C10"/>
    <w:rsid w:val="00523DE7"/>
    <w:rsid w:val="0052428C"/>
    <w:rsid w:val="005246B8"/>
    <w:rsid w:val="0052494E"/>
    <w:rsid w:val="00524AC8"/>
    <w:rsid w:val="00524AFB"/>
    <w:rsid w:val="00524E75"/>
    <w:rsid w:val="00525EBD"/>
    <w:rsid w:val="005262F1"/>
    <w:rsid w:val="00527079"/>
    <w:rsid w:val="00527671"/>
    <w:rsid w:val="00527807"/>
    <w:rsid w:val="0053073A"/>
    <w:rsid w:val="00530BE8"/>
    <w:rsid w:val="00531165"/>
    <w:rsid w:val="00531237"/>
    <w:rsid w:val="005314EE"/>
    <w:rsid w:val="005317CF"/>
    <w:rsid w:val="00532860"/>
    <w:rsid w:val="0053348A"/>
    <w:rsid w:val="00533ACE"/>
    <w:rsid w:val="00533C0E"/>
    <w:rsid w:val="0053487F"/>
    <w:rsid w:val="00534A0A"/>
    <w:rsid w:val="00534F0E"/>
    <w:rsid w:val="00535767"/>
    <w:rsid w:val="00535F4E"/>
    <w:rsid w:val="00536FFC"/>
    <w:rsid w:val="005375D9"/>
    <w:rsid w:val="00537842"/>
    <w:rsid w:val="0054073D"/>
    <w:rsid w:val="00540A75"/>
    <w:rsid w:val="005412BA"/>
    <w:rsid w:val="0054135C"/>
    <w:rsid w:val="005414C8"/>
    <w:rsid w:val="00541B70"/>
    <w:rsid w:val="00541C35"/>
    <w:rsid w:val="00541C36"/>
    <w:rsid w:val="0054236A"/>
    <w:rsid w:val="0054281E"/>
    <w:rsid w:val="00543A06"/>
    <w:rsid w:val="00543E30"/>
    <w:rsid w:val="00544837"/>
    <w:rsid w:val="00544CAA"/>
    <w:rsid w:val="0054509A"/>
    <w:rsid w:val="005454BE"/>
    <w:rsid w:val="0054585A"/>
    <w:rsid w:val="005462BA"/>
    <w:rsid w:val="00546969"/>
    <w:rsid w:val="00547296"/>
    <w:rsid w:val="00547EB4"/>
    <w:rsid w:val="00550069"/>
    <w:rsid w:val="005500EF"/>
    <w:rsid w:val="005505E8"/>
    <w:rsid w:val="00550D26"/>
    <w:rsid w:val="0055144D"/>
    <w:rsid w:val="00551511"/>
    <w:rsid w:val="0055233D"/>
    <w:rsid w:val="00552B76"/>
    <w:rsid w:val="00553419"/>
    <w:rsid w:val="005538C0"/>
    <w:rsid w:val="00553B4D"/>
    <w:rsid w:val="005544D3"/>
    <w:rsid w:val="0055452C"/>
    <w:rsid w:val="0055506A"/>
    <w:rsid w:val="00555914"/>
    <w:rsid w:val="00555AF5"/>
    <w:rsid w:val="00555E14"/>
    <w:rsid w:val="00557AE0"/>
    <w:rsid w:val="00557E3F"/>
    <w:rsid w:val="00557FF1"/>
    <w:rsid w:val="00560EDB"/>
    <w:rsid w:val="0056183C"/>
    <w:rsid w:val="00561DC5"/>
    <w:rsid w:val="00561EEC"/>
    <w:rsid w:val="005634A9"/>
    <w:rsid w:val="005636FA"/>
    <w:rsid w:val="00563E15"/>
    <w:rsid w:val="005648D1"/>
    <w:rsid w:val="00564B7C"/>
    <w:rsid w:val="00565719"/>
    <w:rsid w:val="00565E21"/>
    <w:rsid w:val="00565F1C"/>
    <w:rsid w:val="00566D35"/>
    <w:rsid w:val="00566F21"/>
    <w:rsid w:val="00567BBA"/>
    <w:rsid w:val="0057009C"/>
    <w:rsid w:val="0057039D"/>
    <w:rsid w:val="005711C4"/>
    <w:rsid w:val="0057223B"/>
    <w:rsid w:val="0057226E"/>
    <w:rsid w:val="005727EF"/>
    <w:rsid w:val="00573C24"/>
    <w:rsid w:val="00574A8E"/>
    <w:rsid w:val="00574EC6"/>
    <w:rsid w:val="0057508D"/>
    <w:rsid w:val="00575309"/>
    <w:rsid w:val="0057610A"/>
    <w:rsid w:val="005764AE"/>
    <w:rsid w:val="00576FD4"/>
    <w:rsid w:val="005771D3"/>
    <w:rsid w:val="0057735C"/>
    <w:rsid w:val="0057795C"/>
    <w:rsid w:val="00577B4B"/>
    <w:rsid w:val="005801DE"/>
    <w:rsid w:val="0058046B"/>
    <w:rsid w:val="00580705"/>
    <w:rsid w:val="005807BE"/>
    <w:rsid w:val="00580A50"/>
    <w:rsid w:val="00581DAA"/>
    <w:rsid w:val="00582367"/>
    <w:rsid w:val="00582427"/>
    <w:rsid w:val="005826B4"/>
    <w:rsid w:val="00582771"/>
    <w:rsid w:val="0058340F"/>
    <w:rsid w:val="0058424B"/>
    <w:rsid w:val="00584B3E"/>
    <w:rsid w:val="00585FD1"/>
    <w:rsid w:val="0058638D"/>
    <w:rsid w:val="00586C00"/>
    <w:rsid w:val="005873A3"/>
    <w:rsid w:val="00587E73"/>
    <w:rsid w:val="005906A7"/>
    <w:rsid w:val="00590CCA"/>
    <w:rsid w:val="00590F16"/>
    <w:rsid w:val="00591FDE"/>
    <w:rsid w:val="0059249D"/>
    <w:rsid w:val="00592516"/>
    <w:rsid w:val="005946F2"/>
    <w:rsid w:val="00594FC2"/>
    <w:rsid w:val="0059592C"/>
    <w:rsid w:val="00596EC7"/>
    <w:rsid w:val="0059729B"/>
    <w:rsid w:val="005976F6"/>
    <w:rsid w:val="005977F1"/>
    <w:rsid w:val="0059787E"/>
    <w:rsid w:val="00597A03"/>
    <w:rsid w:val="005A0386"/>
    <w:rsid w:val="005A07F1"/>
    <w:rsid w:val="005A1637"/>
    <w:rsid w:val="005A174D"/>
    <w:rsid w:val="005A192C"/>
    <w:rsid w:val="005A4596"/>
    <w:rsid w:val="005A4CF5"/>
    <w:rsid w:val="005A54AA"/>
    <w:rsid w:val="005B13F1"/>
    <w:rsid w:val="005B18E9"/>
    <w:rsid w:val="005B1F73"/>
    <w:rsid w:val="005B25F0"/>
    <w:rsid w:val="005B2FA2"/>
    <w:rsid w:val="005B3586"/>
    <w:rsid w:val="005B382E"/>
    <w:rsid w:val="005B38D4"/>
    <w:rsid w:val="005B642F"/>
    <w:rsid w:val="005B66BA"/>
    <w:rsid w:val="005B70E7"/>
    <w:rsid w:val="005C0124"/>
    <w:rsid w:val="005C0187"/>
    <w:rsid w:val="005C0242"/>
    <w:rsid w:val="005C0C78"/>
    <w:rsid w:val="005C0CE0"/>
    <w:rsid w:val="005C1948"/>
    <w:rsid w:val="005C21BD"/>
    <w:rsid w:val="005C2CBA"/>
    <w:rsid w:val="005C3505"/>
    <w:rsid w:val="005C3D1C"/>
    <w:rsid w:val="005C412C"/>
    <w:rsid w:val="005C492E"/>
    <w:rsid w:val="005C4EFF"/>
    <w:rsid w:val="005C542E"/>
    <w:rsid w:val="005C5726"/>
    <w:rsid w:val="005C6739"/>
    <w:rsid w:val="005C7691"/>
    <w:rsid w:val="005C78C0"/>
    <w:rsid w:val="005D0766"/>
    <w:rsid w:val="005D076A"/>
    <w:rsid w:val="005D0A70"/>
    <w:rsid w:val="005D0B2C"/>
    <w:rsid w:val="005D0C4D"/>
    <w:rsid w:val="005D0D84"/>
    <w:rsid w:val="005D1451"/>
    <w:rsid w:val="005D203E"/>
    <w:rsid w:val="005D3C67"/>
    <w:rsid w:val="005D4779"/>
    <w:rsid w:val="005D53C7"/>
    <w:rsid w:val="005D5453"/>
    <w:rsid w:val="005D7C91"/>
    <w:rsid w:val="005E05B3"/>
    <w:rsid w:val="005E06F5"/>
    <w:rsid w:val="005E2327"/>
    <w:rsid w:val="005E2396"/>
    <w:rsid w:val="005E2A4D"/>
    <w:rsid w:val="005E2D20"/>
    <w:rsid w:val="005E2E51"/>
    <w:rsid w:val="005E33E5"/>
    <w:rsid w:val="005E33EE"/>
    <w:rsid w:val="005E68EF"/>
    <w:rsid w:val="005E69C2"/>
    <w:rsid w:val="005E704C"/>
    <w:rsid w:val="005F0038"/>
    <w:rsid w:val="005F0CE4"/>
    <w:rsid w:val="005F213D"/>
    <w:rsid w:val="005F233A"/>
    <w:rsid w:val="005F2A22"/>
    <w:rsid w:val="005F2A51"/>
    <w:rsid w:val="005F2F48"/>
    <w:rsid w:val="005F3196"/>
    <w:rsid w:val="005F3CC4"/>
    <w:rsid w:val="005F4BFC"/>
    <w:rsid w:val="005F519F"/>
    <w:rsid w:val="005F5371"/>
    <w:rsid w:val="005F5BB5"/>
    <w:rsid w:val="005F62D7"/>
    <w:rsid w:val="005F69F9"/>
    <w:rsid w:val="005F6BF2"/>
    <w:rsid w:val="005F720F"/>
    <w:rsid w:val="005F73DF"/>
    <w:rsid w:val="005F76EA"/>
    <w:rsid w:val="00601727"/>
    <w:rsid w:val="0060185E"/>
    <w:rsid w:val="00601B87"/>
    <w:rsid w:val="00601E1B"/>
    <w:rsid w:val="00602415"/>
    <w:rsid w:val="0060279D"/>
    <w:rsid w:val="0060336A"/>
    <w:rsid w:val="00603E19"/>
    <w:rsid w:val="00604BDA"/>
    <w:rsid w:val="00605084"/>
    <w:rsid w:val="0060631D"/>
    <w:rsid w:val="00606991"/>
    <w:rsid w:val="00607388"/>
    <w:rsid w:val="00607540"/>
    <w:rsid w:val="00607B10"/>
    <w:rsid w:val="00611340"/>
    <w:rsid w:val="006113F3"/>
    <w:rsid w:val="0061153A"/>
    <w:rsid w:val="0061179C"/>
    <w:rsid w:val="00611F8C"/>
    <w:rsid w:val="00611FA0"/>
    <w:rsid w:val="00612A08"/>
    <w:rsid w:val="0061393F"/>
    <w:rsid w:val="00613DD2"/>
    <w:rsid w:val="00615041"/>
    <w:rsid w:val="00615560"/>
    <w:rsid w:val="00615658"/>
    <w:rsid w:val="00615BC7"/>
    <w:rsid w:val="00616234"/>
    <w:rsid w:val="00617054"/>
    <w:rsid w:val="00621060"/>
    <w:rsid w:val="00621BD4"/>
    <w:rsid w:val="00622830"/>
    <w:rsid w:val="00622ABE"/>
    <w:rsid w:val="0062320B"/>
    <w:rsid w:val="00623634"/>
    <w:rsid w:val="00623CE3"/>
    <w:rsid w:val="00625093"/>
    <w:rsid w:val="0062548E"/>
    <w:rsid w:val="006258DA"/>
    <w:rsid w:val="0062592D"/>
    <w:rsid w:val="006259E3"/>
    <w:rsid w:val="00625CF2"/>
    <w:rsid w:val="006265E8"/>
    <w:rsid w:val="00626A5B"/>
    <w:rsid w:val="00631F89"/>
    <w:rsid w:val="00632F08"/>
    <w:rsid w:val="00633AE2"/>
    <w:rsid w:val="00633B52"/>
    <w:rsid w:val="006348C0"/>
    <w:rsid w:val="00634C13"/>
    <w:rsid w:val="006357C7"/>
    <w:rsid w:val="00635DD0"/>
    <w:rsid w:val="00636B9B"/>
    <w:rsid w:val="0063751D"/>
    <w:rsid w:val="006379D1"/>
    <w:rsid w:val="00637A9F"/>
    <w:rsid w:val="00640440"/>
    <w:rsid w:val="00640D06"/>
    <w:rsid w:val="00641491"/>
    <w:rsid w:val="006417A9"/>
    <w:rsid w:val="00641AFF"/>
    <w:rsid w:val="00642E09"/>
    <w:rsid w:val="006437B6"/>
    <w:rsid w:val="00643DF6"/>
    <w:rsid w:val="006449F8"/>
    <w:rsid w:val="00645EA1"/>
    <w:rsid w:val="0064680C"/>
    <w:rsid w:val="0064797F"/>
    <w:rsid w:val="00647B00"/>
    <w:rsid w:val="0065164D"/>
    <w:rsid w:val="00651875"/>
    <w:rsid w:val="00651DD8"/>
    <w:rsid w:val="006521DD"/>
    <w:rsid w:val="00652928"/>
    <w:rsid w:val="00653697"/>
    <w:rsid w:val="00655166"/>
    <w:rsid w:val="006556B4"/>
    <w:rsid w:val="006556E7"/>
    <w:rsid w:val="00655E56"/>
    <w:rsid w:val="00656471"/>
    <w:rsid w:val="006565FB"/>
    <w:rsid w:val="006569B7"/>
    <w:rsid w:val="006571CB"/>
    <w:rsid w:val="006571E0"/>
    <w:rsid w:val="00657777"/>
    <w:rsid w:val="00657CB9"/>
    <w:rsid w:val="00660BC2"/>
    <w:rsid w:val="00660DC7"/>
    <w:rsid w:val="00661818"/>
    <w:rsid w:val="00661D87"/>
    <w:rsid w:val="00662419"/>
    <w:rsid w:val="0066362D"/>
    <w:rsid w:val="00663BBD"/>
    <w:rsid w:val="0066469B"/>
    <w:rsid w:val="00664C34"/>
    <w:rsid w:val="00665049"/>
    <w:rsid w:val="006662F4"/>
    <w:rsid w:val="00667A0D"/>
    <w:rsid w:val="00667B91"/>
    <w:rsid w:val="00670A78"/>
    <w:rsid w:val="00670AD7"/>
    <w:rsid w:val="0067144C"/>
    <w:rsid w:val="00672067"/>
    <w:rsid w:val="00672C2E"/>
    <w:rsid w:val="00672C86"/>
    <w:rsid w:val="00673436"/>
    <w:rsid w:val="00673C8F"/>
    <w:rsid w:val="00674170"/>
    <w:rsid w:val="006741A8"/>
    <w:rsid w:val="0067424E"/>
    <w:rsid w:val="00674D31"/>
    <w:rsid w:val="00674F9F"/>
    <w:rsid w:val="00674FAE"/>
    <w:rsid w:val="00676460"/>
    <w:rsid w:val="0067B8BA"/>
    <w:rsid w:val="00680341"/>
    <w:rsid w:val="00680690"/>
    <w:rsid w:val="00680F18"/>
    <w:rsid w:val="00681C7C"/>
    <w:rsid w:val="0068208A"/>
    <w:rsid w:val="006821A8"/>
    <w:rsid w:val="00682B9F"/>
    <w:rsid w:val="006834D6"/>
    <w:rsid w:val="00683589"/>
    <w:rsid w:val="00683790"/>
    <w:rsid w:val="0068389E"/>
    <w:rsid w:val="00684AAA"/>
    <w:rsid w:val="0068505F"/>
    <w:rsid w:val="006851DF"/>
    <w:rsid w:val="0068552A"/>
    <w:rsid w:val="006856F4"/>
    <w:rsid w:val="00686628"/>
    <w:rsid w:val="00686C38"/>
    <w:rsid w:val="0068751C"/>
    <w:rsid w:val="00690817"/>
    <w:rsid w:val="00691B17"/>
    <w:rsid w:val="00691E57"/>
    <w:rsid w:val="0069296B"/>
    <w:rsid w:val="006957E2"/>
    <w:rsid w:val="00695E92"/>
    <w:rsid w:val="006968D3"/>
    <w:rsid w:val="00696958"/>
    <w:rsid w:val="00696D33"/>
    <w:rsid w:val="0069700F"/>
    <w:rsid w:val="006A01D8"/>
    <w:rsid w:val="006A1C04"/>
    <w:rsid w:val="006A21CD"/>
    <w:rsid w:val="006A23C9"/>
    <w:rsid w:val="006A242D"/>
    <w:rsid w:val="006A281A"/>
    <w:rsid w:val="006A29E3"/>
    <w:rsid w:val="006A35A8"/>
    <w:rsid w:val="006A4FAB"/>
    <w:rsid w:val="006A52ED"/>
    <w:rsid w:val="006A5A2C"/>
    <w:rsid w:val="006A5AA8"/>
    <w:rsid w:val="006A5E07"/>
    <w:rsid w:val="006A6C4F"/>
    <w:rsid w:val="006A6E6D"/>
    <w:rsid w:val="006A6F1A"/>
    <w:rsid w:val="006A7488"/>
    <w:rsid w:val="006A7BAF"/>
    <w:rsid w:val="006A7C49"/>
    <w:rsid w:val="006B05CF"/>
    <w:rsid w:val="006B0760"/>
    <w:rsid w:val="006B07A7"/>
    <w:rsid w:val="006B0A42"/>
    <w:rsid w:val="006B15AA"/>
    <w:rsid w:val="006B1E83"/>
    <w:rsid w:val="006B39AE"/>
    <w:rsid w:val="006B4175"/>
    <w:rsid w:val="006B47C1"/>
    <w:rsid w:val="006B5448"/>
    <w:rsid w:val="006B5FF5"/>
    <w:rsid w:val="006B606B"/>
    <w:rsid w:val="006B7368"/>
    <w:rsid w:val="006B7D09"/>
    <w:rsid w:val="006C0068"/>
    <w:rsid w:val="006C0262"/>
    <w:rsid w:val="006C1415"/>
    <w:rsid w:val="006C202C"/>
    <w:rsid w:val="006C23A2"/>
    <w:rsid w:val="006C2A8D"/>
    <w:rsid w:val="006C2AAD"/>
    <w:rsid w:val="006C2F44"/>
    <w:rsid w:val="006C312B"/>
    <w:rsid w:val="006C3BAE"/>
    <w:rsid w:val="006C4173"/>
    <w:rsid w:val="006C4977"/>
    <w:rsid w:val="006C57DE"/>
    <w:rsid w:val="006C5814"/>
    <w:rsid w:val="006C59C4"/>
    <w:rsid w:val="006C7C72"/>
    <w:rsid w:val="006D0439"/>
    <w:rsid w:val="006D051D"/>
    <w:rsid w:val="006D0E41"/>
    <w:rsid w:val="006D1751"/>
    <w:rsid w:val="006D1A8B"/>
    <w:rsid w:val="006D1AB2"/>
    <w:rsid w:val="006D2D4B"/>
    <w:rsid w:val="006D392D"/>
    <w:rsid w:val="006D3F55"/>
    <w:rsid w:val="006D41FC"/>
    <w:rsid w:val="006D4260"/>
    <w:rsid w:val="006D487D"/>
    <w:rsid w:val="006D4C9E"/>
    <w:rsid w:val="006D55A8"/>
    <w:rsid w:val="006D5DB9"/>
    <w:rsid w:val="006D600E"/>
    <w:rsid w:val="006D6BA6"/>
    <w:rsid w:val="006D6BB9"/>
    <w:rsid w:val="006D6BF8"/>
    <w:rsid w:val="006D728C"/>
    <w:rsid w:val="006D7447"/>
    <w:rsid w:val="006D7760"/>
    <w:rsid w:val="006D7E7A"/>
    <w:rsid w:val="006E068C"/>
    <w:rsid w:val="006E1C47"/>
    <w:rsid w:val="006E1C97"/>
    <w:rsid w:val="006E205E"/>
    <w:rsid w:val="006E207F"/>
    <w:rsid w:val="006E21EC"/>
    <w:rsid w:val="006E3336"/>
    <w:rsid w:val="006E3ADE"/>
    <w:rsid w:val="006E491F"/>
    <w:rsid w:val="006E4C11"/>
    <w:rsid w:val="006E4FB2"/>
    <w:rsid w:val="006E59A4"/>
    <w:rsid w:val="006E5BE7"/>
    <w:rsid w:val="006E692A"/>
    <w:rsid w:val="006E6B3C"/>
    <w:rsid w:val="006E757A"/>
    <w:rsid w:val="006F054D"/>
    <w:rsid w:val="006F08C5"/>
    <w:rsid w:val="006F0EA7"/>
    <w:rsid w:val="006F11D4"/>
    <w:rsid w:val="006F1B88"/>
    <w:rsid w:val="006F1D4F"/>
    <w:rsid w:val="006F224C"/>
    <w:rsid w:val="006F385B"/>
    <w:rsid w:val="006F398D"/>
    <w:rsid w:val="006F4441"/>
    <w:rsid w:val="006F4526"/>
    <w:rsid w:val="006F4878"/>
    <w:rsid w:val="006F4DAD"/>
    <w:rsid w:val="006F5ABD"/>
    <w:rsid w:val="006F5C01"/>
    <w:rsid w:val="006F5C5E"/>
    <w:rsid w:val="006F7E9C"/>
    <w:rsid w:val="00700214"/>
    <w:rsid w:val="00700645"/>
    <w:rsid w:val="00700A7D"/>
    <w:rsid w:val="00701268"/>
    <w:rsid w:val="0070162D"/>
    <w:rsid w:val="00701AC6"/>
    <w:rsid w:val="00702068"/>
    <w:rsid w:val="00703617"/>
    <w:rsid w:val="007036FA"/>
    <w:rsid w:val="007038A4"/>
    <w:rsid w:val="00704182"/>
    <w:rsid w:val="007043D1"/>
    <w:rsid w:val="00704F46"/>
    <w:rsid w:val="0070500C"/>
    <w:rsid w:val="00705919"/>
    <w:rsid w:val="00705CC7"/>
    <w:rsid w:val="00707022"/>
    <w:rsid w:val="007071DA"/>
    <w:rsid w:val="00707CC8"/>
    <w:rsid w:val="0071017F"/>
    <w:rsid w:val="00710638"/>
    <w:rsid w:val="00710899"/>
    <w:rsid w:val="00710E5D"/>
    <w:rsid w:val="0071130C"/>
    <w:rsid w:val="0071178B"/>
    <w:rsid w:val="00711D7E"/>
    <w:rsid w:val="00712174"/>
    <w:rsid w:val="00712773"/>
    <w:rsid w:val="00712EAF"/>
    <w:rsid w:val="007142ED"/>
    <w:rsid w:val="00714779"/>
    <w:rsid w:val="00714D83"/>
    <w:rsid w:val="0071542C"/>
    <w:rsid w:val="0071559A"/>
    <w:rsid w:val="007159B1"/>
    <w:rsid w:val="00716B93"/>
    <w:rsid w:val="00716D01"/>
    <w:rsid w:val="00717062"/>
    <w:rsid w:val="00717324"/>
    <w:rsid w:val="00717478"/>
    <w:rsid w:val="007174B8"/>
    <w:rsid w:val="00717D34"/>
    <w:rsid w:val="00717F56"/>
    <w:rsid w:val="007215BA"/>
    <w:rsid w:val="00722636"/>
    <w:rsid w:val="00724452"/>
    <w:rsid w:val="0072470E"/>
    <w:rsid w:val="00724CA9"/>
    <w:rsid w:val="00724D3C"/>
    <w:rsid w:val="00725383"/>
    <w:rsid w:val="0072562B"/>
    <w:rsid w:val="00725636"/>
    <w:rsid w:val="00725DFD"/>
    <w:rsid w:val="00725E3B"/>
    <w:rsid w:val="00726040"/>
    <w:rsid w:val="007268AF"/>
    <w:rsid w:val="007268B4"/>
    <w:rsid w:val="007269FD"/>
    <w:rsid w:val="00726C83"/>
    <w:rsid w:val="0072757D"/>
    <w:rsid w:val="00727746"/>
    <w:rsid w:val="0073009A"/>
    <w:rsid w:val="007303DB"/>
    <w:rsid w:val="007308F2"/>
    <w:rsid w:val="007308FA"/>
    <w:rsid w:val="00731390"/>
    <w:rsid w:val="00731701"/>
    <w:rsid w:val="00731CF0"/>
    <w:rsid w:val="0073278A"/>
    <w:rsid w:val="007328A6"/>
    <w:rsid w:val="007333A5"/>
    <w:rsid w:val="00733957"/>
    <w:rsid w:val="00733996"/>
    <w:rsid w:val="00733DB2"/>
    <w:rsid w:val="0073426A"/>
    <w:rsid w:val="00734C69"/>
    <w:rsid w:val="0073633E"/>
    <w:rsid w:val="00736F98"/>
    <w:rsid w:val="0074060F"/>
    <w:rsid w:val="00740A9B"/>
    <w:rsid w:val="00740CF4"/>
    <w:rsid w:val="00741466"/>
    <w:rsid w:val="00742D44"/>
    <w:rsid w:val="0074305B"/>
    <w:rsid w:val="0074320E"/>
    <w:rsid w:val="00743A1F"/>
    <w:rsid w:val="00744FA8"/>
    <w:rsid w:val="00746402"/>
    <w:rsid w:val="007473D1"/>
    <w:rsid w:val="00747C6F"/>
    <w:rsid w:val="00751124"/>
    <w:rsid w:val="0075144D"/>
    <w:rsid w:val="00751CD9"/>
    <w:rsid w:val="00751F24"/>
    <w:rsid w:val="00752243"/>
    <w:rsid w:val="00752713"/>
    <w:rsid w:val="00752CE6"/>
    <w:rsid w:val="00752ED7"/>
    <w:rsid w:val="00753047"/>
    <w:rsid w:val="0075307B"/>
    <w:rsid w:val="00753831"/>
    <w:rsid w:val="00753FE7"/>
    <w:rsid w:val="007552E2"/>
    <w:rsid w:val="00755D58"/>
    <w:rsid w:val="00755FA9"/>
    <w:rsid w:val="0075658A"/>
    <w:rsid w:val="00756C30"/>
    <w:rsid w:val="00757347"/>
    <w:rsid w:val="00757357"/>
    <w:rsid w:val="00757B24"/>
    <w:rsid w:val="00760ABB"/>
    <w:rsid w:val="00761581"/>
    <w:rsid w:val="00761A71"/>
    <w:rsid w:val="00761EFC"/>
    <w:rsid w:val="00762777"/>
    <w:rsid w:val="007631AE"/>
    <w:rsid w:val="0076467A"/>
    <w:rsid w:val="0076470C"/>
    <w:rsid w:val="007648C3"/>
    <w:rsid w:val="007650B8"/>
    <w:rsid w:val="00765244"/>
    <w:rsid w:val="0076549A"/>
    <w:rsid w:val="00765A5B"/>
    <w:rsid w:val="0076630F"/>
    <w:rsid w:val="00766F9E"/>
    <w:rsid w:val="00767B8C"/>
    <w:rsid w:val="00767E39"/>
    <w:rsid w:val="0077106C"/>
    <w:rsid w:val="00771A74"/>
    <w:rsid w:val="00771E4E"/>
    <w:rsid w:val="00772458"/>
    <w:rsid w:val="007724BB"/>
    <w:rsid w:val="0077359C"/>
    <w:rsid w:val="00773A75"/>
    <w:rsid w:val="00773ED1"/>
    <w:rsid w:val="00774454"/>
    <w:rsid w:val="00774EE9"/>
    <w:rsid w:val="00775F39"/>
    <w:rsid w:val="007761B2"/>
    <w:rsid w:val="00776250"/>
    <w:rsid w:val="0077661B"/>
    <w:rsid w:val="00776791"/>
    <w:rsid w:val="00776953"/>
    <w:rsid w:val="007769CC"/>
    <w:rsid w:val="00777013"/>
    <w:rsid w:val="00777353"/>
    <w:rsid w:val="00780415"/>
    <w:rsid w:val="007804DA"/>
    <w:rsid w:val="00780780"/>
    <w:rsid w:val="00781737"/>
    <w:rsid w:val="00781862"/>
    <w:rsid w:val="00781A7C"/>
    <w:rsid w:val="007825AA"/>
    <w:rsid w:val="00782819"/>
    <w:rsid w:val="00783146"/>
    <w:rsid w:val="0078399B"/>
    <w:rsid w:val="00785320"/>
    <w:rsid w:val="00785358"/>
    <w:rsid w:val="00785779"/>
    <w:rsid w:val="00786BC0"/>
    <w:rsid w:val="007876D5"/>
    <w:rsid w:val="00787879"/>
    <w:rsid w:val="00790C71"/>
    <w:rsid w:val="007914A5"/>
    <w:rsid w:val="007927D5"/>
    <w:rsid w:val="007929F3"/>
    <w:rsid w:val="00793E02"/>
    <w:rsid w:val="00794158"/>
    <w:rsid w:val="0079417D"/>
    <w:rsid w:val="00794533"/>
    <w:rsid w:val="00794A08"/>
    <w:rsid w:val="007954D8"/>
    <w:rsid w:val="00797FA2"/>
    <w:rsid w:val="007A00D5"/>
    <w:rsid w:val="007A063F"/>
    <w:rsid w:val="007A0F27"/>
    <w:rsid w:val="007A1A5D"/>
    <w:rsid w:val="007A1C1D"/>
    <w:rsid w:val="007A23C8"/>
    <w:rsid w:val="007A256C"/>
    <w:rsid w:val="007A2F78"/>
    <w:rsid w:val="007A3E08"/>
    <w:rsid w:val="007A4399"/>
    <w:rsid w:val="007A4C75"/>
    <w:rsid w:val="007A4F69"/>
    <w:rsid w:val="007A4FAE"/>
    <w:rsid w:val="007A58BA"/>
    <w:rsid w:val="007A69BD"/>
    <w:rsid w:val="007A6EBF"/>
    <w:rsid w:val="007A7531"/>
    <w:rsid w:val="007A7709"/>
    <w:rsid w:val="007A786D"/>
    <w:rsid w:val="007B0AE2"/>
    <w:rsid w:val="007B0BC5"/>
    <w:rsid w:val="007B11A9"/>
    <w:rsid w:val="007B1450"/>
    <w:rsid w:val="007B1A85"/>
    <w:rsid w:val="007B1C36"/>
    <w:rsid w:val="007B1E23"/>
    <w:rsid w:val="007B1E81"/>
    <w:rsid w:val="007B2372"/>
    <w:rsid w:val="007B2450"/>
    <w:rsid w:val="007B2646"/>
    <w:rsid w:val="007B43C1"/>
    <w:rsid w:val="007B5141"/>
    <w:rsid w:val="007B6498"/>
    <w:rsid w:val="007B6A05"/>
    <w:rsid w:val="007B6ABF"/>
    <w:rsid w:val="007B6D5D"/>
    <w:rsid w:val="007B74CE"/>
    <w:rsid w:val="007B78BF"/>
    <w:rsid w:val="007C03B4"/>
    <w:rsid w:val="007C0621"/>
    <w:rsid w:val="007C069E"/>
    <w:rsid w:val="007C091E"/>
    <w:rsid w:val="007C11D9"/>
    <w:rsid w:val="007C13AC"/>
    <w:rsid w:val="007C16CF"/>
    <w:rsid w:val="007C2BC6"/>
    <w:rsid w:val="007C2F34"/>
    <w:rsid w:val="007C3998"/>
    <w:rsid w:val="007C43D4"/>
    <w:rsid w:val="007C4435"/>
    <w:rsid w:val="007C48B8"/>
    <w:rsid w:val="007C4FD3"/>
    <w:rsid w:val="007C5180"/>
    <w:rsid w:val="007C576D"/>
    <w:rsid w:val="007C5EEA"/>
    <w:rsid w:val="007C6C3C"/>
    <w:rsid w:val="007C745D"/>
    <w:rsid w:val="007C7980"/>
    <w:rsid w:val="007C7FD9"/>
    <w:rsid w:val="007D08BD"/>
    <w:rsid w:val="007D08E7"/>
    <w:rsid w:val="007D0CEA"/>
    <w:rsid w:val="007D1EFB"/>
    <w:rsid w:val="007D2469"/>
    <w:rsid w:val="007D24DF"/>
    <w:rsid w:val="007D317B"/>
    <w:rsid w:val="007D37DE"/>
    <w:rsid w:val="007D3948"/>
    <w:rsid w:val="007D443B"/>
    <w:rsid w:val="007D4B1C"/>
    <w:rsid w:val="007D5B7A"/>
    <w:rsid w:val="007D6196"/>
    <w:rsid w:val="007D669F"/>
    <w:rsid w:val="007D69E0"/>
    <w:rsid w:val="007D6FFA"/>
    <w:rsid w:val="007D7345"/>
    <w:rsid w:val="007D75DC"/>
    <w:rsid w:val="007D7B52"/>
    <w:rsid w:val="007D7F60"/>
    <w:rsid w:val="007E0F04"/>
    <w:rsid w:val="007E1696"/>
    <w:rsid w:val="007E1F50"/>
    <w:rsid w:val="007E2DB4"/>
    <w:rsid w:val="007E3FA6"/>
    <w:rsid w:val="007E4CDB"/>
    <w:rsid w:val="007E55F0"/>
    <w:rsid w:val="007E5A44"/>
    <w:rsid w:val="007E5ED6"/>
    <w:rsid w:val="007E6317"/>
    <w:rsid w:val="007E6C14"/>
    <w:rsid w:val="007E6F99"/>
    <w:rsid w:val="007E7DF7"/>
    <w:rsid w:val="007F00AB"/>
    <w:rsid w:val="007F024C"/>
    <w:rsid w:val="007F0481"/>
    <w:rsid w:val="007F06CD"/>
    <w:rsid w:val="007F079D"/>
    <w:rsid w:val="007F0D43"/>
    <w:rsid w:val="007F15AE"/>
    <w:rsid w:val="007F1BD7"/>
    <w:rsid w:val="007F30ED"/>
    <w:rsid w:val="007F35D6"/>
    <w:rsid w:val="007F36D5"/>
    <w:rsid w:val="007F4479"/>
    <w:rsid w:val="007F4670"/>
    <w:rsid w:val="007F55F7"/>
    <w:rsid w:val="007F6474"/>
    <w:rsid w:val="007F65C1"/>
    <w:rsid w:val="007F6704"/>
    <w:rsid w:val="007F68F9"/>
    <w:rsid w:val="007F7A00"/>
    <w:rsid w:val="0080010A"/>
    <w:rsid w:val="00800457"/>
    <w:rsid w:val="00800617"/>
    <w:rsid w:val="00800930"/>
    <w:rsid w:val="00802A5A"/>
    <w:rsid w:val="0080301F"/>
    <w:rsid w:val="00803168"/>
    <w:rsid w:val="00804337"/>
    <w:rsid w:val="00804C09"/>
    <w:rsid w:val="008051D6"/>
    <w:rsid w:val="00805F1C"/>
    <w:rsid w:val="00806069"/>
    <w:rsid w:val="0080668D"/>
    <w:rsid w:val="00806A65"/>
    <w:rsid w:val="00807388"/>
    <w:rsid w:val="00807A10"/>
    <w:rsid w:val="00807CA3"/>
    <w:rsid w:val="00811417"/>
    <w:rsid w:val="0081142F"/>
    <w:rsid w:val="00812099"/>
    <w:rsid w:val="008120C5"/>
    <w:rsid w:val="00812610"/>
    <w:rsid w:val="00812D00"/>
    <w:rsid w:val="00813E3C"/>
    <w:rsid w:val="00814C30"/>
    <w:rsid w:val="00815347"/>
    <w:rsid w:val="00815746"/>
    <w:rsid w:val="00817111"/>
    <w:rsid w:val="00820CB3"/>
    <w:rsid w:val="008223D3"/>
    <w:rsid w:val="00822F11"/>
    <w:rsid w:val="0082380E"/>
    <w:rsid w:val="00823910"/>
    <w:rsid w:val="00823D1A"/>
    <w:rsid w:val="008245C0"/>
    <w:rsid w:val="0082521A"/>
    <w:rsid w:val="00826C51"/>
    <w:rsid w:val="00827685"/>
    <w:rsid w:val="008306D4"/>
    <w:rsid w:val="00831924"/>
    <w:rsid w:val="00832033"/>
    <w:rsid w:val="0083275E"/>
    <w:rsid w:val="00832D7E"/>
    <w:rsid w:val="00833267"/>
    <w:rsid w:val="0083347B"/>
    <w:rsid w:val="008334F6"/>
    <w:rsid w:val="0083359E"/>
    <w:rsid w:val="0083361E"/>
    <w:rsid w:val="00833B51"/>
    <w:rsid w:val="00834640"/>
    <w:rsid w:val="0083492D"/>
    <w:rsid w:val="00835EC3"/>
    <w:rsid w:val="008369EC"/>
    <w:rsid w:val="00836B56"/>
    <w:rsid w:val="0083760C"/>
    <w:rsid w:val="00837717"/>
    <w:rsid w:val="00837CA2"/>
    <w:rsid w:val="0084082E"/>
    <w:rsid w:val="008408FA"/>
    <w:rsid w:val="00840AD6"/>
    <w:rsid w:val="00840C2D"/>
    <w:rsid w:val="00841215"/>
    <w:rsid w:val="0084159B"/>
    <w:rsid w:val="008419C7"/>
    <w:rsid w:val="0084293D"/>
    <w:rsid w:val="008429E5"/>
    <w:rsid w:val="008430B5"/>
    <w:rsid w:val="00843A35"/>
    <w:rsid w:val="00843D7F"/>
    <w:rsid w:val="00844725"/>
    <w:rsid w:val="00845234"/>
    <w:rsid w:val="00846081"/>
    <w:rsid w:val="008463B5"/>
    <w:rsid w:val="0084675C"/>
    <w:rsid w:val="00847982"/>
    <w:rsid w:val="008507CE"/>
    <w:rsid w:val="00850B4D"/>
    <w:rsid w:val="00851339"/>
    <w:rsid w:val="0085262E"/>
    <w:rsid w:val="00852BB1"/>
    <w:rsid w:val="00852C0C"/>
    <w:rsid w:val="00853032"/>
    <w:rsid w:val="00853543"/>
    <w:rsid w:val="008553BB"/>
    <w:rsid w:val="00855BD8"/>
    <w:rsid w:val="00856022"/>
    <w:rsid w:val="00856731"/>
    <w:rsid w:val="00857329"/>
    <w:rsid w:val="0086058B"/>
    <w:rsid w:val="00861649"/>
    <w:rsid w:val="008628D0"/>
    <w:rsid w:val="008628D7"/>
    <w:rsid w:val="00862ECA"/>
    <w:rsid w:val="00862FDC"/>
    <w:rsid w:val="00863171"/>
    <w:rsid w:val="00863BD2"/>
    <w:rsid w:val="00864685"/>
    <w:rsid w:val="00864FA8"/>
    <w:rsid w:val="0086609D"/>
    <w:rsid w:val="00866270"/>
    <w:rsid w:val="00866644"/>
    <w:rsid w:val="0086672C"/>
    <w:rsid w:val="00867B8B"/>
    <w:rsid w:val="00870294"/>
    <w:rsid w:val="008708EE"/>
    <w:rsid w:val="00870952"/>
    <w:rsid w:val="00872C16"/>
    <w:rsid w:val="008737EC"/>
    <w:rsid w:val="008744B9"/>
    <w:rsid w:val="00874684"/>
    <w:rsid w:val="00875018"/>
    <w:rsid w:val="00876077"/>
    <w:rsid w:val="0087651C"/>
    <w:rsid w:val="008767E5"/>
    <w:rsid w:val="00876C6C"/>
    <w:rsid w:val="00877047"/>
    <w:rsid w:val="0087741C"/>
    <w:rsid w:val="00877455"/>
    <w:rsid w:val="008777EA"/>
    <w:rsid w:val="00877A1B"/>
    <w:rsid w:val="00877A7B"/>
    <w:rsid w:val="00877AE4"/>
    <w:rsid w:val="008801B4"/>
    <w:rsid w:val="00881F57"/>
    <w:rsid w:val="00882DEF"/>
    <w:rsid w:val="0088306E"/>
    <w:rsid w:val="008837DE"/>
    <w:rsid w:val="00883B9A"/>
    <w:rsid w:val="00884878"/>
    <w:rsid w:val="00884B68"/>
    <w:rsid w:val="008851FF"/>
    <w:rsid w:val="008862C8"/>
    <w:rsid w:val="00886794"/>
    <w:rsid w:val="008873C4"/>
    <w:rsid w:val="008874F2"/>
    <w:rsid w:val="00887B98"/>
    <w:rsid w:val="00890644"/>
    <w:rsid w:val="00890CDD"/>
    <w:rsid w:val="00891E63"/>
    <w:rsid w:val="00893F7C"/>
    <w:rsid w:val="00895444"/>
    <w:rsid w:val="00896341"/>
    <w:rsid w:val="00896381"/>
    <w:rsid w:val="008965F2"/>
    <w:rsid w:val="00896CDE"/>
    <w:rsid w:val="00897419"/>
    <w:rsid w:val="00897DD2"/>
    <w:rsid w:val="008A0026"/>
    <w:rsid w:val="008A00FC"/>
    <w:rsid w:val="008A0123"/>
    <w:rsid w:val="008A159A"/>
    <w:rsid w:val="008A2110"/>
    <w:rsid w:val="008A2C1D"/>
    <w:rsid w:val="008A2D53"/>
    <w:rsid w:val="008A306E"/>
    <w:rsid w:val="008A3120"/>
    <w:rsid w:val="008A3274"/>
    <w:rsid w:val="008A3CCD"/>
    <w:rsid w:val="008A3D95"/>
    <w:rsid w:val="008A3E42"/>
    <w:rsid w:val="008A435F"/>
    <w:rsid w:val="008A43E9"/>
    <w:rsid w:val="008A4637"/>
    <w:rsid w:val="008A46EF"/>
    <w:rsid w:val="008A536F"/>
    <w:rsid w:val="008A5B20"/>
    <w:rsid w:val="008A60AE"/>
    <w:rsid w:val="008A6FBD"/>
    <w:rsid w:val="008A7768"/>
    <w:rsid w:val="008A786D"/>
    <w:rsid w:val="008A7927"/>
    <w:rsid w:val="008A7DCD"/>
    <w:rsid w:val="008B04E3"/>
    <w:rsid w:val="008B1098"/>
    <w:rsid w:val="008B13BD"/>
    <w:rsid w:val="008B3583"/>
    <w:rsid w:val="008B3BA1"/>
    <w:rsid w:val="008B4012"/>
    <w:rsid w:val="008B40A1"/>
    <w:rsid w:val="008B4135"/>
    <w:rsid w:val="008B489C"/>
    <w:rsid w:val="008B5D8E"/>
    <w:rsid w:val="008B5E81"/>
    <w:rsid w:val="008B6448"/>
    <w:rsid w:val="008B6B4C"/>
    <w:rsid w:val="008C0222"/>
    <w:rsid w:val="008C0808"/>
    <w:rsid w:val="008C1516"/>
    <w:rsid w:val="008C257F"/>
    <w:rsid w:val="008C2A87"/>
    <w:rsid w:val="008C3D3D"/>
    <w:rsid w:val="008C48F9"/>
    <w:rsid w:val="008C5221"/>
    <w:rsid w:val="008C56CB"/>
    <w:rsid w:val="008C5B42"/>
    <w:rsid w:val="008C5D84"/>
    <w:rsid w:val="008C5F00"/>
    <w:rsid w:val="008C5F7F"/>
    <w:rsid w:val="008C6759"/>
    <w:rsid w:val="008C6BC2"/>
    <w:rsid w:val="008C7A79"/>
    <w:rsid w:val="008C7E95"/>
    <w:rsid w:val="008D0128"/>
    <w:rsid w:val="008D056F"/>
    <w:rsid w:val="008D058F"/>
    <w:rsid w:val="008D05A5"/>
    <w:rsid w:val="008D1279"/>
    <w:rsid w:val="008D157D"/>
    <w:rsid w:val="008D2D67"/>
    <w:rsid w:val="008D2E03"/>
    <w:rsid w:val="008D30BC"/>
    <w:rsid w:val="008D31DE"/>
    <w:rsid w:val="008D34FF"/>
    <w:rsid w:val="008D3B56"/>
    <w:rsid w:val="008D3BA2"/>
    <w:rsid w:val="008D3E58"/>
    <w:rsid w:val="008D4655"/>
    <w:rsid w:val="008D49A5"/>
    <w:rsid w:val="008D4A27"/>
    <w:rsid w:val="008D4FDF"/>
    <w:rsid w:val="008D69F5"/>
    <w:rsid w:val="008D6E93"/>
    <w:rsid w:val="008D6FF6"/>
    <w:rsid w:val="008D73F6"/>
    <w:rsid w:val="008D7C1E"/>
    <w:rsid w:val="008E07EB"/>
    <w:rsid w:val="008E18F7"/>
    <w:rsid w:val="008E1DBA"/>
    <w:rsid w:val="008E2897"/>
    <w:rsid w:val="008E34F7"/>
    <w:rsid w:val="008E358A"/>
    <w:rsid w:val="008E3A07"/>
    <w:rsid w:val="008E3E05"/>
    <w:rsid w:val="008E5E3C"/>
    <w:rsid w:val="008E6A04"/>
    <w:rsid w:val="008E7459"/>
    <w:rsid w:val="008E7A6A"/>
    <w:rsid w:val="008E7F04"/>
    <w:rsid w:val="008F08CE"/>
    <w:rsid w:val="008F0900"/>
    <w:rsid w:val="008F0B3E"/>
    <w:rsid w:val="008F18DE"/>
    <w:rsid w:val="008F2080"/>
    <w:rsid w:val="008F25D0"/>
    <w:rsid w:val="008F2C87"/>
    <w:rsid w:val="008F2CD0"/>
    <w:rsid w:val="008F2D6A"/>
    <w:rsid w:val="008F2ECF"/>
    <w:rsid w:val="008F2F58"/>
    <w:rsid w:val="008F356E"/>
    <w:rsid w:val="008F43F8"/>
    <w:rsid w:val="008F4568"/>
    <w:rsid w:val="008F4DE6"/>
    <w:rsid w:val="008F6868"/>
    <w:rsid w:val="008F6E2F"/>
    <w:rsid w:val="00900535"/>
    <w:rsid w:val="00900E5A"/>
    <w:rsid w:val="009011E7"/>
    <w:rsid w:val="009014B5"/>
    <w:rsid w:val="00901A6A"/>
    <w:rsid w:val="00902105"/>
    <w:rsid w:val="0090210F"/>
    <w:rsid w:val="009024DA"/>
    <w:rsid w:val="00902560"/>
    <w:rsid w:val="00903363"/>
    <w:rsid w:val="009047BA"/>
    <w:rsid w:val="0090497D"/>
    <w:rsid w:val="0090504A"/>
    <w:rsid w:val="009051F9"/>
    <w:rsid w:val="00905977"/>
    <w:rsid w:val="0090598E"/>
    <w:rsid w:val="00905A4C"/>
    <w:rsid w:val="0090723F"/>
    <w:rsid w:val="0091014F"/>
    <w:rsid w:val="00910ADE"/>
    <w:rsid w:val="00911445"/>
    <w:rsid w:val="00911A1F"/>
    <w:rsid w:val="00911BED"/>
    <w:rsid w:val="00911C02"/>
    <w:rsid w:val="00911F75"/>
    <w:rsid w:val="00912137"/>
    <w:rsid w:val="00912B73"/>
    <w:rsid w:val="00913B7A"/>
    <w:rsid w:val="00913DE3"/>
    <w:rsid w:val="00917228"/>
    <w:rsid w:val="00917C20"/>
    <w:rsid w:val="0092009C"/>
    <w:rsid w:val="00921414"/>
    <w:rsid w:val="00921689"/>
    <w:rsid w:val="0092225F"/>
    <w:rsid w:val="00922C63"/>
    <w:rsid w:val="00923BC5"/>
    <w:rsid w:val="00923CFC"/>
    <w:rsid w:val="009248A4"/>
    <w:rsid w:val="00925721"/>
    <w:rsid w:val="009263F6"/>
    <w:rsid w:val="0092658D"/>
    <w:rsid w:val="00926939"/>
    <w:rsid w:val="00926F0E"/>
    <w:rsid w:val="009306B1"/>
    <w:rsid w:val="0093155C"/>
    <w:rsid w:val="00932607"/>
    <w:rsid w:val="00932784"/>
    <w:rsid w:val="00932A0C"/>
    <w:rsid w:val="009331CD"/>
    <w:rsid w:val="009339CF"/>
    <w:rsid w:val="00933EE3"/>
    <w:rsid w:val="00934A48"/>
    <w:rsid w:val="00935304"/>
    <w:rsid w:val="00935EA7"/>
    <w:rsid w:val="00936E0C"/>
    <w:rsid w:val="00936EFD"/>
    <w:rsid w:val="009377E5"/>
    <w:rsid w:val="00937B14"/>
    <w:rsid w:val="00937DC3"/>
    <w:rsid w:val="0094024D"/>
    <w:rsid w:val="00940326"/>
    <w:rsid w:val="00940885"/>
    <w:rsid w:val="00941649"/>
    <w:rsid w:val="0094205F"/>
    <w:rsid w:val="0094217B"/>
    <w:rsid w:val="00942629"/>
    <w:rsid w:val="00942BA7"/>
    <w:rsid w:val="009440C3"/>
    <w:rsid w:val="0094424E"/>
    <w:rsid w:val="00944D5C"/>
    <w:rsid w:val="009453D1"/>
    <w:rsid w:val="00946423"/>
    <w:rsid w:val="0094717F"/>
    <w:rsid w:val="00947A5A"/>
    <w:rsid w:val="00947E4D"/>
    <w:rsid w:val="00947F98"/>
    <w:rsid w:val="00950665"/>
    <w:rsid w:val="0095114B"/>
    <w:rsid w:val="0095194B"/>
    <w:rsid w:val="00951B56"/>
    <w:rsid w:val="00951B7D"/>
    <w:rsid w:val="00951C7B"/>
    <w:rsid w:val="00952449"/>
    <w:rsid w:val="00952588"/>
    <w:rsid w:val="009526C0"/>
    <w:rsid w:val="009534CE"/>
    <w:rsid w:val="00953D47"/>
    <w:rsid w:val="009544B1"/>
    <w:rsid w:val="00954591"/>
    <w:rsid w:val="00955570"/>
    <w:rsid w:val="00955681"/>
    <w:rsid w:val="009557D0"/>
    <w:rsid w:val="0095637C"/>
    <w:rsid w:val="00956B1A"/>
    <w:rsid w:val="00956E9F"/>
    <w:rsid w:val="009573B1"/>
    <w:rsid w:val="00957A78"/>
    <w:rsid w:val="00960145"/>
    <w:rsid w:val="00960E99"/>
    <w:rsid w:val="00961110"/>
    <w:rsid w:val="00961C47"/>
    <w:rsid w:val="00962CB2"/>
    <w:rsid w:val="009638A5"/>
    <w:rsid w:val="0096393F"/>
    <w:rsid w:val="009649C1"/>
    <w:rsid w:val="009653BC"/>
    <w:rsid w:val="00965587"/>
    <w:rsid w:val="00965A9B"/>
    <w:rsid w:val="00965DF6"/>
    <w:rsid w:val="00965F1C"/>
    <w:rsid w:val="009660DE"/>
    <w:rsid w:val="00966521"/>
    <w:rsid w:val="00967570"/>
    <w:rsid w:val="00967B0C"/>
    <w:rsid w:val="00967EF6"/>
    <w:rsid w:val="00971479"/>
    <w:rsid w:val="00971E29"/>
    <w:rsid w:val="00971E66"/>
    <w:rsid w:val="00972730"/>
    <w:rsid w:val="009729BD"/>
    <w:rsid w:val="00972BDE"/>
    <w:rsid w:val="0097312A"/>
    <w:rsid w:val="00973D76"/>
    <w:rsid w:val="009743A6"/>
    <w:rsid w:val="009743D3"/>
    <w:rsid w:val="0097465F"/>
    <w:rsid w:val="009749D7"/>
    <w:rsid w:val="00974D5A"/>
    <w:rsid w:val="00974E28"/>
    <w:rsid w:val="009756DB"/>
    <w:rsid w:val="00975766"/>
    <w:rsid w:val="009759C0"/>
    <w:rsid w:val="00977A3B"/>
    <w:rsid w:val="00980006"/>
    <w:rsid w:val="00980E5E"/>
    <w:rsid w:val="009811D9"/>
    <w:rsid w:val="00981D89"/>
    <w:rsid w:val="00982396"/>
    <w:rsid w:val="0098330B"/>
    <w:rsid w:val="0098385F"/>
    <w:rsid w:val="00983DCF"/>
    <w:rsid w:val="009842F9"/>
    <w:rsid w:val="009845E6"/>
    <w:rsid w:val="009848B6"/>
    <w:rsid w:val="00984A46"/>
    <w:rsid w:val="00984A69"/>
    <w:rsid w:val="00984EFE"/>
    <w:rsid w:val="0098547A"/>
    <w:rsid w:val="0098642A"/>
    <w:rsid w:val="0098677A"/>
    <w:rsid w:val="00986BF8"/>
    <w:rsid w:val="00986DA1"/>
    <w:rsid w:val="00987419"/>
    <w:rsid w:val="00987706"/>
    <w:rsid w:val="00987951"/>
    <w:rsid w:val="00987DDC"/>
    <w:rsid w:val="00987DF2"/>
    <w:rsid w:val="00990169"/>
    <w:rsid w:val="00990AAA"/>
    <w:rsid w:val="009914BD"/>
    <w:rsid w:val="00991540"/>
    <w:rsid w:val="00992B1F"/>
    <w:rsid w:val="00992F64"/>
    <w:rsid w:val="009939FF"/>
    <w:rsid w:val="00995136"/>
    <w:rsid w:val="009965ED"/>
    <w:rsid w:val="009A006D"/>
    <w:rsid w:val="009A078E"/>
    <w:rsid w:val="009A09A3"/>
    <w:rsid w:val="009A11CF"/>
    <w:rsid w:val="009A2C15"/>
    <w:rsid w:val="009A2D0A"/>
    <w:rsid w:val="009A2FF9"/>
    <w:rsid w:val="009A30E0"/>
    <w:rsid w:val="009A3743"/>
    <w:rsid w:val="009A43AF"/>
    <w:rsid w:val="009A4C6F"/>
    <w:rsid w:val="009A53AC"/>
    <w:rsid w:val="009A5E1D"/>
    <w:rsid w:val="009A7197"/>
    <w:rsid w:val="009B0622"/>
    <w:rsid w:val="009B07AF"/>
    <w:rsid w:val="009B0886"/>
    <w:rsid w:val="009B0CE6"/>
    <w:rsid w:val="009B0D67"/>
    <w:rsid w:val="009B1A53"/>
    <w:rsid w:val="009B2366"/>
    <w:rsid w:val="009B2657"/>
    <w:rsid w:val="009B28E5"/>
    <w:rsid w:val="009B33CB"/>
    <w:rsid w:val="009B3511"/>
    <w:rsid w:val="009B391D"/>
    <w:rsid w:val="009B477D"/>
    <w:rsid w:val="009B5598"/>
    <w:rsid w:val="009B5AAF"/>
    <w:rsid w:val="009B6794"/>
    <w:rsid w:val="009B6856"/>
    <w:rsid w:val="009B6969"/>
    <w:rsid w:val="009C0D74"/>
    <w:rsid w:val="009C0DAB"/>
    <w:rsid w:val="009C127D"/>
    <w:rsid w:val="009C1880"/>
    <w:rsid w:val="009C2DF3"/>
    <w:rsid w:val="009C30B3"/>
    <w:rsid w:val="009C31C7"/>
    <w:rsid w:val="009C41BE"/>
    <w:rsid w:val="009C5BBE"/>
    <w:rsid w:val="009C5D78"/>
    <w:rsid w:val="009C6A73"/>
    <w:rsid w:val="009C6D53"/>
    <w:rsid w:val="009C6F59"/>
    <w:rsid w:val="009D01A1"/>
    <w:rsid w:val="009D053F"/>
    <w:rsid w:val="009D2A05"/>
    <w:rsid w:val="009D2FA5"/>
    <w:rsid w:val="009D314A"/>
    <w:rsid w:val="009D37A6"/>
    <w:rsid w:val="009D3FC0"/>
    <w:rsid w:val="009D65E0"/>
    <w:rsid w:val="009E0844"/>
    <w:rsid w:val="009E18AD"/>
    <w:rsid w:val="009E1CE3"/>
    <w:rsid w:val="009E2BB7"/>
    <w:rsid w:val="009E2E24"/>
    <w:rsid w:val="009E325B"/>
    <w:rsid w:val="009E345E"/>
    <w:rsid w:val="009E3C92"/>
    <w:rsid w:val="009E3E14"/>
    <w:rsid w:val="009E4CC6"/>
    <w:rsid w:val="009E51F6"/>
    <w:rsid w:val="009E58E8"/>
    <w:rsid w:val="009E6028"/>
    <w:rsid w:val="009E673F"/>
    <w:rsid w:val="009E6ABE"/>
    <w:rsid w:val="009E6C5F"/>
    <w:rsid w:val="009E6D18"/>
    <w:rsid w:val="009E75E7"/>
    <w:rsid w:val="009E76B9"/>
    <w:rsid w:val="009E7ADB"/>
    <w:rsid w:val="009F0B28"/>
    <w:rsid w:val="009F0E5E"/>
    <w:rsid w:val="009F193E"/>
    <w:rsid w:val="009F3009"/>
    <w:rsid w:val="009F35A8"/>
    <w:rsid w:val="009F36DE"/>
    <w:rsid w:val="009F3D0D"/>
    <w:rsid w:val="009F3E64"/>
    <w:rsid w:val="009F5802"/>
    <w:rsid w:val="009F6318"/>
    <w:rsid w:val="009F6B5E"/>
    <w:rsid w:val="009F6E9B"/>
    <w:rsid w:val="009F6F4A"/>
    <w:rsid w:val="009F73D6"/>
    <w:rsid w:val="009F77C8"/>
    <w:rsid w:val="009F7D17"/>
    <w:rsid w:val="009F7E40"/>
    <w:rsid w:val="00A00F9B"/>
    <w:rsid w:val="00A01034"/>
    <w:rsid w:val="00A013AF"/>
    <w:rsid w:val="00A015FD"/>
    <w:rsid w:val="00A01605"/>
    <w:rsid w:val="00A01866"/>
    <w:rsid w:val="00A024A1"/>
    <w:rsid w:val="00A02BF8"/>
    <w:rsid w:val="00A031E7"/>
    <w:rsid w:val="00A03370"/>
    <w:rsid w:val="00A04B0B"/>
    <w:rsid w:val="00A04B86"/>
    <w:rsid w:val="00A04F47"/>
    <w:rsid w:val="00A05224"/>
    <w:rsid w:val="00A05B96"/>
    <w:rsid w:val="00A05CD4"/>
    <w:rsid w:val="00A05CE6"/>
    <w:rsid w:val="00A067BC"/>
    <w:rsid w:val="00A068C2"/>
    <w:rsid w:val="00A074F1"/>
    <w:rsid w:val="00A07BE4"/>
    <w:rsid w:val="00A07C17"/>
    <w:rsid w:val="00A07DB8"/>
    <w:rsid w:val="00A07DD6"/>
    <w:rsid w:val="00A07F87"/>
    <w:rsid w:val="00A106E0"/>
    <w:rsid w:val="00A107E7"/>
    <w:rsid w:val="00A112FA"/>
    <w:rsid w:val="00A1179D"/>
    <w:rsid w:val="00A11B65"/>
    <w:rsid w:val="00A12010"/>
    <w:rsid w:val="00A12913"/>
    <w:rsid w:val="00A1320B"/>
    <w:rsid w:val="00A13E77"/>
    <w:rsid w:val="00A142D6"/>
    <w:rsid w:val="00A1513B"/>
    <w:rsid w:val="00A15C71"/>
    <w:rsid w:val="00A170AA"/>
    <w:rsid w:val="00A1778C"/>
    <w:rsid w:val="00A1796C"/>
    <w:rsid w:val="00A17993"/>
    <w:rsid w:val="00A17C48"/>
    <w:rsid w:val="00A20020"/>
    <w:rsid w:val="00A20B5C"/>
    <w:rsid w:val="00A2118D"/>
    <w:rsid w:val="00A2162F"/>
    <w:rsid w:val="00A2173A"/>
    <w:rsid w:val="00A225DE"/>
    <w:rsid w:val="00A2268D"/>
    <w:rsid w:val="00A228AF"/>
    <w:rsid w:val="00A23697"/>
    <w:rsid w:val="00A23B0B"/>
    <w:rsid w:val="00A24322"/>
    <w:rsid w:val="00A2441B"/>
    <w:rsid w:val="00A24CFD"/>
    <w:rsid w:val="00A2515C"/>
    <w:rsid w:val="00A254D2"/>
    <w:rsid w:val="00A2551C"/>
    <w:rsid w:val="00A258ED"/>
    <w:rsid w:val="00A25C6C"/>
    <w:rsid w:val="00A266B8"/>
    <w:rsid w:val="00A2724E"/>
    <w:rsid w:val="00A2764F"/>
    <w:rsid w:val="00A2784C"/>
    <w:rsid w:val="00A279A8"/>
    <w:rsid w:val="00A27AE5"/>
    <w:rsid w:val="00A27B4C"/>
    <w:rsid w:val="00A27D2A"/>
    <w:rsid w:val="00A30724"/>
    <w:rsid w:val="00A30AE9"/>
    <w:rsid w:val="00A314A4"/>
    <w:rsid w:val="00A315F5"/>
    <w:rsid w:val="00A31624"/>
    <w:rsid w:val="00A317E4"/>
    <w:rsid w:val="00A31ACD"/>
    <w:rsid w:val="00A31C13"/>
    <w:rsid w:val="00A32737"/>
    <w:rsid w:val="00A32D40"/>
    <w:rsid w:val="00A33079"/>
    <w:rsid w:val="00A3333B"/>
    <w:rsid w:val="00A33E35"/>
    <w:rsid w:val="00A346A9"/>
    <w:rsid w:val="00A34B1A"/>
    <w:rsid w:val="00A34F37"/>
    <w:rsid w:val="00A34F5D"/>
    <w:rsid w:val="00A351A7"/>
    <w:rsid w:val="00A35AE0"/>
    <w:rsid w:val="00A369B0"/>
    <w:rsid w:val="00A36CB9"/>
    <w:rsid w:val="00A370B6"/>
    <w:rsid w:val="00A40341"/>
    <w:rsid w:val="00A41CF7"/>
    <w:rsid w:val="00A41D1D"/>
    <w:rsid w:val="00A428C6"/>
    <w:rsid w:val="00A42E78"/>
    <w:rsid w:val="00A430C5"/>
    <w:rsid w:val="00A441F7"/>
    <w:rsid w:val="00A4441F"/>
    <w:rsid w:val="00A45AB1"/>
    <w:rsid w:val="00A45FE4"/>
    <w:rsid w:val="00A4658E"/>
    <w:rsid w:val="00A46D76"/>
    <w:rsid w:val="00A46FFC"/>
    <w:rsid w:val="00A4775E"/>
    <w:rsid w:val="00A51F03"/>
    <w:rsid w:val="00A52BAE"/>
    <w:rsid w:val="00A5346B"/>
    <w:rsid w:val="00A53F5C"/>
    <w:rsid w:val="00A549DE"/>
    <w:rsid w:val="00A54CC3"/>
    <w:rsid w:val="00A55068"/>
    <w:rsid w:val="00A5518A"/>
    <w:rsid w:val="00A5525E"/>
    <w:rsid w:val="00A555ED"/>
    <w:rsid w:val="00A55750"/>
    <w:rsid w:val="00A55DFF"/>
    <w:rsid w:val="00A562C7"/>
    <w:rsid w:val="00A56547"/>
    <w:rsid w:val="00A5660A"/>
    <w:rsid w:val="00A56BD6"/>
    <w:rsid w:val="00A56ED1"/>
    <w:rsid w:val="00A571A7"/>
    <w:rsid w:val="00A57AB4"/>
    <w:rsid w:val="00A60401"/>
    <w:rsid w:val="00A60CE3"/>
    <w:rsid w:val="00A619AE"/>
    <w:rsid w:val="00A61BAD"/>
    <w:rsid w:val="00A61D99"/>
    <w:rsid w:val="00A62FD8"/>
    <w:rsid w:val="00A63211"/>
    <w:rsid w:val="00A637F8"/>
    <w:rsid w:val="00A63900"/>
    <w:rsid w:val="00A6488D"/>
    <w:rsid w:val="00A64C44"/>
    <w:rsid w:val="00A655B8"/>
    <w:rsid w:val="00A65AD3"/>
    <w:rsid w:val="00A6644F"/>
    <w:rsid w:val="00A67B4C"/>
    <w:rsid w:val="00A67BAA"/>
    <w:rsid w:val="00A707B9"/>
    <w:rsid w:val="00A70D80"/>
    <w:rsid w:val="00A7110B"/>
    <w:rsid w:val="00A7175D"/>
    <w:rsid w:val="00A717CA"/>
    <w:rsid w:val="00A718A7"/>
    <w:rsid w:val="00A7277F"/>
    <w:rsid w:val="00A743A1"/>
    <w:rsid w:val="00A7540D"/>
    <w:rsid w:val="00A75557"/>
    <w:rsid w:val="00A76094"/>
    <w:rsid w:val="00A76301"/>
    <w:rsid w:val="00A76AB4"/>
    <w:rsid w:val="00A77AE7"/>
    <w:rsid w:val="00A77FA5"/>
    <w:rsid w:val="00A80610"/>
    <w:rsid w:val="00A808C2"/>
    <w:rsid w:val="00A8130E"/>
    <w:rsid w:val="00A81698"/>
    <w:rsid w:val="00A819D8"/>
    <w:rsid w:val="00A819F8"/>
    <w:rsid w:val="00A81B07"/>
    <w:rsid w:val="00A81C22"/>
    <w:rsid w:val="00A826DA"/>
    <w:rsid w:val="00A82982"/>
    <w:rsid w:val="00A8307C"/>
    <w:rsid w:val="00A830CC"/>
    <w:rsid w:val="00A835F5"/>
    <w:rsid w:val="00A83CD9"/>
    <w:rsid w:val="00A83FAC"/>
    <w:rsid w:val="00A842CE"/>
    <w:rsid w:val="00A84A46"/>
    <w:rsid w:val="00A84E27"/>
    <w:rsid w:val="00A858ED"/>
    <w:rsid w:val="00A85982"/>
    <w:rsid w:val="00A860F2"/>
    <w:rsid w:val="00A86CB3"/>
    <w:rsid w:val="00A86EFA"/>
    <w:rsid w:val="00A8731B"/>
    <w:rsid w:val="00A87984"/>
    <w:rsid w:val="00A87FC2"/>
    <w:rsid w:val="00A9036E"/>
    <w:rsid w:val="00A90733"/>
    <w:rsid w:val="00A918E2"/>
    <w:rsid w:val="00A924E0"/>
    <w:rsid w:val="00A930FB"/>
    <w:rsid w:val="00A93A4E"/>
    <w:rsid w:val="00A93C28"/>
    <w:rsid w:val="00A94384"/>
    <w:rsid w:val="00A94DD4"/>
    <w:rsid w:val="00A95311"/>
    <w:rsid w:val="00A965B0"/>
    <w:rsid w:val="00A966C3"/>
    <w:rsid w:val="00A97238"/>
    <w:rsid w:val="00A97AEA"/>
    <w:rsid w:val="00A97E6F"/>
    <w:rsid w:val="00A97EBE"/>
    <w:rsid w:val="00AA0BC1"/>
    <w:rsid w:val="00AA2341"/>
    <w:rsid w:val="00AA2418"/>
    <w:rsid w:val="00AA28EF"/>
    <w:rsid w:val="00AA2B44"/>
    <w:rsid w:val="00AA4ADA"/>
    <w:rsid w:val="00AA6999"/>
    <w:rsid w:val="00AA7B23"/>
    <w:rsid w:val="00AA7F8A"/>
    <w:rsid w:val="00AB0846"/>
    <w:rsid w:val="00AB17BE"/>
    <w:rsid w:val="00AB24BB"/>
    <w:rsid w:val="00AB2927"/>
    <w:rsid w:val="00AB2D68"/>
    <w:rsid w:val="00AB3B95"/>
    <w:rsid w:val="00AB3F03"/>
    <w:rsid w:val="00AB52AE"/>
    <w:rsid w:val="00AB5A88"/>
    <w:rsid w:val="00AB5DAC"/>
    <w:rsid w:val="00AB63FC"/>
    <w:rsid w:val="00AB645B"/>
    <w:rsid w:val="00AB7535"/>
    <w:rsid w:val="00AC018D"/>
    <w:rsid w:val="00AC06BA"/>
    <w:rsid w:val="00AC2A7D"/>
    <w:rsid w:val="00AC37DC"/>
    <w:rsid w:val="00AC3D72"/>
    <w:rsid w:val="00AC45D8"/>
    <w:rsid w:val="00AC47A0"/>
    <w:rsid w:val="00AC4E16"/>
    <w:rsid w:val="00AC53E0"/>
    <w:rsid w:val="00AC5827"/>
    <w:rsid w:val="00AC61E4"/>
    <w:rsid w:val="00AC61F4"/>
    <w:rsid w:val="00AC6863"/>
    <w:rsid w:val="00AC7014"/>
    <w:rsid w:val="00AC73D5"/>
    <w:rsid w:val="00AC7B61"/>
    <w:rsid w:val="00AC7ECA"/>
    <w:rsid w:val="00AD02A7"/>
    <w:rsid w:val="00AD0415"/>
    <w:rsid w:val="00AD07F4"/>
    <w:rsid w:val="00AD0CFD"/>
    <w:rsid w:val="00AD0F53"/>
    <w:rsid w:val="00AD16F0"/>
    <w:rsid w:val="00AD1F92"/>
    <w:rsid w:val="00AD20B3"/>
    <w:rsid w:val="00AD2A35"/>
    <w:rsid w:val="00AD3913"/>
    <w:rsid w:val="00AD42B5"/>
    <w:rsid w:val="00AD478A"/>
    <w:rsid w:val="00AD4AA3"/>
    <w:rsid w:val="00AD55FE"/>
    <w:rsid w:val="00AD5827"/>
    <w:rsid w:val="00AD63B5"/>
    <w:rsid w:val="00AD7FB4"/>
    <w:rsid w:val="00AE07B2"/>
    <w:rsid w:val="00AE09CA"/>
    <w:rsid w:val="00AE1B09"/>
    <w:rsid w:val="00AE3AD6"/>
    <w:rsid w:val="00AE573B"/>
    <w:rsid w:val="00AE63A7"/>
    <w:rsid w:val="00AE650A"/>
    <w:rsid w:val="00AE6FB1"/>
    <w:rsid w:val="00AE6FD0"/>
    <w:rsid w:val="00AE74E1"/>
    <w:rsid w:val="00AE7AEF"/>
    <w:rsid w:val="00AF0678"/>
    <w:rsid w:val="00AF10EE"/>
    <w:rsid w:val="00AF12B9"/>
    <w:rsid w:val="00AF183D"/>
    <w:rsid w:val="00AF1E50"/>
    <w:rsid w:val="00AF26BF"/>
    <w:rsid w:val="00AF3A22"/>
    <w:rsid w:val="00AF446A"/>
    <w:rsid w:val="00AF5DF3"/>
    <w:rsid w:val="00AF5E71"/>
    <w:rsid w:val="00AF6A35"/>
    <w:rsid w:val="00AF7365"/>
    <w:rsid w:val="00AF768D"/>
    <w:rsid w:val="00AF7A4A"/>
    <w:rsid w:val="00B00001"/>
    <w:rsid w:val="00B000F1"/>
    <w:rsid w:val="00B005F8"/>
    <w:rsid w:val="00B023D9"/>
    <w:rsid w:val="00B02DEF"/>
    <w:rsid w:val="00B0331C"/>
    <w:rsid w:val="00B033FE"/>
    <w:rsid w:val="00B035AD"/>
    <w:rsid w:val="00B038E6"/>
    <w:rsid w:val="00B03C46"/>
    <w:rsid w:val="00B060CA"/>
    <w:rsid w:val="00B0690F"/>
    <w:rsid w:val="00B07EDB"/>
    <w:rsid w:val="00B10179"/>
    <w:rsid w:val="00B1036F"/>
    <w:rsid w:val="00B10A57"/>
    <w:rsid w:val="00B10D92"/>
    <w:rsid w:val="00B10E58"/>
    <w:rsid w:val="00B10F2C"/>
    <w:rsid w:val="00B110C8"/>
    <w:rsid w:val="00B112CC"/>
    <w:rsid w:val="00B11B37"/>
    <w:rsid w:val="00B12EE9"/>
    <w:rsid w:val="00B1343F"/>
    <w:rsid w:val="00B135D9"/>
    <w:rsid w:val="00B14AAD"/>
    <w:rsid w:val="00B16969"/>
    <w:rsid w:val="00B20B74"/>
    <w:rsid w:val="00B20B78"/>
    <w:rsid w:val="00B20D20"/>
    <w:rsid w:val="00B21507"/>
    <w:rsid w:val="00B21E23"/>
    <w:rsid w:val="00B22C1A"/>
    <w:rsid w:val="00B22D0F"/>
    <w:rsid w:val="00B23571"/>
    <w:rsid w:val="00B23610"/>
    <w:rsid w:val="00B24ED0"/>
    <w:rsid w:val="00B25100"/>
    <w:rsid w:val="00B2538F"/>
    <w:rsid w:val="00B253C0"/>
    <w:rsid w:val="00B25766"/>
    <w:rsid w:val="00B26061"/>
    <w:rsid w:val="00B26151"/>
    <w:rsid w:val="00B2673A"/>
    <w:rsid w:val="00B26C4B"/>
    <w:rsid w:val="00B27161"/>
    <w:rsid w:val="00B2744F"/>
    <w:rsid w:val="00B2797D"/>
    <w:rsid w:val="00B27DAD"/>
    <w:rsid w:val="00B30053"/>
    <w:rsid w:val="00B303BB"/>
    <w:rsid w:val="00B30A1C"/>
    <w:rsid w:val="00B30F4A"/>
    <w:rsid w:val="00B31788"/>
    <w:rsid w:val="00B32546"/>
    <w:rsid w:val="00B326A7"/>
    <w:rsid w:val="00B335ED"/>
    <w:rsid w:val="00B345CE"/>
    <w:rsid w:val="00B3460E"/>
    <w:rsid w:val="00B36166"/>
    <w:rsid w:val="00B3640B"/>
    <w:rsid w:val="00B37C6D"/>
    <w:rsid w:val="00B37CE3"/>
    <w:rsid w:val="00B408C4"/>
    <w:rsid w:val="00B40913"/>
    <w:rsid w:val="00B40BA0"/>
    <w:rsid w:val="00B41213"/>
    <w:rsid w:val="00B414C0"/>
    <w:rsid w:val="00B42C07"/>
    <w:rsid w:val="00B42ECE"/>
    <w:rsid w:val="00B430DB"/>
    <w:rsid w:val="00B4356E"/>
    <w:rsid w:val="00B43C40"/>
    <w:rsid w:val="00B43CBC"/>
    <w:rsid w:val="00B45AE3"/>
    <w:rsid w:val="00B45C9B"/>
    <w:rsid w:val="00B45D8C"/>
    <w:rsid w:val="00B46452"/>
    <w:rsid w:val="00B4666A"/>
    <w:rsid w:val="00B4694A"/>
    <w:rsid w:val="00B47CD5"/>
    <w:rsid w:val="00B47D58"/>
    <w:rsid w:val="00B5060B"/>
    <w:rsid w:val="00B51DAE"/>
    <w:rsid w:val="00B52297"/>
    <w:rsid w:val="00B522E3"/>
    <w:rsid w:val="00B52DBC"/>
    <w:rsid w:val="00B531C9"/>
    <w:rsid w:val="00B53681"/>
    <w:rsid w:val="00B54629"/>
    <w:rsid w:val="00B55687"/>
    <w:rsid w:val="00B558EB"/>
    <w:rsid w:val="00B55DFD"/>
    <w:rsid w:val="00B55E31"/>
    <w:rsid w:val="00B568B4"/>
    <w:rsid w:val="00B56A75"/>
    <w:rsid w:val="00B57915"/>
    <w:rsid w:val="00B57F44"/>
    <w:rsid w:val="00B60D6C"/>
    <w:rsid w:val="00B62575"/>
    <w:rsid w:val="00B62892"/>
    <w:rsid w:val="00B62936"/>
    <w:rsid w:val="00B63278"/>
    <w:rsid w:val="00B633AD"/>
    <w:rsid w:val="00B644BF"/>
    <w:rsid w:val="00B644E2"/>
    <w:rsid w:val="00B6495C"/>
    <w:rsid w:val="00B64AFC"/>
    <w:rsid w:val="00B66110"/>
    <w:rsid w:val="00B666F8"/>
    <w:rsid w:val="00B66E54"/>
    <w:rsid w:val="00B67033"/>
    <w:rsid w:val="00B6730C"/>
    <w:rsid w:val="00B70099"/>
    <w:rsid w:val="00B70937"/>
    <w:rsid w:val="00B70B7F"/>
    <w:rsid w:val="00B7129E"/>
    <w:rsid w:val="00B7189D"/>
    <w:rsid w:val="00B718C4"/>
    <w:rsid w:val="00B72BDA"/>
    <w:rsid w:val="00B73E3B"/>
    <w:rsid w:val="00B744C3"/>
    <w:rsid w:val="00B7465D"/>
    <w:rsid w:val="00B74C42"/>
    <w:rsid w:val="00B74D9B"/>
    <w:rsid w:val="00B75066"/>
    <w:rsid w:val="00B765F7"/>
    <w:rsid w:val="00B76D36"/>
    <w:rsid w:val="00B76D70"/>
    <w:rsid w:val="00B7727F"/>
    <w:rsid w:val="00B774F7"/>
    <w:rsid w:val="00B80225"/>
    <w:rsid w:val="00B808CB"/>
    <w:rsid w:val="00B81875"/>
    <w:rsid w:val="00B81D2B"/>
    <w:rsid w:val="00B81DD1"/>
    <w:rsid w:val="00B81FD0"/>
    <w:rsid w:val="00B830FA"/>
    <w:rsid w:val="00B83358"/>
    <w:rsid w:val="00B833FF"/>
    <w:rsid w:val="00B84213"/>
    <w:rsid w:val="00B84326"/>
    <w:rsid w:val="00B84355"/>
    <w:rsid w:val="00B84737"/>
    <w:rsid w:val="00B85427"/>
    <w:rsid w:val="00B855C5"/>
    <w:rsid w:val="00B85CB2"/>
    <w:rsid w:val="00B85FBB"/>
    <w:rsid w:val="00B86572"/>
    <w:rsid w:val="00B865D2"/>
    <w:rsid w:val="00B86AC0"/>
    <w:rsid w:val="00B86EE7"/>
    <w:rsid w:val="00B87037"/>
    <w:rsid w:val="00B8737E"/>
    <w:rsid w:val="00B873E4"/>
    <w:rsid w:val="00B875BF"/>
    <w:rsid w:val="00B87A2D"/>
    <w:rsid w:val="00B87BC3"/>
    <w:rsid w:val="00B904ED"/>
    <w:rsid w:val="00B90B65"/>
    <w:rsid w:val="00B90D32"/>
    <w:rsid w:val="00B92403"/>
    <w:rsid w:val="00B928BD"/>
    <w:rsid w:val="00B9448E"/>
    <w:rsid w:val="00B94580"/>
    <w:rsid w:val="00B952F7"/>
    <w:rsid w:val="00B958A2"/>
    <w:rsid w:val="00B96F8A"/>
    <w:rsid w:val="00B97F55"/>
    <w:rsid w:val="00BA006C"/>
    <w:rsid w:val="00BA0260"/>
    <w:rsid w:val="00BA2AE9"/>
    <w:rsid w:val="00BA2B41"/>
    <w:rsid w:val="00BA43B6"/>
    <w:rsid w:val="00BA492D"/>
    <w:rsid w:val="00BA4B2B"/>
    <w:rsid w:val="00BA51E0"/>
    <w:rsid w:val="00BA51E4"/>
    <w:rsid w:val="00BA5CA1"/>
    <w:rsid w:val="00BA6C64"/>
    <w:rsid w:val="00BA76D8"/>
    <w:rsid w:val="00BA7B83"/>
    <w:rsid w:val="00BA7F04"/>
    <w:rsid w:val="00BB01B0"/>
    <w:rsid w:val="00BB0274"/>
    <w:rsid w:val="00BB0999"/>
    <w:rsid w:val="00BB0A69"/>
    <w:rsid w:val="00BB112E"/>
    <w:rsid w:val="00BB255F"/>
    <w:rsid w:val="00BB2645"/>
    <w:rsid w:val="00BB2AF3"/>
    <w:rsid w:val="00BB2FAA"/>
    <w:rsid w:val="00BB3110"/>
    <w:rsid w:val="00BB344D"/>
    <w:rsid w:val="00BB35BC"/>
    <w:rsid w:val="00BB369F"/>
    <w:rsid w:val="00BB3A0A"/>
    <w:rsid w:val="00BB3C5C"/>
    <w:rsid w:val="00BB479E"/>
    <w:rsid w:val="00BB5F8F"/>
    <w:rsid w:val="00BB6119"/>
    <w:rsid w:val="00BB6222"/>
    <w:rsid w:val="00BB675D"/>
    <w:rsid w:val="00BB67FB"/>
    <w:rsid w:val="00BB753B"/>
    <w:rsid w:val="00BC09CF"/>
    <w:rsid w:val="00BC23E9"/>
    <w:rsid w:val="00BC269A"/>
    <w:rsid w:val="00BC2CF3"/>
    <w:rsid w:val="00BC33B9"/>
    <w:rsid w:val="00BC38D4"/>
    <w:rsid w:val="00BC4A6B"/>
    <w:rsid w:val="00BC6183"/>
    <w:rsid w:val="00BC65C8"/>
    <w:rsid w:val="00BC753A"/>
    <w:rsid w:val="00BC77C3"/>
    <w:rsid w:val="00BC7C95"/>
    <w:rsid w:val="00BD00E3"/>
    <w:rsid w:val="00BD0432"/>
    <w:rsid w:val="00BD1207"/>
    <w:rsid w:val="00BD2A5D"/>
    <w:rsid w:val="00BD2FAD"/>
    <w:rsid w:val="00BD31C2"/>
    <w:rsid w:val="00BD4173"/>
    <w:rsid w:val="00BD45A5"/>
    <w:rsid w:val="00BD4969"/>
    <w:rsid w:val="00BD4D50"/>
    <w:rsid w:val="00BD526E"/>
    <w:rsid w:val="00BD52AE"/>
    <w:rsid w:val="00BD5960"/>
    <w:rsid w:val="00BD5B0C"/>
    <w:rsid w:val="00BD5C10"/>
    <w:rsid w:val="00BD5EBE"/>
    <w:rsid w:val="00BD6AC0"/>
    <w:rsid w:val="00BD748A"/>
    <w:rsid w:val="00BE1641"/>
    <w:rsid w:val="00BE178F"/>
    <w:rsid w:val="00BE1984"/>
    <w:rsid w:val="00BE2B26"/>
    <w:rsid w:val="00BE2F40"/>
    <w:rsid w:val="00BE38AE"/>
    <w:rsid w:val="00BE398A"/>
    <w:rsid w:val="00BE3FA1"/>
    <w:rsid w:val="00BE40A4"/>
    <w:rsid w:val="00BE4175"/>
    <w:rsid w:val="00BE48E7"/>
    <w:rsid w:val="00BE4B2F"/>
    <w:rsid w:val="00BE5392"/>
    <w:rsid w:val="00BE54BE"/>
    <w:rsid w:val="00BE66C7"/>
    <w:rsid w:val="00BE6EED"/>
    <w:rsid w:val="00BE740E"/>
    <w:rsid w:val="00BF0554"/>
    <w:rsid w:val="00BF119C"/>
    <w:rsid w:val="00BF1C6C"/>
    <w:rsid w:val="00BF20EC"/>
    <w:rsid w:val="00BF2601"/>
    <w:rsid w:val="00BF2CF1"/>
    <w:rsid w:val="00BF2F13"/>
    <w:rsid w:val="00BF364E"/>
    <w:rsid w:val="00BF3F35"/>
    <w:rsid w:val="00BF4553"/>
    <w:rsid w:val="00BF4F96"/>
    <w:rsid w:val="00BF6254"/>
    <w:rsid w:val="00BF62B3"/>
    <w:rsid w:val="00BF6522"/>
    <w:rsid w:val="00BF6836"/>
    <w:rsid w:val="00BF6A17"/>
    <w:rsid w:val="00BF7101"/>
    <w:rsid w:val="00BF7530"/>
    <w:rsid w:val="00BF7EFF"/>
    <w:rsid w:val="00C00BC2"/>
    <w:rsid w:val="00C014D7"/>
    <w:rsid w:val="00C01500"/>
    <w:rsid w:val="00C01641"/>
    <w:rsid w:val="00C01BA7"/>
    <w:rsid w:val="00C028FD"/>
    <w:rsid w:val="00C02F99"/>
    <w:rsid w:val="00C04340"/>
    <w:rsid w:val="00C04B36"/>
    <w:rsid w:val="00C06751"/>
    <w:rsid w:val="00C06B29"/>
    <w:rsid w:val="00C06FEE"/>
    <w:rsid w:val="00C070E2"/>
    <w:rsid w:val="00C07105"/>
    <w:rsid w:val="00C0747F"/>
    <w:rsid w:val="00C0757C"/>
    <w:rsid w:val="00C07EEA"/>
    <w:rsid w:val="00C1083D"/>
    <w:rsid w:val="00C11342"/>
    <w:rsid w:val="00C1191B"/>
    <w:rsid w:val="00C11C15"/>
    <w:rsid w:val="00C1240F"/>
    <w:rsid w:val="00C126AD"/>
    <w:rsid w:val="00C128DC"/>
    <w:rsid w:val="00C12E4B"/>
    <w:rsid w:val="00C13DE0"/>
    <w:rsid w:val="00C14E93"/>
    <w:rsid w:val="00C15B17"/>
    <w:rsid w:val="00C15E50"/>
    <w:rsid w:val="00C1642B"/>
    <w:rsid w:val="00C176AC"/>
    <w:rsid w:val="00C17E1A"/>
    <w:rsid w:val="00C17E67"/>
    <w:rsid w:val="00C205CF"/>
    <w:rsid w:val="00C212BE"/>
    <w:rsid w:val="00C2146D"/>
    <w:rsid w:val="00C21BF2"/>
    <w:rsid w:val="00C21C23"/>
    <w:rsid w:val="00C21E8F"/>
    <w:rsid w:val="00C22457"/>
    <w:rsid w:val="00C224E3"/>
    <w:rsid w:val="00C22627"/>
    <w:rsid w:val="00C22964"/>
    <w:rsid w:val="00C22B1A"/>
    <w:rsid w:val="00C22DFF"/>
    <w:rsid w:val="00C2318C"/>
    <w:rsid w:val="00C23B15"/>
    <w:rsid w:val="00C2507A"/>
    <w:rsid w:val="00C2517C"/>
    <w:rsid w:val="00C25A23"/>
    <w:rsid w:val="00C25CF4"/>
    <w:rsid w:val="00C2631E"/>
    <w:rsid w:val="00C272D0"/>
    <w:rsid w:val="00C27997"/>
    <w:rsid w:val="00C30549"/>
    <w:rsid w:val="00C31442"/>
    <w:rsid w:val="00C31922"/>
    <w:rsid w:val="00C31B25"/>
    <w:rsid w:val="00C321F1"/>
    <w:rsid w:val="00C323C3"/>
    <w:rsid w:val="00C32DA1"/>
    <w:rsid w:val="00C3380F"/>
    <w:rsid w:val="00C343F1"/>
    <w:rsid w:val="00C36892"/>
    <w:rsid w:val="00C36D81"/>
    <w:rsid w:val="00C40A7C"/>
    <w:rsid w:val="00C410EA"/>
    <w:rsid w:val="00C416EE"/>
    <w:rsid w:val="00C41964"/>
    <w:rsid w:val="00C41A09"/>
    <w:rsid w:val="00C4246F"/>
    <w:rsid w:val="00C4251C"/>
    <w:rsid w:val="00C431EB"/>
    <w:rsid w:val="00C43842"/>
    <w:rsid w:val="00C438A1"/>
    <w:rsid w:val="00C43DA4"/>
    <w:rsid w:val="00C448E0"/>
    <w:rsid w:val="00C448EA"/>
    <w:rsid w:val="00C459D5"/>
    <w:rsid w:val="00C46107"/>
    <w:rsid w:val="00C47325"/>
    <w:rsid w:val="00C474D2"/>
    <w:rsid w:val="00C4769E"/>
    <w:rsid w:val="00C47D37"/>
    <w:rsid w:val="00C47E4C"/>
    <w:rsid w:val="00C51909"/>
    <w:rsid w:val="00C5286B"/>
    <w:rsid w:val="00C52C99"/>
    <w:rsid w:val="00C52E36"/>
    <w:rsid w:val="00C53366"/>
    <w:rsid w:val="00C53A81"/>
    <w:rsid w:val="00C54E2B"/>
    <w:rsid w:val="00C550FF"/>
    <w:rsid w:val="00C56088"/>
    <w:rsid w:val="00C56154"/>
    <w:rsid w:val="00C564B7"/>
    <w:rsid w:val="00C56B96"/>
    <w:rsid w:val="00C56D15"/>
    <w:rsid w:val="00C57C52"/>
    <w:rsid w:val="00C6013F"/>
    <w:rsid w:val="00C6076E"/>
    <w:rsid w:val="00C60B7D"/>
    <w:rsid w:val="00C60D55"/>
    <w:rsid w:val="00C610AA"/>
    <w:rsid w:val="00C6110C"/>
    <w:rsid w:val="00C6155A"/>
    <w:rsid w:val="00C61732"/>
    <w:rsid w:val="00C622AC"/>
    <w:rsid w:val="00C62B15"/>
    <w:rsid w:val="00C62EE8"/>
    <w:rsid w:val="00C641A5"/>
    <w:rsid w:val="00C647FD"/>
    <w:rsid w:val="00C649E2"/>
    <w:rsid w:val="00C6510F"/>
    <w:rsid w:val="00C65E74"/>
    <w:rsid w:val="00C67227"/>
    <w:rsid w:val="00C70294"/>
    <w:rsid w:val="00C70764"/>
    <w:rsid w:val="00C70B23"/>
    <w:rsid w:val="00C716F9"/>
    <w:rsid w:val="00C72510"/>
    <w:rsid w:val="00C73112"/>
    <w:rsid w:val="00C733A1"/>
    <w:rsid w:val="00C7411D"/>
    <w:rsid w:val="00C741A1"/>
    <w:rsid w:val="00C74647"/>
    <w:rsid w:val="00C74BF1"/>
    <w:rsid w:val="00C7599F"/>
    <w:rsid w:val="00C76004"/>
    <w:rsid w:val="00C76A1C"/>
    <w:rsid w:val="00C77CFC"/>
    <w:rsid w:val="00C81405"/>
    <w:rsid w:val="00C814FD"/>
    <w:rsid w:val="00C8253C"/>
    <w:rsid w:val="00C8260B"/>
    <w:rsid w:val="00C828C6"/>
    <w:rsid w:val="00C83380"/>
    <w:rsid w:val="00C8388D"/>
    <w:rsid w:val="00C83E31"/>
    <w:rsid w:val="00C847A8"/>
    <w:rsid w:val="00C8490F"/>
    <w:rsid w:val="00C84CBD"/>
    <w:rsid w:val="00C84F4E"/>
    <w:rsid w:val="00C853A4"/>
    <w:rsid w:val="00C8620B"/>
    <w:rsid w:val="00C869BD"/>
    <w:rsid w:val="00C86D3D"/>
    <w:rsid w:val="00C878F2"/>
    <w:rsid w:val="00C87BCD"/>
    <w:rsid w:val="00C87DC8"/>
    <w:rsid w:val="00C900D2"/>
    <w:rsid w:val="00C909DD"/>
    <w:rsid w:val="00C915CF"/>
    <w:rsid w:val="00C9181C"/>
    <w:rsid w:val="00C91B56"/>
    <w:rsid w:val="00C9270F"/>
    <w:rsid w:val="00C9277A"/>
    <w:rsid w:val="00C93DB0"/>
    <w:rsid w:val="00C93EDB"/>
    <w:rsid w:val="00C945A5"/>
    <w:rsid w:val="00C94729"/>
    <w:rsid w:val="00C94903"/>
    <w:rsid w:val="00C95C04"/>
    <w:rsid w:val="00C96695"/>
    <w:rsid w:val="00C96A18"/>
    <w:rsid w:val="00C970AA"/>
    <w:rsid w:val="00C975F7"/>
    <w:rsid w:val="00C9768C"/>
    <w:rsid w:val="00C9792C"/>
    <w:rsid w:val="00C97EC1"/>
    <w:rsid w:val="00CA027E"/>
    <w:rsid w:val="00CA0792"/>
    <w:rsid w:val="00CA0A9B"/>
    <w:rsid w:val="00CA288F"/>
    <w:rsid w:val="00CA312B"/>
    <w:rsid w:val="00CA3E14"/>
    <w:rsid w:val="00CA41B6"/>
    <w:rsid w:val="00CA4204"/>
    <w:rsid w:val="00CA4500"/>
    <w:rsid w:val="00CA4664"/>
    <w:rsid w:val="00CA4D09"/>
    <w:rsid w:val="00CA4FC5"/>
    <w:rsid w:val="00CA59AC"/>
    <w:rsid w:val="00CA6014"/>
    <w:rsid w:val="00CA67C3"/>
    <w:rsid w:val="00CA6D61"/>
    <w:rsid w:val="00CA6DEB"/>
    <w:rsid w:val="00CA7538"/>
    <w:rsid w:val="00CA76D8"/>
    <w:rsid w:val="00CA7814"/>
    <w:rsid w:val="00CB0B2B"/>
    <w:rsid w:val="00CB0E57"/>
    <w:rsid w:val="00CB10C4"/>
    <w:rsid w:val="00CB1A3F"/>
    <w:rsid w:val="00CB1D3D"/>
    <w:rsid w:val="00CB1F28"/>
    <w:rsid w:val="00CB2648"/>
    <w:rsid w:val="00CB2CCC"/>
    <w:rsid w:val="00CB30BF"/>
    <w:rsid w:val="00CB31EC"/>
    <w:rsid w:val="00CB32B9"/>
    <w:rsid w:val="00CB424D"/>
    <w:rsid w:val="00CB47E2"/>
    <w:rsid w:val="00CB523A"/>
    <w:rsid w:val="00CB5282"/>
    <w:rsid w:val="00CB55A2"/>
    <w:rsid w:val="00CB5714"/>
    <w:rsid w:val="00CB5939"/>
    <w:rsid w:val="00CB5ADD"/>
    <w:rsid w:val="00CB5F01"/>
    <w:rsid w:val="00CB64BE"/>
    <w:rsid w:val="00CB7047"/>
    <w:rsid w:val="00CB76DE"/>
    <w:rsid w:val="00CB77DD"/>
    <w:rsid w:val="00CC060A"/>
    <w:rsid w:val="00CC124D"/>
    <w:rsid w:val="00CC133B"/>
    <w:rsid w:val="00CC1406"/>
    <w:rsid w:val="00CC1CEB"/>
    <w:rsid w:val="00CC3949"/>
    <w:rsid w:val="00CC4F35"/>
    <w:rsid w:val="00CC505A"/>
    <w:rsid w:val="00CC53B6"/>
    <w:rsid w:val="00CC5A0F"/>
    <w:rsid w:val="00CC7131"/>
    <w:rsid w:val="00CC7E8F"/>
    <w:rsid w:val="00CD0EE6"/>
    <w:rsid w:val="00CD1153"/>
    <w:rsid w:val="00CD11CE"/>
    <w:rsid w:val="00CD1462"/>
    <w:rsid w:val="00CD15B7"/>
    <w:rsid w:val="00CD2520"/>
    <w:rsid w:val="00CD27EC"/>
    <w:rsid w:val="00CD37C4"/>
    <w:rsid w:val="00CD3B84"/>
    <w:rsid w:val="00CD4290"/>
    <w:rsid w:val="00CD4863"/>
    <w:rsid w:val="00CD5082"/>
    <w:rsid w:val="00CD669D"/>
    <w:rsid w:val="00CD68F7"/>
    <w:rsid w:val="00CD6EE3"/>
    <w:rsid w:val="00CD6FC4"/>
    <w:rsid w:val="00CD738B"/>
    <w:rsid w:val="00CE0617"/>
    <w:rsid w:val="00CE10EF"/>
    <w:rsid w:val="00CE311C"/>
    <w:rsid w:val="00CE5EB0"/>
    <w:rsid w:val="00CE5F78"/>
    <w:rsid w:val="00CE6404"/>
    <w:rsid w:val="00CE64FB"/>
    <w:rsid w:val="00CE65F6"/>
    <w:rsid w:val="00CF02EE"/>
    <w:rsid w:val="00CF0444"/>
    <w:rsid w:val="00CF0525"/>
    <w:rsid w:val="00CF0A57"/>
    <w:rsid w:val="00CF0B03"/>
    <w:rsid w:val="00CF0C1C"/>
    <w:rsid w:val="00CF0FFF"/>
    <w:rsid w:val="00CF179A"/>
    <w:rsid w:val="00CF2B2A"/>
    <w:rsid w:val="00CF2FC8"/>
    <w:rsid w:val="00CF33B0"/>
    <w:rsid w:val="00CF4E42"/>
    <w:rsid w:val="00CF4F28"/>
    <w:rsid w:val="00CF5580"/>
    <w:rsid w:val="00CF55EE"/>
    <w:rsid w:val="00CF6D10"/>
    <w:rsid w:val="00CF746A"/>
    <w:rsid w:val="00CF7581"/>
    <w:rsid w:val="00CF7A77"/>
    <w:rsid w:val="00CF7ABD"/>
    <w:rsid w:val="00D004C2"/>
    <w:rsid w:val="00D00EBA"/>
    <w:rsid w:val="00D01086"/>
    <w:rsid w:val="00D010BA"/>
    <w:rsid w:val="00D013C6"/>
    <w:rsid w:val="00D0160B"/>
    <w:rsid w:val="00D03377"/>
    <w:rsid w:val="00D03501"/>
    <w:rsid w:val="00D03DF5"/>
    <w:rsid w:val="00D056E5"/>
    <w:rsid w:val="00D059FF"/>
    <w:rsid w:val="00D061C5"/>
    <w:rsid w:val="00D0654B"/>
    <w:rsid w:val="00D0695F"/>
    <w:rsid w:val="00D06A14"/>
    <w:rsid w:val="00D072DD"/>
    <w:rsid w:val="00D07EDC"/>
    <w:rsid w:val="00D10322"/>
    <w:rsid w:val="00D110AB"/>
    <w:rsid w:val="00D113F0"/>
    <w:rsid w:val="00D11D2D"/>
    <w:rsid w:val="00D12232"/>
    <w:rsid w:val="00D12394"/>
    <w:rsid w:val="00D12A1A"/>
    <w:rsid w:val="00D13862"/>
    <w:rsid w:val="00D13DFF"/>
    <w:rsid w:val="00D147F9"/>
    <w:rsid w:val="00D14A9D"/>
    <w:rsid w:val="00D14BC4"/>
    <w:rsid w:val="00D14FCD"/>
    <w:rsid w:val="00D150C2"/>
    <w:rsid w:val="00D153C6"/>
    <w:rsid w:val="00D154E4"/>
    <w:rsid w:val="00D15645"/>
    <w:rsid w:val="00D15C1C"/>
    <w:rsid w:val="00D15E5F"/>
    <w:rsid w:val="00D16121"/>
    <w:rsid w:val="00D167DA"/>
    <w:rsid w:val="00D16BCE"/>
    <w:rsid w:val="00D201AF"/>
    <w:rsid w:val="00D20579"/>
    <w:rsid w:val="00D21684"/>
    <w:rsid w:val="00D2351F"/>
    <w:rsid w:val="00D235C2"/>
    <w:rsid w:val="00D23E1A"/>
    <w:rsid w:val="00D240E4"/>
    <w:rsid w:val="00D257B3"/>
    <w:rsid w:val="00D257F0"/>
    <w:rsid w:val="00D2639B"/>
    <w:rsid w:val="00D26C6E"/>
    <w:rsid w:val="00D2748F"/>
    <w:rsid w:val="00D27B34"/>
    <w:rsid w:val="00D3058F"/>
    <w:rsid w:val="00D30CB7"/>
    <w:rsid w:val="00D315F5"/>
    <w:rsid w:val="00D3187C"/>
    <w:rsid w:val="00D32B10"/>
    <w:rsid w:val="00D32B59"/>
    <w:rsid w:val="00D33154"/>
    <w:rsid w:val="00D33732"/>
    <w:rsid w:val="00D337FB"/>
    <w:rsid w:val="00D341A6"/>
    <w:rsid w:val="00D346BA"/>
    <w:rsid w:val="00D34E2F"/>
    <w:rsid w:val="00D35353"/>
    <w:rsid w:val="00D356AD"/>
    <w:rsid w:val="00D35951"/>
    <w:rsid w:val="00D35A98"/>
    <w:rsid w:val="00D35B70"/>
    <w:rsid w:val="00D36284"/>
    <w:rsid w:val="00D363B5"/>
    <w:rsid w:val="00D4013B"/>
    <w:rsid w:val="00D4044C"/>
    <w:rsid w:val="00D4057E"/>
    <w:rsid w:val="00D407E7"/>
    <w:rsid w:val="00D41021"/>
    <w:rsid w:val="00D41237"/>
    <w:rsid w:val="00D42231"/>
    <w:rsid w:val="00D422FA"/>
    <w:rsid w:val="00D42C99"/>
    <w:rsid w:val="00D42CA9"/>
    <w:rsid w:val="00D42E79"/>
    <w:rsid w:val="00D4330B"/>
    <w:rsid w:val="00D44D0C"/>
    <w:rsid w:val="00D44E9B"/>
    <w:rsid w:val="00D46011"/>
    <w:rsid w:val="00D46720"/>
    <w:rsid w:val="00D46BB0"/>
    <w:rsid w:val="00D470B0"/>
    <w:rsid w:val="00D47EC9"/>
    <w:rsid w:val="00D50DC5"/>
    <w:rsid w:val="00D51729"/>
    <w:rsid w:val="00D51A8A"/>
    <w:rsid w:val="00D51F39"/>
    <w:rsid w:val="00D52396"/>
    <w:rsid w:val="00D529A8"/>
    <w:rsid w:val="00D52D3E"/>
    <w:rsid w:val="00D52FE5"/>
    <w:rsid w:val="00D53373"/>
    <w:rsid w:val="00D53844"/>
    <w:rsid w:val="00D55777"/>
    <w:rsid w:val="00D55F62"/>
    <w:rsid w:val="00D564A1"/>
    <w:rsid w:val="00D56650"/>
    <w:rsid w:val="00D56C5B"/>
    <w:rsid w:val="00D57B99"/>
    <w:rsid w:val="00D609BE"/>
    <w:rsid w:val="00D60C09"/>
    <w:rsid w:val="00D60D96"/>
    <w:rsid w:val="00D6113E"/>
    <w:rsid w:val="00D61F9A"/>
    <w:rsid w:val="00D629A4"/>
    <w:rsid w:val="00D632A5"/>
    <w:rsid w:val="00D6378D"/>
    <w:rsid w:val="00D63ADA"/>
    <w:rsid w:val="00D63C58"/>
    <w:rsid w:val="00D645D3"/>
    <w:rsid w:val="00D65865"/>
    <w:rsid w:val="00D66188"/>
    <w:rsid w:val="00D66471"/>
    <w:rsid w:val="00D66D5D"/>
    <w:rsid w:val="00D66E51"/>
    <w:rsid w:val="00D67303"/>
    <w:rsid w:val="00D673D5"/>
    <w:rsid w:val="00D67589"/>
    <w:rsid w:val="00D67CD2"/>
    <w:rsid w:val="00D7095B"/>
    <w:rsid w:val="00D70C7E"/>
    <w:rsid w:val="00D70CEC"/>
    <w:rsid w:val="00D71224"/>
    <w:rsid w:val="00D71F38"/>
    <w:rsid w:val="00D720A0"/>
    <w:rsid w:val="00D730F0"/>
    <w:rsid w:val="00D73508"/>
    <w:rsid w:val="00D73F17"/>
    <w:rsid w:val="00D74314"/>
    <w:rsid w:val="00D7441A"/>
    <w:rsid w:val="00D74A97"/>
    <w:rsid w:val="00D74DE6"/>
    <w:rsid w:val="00D75122"/>
    <w:rsid w:val="00D75B45"/>
    <w:rsid w:val="00D75B9F"/>
    <w:rsid w:val="00D76C27"/>
    <w:rsid w:val="00D76D1D"/>
    <w:rsid w:val="00D773D5"/>
    <w:rsid w:val="00D77497"/>
    <w:rsid w:val="00D777EC"/>
    <w:rsid w:val="00D779D6"/>
    <w:rsid w:val="00D80473"/>
    <w:rsid w:val="00D80BB8"/>
    <w:rsid w:val="00D8127D"/>
    <w:rsid w:val="00D822E1"/>
    <w:rsid w:val="00D82BB3"/>
    <w:rsid w:val="00D82D22"/>
    <w:rsid w:val="00D83652"/>
    <w:rsid w:val="00D8414E"/>
    <w:rsid w:val="00D84E97"/>
    <w:rsid w:val="00D85C5F"/>
    <w:rsid w:val="00D87219"/>
    <w:rsid w:val="00D874B8"/>
    <w:rsid w:val="00D90053"/>
    <w:rsid w:val="00D9028E"/>
    <w:rsid w:val="00D902E1"/>
    <w:rsid w:val="00D90416"/>
    <w:rsid w:val="00D90D5E"/>
    <w:rsid w:val="00D90D84"/>
    <w:rsid w:val="00D90EB1"/>
    <w:rsid w:val="00D91577"/>
    <w:rsid w:val="00D916FE"/>
    <w:rsid w:val="00D91834"/>
    <w:rsid w:val="00D91873"/>
    <w:rsid w:val="00D92130"/>
    <w:rsid w:val="00D923A6"/>
    <w:rsid w:val="00D9266D"/>
    <w:rsid w:val="00D92EB3"/>
    <w:rsid w:val="00D93675"/>
    <w:rsid w:val="00D938C6"/>
    <w:rsid w:val="00D94C33"/>
    <w:rsid w:val="00D959C0"/>
    <w:rsid w:val="00D95E06"/>
    <w:rsid w:val="00D95F23"/>
    <w:rsid w:val="00D962B7"/>
    <w:rsid w:val="00D9635D"/>
    <w:rsid w:val="00D96388"/>
    <w:rsid w:val="00D96A0C"/>
    <w:rsid w:val="00D97455"/>
    <w:rsid w:val="00D97EDB"/>
    <w:rsid w:val="00D97F0C"/>
    <w:rsid w:val="00DA01F1"/>
    <w:rsid w:val="00DA243D"/>
    <w:rsid w:val="00DA25D7"/>
    <w:rsid w:val="00DA333D"/>
    <w:rsid w:val="00DA4545"/>
    <w:rsid w:val="00DA4DD5"/>
    <w:rsid w:val="00DA6230"/>
    <w:rsid w:val="00DA6612"/>
    <w:rsid w:val="00DA6E19"/>
    <w:rsid w:val="00DA7A0F"/>
    <w:rsid w:val="00DA7B40"/>
    <w:rsid w:val="00DB22A4"/>
    <w:rsid w:val="00DB267C"/>
    <w:rsid w:val="00DB34B1"/>
    <w:rsid w:val="00DB3DA5"/>
    <w:rsid w:val="00DB4083"/>
    <w:rsid w:val="00DB44E1"/>
    <w:rsid w:val="00DB48ED"/>
    <w:rsid w:val="00DB6D0F"/>
    <w:rsid w:val="00DB6F0E"/>
    <w:rsid w:val="00DB7850"/>
    <w:rsid w:val="00DB7C57"/>
    <w:rsid w:val="00DC1577"/>
    <w:rsid w:val="00DC1689"/>
    <w:rsid w:val="00DC2BFB"/>
    <w:rsid w:val="00DC3540"/>
    <w:rsid w:val="00DC37EF"/>
    <w:rsid w:val="00DC4B2C"/>
    <w:rsid w:val="00DC5DD0"/>
    <w:rsid w:val="00DC62C1"/>
    <w:rsid w:val="00DC62C7"/>
    <w:rsid w:val="00DC6C90"/>
    <w:rsid w:val="00DC6C97"/>
    <w:rsid w:val="00DC7EF7"/>
    <w:rsid w:val="00DC7FB0"/>
    <w:rsid w:val="00DD074F"/>
    <w:rsid w:val="00DD1866"/>
    <w:rsid w:val="00DD1B85"/>
    <w:rsid w:val="00DD1D47"/>
    <w:rsid w:val="00DD27A7"/>
    <w:rsid w:val="00DD27FB"/>
    <w:rsid w:val="00DD2F16"/>
    <w:rsid w:val="00DD2FDD"/>
    <w:rsid w:val="00DD3FC2"/>
    <w:rsid w:val="00DD447B"/>
    <w:rsid w:val="00DD5118"/>
    <w:rsid w:val="00DD56D6"/>
    <w:rsid w:val="00DD63DB"/>
    <w:rsid w:val="00DD70B4"/>
    <w:rsid w:val="00DD7717"/>
    <w:rsid w:val="00DD7841"/>
    <w:rsid w:val="00DD798F"/>
    <w:rsid w:val="00DD7FA3"/>
    <w:rsid w:val="00DE0C7D"/>
    <w:rsid w:val="00DE16A2"/>
    <w:rsid w:val="00DE1E87"/>
    <w:rsid w:val="00DE2096"/>
    <w:rsid w:val="00DE2F40"/>
    <w:rsid w:val="00DE308E"/>
    <w:rsid w:val="00DE32E4"/>
    <w:rsid w:val="00DE3BB9"/>
    <w:rsid w:val="00DE4172"/>
    <w:rsid w:val="00DE4795"/>
    <w:rsid w:val="00DE4D69"/>
    <w:rsid w:val="00DE543C"/>
    <w:rsid w:val="00DE5CFB"/>
    <w:rsid w:val="00DE6BC1"/>
    <w:rsid w:val="00DE6C57"/>
    <w:rsid w:val="00DE6F8A"/>
    <w:rsid w:val="00DE73D8"/>
    <w:rsid w:val="00DE7DE0"/>
    <w:rsid w:val="00DE7E57"/>
    <w:rsid w:val="00DE7F00"/>
    <w:rsid w:val="00DF1449"/>
    <w:rsid w:val="00DF231A"/>
    <w:rsid w:val="00DF2761"/>
    <w:rsid w:val="00DF2A96"/>
    <w:rsid w:val="00DF35CE"/>
    <w:rsid w:val="00DF3847"/>
    <w:rsid w:val="00DF3B75"/>
    <w:rsid w:val="00DF456A"/>
    <w:rsid w:val="00DF54EF"/>
    <w:rsid w:val="00DF7499"/>
    <w:rsid w:val="00DF7784"/>
    <w:rsid w:val="00DF7BCA"/>
    <w:rsid w:val="00DF7CF6"/>
    <w:rsid w:val="00E00040"/>
    <w:rsid w:val="00E00313"/>
    <w:rsid w:val="00E00B7E"/>
    <w:rsid w:val="00E00E64"/>
    <w:rsid w:val="00E01081"/>
    <w:rsid w:val="00E01446"/>
    <w:rsid w:val="00E0291D"/>
    <w:rsid w:val="00E02B37"/>
    <w:rsid w:val="00E046F8"/>
    <w:rsid w:val="00E053AC"/>
    <w:rsid w:val="00E10150"/>
    <w:rsid w:val="00E1078E"/>
    <w:rsid w:val="00E11BE2"/>
    <w:rsid w:val="00E11CC8"/>
    <w:rsid w:val="00E120E0"/>
    <w:rsid w:val="00E129E4"/>
    <w:rsid w:val="00E13A71"/>
    <w:rsid w:val="00E14269"/>
    <w:rsid w:val="00E1436B"/>
    <w:rsid w:val="00E14D8C"/>
    <w:rsid w:val="00E170DC"/>
    <w:rsid w:val="00E175A5"/>
    <w:rsid w:val="00E20291"/>
    <w:rsid w:val="00E20704"/>
    <w:rsid w:val="00E211CD"/>
    <w:rsid w:val="00E22A1A"/>
    <w:rsid w:val="00E22F98"/>
    <w:rsid w:val="00E23741"/>
    <w:rsid w:val="00E23988"/>
    <w:rsid w:val="00E24202"/>
    <w:rsid w:val="00E24696"/>
    <w:rsid w:val="00E24B7E"/>
    <w:rsid w:val="00E251BE"/>
    <w:rsid w:val="00E26349"/>
    <w:rsid w:val="00E264A2"/>
    <w:rsid w:val="00E30719"/>
    <w:rsid w:val="00E30E30"/>
    <w:rsid w:val="00E3148B"/>
    <w:rsid w:val="00E32187"/>
    <w:rsid w:val="00E3234E"/>
    <w:rsid w:val="00E3347A"/>
    <w:rsid w:val="00E3359F"/>
    <w:rsid w:val="00E33719"/>
    <w:rsid w:val="00E33998"/>
    <w:rsid w:val="00E3399F"/>
    <w:rsid w:val="00E347A2"/>
    <w:rsid w:val="00E34B6D"/>
    <w:rsid w:val="00E36A35"/>
    <w:rsid w:val="00E37B1F"/>
    <w:rsid w:val="00E40074"/>
    <w:rsid w:val="00E40100"/>
    <w:rsid w:val="00E40168"/>
    <w:rsid w:val="00E4094C"/>
    <w:rsid w:val="00E41B03"/>
    <w:rsid w:val="00E41B2C"/>
    <w:rsid w:val="00E41F47"/>
    <w:rsid w:val="00E42287"/>
    <w:rsid w:val="00E4233D"/>
    <w:rsid w:val="00E443AF"/>
    <w:rsid w:val="00E464D9"/>
    <w:rsid w:val="00E46C3A"/>
    <w:rsid w:val="00E47134"/>
    <w:rsid w:val="00E47A37"/>
    <w:rsid w:val="00E501B2"/>
    <w:rsid w:val="00E517B2"/>
    <w:rsid w:val="00E519F0"/>
    <w:rsid w:val="00E51D04"/>
    <w:rsid w:val="00E52934"/>
    <w:rsid w:val="00E52C98"/>
    <w:rsid w:val="00E5395C"/>
    <w:rsid w:val="00E53B6C"/>
    <w:rsid w:val="00E53D54"/>
    <w:rsid w:val="00E5405D"/>
    <w:rsid w:val="00E5484D"/>
    <w:rsid w:val="00E54DEB"/>
    <w:rsid w:val="00E55411"/>
    <w:rsid w:val="00E56CC0"/>
    <w:rsid w:val="00E56D31"/>
    <w:rsid w:val="00E56D36"/>
    <w:rsid w:val="00E57336"/>
    <w:rsid w:val="00E6013B"/>
    <w:rsid w:val="00E603EB"/>
    <w:rsid w:val="00E60591"/>
    <w:rsid w:val="00E60B24"/>
    <w:rsid w:val="00E6165F"/>
    <w:rsid w:val="00E61A56"/>
    <w:rsid w:val="00E61C36"/>
    <w:rsid w:val="00E627BC"/>
    <w:rsid w:val="00E6414C"/>
    <w:rsid w:val="00E6422A"/>
    <w:rsid w:val="00E645F0"/>
    <w:rsid w:val="00E6580B"/>
    <w:rsid w:val="00E6602D"/>
    <w:rsid w:val="00E66FCE"/>
    <w:rsid w:val="00E6748A"/>
    <w:rsid w:val="00E67695"/>
    <w:rsid w:val="00E6774C"/>
    <w:rsid w:val="00E70102"/>
    <w:rsid w:val="00E70585"/>
    <w:rsid w:val="00E707B1"/>
    <w:rsid w:val="00E70809"/>
    <w:rsid w:val="00E710D1"/>
    <w:rsid w:val="00E715D4"/>
    <w:rsid w:val="00E72F7C"/>
    <w:rsid w:val="00E73951"/>
    <w:rsid w:val="00E73EEB"/>
    <w:rsid w:val="00E75CD4"/>
    <w:rsid w:val="00E760DE"/>
    <w:rsid w:val="00E76649"/>
    <w:rsid w:val="00E766FC"/>
    <w:rsid w:val="00E76DF9"/>
    <w:rsid w:val="00E810E7"/>
    <w:rsid w:val="00E812F7"/>
    <w:rsid w:val="00E829FC"/>
    <w:rsid w:val="00E82A1C"/>
    <w:rsid w:val="00E835CD"/>
    <w:rsid w:val="00E84185"/>
    <w:rsid w:val="00E8446D"/>
    <w:rsid w:val="00E84FF8"/>
    <w:rsid w:val="00E854CE"/>
    <w:rsid w:val="00E855E0"/>
    <w:rsid w:val="00E8564B"/>
    <w:rsid w:val="00E85CB5"/>
    <w:rsid w:val="00E85EE8"/>
    <w:rsid w:val="00E87173"/>
    <w:rsid w:val="00E90A6A"/>
    <w:rsid w:val="00E9148C"/>
    <w:rsid w:val="00E914C8"/>
    <w:rsid w:val="00E9258A"/>
    <w:rsid w:val="00E9308D"/>
    <w:rsid w:val="00E93C66"/>
    <w:rsid w:val="00E93E0E"/>
    <w:rsid w:val="00E93E8E"/>
    <w:rsid w:val="00E943F3"/>
    <w:rsid w:val="00E95150"/>
    <w:rsid w:val="00E96AD8"/>
    <w:rsid w:val="00E96D27"/>
    <w:rsid w:val="00EA0671"/>
    <w:rsid w:val="00EA0BA2"/>
    <w:rsid w:val="00EA33AE"/>
    <w:rsid w:val="00EA3474"/>
    <w:rsid w:val="00EA379A"/>
    <w:rsid w:val="00EA3812"/>
    <w:rsid w:val="00EA4461"/>
    <w:rsid w:val="00EA4F15"/>
    <w:rsid w:val="00EA680B"/>
    <w:rsid w:val="00EA6928"/>
    <w:rsid w:val="00EA6AC7"/>
    <w:rsid w:val="00EA74D3"/>
    <w:rsid w:val="00EA7646"/>
    <w:rsid w:val="00EB01CD"/>
    <w:rsid w:val="00EB0779"/>
    <w:rsid w:val="00EB212A"/>
    <w:rsid w:val="00EB2427"/>
    <w:rsid w:val="00EB28B7"/>
    <w:rsid w:val="00EB29AB"/>
    <w:rsid w:val="00EB3750"/>
    <w:rsid w:val="00EB3BA2"/>
    <w:rsid w:val="00EB3EA1"/>
    <w:rsid w:val="00EB72E2"/>
    <w:rsid w:val="00EB752D"/>
    <w:rsid w:val="00EB7604"/>
    <w:rsid w:val="00EC0AB9"/>
    <w:rsid w:val="00EC1ECB"/>
    <w:rsid w:val="00EC3618"/>
    <w:rsid w:val="00EC3A28"/>
    <w:rsid w:val="00EC3CF8"/>
    <w:rsid w:val="00EC3D2A"/>
    <w:rsid w:val="00EC4054"/>
    <w:rsid w:val="00EC5963"/>
    <w:rsid w:val="00EC639B"/>
    <w:rsid w:val="00ED05D6"/>
    <w:rsid w:val="00ED06DD"/>
    <w:rsid w:val="00ED1C09"/>
    <w:rsid w:val="00ED1C7B"/>
    <w:rsid w:val="00ED3078"/>
    <w:rsid w:val="00ED35F3"/>
    <w:rsid w:val="00ED3B81"/>
    <w:rsid w:val="00ED3F8E"/>
    <w:rsid w:val="00ED3FC0"/>
    <w:rsid w:val="00ED46E7"/>
    <w:rsid w:val="00ED4802"/>
    <w:rsid w:val="00ED4845"/>
    <w:rsid w:val="00ED48F1"/>
    <w:rsid w:val="00ED57E2"/>
    <w:rsid w:val="00ED5AEB"/>
    <w:rsid w:val="00ED5C3E"/>
    <w:rsid w:val="00ED6743"/>
    <w:rsid w:val="00ED6748"/>
    <w:rsid w:val="00ED72AC"/>
    <w:rsid w:val="00ED7F73"/>
    <w:rsid w:val="00EE077F"/>
    <w:rsid w:val="00EE0CD8"/>
    <w:rsid w:val="00EE12B6"/>
    <w:rsid w:val="00EE1989"/>
    <w:rsid w:val="00EE1A58"/>
    <w:rsid w:val="00EE1E0D"/>
    <w:rsid w:val="00EE2577"/>
    <w:rsid w:val="00EE26F0"/>
    <w:rsid w:val="00EE3162"/>
    <w:rsid w:val="00EE346F"/>
    <w:rsid w:val="00EE3E65"/>
    <w:rsid w:val="00EE415F"/>
    <w:rsid w:val="00EE5001"/>
    <w:rsid w:val="00EE524F"/>
    <w:rsid w:val="00EE7B55"/>
    <w:rsid w:val="00EE7F9F"/>
    <w:rsid w:val="00EF06D2"/>
    <w:rsid w:val="00EF06FD"/>
    <w:rsid w:val="00EF0A75"/>
    <w:rsid w:val="00EF237C"/>
    <w:rsid w:val="00EF2E57"/>
    <w:rsid w:val="00EF3245"/>
    <w:rsid w:val="00EF3765"/>
    <w:rsid w:val="00EF3EAD"/>
    <w:rsid w:val="00EF4468"/>
    <w:rsid w:val="00EF4EE0"/>
    <w:rsid w:val="00EF50F3"/>
    <w:rsid w:val="00EF6D6B"/>
    <w:rsid w:val="00EF7CE7"/>
    <w:rsid w:val="00F00051"/>
    <w:rsid w:val="00F0054A"/>
    <w:rsid w:val="00F00A1A"/>
    <w:rsid w:val="00F00FE9"/>
    <w:rsid w:val="00F01D11"/>
    <w:rsid w:val="00F01DE7"/>
    <w:rsid w:val="00F044EB"/>
    <w:rsid w:val="00F051D2"/>
    <w:rsid w:val="00F051EC"/>
    <w:rsid w:val="00F053AC"/>
    <w:rsid w:val="00F0571A"/>
    <w:rsid w:val="00F0575B"/>
    <w:rsid w:val="00F0579F"/>
    <w:rsid w:val="00F06092"/>
    <w:rsid w:val="00F064C4"/>
    <w:rsid w:val="00F066F9"/>
    <w:rsid w:val="00F0674D"/>
    <w:rsid w:val="00F0675A"/>
    <w:rsid w:val="00F07767"/>
    <w:rsid w:val="00F07CA1"/>
    <w:rsid w:val="00F07CE8"/>
    <w:rsid w:val="00F10808"/>
    <w:rsid w:val="00F10EC1"/>
    <w:rsid w:val="00F111D7"/>
    <w:rsid w:val="00F12010"/>
    <w:rsid w:val="00F12414"/>
    <w:rsid w:val="00F12DC4"/>
    <w:rsid w:val="00F140C7"/>
    <w:rsid w:val="00F15814"/>
    <w:rsid w:val="00F161E4"/>
    <w:rsid w:val="00F164C1"/>
    <w:rsid w:val="00F16A09"/>
    <w:rsid w:val="00F2013B"/>
    <w:rsid w:val="00F20498"/>
    <w:rsid w:val="00F2066E"/>
    <w:rsid w:val="00F20FE7"/>
    <w:rsid w:val="00F21502"/>
    <w:rsid w:val="00F21CF5"/>
    <w:rsid w:val="00F221C0"/>
    <w:rsid w:val="00F221E3"/>
    <w:rsid w:val="00F228A4"/>
    <w:rsid w:val="00F2299B"/>
    <w:rsid w:val="00F22F72"/>
    <w:rsid w:val="00F2416B"/>
    <w:rsid w:val="00F248C6"/>
    <w:rsid w:val="00F25193"/>
    <w:rsid w:val="00F260AB"/>
    <w:rsid w:val="00F265A6"/>
    <w:rsid w:val="00F265DD"/>
    <w:rsid w:val="00F2664F"/>
    <w:rsid w:val="00F26881"/>
    <w:rsid w:val="00F268F7"/>
    <w:rsid w:val="00F27836"/>
    <w:rsid w:val="00F279D0"/>
    <w:rsid w:val="00F302EE"/>
    <w:rsid w:val="00F3084A"/>
    <w:rsid w:val="00F30C68"/>
    <w:rsid w:val="00F31480"/>
    <w:rsid w:val="00F3161C"/>
    <w:rsid w:val="00F31A72"/>
    <w:rsid w:val="00F32311"/>
    <w:rsid w:val="00F3305D"/>
    <w:rsid w:val="00F3341B"/>
    <w:rsid w:val="00F334BB"/>
    <w:rsid w:val="00F33986"/>
    <w:rsid w:val="00F34553"/>
    <w:rsid w:val="00F35438"/>
    <w:rsid w:val="00F36019"/>
    <w:rsid w:val="00F3624D"/>
    <w:rsid w:val="00F368A2"/>
    <w:rsid w:val="00F375F0"/>
    <w:rsid w:val="00F377E7"/>
    <w:rsid w:val="00F37ADB"/>
    <w:rsid w:val="00F37AE0"/>
    <w:rsid w:val="00F4028E"/>
    <w:rsid w:val="00F40A49"/>
    <w:rsid w:val="00F410A3"/>
    <w:rsid w:val="00F41A6F"/>
    <w:rsid w:val="00F42480"/>
    <w:rsid w:val="00F43766"/>
    <w:rsid w:val="00F44735"/>
    <w:rsid w:val="00F44A98"/>
    <w:rsid w:val="00F45A9F"/>
    <w:rsid w:val="00F45ADF"/>
    <w:rsid w:val="00F4609C"/>
    <w:rsid w:val="00F4626D"/>
    <w:rsid w:val="00F47350"/>
    <w:rsid w:val="00F4753B"/>
    <w:rsid w:val="00F505CE"/>
    <w:rsid w:val="00F50FCC"/>
    <w:rsid w:val="00F51B93"/>
    <w:rsid w:val="00F52943"/>
    <w:rsid w:val="00F52C4C"/>
    <w:rsid w:val="00F52EF9"/>
    <w:rsid w:val="00F52F94"/>
    <w:rsid w:val="00F53889"/>
    <w:rsid w:val="00F5423D"/>
    <w:rsid w:val="00F560F6"/>
    <w:rsid w:val="00F564CE"/>
    <w:rsid w:val="00F60511"/>
    <w:rsid w:val="00F60845"/>
    <w:rsid w:val="00F60921"/>
    <w:rsid w:val="00F60EF5"/>
    <w:rsid w:val="00F61C69"/>
    <w:rsid w:val="00F6213B"/>
    <w:rsid w:val="00F63925"/>
    <w:rsid w:val="00F645D8"/>
    <w:rsid w:val="00F655C7"/>
    <w:rsid w:val="00F65819"/>
    <w:rsid w:val="00F6586F"/>
    <w:rsid w:val="00F664C5"/>
    <w:rsid w:val="00F676CA"/>
    <w:rsid w:val="00F70308"/>
    <w:rsid w:val="00F70485"/>
    <w:rsid w:val="00F708D6"/>
    <w:rsid w:val="00F7214B"/>
    <w:rsid w:val="00F72EB9"/>
    <w:rsid w:val="00F736D6"/>
    <w:rsid w:val="00F74E2C"/>
    <w:rsid w:val="00F75B2A"/>
    <w:rsid w:val="00F75CB0"/>
    <w:rsid w:val="00F760C2"/>
    <w:rsid w:val="00F763BD"/>
    <w:rsid w:val="00F8075E"/>
    <w:rsid w:val="00F80B27"/>
    <w:rsid w:val="00F81384"/>
    <w:rsid w:val="00F8173F"/>
    <w:rsid w:val="00F81895"/>
    <w:rsid w:val="00F81B7B"/>
    <w:rsid w:val="00F81ECE"/>
    <w:rsid w:val="00F821D3"/>
    <w:rsid w:val="00F828FE"/>
    <w:rsid w:val="00F832EC"/>
    <w:rsid w:val="00F83589"/>
    <w:rsid w:val="00F83EC4"/>
    <w:rsid w:val="00F84BCE"/>
    <w:rsid w:val="00F858C1"/>
    <w:rsid w:val="00F86CA7"/>
    <w:rsid w:val="00F86D19"/>
    <w:rsid w:val="00F87358"/>
    <w:rsid w:val="00F9003E"/>
    <w:rsid w:val="00F900EC"/>
    <w:rsid w:val="00F906AC"/>
    <w:rsid w:val="00F90E8A"/>
    <w:rsid w:val="00F9148F"/>
    <w:rsid w:val="00F9175D"/>
    <w:rsid w:val="00F91D09"/>
    <w:rsid w:val="00F91FE0"/>
    <w:rsid w:val="00F9355B"/>
    <w:rsid w:val="00F94248"/>
    <w:rsid w:val="00F9545F"/>
    <w:rsid w:val="00F95968"/>
    <w:rsid w:val="00F95F21"/>
    <w:rsid w:val="00F960E3"/>
    <w:rsid w:val="00F962F6"/>
    <w:rsid w:val="00F96C08"/>
    <w:rsid w:val="00F9732E"/>
    <w:rsid w:val="00FA052A"/>
    <w:rsid w:val="00FA0E14"/>
    <w:rsid w:val="00FA172F"/>
    <w:rsid w:val="00FA190E"/>
    <w:rsid w:val="00FA1E7A"/>
    <w:rsid w:val="00FA23FF"/>
    <w:rsid w:val="00FA34CB"/>
    <w:rsid w:val="00FA36C4"/>
    <w:rsid w:val="00FA3B07"/>
    <w:rsid w:val="00FA3F46"/>
    <w:rsid w:val="00FA499A"/>
    <w:rsid w:val="00FA512C"/>
    <w:rsid w:val="00FA51CD"/>
    <w:rsid w:val="00FA5801"/>
    <w:rsid w:val="00FA5DEB"/>
    <w:rsid w:val="00FA757B"/>
    <w:rsid w:val="00FA75B8"/>
    <w:rsid w:val="00FB02A1"/>
    <w:rsid w:val="00FB04B6"/>
    <w:rsid w:val="00FB1546"/>
    <w:rsid w:val="00FB2BA8"/>
    <w:rsid w:val="00FB2DA2"/>
    <w:rsid w:val="00FB3079"/>
    <w:rsid w:val="00FB3342"/>
    <w:rsid w:val="00FB3680"/>
    <w:rsid w:val="00FB39DD"/>
    <w:rsid w:val="00FB3E5D"/>
    <w:rsid w:val="00FB405F"/>
    <w:rsid w:val="00FB443F"/>
    <w:rsid w:val="00FB5582"/>
    <w:rsid w:val="00FB6480"/>
    <w:rsid w:val="00FB6C02"/>
    <w:rsid w:val="00FB74E6"/>
    <w:rsid w:val="00FB7F5B"/>
    <w:rsid w:val="00FC143A"/>
    <w:rsid w:val="00FC1920"/>
    <w:rsid w:val="00FC235B"/>
    <w:rsid w:val="00FC26FD"/>
    <w:rsid w:val="00FC2954"/>
    <w:rsid w:val="00FC39B9"/>
    <w:rsid w:val="00FC3AFF"/>
    <w:rsid w:val="00FC3E73"/>
    <w:rsid w:val="00FC424F"/>
    <w:rsid w:val="00FC435D"/>
    <w:rsid w:val="00FC482E"/>
    <w:rsid w:val="00FC496D"/>
    <w:rsid w:val="00FC4B1F"/>
    <w:rsid w:val="00FC59CE"/>
    <w:rsid w:val="00FC5F06"/>
    <w:rsid w:val="00FC656E"/>
    <w:rsid w:val="00FC6A09"/>
    <w:rsid w:val="00FC7461"/>
    <w:rsid w:val="00FD1079"/>
    <w:rsid w:val="00FD1401"/>
    <w:rsid w:val="00FD2D11"/>
    <w:rsid w:val="00FD3284"/>
    <w:rsid w:val="00FD3476"/>
    <w:rsid w:val="00FD3A9B"/>
    <w:rsid w:val="00FD4293"/>
    <w:rsid w:val="00FD4CDC"/>
    <w:rsid w:val="00FD4DE3"/>
    <w:rsid w:val="00FD51FE"/>
    <w:rsid w:val="00FD5721"/>
    <w:rsid w:val="00FD7254"/>
    <w:rsid w:val="00FD7363"/>
    <w:rsid w:val="00FD76E5"/>
    <w:rsid w:val="00FD7A31"/>
    <w:rsid w:val="00FE1E98"/>
    <w:rsid w:val="00FE24CA"/>
    <w:rsid w:val="00FE28C9"/>
    <w:rsid w:val="00FE2BA1"/>
    <w:rsid w:val="00FE2FA7"/>
    <w:rsid w:val="00FE3157"/>
    <w:rsid w:val="00FE327A"/>
    <w:rsid w:val="00FE3708"/>
    <w:rsid w:val="00FE410F"/>
    <w:rsid w:val="00FE42D5"/>
    <w:rsid w:val="00FE4BD7"/>
    <w:rsid w:val="00FE60D2"/>
    <w:rsid w:val="00FE6534"/>
    <w:rsid w:val="00FE660A"/>
    <w:rsid w:val="00FE674B"/>
    <w:rsid w:val="00FE6FA6"/>
    <w:rsid w:val="00FE6FEC"/>
    <w:rsid w:val="00FF15C9"/>
    <w:rsid w:val="00FF1A65"/>
    <w:rsid w:val="00FF1E07"/>
    <w:rsid w:val="00FF264D"/>
    <w:rsid w:val="00FF3016"/>
    <w:rsid w:val="00FF31DE"/>
    <w:rsid w:val="00FF32B6"/>
    <w:rsid w:val="00FF3357"/>
    <w:rsid w:val="00FF3667"/>
    <w:rsid w:val="00FF3FDC"/>
    <w:rsid w:val="00FF568B"/>
    <w:rsid w:val="00FF56A1"/>
    <w:rsid w:val="00FF5DD4"/>
    <w:rsid w:val="00FF5DE2"/>
    <w:rsid w:val="00FF6AA8"/>
    <w:rsid w:val="00FF7324"/>
    <w:rsid w:val="00FF7880"/>
    <w:rsid w:val="0145558C"/>
    <w:rsid w:val="01486FDF"/>
    <w:rsid w:val="017D7969"/>
    <w:rsid w:val="01AC8FBB"/>
    <w:rsid w:val="01ADE4E2"/>
    <w:rsid w:val="01C90FA1"/>
    <w:rsid w:val="01E1E9C3"/>
    <w:rsid w:val="01F08215"/>
    <w:rsid w:val="020976A6"/>
    <w:rsid w:val="0212E3CC"/>
    <w:rsid w:val="02300C39"/>
    <w:rsid w:val="0246C5FD"/>
    <w:rsid w:val="024705DF"/>
    <w:rsid w:val="0247980C"/>
    <w:rsid w:val="026035F3"/>
    <w:rsid w:val="028A8DE6"/>
    <w:rsid w:val="02D30125"/>
    <w:rsid w:val="02DA3E2D"/>
    <w:rsid w:val="02DD393D"/>
    <w:rsid w:val="02EA3FE6"/>
    <w:rsid w:val="02F2C394"/>
    <w:rsid w:val="0304FA1B"/>
    <w:rsid w:val="0329499A"/>
    <w:rsid w:val="0344F0F0"/>
    <w:rsid w:val="03478EF7"/>
    <w:rsid w:val="037B29CE"/>
    <w:rsid w:val="03C37710"/>
    <w:rsid w:val="03FB0BA2"/>
    <w:rsid w:val="04286C22"/>
    <w:rsid w:val="042CE4E9"/>
    <w:rsid w:val="04427B32"/>
    <w:rsid w:val="0458681A"/>
    <w:rsid w:val="0462E951"/>
    <w:rsid w:val="04BFE159"/>
    <w:rsid w:val="04E30B39"/>
    <w:rsid w:val="04ED5378"/>
    <w:rsid w:val="04F4AE2B"/>
    <w:rsid w:val="050AB794"/>
    <w:rsid w:val="051FC787"/>
    <w:rsid w:val="05390DFA"/>
    <w:rsid w:val="05644C11"/>
    <w:rsid w:val="05662830"/>
    <w:rsid w:val="058C996F"/>
    <w:rsid w:val="058D3D27"/>
    <w:rsid w:val="05DA3211"/>
    <w:rsid w:val="05E98150"/>
    <w:rsid w:val="05F2DA02"/>
    <w:rsid w:val="060653DA"/>
    <w:rsid w:val="060C979B"/>
    <w:rsid w:val="0626D65B"/>
    <w:rsid w:val="062D7507"/>
    <w:rsid w:val="066D7493"/>
    <w:rsid w:val="067037DA"/>
    <w:rsid w:val="068826DE"/>
    <w:rsid w:val="069BC5BA"/>
    <w:rsid w:val="06B8C0BD"/>
    <w:rsid w:val="06B904B7"/>
    <w:rsid w:val="06BD7DBB"/>
    <w:rsid w:val="06C65549"/>
    <w:rsid w:val="06DC514C"/>
    <w:rsid w:val="06E02931"/>
    <w:rsid w:val="06EC0E22"/>
    <w:rsid w:val="06F55170"/>
    <w:rsid w:val="06FCCA3F"/>
    <w:rsid w:val="06FEBBE9"/>
    <w:rsid w:val="07163CAA"/>
    <w:rsid w:val="0740DC0C"/>
    <w:rsid w:val="074F6661"/>
    <w:rsid w:val="07591E9C"/>
    <w:rsid w:val="07853067"/>
    <w:rsid w:val="078F91A2"/>
    <w:rsid w:val="07E7F8EE"/>
    <w:rsid w:val="07E8934C"/>
    <w:rsid w:val="07F7253E"/>
    <w:rsid w:val="07F7623A"/>
    <w:rsid w:val="07FD5584"/>
    <w:rsid w:val="08127005"/>
    <w:rsid w:val="08323153"/>
    <w:rsid w:val="08357E3D"/>
    <w:rsid w:val="0836CA03"/>
    <w:rsid w:val="08428790"/>
    <w:rsid w:val="089CDF24"/>
    <w:rsid w:val="08BA9B23"/>
    <w:rsid w:val="090EA74A"/>
    <w:rsid w:val="09164C72"/>
    <w:rsid w:val="091EDCD1"/>
    <w:rsid w:val="095B1E92"/>
    <w:rsid w:val="0960F942"/>
    <w:rsid w:val="0969EF00"/>
    <w:rsid w:val="096D24B7"/>
    <w:rsid w:val="098878BC"/>
    <w:rsid w:val="0994FBD4"/>
    <w:rsid w:val="09A31084"/>
    <w:rsid w:val="09A84505"/>
    <w:rsid w:val="09AEF6F1"/>
    <w:rsid w:val="09B49003"/>
    <w:rsid w:val="09BC7276"/>
    <w:rsid w:val="09D9B72C"/>
    <w:rsid w:val="0A13D15F"/>
    <w:rsid w:val="0A491F26"/>
    <w:rsid w:val="0A4BD3A0"/>
    <w:rsid w:val="0A566B84"/>
    <w:rsid w:val="0A5D87C9"/>
    <w:rsid w:val="0A61EB8B"/>
    <w:rsid w:val="0A8CD82F"/>
    <w:rsid w:val="0A928644"/>
    <w:rsid w:val="0A98A24A"/>
    <w:rsid w:val="0AA15A10"/>
    <w:rsid w:val="0AAD91E8"/>
    <w:rsid w:val="0AC11DA3"/>
    <w:rsid w:val="0ACCB414"/>
    <w:rsid w:val="0AF33F3A"/>
    <w:rsid w:val="0AF56185"/>
    <w:rsid w:val="0AF9D473"/>
    <w:rsid w:val="0AFEFEE2"/>
    <w:rsid w:val="0B06A805"/>
    <w:rsid w:val="0B2A6FBD"/>
    <w:rsid w:val="0B4B9BED"/>
    <w:rsid w:val="0B5CA5DD"/>
    <w:rsid w:val="0B69ADC0"/>
    <w:rsid w:val="0BCEC2E7"/>
    <w:rsid w:val="0BD510C7"/>
    <w:rsid w:val="0BEB1D6F"/>
    <w:rsid w:val="0C02DAC1"/>
    <w:rsid w:val="0C15D929"/>
    <w:rsid w:val="0C254CD7"/>
    <w:rsid w:val="0C2E4FAA"/>
    <w:rsid w:val="0C33D34C"/>
    <w:rsid w:val="0C416A07"/>
    <w:rsid w:val="0C46E0A3"/>
    <w:rsid w:val="0C67449C"/>
    <w:rsid w:val="0C8B6659"/>
    <w:rsid w:val="0C8E7FD1"/>
    <w:rsid w:val="0CB4B955"/>
    <w:rsid w:val="0CB9D90C"/>
    <w:rsid w:val="0CC296B5"/>
    <w:rsid w:val="0CD94F38"/>
    <w:rsid w:val="0CE7C0D1"/>
    <w:rsid w:val="0CEEEE23"/>
    <w:rsid w:val="0CFD61EC"/>
    <w:rsid w:val="0D026E2B"/>
    <w:rsid w:val="0D0AFFE2"/>
    <w:rsid w:val="0D385A75"/>
    <w:rsid w:val="0D392849"/>
    <w:rsid w:val="0D482E39"/>
    <w:rsid w:val="0D4DC104"/>
    <w:rsid w:val="0D5B4CEB"/>
    <w:rsid w:val="0DDA1975"/>
    <w:rsid w:val="0DE85DCD"/>
    <w:rsid w:val="0DF09EEE"/>
    <w:rsid w:val="0DF4593F"/>
    <w:rsid w:val="0E071548"/>
    <w:rsid w:val="0E133C0A"/>
    <w:rsid w:val="0E5DEDCA"/>
    <w:rsid w:val="0E86BA6E"/>
    <w:rsid w:val="0E8E719F"/>
    <w:rsid w:val="0E98B393"/>
    <w:rsid w:val="0EB1EC44"/>
    <w:rsid w:val="0EC30168"/>
    <w:rsid w:val="0ED5166C"/>
    <w:rsid w:val="0EE74282"/>
    <w:rsid w:val="0F62065A"/>
    <w:rsid w:val="0F8AAF62"/>
    <w:rsid w:val="101C6913"/>
    <w:rsid w:val="1021007B"/>
    <w:rsid w:val="106E1A1B"/>
    <w:rsid w:val="10714094"/>
    <w:rsid w:val="107E945E"/>
    <w:rsid w:val="1088E26B"/>
    <w:rsid w:val="108EDEC3"/>
    <w:rsid w:val="109EE090"/>
    <w:rsid w:val="10CF7C66"/>
    <w:rsid w:val="10DBE06F"/>
    <w:rsid w:val="10E3BF05"/>
    <w:rsid w:val="1106F4FE"/>
    <w:rsid w:val="111FF831"/>
    <w:rsid w:val="11377DD6"/>
    <w:rsid w:val="114B23F7"/>
    <w:rsid w:val="116B68DF"/>
    <w:rsid w:val="118FBEB7"/>
    <w:rsid w:val="11B247E5"/>
    <w:rsid w:val="11B51C3B"/>
    <w:rsid w:val="11BD024B"/>
    <w:rsid w:val="11BE0041"/>
    <w:rsid w:val="11C5A04C"/>
    <w:rsid w:val="11C82687"/>
    <w:rsid w:val="11F0997E"/>
    <w:rsid w:val="1205525A"/>
    <w:rsid w:val="123D090A"/>
    <w:rsid w:val="1242703D"/>
    <w:rsid w:val="129403B5"/>
    <w:rsid w:val="129E6BEF"/>
    <w:rsid w:val="12A26DFE"/>
    <w:rsid w:val="12C36E02"/>
    <w:rsid w:val="12DC0318"/>
    <w:rsid w:val="12E70539"/>
    <w:rsid w:val="12FE54DA"/>
    <w:rsid w:val="130C9968"/>
    <w:rsid w:val="130F7E69"/>
    <w:rsid w:val="131B07A1"/>
    <w:rsid w:val="131BDBCC"/>
    <w:rsid w:val="132F8600"/>
    <w:rsid w:val="135A7F61"/>
    <w:rsid w:val="1367DBDE"/>
    <w:rsid w:val="139FAD67"/>
    <w:rsid w:val="13C15029"/>
    <w:rsid w:val="13F7B2C9"/>
    <w:rsid w:val="13FC5EA1"/>
    <w:rsid w:val="14115E51"/>
    <w:rsid w:val="142BC57D"/>
    <w:rsid w:val="142CC777"/>
    <w:rsid w:val="1430A5EA"/>
    <w:rsid w:val="1484AE0A"/>
    <w:rsid w:val="14927FB5"/>
    <w:rsid w:val="14B829A6"/>
    <w:rsid w:val="15334237"/>
    <w:rsid w:val="154AAAB9"/>
    <w:rsid w:val="154D3A88"/>
    <w:rsid w:val="1596DFE4"/>
    <w:rsid w:val="15DD3462"/>
    <w:rsid w:val="15F4ACAB"/>
    <w:rsid w:val="15FCDF30"/>
    <w:rsid w:val="1629348A"/>
    <w:rsid w:val="162EA6AB"/>
    <w:rsid w:val="1638078C"/>
    <w:rsid w:val="164C412D"/>
    <w:rsid w:val="165D4A6B"/>
    <w:rsid w:val="165D9ABD"/>
    <w:rsid w:val="167D1B58"/>
    <w:rsid w:val="16A94FEB"/>
    <w:rsid w:val="16B44918"/>
    <w:rsid w:val="16BBDFB3"/>
    <w:rsid w:val="16DE8C53"/>
    <w:rsid w:val="16F1BC82"/>
    <w:rsid w:val="16FC2B89"/>
    <w:rsid w:val="17201C44"/>
    <w:rsid w:val="17220E91"/>
    <w:rsid w:val="172BB969"/>
    <w:rsid w:val="1731D8BB"/>
    <w:rsid w:val="1741B459"/>
    <w:rsid w:val="1755DA2F"/>
    <w:rsid w:val="178BA5BC"/>
    <w:rsid w:val="17ABBD5B"/>
    <w:rsid w:val="17CD9D3B"/>
    <w:rsid w:val="17EA834B"/>
    <w:rsid w:val="17EFCA68"/>
    <w:rsid w:val="17F7EBDA"/>
    <w:rsid w:val="1810EA8E"/>
    <w:rsid w:val="181633DE"/>
    <w:rsid w:val="181B53EC"/>
    <w:rsid w:val="1820C8FF"/>
    <w:rsid w:val="182BC159"/>
    <w:rsid w:val="183C54B1"/>
    <w:rsid w:val="1842039F"/>
    <w:rsid w:val="18534284"/>
    <w:rsid w:val="18735A13"/>
    <w:rsid w:val="187A5CB4"/>
    <w:rsid w:val="18C85130"/>
    <w:rsid w:val="18DF1B43"/>
    <w:rsid w:val="18F2B2E6"/>
    <w:rsid w:val="1914D956"/>
    <w:rsid w:val="191CE4FB"/>
    <w:rsid w:val="193ACC07"/>
    <w:rsid w:val="19496720"/>
    <w:rsid w:val="196E56B9"/>
    <w:rsid w:val="19750ECB"/>
    <w:rsid w:val="19936652"/>
    <w:rsid w:val="19FF732D"/>
    <w:rsid w:val="1A404DAD"/>
    <w:rsid w:val="1A62A1E5"/>
    <w:rsid w:val="1AACDF7E"/>
    <w:rsid w:val="1AB82199"/>
    <w:rsid w:val="1AC97A84"/>
    <w:rsid w:val="1B14FBDB"/>
    <w:rsid w:val="1B2C2CAA"/>
    <w:rsid w:val="1B2D94CE"/>
    <w:rsid w:val="1B35D4CF"/>
    <w:rsid w:val="1B6DE804"/>
    <w:rsid w:val="1B9A64AA"/>
    <w:rsid w:val="1B9BA1C4"/>
    <w:rsid w:val="1BA0A684"/>
    <w:rsid w:val="1BEE55D9"/>
    <w:rsid w:val="1C048B83"/>
    <w:rsid w:val="1C113FF3"/>
    <w:rsid w:val="1C11EABD"/>
    <w:rsid w:val="1C1C723D"/>
    <w:rsid w:val="1C206F61"/>
    <w:rsid w:val="1C507DCC"/>
    <w:rsid w:val="1C543F52"/>
    <w:rsid w:val="1C7C67C9"/>
    <w:rsid w:val="1C8D01D8"/>
    <w:rsid w:val="1C933A39"/>
    <w:rsid w:val="1C9ACABC"/>
    <w:rsid w:val="1CA92F3A"/>
    <w:rsid w:val="1CC2D6C9"/>
    <w:rsid w:val="1CD04DF1"/>
    <w:rsid w:val="1CD98E29"/>
    <w:rsid w:val="1CFB17A4"/>
    <w:rsid w:val="1D04342A"/>
    <w:rsid w:val="1D3034A3"/>
    <w:rsid w:val="1D32BCA7"/>
    <w:rsid w:val="1D382783"/>
    <w:rsid w:val="1D7F3C7F"/>
    <w:rsid w:val="1D9DAE7E"/>
    <w:rsid w:val="1DAEC21B"/>
    <w:rsid w:val="1DB5B2D4"/>
    <w:rsid w:val="1DB8429E"/>
    <w:rsid w:val="1DBF67EF"/>
    <w:rsid w:val="1DCE2544"/>
    <w:rsid w:val="1E0FBED0"/>
    <w:rsid w:val="1E1E3E88"/>
    <w:rsid w:val="1E313F45"/>
    <w:rsid w:val="1E57B63B"/>
    <w:rsid w:val="1E5CCF8D"/>
    <w:rsid w:val="1E7A76E6"/>
    <w:rsid w:val="1EA35442"/>
    <w:rsid w:val="1EB634A5"/>
    <w:rsid w:val="1EB94F60"/>
    <w:rsid w:val="1EC4B811"/>
    <w:rsid w:val="1F16E9D4"/>
    <w:rsid w:val="1F522A5C"/>
    <w:rsid w:val="1F559FE1"/>
    <w:rsid w:val="1F63ACA8"/>
    <w:rsid w:val="1F680985"/>
    <w:rsid w:val="1FA0B22C"/>
    <w:rsid w:val="1FA5A04D"/>
    <w:rsid w:val="1FD291EB"/>
    <w:rsid w:val="20003609"/>
    <w:rsid w:val="2019FD8A"/>
    <w:rsid w:val="201BB209"/>
    <w:rsid w:val="2033773C"/>
    <w:rsid w:val="2046F9DF"/>
    <w:rsid w:val="2048E712"/>
    <w:rsid w:val="205946DA"/>
    <w:rsid w:val="209A17BE"/>
    <w:rsid w:val="20D25353"/>
    <w:rsid w:val="21017F0E"/>
    <w:rsid w:val="210BEDDD"/>
    <w:rsid w:val="210EF6D5"/>
    <w:rsid w:val="2158B0BE"/>
    <w:rsid w:val="2190C6A6"/>
    <w:rsid w:val="21B10641"/>
    <w:rsid w:val="21DE6917"/>
    <w:rsid w:val="2200F2EC"/>
    <w:rsid w:val="222DE57F"/>
    <w:rsid w:val="22366F3A"/>
    <w:rsid w:val="223F6296"/>
    <w:rsid w:val="22453E3C"/>
    <w:rsid w:val="224D9076"/>
    <w:rsid w:val="225C927B"/>
    <w:rsid w:val="22722380"/>
    <w:rsid w:val="228FCC76"/>
    <w:rsid w:val="22EB2990"/>
    <w:rsid w:val="23205E0E"/>
    <w:rsid w:val="2343A321"/>
    <w:rsid w:val="2370F0B0"/>
    <w:rsid w:val="23849F38"/>
    <w:rsid w:val="23897179"/>
    <w:rsid w:val="23A35DB9"/>
    <w:rsid w:val="23AEEC43"/>
    <w:rsid w:val="23D297E4"/>
    <w:rsid w:val="23D2B290"/>
    <w:rsid w:val="23ECF31A"/>
    <w:rsid w:val="24066807"/>
    <w:rsid w:val="24236724"/>
    <w:rsid w:val="246429FF"/>
    <w:rsid w:val="248A6C63"/>
    <w:rsid w:val="24E1D9F8"/>
    <w:rsid w:val="24E46236"/>
    <w:rsid w:val="2518E006"/>
    <w:rsid w:val="2535BA3D"/>
    <w:rsid w:val="2539B267"/>
    <w:rsid w:val="2547F08C"/>
    <w:rsid w:val="2573DB5D"/>
    <w:rsid w:val="2575AD39"/>
    <w:rsid w:val="2581367B"/>
    <w:rsid w:val="2588D51B"/>
    <w:rsid w:val="25A5180A"/>
    <w:rsid w:val="25C961F4"/>
    <w:rsid w:val="25E94BD8"/>
    <w:rsid w:val="25ECB226"/>
    <w:rsid w:val="25F46F23"/>
    <w:rsid w:val="2612590C"/>
    <w:rsid w:val="26209B72"/>
    <w:rsid w:val="262C938B"/>
    <w:rsid w:val="262DCBB8"/>
    <w:rsid w:val="26368CE5"/>
    <w:rsid w:val="2699E857"/>
    <w:rsid w:val="26BA2502"/>
    <w:rsid w:val="26D043A1"/>
    <w:rsid w:val="26D767B9"/>
    <w:rsid w:val="271D3AB7"/>
    <w:rsid w:val="27249C12"/>
    <w:rsid w:val="272C50E7"/>
    <w:rsid w:val="272F699A"/>
    <w:rsid w:val="273FBBB4"/>
    <w:rsid w:val="27442610"/>
    <w:rsid w:val="2776749C"/>
    <w:rsid w:val="277E3859"/>
    <w:rsid w:val="27A2C47B"/>
    <w:rsid w:val="27C5696C"/>
    <w:rsid w:val="27CEEA07"/>
    <w:rsid w:val="27DF98C2"/>
    <w:rsid w:val="280C8448"/>
    <w:rsid w:val="2845E20F"/>
    <w:rsid w:val="28881F80"/>
    <w:rsid w:val="28EFFE17"/>
    <w:rsid w:val="2939C4D5"/>
    <w:rsid w:val="293CBE51"/>
    <w:rsid w:val="295926D8"/>
    <w:rsid w:val="29612E4D"/>
    <w:rsid w:val="29A13933"/>
    <w:rsid w:val="29AEA4C7"/>
    <w:rsid w:val="29B99FBA"/>
    <w:rsid w:val="29C4D731"/>
    <w:rsid w:val="29C96A86"/>
    <w:rsid w:val="29CA3DDF"/>
    <w:rsid w:val="29DA5FA1"/>
    <w:rsid w:val="29F16626"/>
    <w:rsid w:val="29FA1F82"/>
    <w:rsid w:val="2A00C08F"/>
    <w:rsid w:val="2A0DDBA5"/>
    <w:rsid w:val="2A28D7AD"/>
    <w:rsid w:val="2A3121C8"/>
    <w:rsid w:val="2A3409D9"/>
    <w:rsid w:val="2A4C6BD0"/>
    <w:rsid w:val="2A59D13E"/>
    <w:rsid w:val="2A904D98"/>
    <w:rsid w:val="2A90F0F2"/>
    <w:rsid w:val="2A9F334F"/>
    <w:rsid w:val="2B2552B5"/>
    <w:rsid w:val="2B5C5E85"/>
    <w:rsid w:val="2B7C73B7"/>
    <w:rsid w:val="2BAE949E"/>
    <w:rsid w:val="2BC42F2D"/>
    <w:rsid w:val="2BD475A1"/>
    <w:rsid w:val="2C04B167"/>
    <w:rsid w:val="2C05EF91"/>
    <w:rsid w:val="2C24DB8F"/>
    <w:rsid w:val="2C2675D7"/>
    <w:rsid w:val="2C32CA36"/>
    <w:rsid w:val="2C5E14F3"/>
    <w:rsid w:val="2C93FCAB"/>
    <w:rsid w:val="2C9D6CB9"/>
    <w:rsid w:val="2CA85192"/>
    <w:rsid w:val="2CBFA35B"/>
    <w:rsid w:val="2CC18094"/>
    <w:rsid w:val="2CD482C3"/>
    <w:rsid w:val="2D1815E0"/>
    <w:rsid w:val="2D2806C7"/>
    <w:rsid w:val="2D6E2C4C"/>
    <w:rsid w:val="2D7A322C"/>
    <w:rsid w:val="2D91B7AB"/>
    <w:rsid w:val="2DDCC010"/>
    <w:rsid w:val="2DF82D91"/>
    <w:rsid w:val="2DFC4600"/>
    <w:rsid w:val="2E04A783"/>
    <w:rsid w:val="2E3E8C37"/>
    <w:rsid w:val="2E4FC39E"/>
    <w:rsid w:val="2E87C94F"/>
    <w:rsid w:val="2EAF0D8B"/>
    <w:rsid w:val="2F1BE78B"/>
    <w:rsid w:val="2F31CEDA"/>
    <w:rsid w:val="2F54F530"/>
    <w:rsid w:val="2F5B469A"/>
    <w:rsid w:val="2F894A3E"/>
    <w:rsid w:val="2F9ABF6F"/>
    <w:rsid w:val="2FC89773"/>
    <w:rsid w:val="2FF82A24"/>
    <w:rsid w:val="30282395"/>
    <w:rsid w:val="302C5828"/>
    <w:rsid w:val="3041B56D"/>
    <w:rsid w:val="3060D29E"/>
    <w:rsid w:val="3094914C"/>
    <w:rsid w:val="30C2D8F3"/>
    <w:rsid w:val="30D54C41"/>
    <w:rsid w:val="30F5DD73"/>
    <w:rsid w:val="3106C5C5"/>
    <w:rsid w:val="311201DE"/>
    <w:rsid w:val="31186C0A"/>
    <w:rsid w:val="313A0F4B"/>
    <w:rsid w:val="313E08EB"/>
    <w:rsid w:val="314D3391"/>
    <w:rsid w:val="3183FA1B"/>
    <w:rsid w:val="318A3FD0"/>
    <w:rsid w:val="3195A02A"/>
    <w:rsid w:val="31C81B44"/>
    <w:rsid w:val="31EC4612"/>
    <w:rsid w:val="323208B6"/>
    <w:rsid w:val="32340F50"/>
    <w:rsid w:val="32561A7A"/>
    <w:rsid w:val="325B0942"/>
    <w:rsid w:val="326E47F2"/>
    <w:rsid w:val="32782024"/>
    <w:rsid w:val="32EB72F6"/>
    <w:rsid w:val="32EC38BD"/>
    <w:rsid w:val="32ED23FE"/>
    <w:rsid w:val="32EE48D3"/>
    <w:rsid w:val="32F2E660"/>
    <w:rsid w:val="3317ADBF"/>
    <w:rsid w:val="333BDB09"/>
    <w:rsid w:val="33400D86"/>
    <w:rsid w:val="33585D85"/>
    <w:rsid w:val="338C0B16"/>
    <w:rsid w:val="3391B205"/>
    <w:rsid w:val="339F3037"/>
    <w:rsid w:val="33C8BB10"/>
    <w:rsid w:val="33CAB75C"/>
    <w:rsid w:val="33D4A809"/>
    <w:rsid w:val="33F90367"/>
    <w:rsid w:val="34019485"/>
    <w:rsid w:val="3406703F"/>
    <w:rsid w:val="341FB24E"/>
    <w:rsid w:val="3427A7B8"/>
    <w:rsid w:val="34582263"/>
    <w:rsid w:val="3474F261"/>
    <w:rsid w:val="34A7AAFE"/>
    <w:rsid w:val="34AB5B40"/>
    <w:rsid w:val="34C6C0E9"/>
    <w:rsid w:val="34DF4B22"/>
    <w:rsid w:val="34FF8A30"/>
    <w:rsid w:val="35293085"/>
    <w:rsid w:val="35682795"/>
    <w:rsid w:val="35AC0941"/>
    <w:rsid w:val="35C2C458"/>
    <w:rsid w:val="35C91CD8"/>
    <w:rsid w:val="35D1A0C3"/>
    <w:rsid w:val="361CE0F9"/>
    <w:rsid w:val="3620F8A6"/>
    <w:rsid w:val="3630BC7B"/>
    <w:rsid w:val="3698AFAB"/>
    <w:rsid w:val="369D37CB"/>
    <w:rsid w:val="36B2CEC3"/>
    <w:rsid w:val="36D549F5"/>
    <w:rsid w:val="3702C2FB"/>
    <w:rsid w:val="37071C1D"/>
    <w:rsid w:val="3713BD02"/>
    <w:rsid w:val="371FCC61"/>
    <w:rsid w:val="373A1527"/>
    <w:rsid w:val="373F5140"/>
    <w:rsid w:val="378B6683"/>
    <w:rsid w:val="37FD5FFF"/>
    <w:rsid w:val="3800CD30"/>
    <w:rsid w:val="3844EF94"/>
    <w:rsid w:val="3882F299"/>
    <w:rsid w:val="3884B74B"/>
    <w:rsid w:val="38881F16"/>
    <w:rsid w:val="38A7DE18"/>
    <w:rsid w:val="38DE1D40"/>
    <w:rsid w:val="38E1F8A0"/>
    <w:rsid w:val="390A5ADD"/>
    <w:rsid w:val="3912178C"/>
    <w:rsid w:val="39400628"/>
    <w:rsid w:val="3948FB2C"/>
    <w:rsid w:val="39A1CDFE"/>
    <w:rsid w:val="39C18EB2"/>
    <w:rsid w:val="39E42D77"/>
    <w:rsid w:val="3A23EF77"/>
    <w:rsid w:val="3A51C5E0"/>
    <w:rsid w:val="3A5EFC44"/>
    <w:rsid w:val="3A755546"/>
    <w:rsid w:val="3AA354A2"/>
    <w:rsid w:val="3B04C4B0"/>
    <w:rsid w:val="3B1A6582"/>
    <w:rsid w:val="3B2B7A8C"/>
    <w:rsid w:val="3B367BFB"/>
    <w:rsid w:val="3B4259DA"/>
    <w:rsid w:val="3BAC7AF4"/>
    <w:rsid w:val="3BB3EE92"/>
    <w:rsid w:val="3C0C1048"/>
    <w:rsid w:val="3C55864B"/>
    <w:rsid w:val="3C996610"/>
    <w:rsid w:val="3CAC87C1"/>
    <w:rsid w:val="3CACB971"/>
    <w:rsid w:val="3CB635E3"/>
    <w:rsid w:val="3CB71D37"/>
    <w:rsid w:val="3D1016FC"/>
    <w:rsid w:val="3D22A4A3"/>
    <w:rsid w:val="3D293D10"/>
    <w:rsid w:val="3D317279"/>
    <w:rsid w:val="3D3BAAC4"/>
    <w:rsid w:val="3D77EE79"/>
    <w:rsid w:val="3D7F5C4E"/>
    <w:rsid w:val="3D88E2F3"/>
    <w:rsid w:val="3E0685A8"/>
    <w:rsid w:val="3E0998AD"/>
    <w:rsid w:val="3E0B6841"/>
    <w:rsid w:val="3E163AB3"/>
    <w:rsid w:val="3E2B62FC"/>
    <w:rsid w:val="3E99D763"/>
    <w:rsid w:val="3EA012C5"/>
    <w:rsid w:val="3EA258EF"/>
    <w:rsid w:val="3EA3B025"/>
    <w:rsid w:val="3EB91CE0"/>
    <w:rsid w:val="3EC9137E"/>
    <w:rsid w:val="3EF1C132"/>
    <w:rsid w:val="3EF46897"/>
    <w:rsid w:val="3F37E4EC"/>
    <w:rsid w:val="3F3C8FAF"/>
    <w:rsid w:val="3F464CE5"/>
    <w:rsid w:val="3F6A5A5F"/>
    <w:rsid w:val="3F835434"/>
    <w:rsid w:val="3F9F90D1"/>
    <w:rsid w:val="3FA912E1"/>
    <w:rsid w:val="3FB896FA"/>
    <w:rsid w:val="3FBD048D"/>
    <w:rsid w:val="3FF3AD93"/>
    <w:rsid w:val="4019BE6B"/>
    <w:rsid w:val="402B0550"/>
    <w:rsid w:val="402FEE11"/>
    <w:rsid w:val="4035A7C4"/>
    <w:rsid w:val="4080F15B"/>
    <w:rsid w:val="409844E3"/>
    <w:rsid w:val="409BE9E6"/>
    <w:rsid w:val="40A93A64"/>
    <w:rsid w:val="411641F0"/>
    <w:rsid w:val="41296E7D"/>
    <w:rsid w:val="4133995E"/>
    <w:rsid w:val="4193A71C"/>
    <w:rsid w:val="41A0642E"/>
    <w:rsid w:val="41A5E24D"/>
    <w:rsid w:val="41D0F80A"/>
    <w:rsid w:val="41ED7B90"/>
    <w:rsid w:val="41EE0AEF"/>
    <w:rsid w:val="4200ED12"/>
    <w:rsid w:val="420EC960"/>
    <w:rsid w:val="422696E4"/>
    <w:rsid w:val="4288D2C4"/>
    <w:rsid w:val="42BFB82F"/>
    <w:rsid w:val="42DAC213"/>
    <w:rsid w:val="42F2BCDA"/>
    <w:rsid w:val="42FB9256"/>
    <w:rsid w:val="430FD440"/>
    <w:rsid w:val="432C7E51"/>
    <w:rsid w:val="434837AA"/>
    <w:rsid w:val="434F01C8"/>
    <w:rsid w:val="434FC6EA"/>
    <w:rsid w:val="4354FB59"/>
    <w:rsid w:val="4362DF89"/>
    <w:rsid w:val="4376F217"/>
    <w:rsid w:val="43781D40"/>
    <w:rsid w:val="438162D5"/>
    <w:rsid w:val="438A04EA"/>
    <w:rsid w:val="438B6A20"/>
    <w:rsid w:val="439AB3DC"/>
    <w:rsid w:val="439D1EF5"/>
    <w:rsid w:val="439EF0AF"/>
    <w:rsid w:val="43A26C38"/>
    <w:rsid w:val="43AF0ECD"/>
    <w:rsid w:val="43DEA161"/>
    <w:rsid w:val="441FBA35"/>
    <w:rsid w:val="443BD7D0"/>
    <w:rsid w:val="445056D2"/>
    <w:rsid w:val="44A9A327"/>
    <w:rsid w:val="44D14D7F"/>
    <w:rsid w:val="44DFC8F9"/>
    <w:rsid w:val="44F56DF3"/>
    <w:rsid w:val="45138243"/>
    <w:rsid w:val="451EFAF4"/>
    <w:rsid w:val="451F02AD"/>
    <w:rsid w:val="452EE402"/>
    <w:rsid w:val="455416E2"/>
    <w:rsid w:val="456E7386"/>
    <w:rsid w:val="4592EA0A"/>
    <w:rsid w:val="45DC01DB"/>
    <w:rsid w:val="45E1C431"/>
    <w:rsid w:val="4633B399"/>
    <w:rsid w:val="463B5F19"/>
    <w:rsid w:val="463C9F92"/>
    <w:rsid w:val="464FEA30"/>
    <w:rsid w:val="46521785"/>
    <w:rsid w:val="4672E4A5"/>
    <w:rsid w:val="467A8465"/>
    <w:rsid w:val="4695773B"/>
    <w:rsid w:val="46A4E948"/>
    <w:rsid w:val="46AFC083"/>
    <w:rsid w:val="46DCCD24"/>
    <w:rsid w:val="46F137A8"/>
    <w:rsid w:val="47347EE4"/>
    <w:rsid w:val="474BDB7C"/>
    <w:rsid w:val="4759882B"/>
    <w:rsid w:val="475FC524"/>
    <w:rsid w:val="4764FA99"/>
    <w:rsid w:val="4766A311"/>
    <w:rsid w:val="4772F5EF"/>
    <w:rsid w:val="477D1933"/>
    <w:rsid w:val="478BEA90"/>
    <w:rsid w:val="47A09C41"/>
    <w:rsid w:val="47A48330"/>
    <w:rsid w:val="47C7AFC7"/>
    <w:rsid w:val="47D5E8E1"/>
    <w:rsid w:val="47E2B875"/>
    <w:rsid w:val="481B0429"/>
    <w:rsid w:val="483607DB"/>
    <w:rsid w:val="485F60DB"/>
    <w:rsid w:val="487504B4"/>
    <w:rsid w:val="48D5D80D"/>
    <w:rsid w:val="48DE0C89"/>
    <w:rsid w:val="491887B8"/>
    <w:rsid w:val="4930EB86"/>
    <w:rsid w:val="493C0835"/>
    <w:rsid w:val="495D5A45"/>
    <w:rsid w:val="49698525"/>
    <w:rsid w:val="4972B597"/>
    <w:rsid w:val="49739ED7"/>
    <w:rsid w:val="497F6223"/>
    <w:rsid w:val="49820C45"/>
    <w:rsid w:val="498CFAF7"/>
    <w:rsid w:val="49B75F5C"/>
    <w:rsid w:val="49C975ED"/>
    <w:rsid w:val="49E0D136"/>
    <w:rsid w:val="49EC68AE"/>
    <w:rsid w:val="4A41CEC3"/>
    <w:rsid w:val="4AB980D9"/>
    <w:rsid w:val="4AE7E875"/>
    <w:rsid w:val="4AE8849E"/>
    <w:rsid w:val="4AEA7B33"/>
    <w:rsid w:val="4AEAA334"/>
    <w:rsid w:val="4AEB5F4D"/>
    <w:rsid w:val="4AF26DE9"/>
    <w:rsid w:val="4AFE8424"/>
    <w:rsid w:val="4B10FB72"/>
    <w:rsid w:val="4B2524E9"/>
    <w:rsid w:val="4B2604EC"/>
    <w:rsid w:val="4B5D0B43"/>
    <w:rsid w:val="4B6BFAEC"/>
    <w:rsid w:val="4B92A918"/>
    <w:rsid w:val="4BA7B380"/>
    <w:rsid w:val="4BAAA5FF"/>
    <w:rsid w:val="4BBC226A"/>
    <w:rsid w:val="4C3934C9"/>
    <w:rsid w:val="4C436D5A"/>
    <w:rsid w:val="4C50477B"/>
    <w:rsid w:val="4C5BD2C5"/>
    <w:rsid w:val="4C75B7F8"/>
    <w:rsid w:val="4C81E232"/>
    <w:rsid w:val="4C8CDF18"/>
    <w:rsid w:val="4C938ECE"/>
    <w:rsid w:val="4C978EAD"/>
    <w:rsid w:val="4CE04CD0"/>
    <w:rsid w:val="4D4CF141"/>
    <w:rsid w:val="4D60792C"/>
    <w:rsid w:val="4D848A9C"/>
    <w:rsid w:val="4D8CD325"/>
    <w:rsid w:val="4D95816F"/>
    <w:rsid w:val="4DB4A345"/>
    <w:rsid w:val="4DFEFC1B"/>
    <w:rsid w:val="4E06B142"/>
    <w:rsid w:val="4E07E88C"/>
    <w:rsid w:val="4E0B562F"/>
    <w:rsid w:val="4E0CB26C"/>
    <w:rsid w:val="4E24E101"/>
    <w:rsid w:val="4E2B2221"/>
    <w:rsid w:val="4E453E2D"/>
    <w:rsid w:val="4E5C9630"/>
    <w:rsid w:val="4E625802"/>
    <w:rsid w:val="4E88B216"/>
    <w:rsid w:val="4E902A36"/>
    <w:rsid w:val="4E97B186"/>
    <w:rsid w:val="4EB025D0"/>
    <w:rsid w:val="4EC72FFC"/>
    <w:rsid w:val="4EE051F7"/>
    <w:rsid w:val="4EEA0EC5"/>
    <w:rsid w:val="4F297383"/>
    <w:rsid w:val="4F2B7B53"/>
    <w:rsid w:val="4F492038"/>
    <w:rsid w:val="4F7A5D97"/>
    <w:rsid w:val="4FCCA6F7"/>
    <w:rsid w:val="4FDFB92D"/>
    <w:rsid w:val="4FE1B19D"/>
    <w:rsid w:val="5018E398"/>
    <w:rsid w:val="503EB291"/>
    <w:rsid w:val="5073705B"/>
    <w:rsid w:val="5092B316"/>
    <w:rsid w:val="50947FA8"/>
    <w:rsid w:val="50ACA508"/>
    <w:rsid w:val="50B28629"/>
    <w:rsid w:val="50C2C55C"/>
    <w:rsid w:val="50D3FC3C"/>
    <w:rsid w:val="510883D7"/>
    <w:rsid w:val="5112AC91"/>
    <w:rsid w:val="511EC2BA"/>
    <w:rsid w:val="5124BDF0"/>
    <w:rsid w:val="51340971"/>
    <w:rsid w:val="515E17B1"/>
    <w:rsid w:val="517DE7A0"/>
    <w:rsid w:val="51B470D6"/>
    <w:rsid w:val="51CD471D"/>
    <w:rsid w:val="51D1A9DB"/>
    <w:rsid w:val="51D271C2"/>
    <w:rsid w:val="5233EA4F"/>
    <w:rsid w:val="52631C15"/>
    <w:rsid w:val="52932741"/>
    <w:rsid w:val="52A6BAEA"/>
    <w:rsid w:val="52B1EC22"/>
    <w:rsid w:val="52BDA2E3"/>
    <w:rsid w:val="52D9D4C3"/>
    <w:rsid w:val="52DF75F5"/>
    <w:rsid w:val="52EF896B"/>
    <w:rsid w:val="531DAFA1"/>
    <w:rsid w:val="53390554"/>
    <w:rsid w:val="53424FB2"/>
    <w:rsid w:val="53624584"/>
    <w:rsid w:val="538DCB29"/>
    <w:rsid w:val="538E84F0"/>
    <w:rsid w:val="53963ABE"/>
    <w:rsid w:val="53C2EB77"/>
    <w:rsid w:val="53FD6CE9"/>
    <w:rsid w:val="5434A6CB"/>
    <w:rsid w:val="54431478"/>
    <w:rsid w:val="5448D6CC"/>
    <w:rsid w:val="546D6983"/>
    <w:rsid w:val="546FDE72"/>
    <w:rsid w:val="547A20AE"/>
    <w:rsid w:val="5480BA3D"/>
    <w:rsid w:val="548B9703"/>
    <w:rsid w:val="54C4178B"/>
    <w:rsid w:val="54D1AE12"/>
    <w:rsid w:val="54DAEE0D"/>
    <w:rsid w:val="5512E132"/>
    <w:rsid w:val="551EEB2D"/>
    <w:rsid w:val="554B3B20"/>
    <w:rsid w:val="559B690C"/>
    <w:rsid w:val="55AA2693"/>
    <w:rsid w:val="55B6FEF2"/>
    <w:rsid w:val="55B7F549"/>
    <w:rsid w:val="55D48072"/>
    <w:rsid w:val="55DAC98D"/>
    <w:rsid w:val="55E4CFCA"/>
    <w:rsid w:val="55E7C498"/>
    <w:rsid w:val="55F96BA5"/>
    <w:rsid w:val="5633B760"/>
    <w:rsid w:val="5644D784"/>
    <w:rsid w:val="56451C41"/>
    <w:rsid w:val="564BC579"/>
    <w:rsid w:val="564FF6D0"/>
    <w:rsid w:val="56598102"/>
    <w:rsid w:val="56928547"/>
    <w:rsid w:val="56998301"/>
    <w:rsid w:val="56B3D798"/>
    <w:rsid w:val="56CEDB89"/>
    <w:rsid w:val="56CEEED7"/>
    <w:rsid w:val="56E65983"/>
    <w:rsid w:val="56FE29CC"/>
    <w:rsid w:val="573419C3"/>
    <w:rsid w:val="57342DF9"/>
    <w:rsid w:val="57368D38"/>
    <w:rsid w:val="574B5132"/>
    <w:rsid w:val="57AD4A75"/>
    <w:rsid w:val="57B78B78"/>
    <w:rsid w:val="57C2E3FF"/>
    <w:rsid w:val="57CFAA77"/>
    <w:rsid w:val="58093A48"/>
    <w:rsid w:val="5810DC5C"/>
    <w:rsid w:val="58138D9D"/>
    <w:rsid w:val="5821C52C"/>
    <w:rsid w:val="587317A6"/>
    <w:rsid w:val="588CBC64"/>
    <w:rsid w:val="588CF389"/>
    <w:rsid w:val="58909FAA"/>
    <w:rsid w:val="58AE074F"/>
    <w:rsid w:val="58C09EF8"/>
    <w:rsid w:val="58D52BFB"/>
    <w:rsid w:val="58ECAA51"/>
    <w:rsid w:val="58F7BE45"/>
    <w:rsid w:val="592822EC"/>
    <w:rsid w:val="599C2C58"/>
    <w:rsid w:val="59ABDD03"/>
    <w:rsid w:val="5A8051B8"/>
    <w:rsid w:val="5AA6DFBF"/>
    <w:rsid w:val="5AC4A7FB"/>
    <w:rsid w:val="5AC61616"/>
    <w:rsid w:val="5AC7C78F"/>
    <w:rsid w:val="5AC7F865"/>
    <w:rsid w:val="5ACDCDA5"/>
    <w:rsid w:val="5AD27C4B"/>
    <w:rsid w:val="5AF3167E"/>
    <w:rsid w:val="5AF8B119"/>
    <w:rsid w:val="5B28F049"/>
    <w:rsid w:val="5B41FF47"/>
    <w:rsid w:val="5B5484CE"/>
    <w:rsid w:val="5B7C9D12"/>
    <w:rsid w:val="5BA798DD"/>
    <w:rsid w:val="5BDB4F72"/>
    <w:rsid w:val="5BF2C719"/>
    <w:rsid w:val="5C0D7FA2"/>
    <w:rsid w:val="5C29E1FE"/>
    <w:rsid w:val="5C52E4E5"/>
    <w:rsid w:val="5C62D61D"/>
    <w:rsid w:val="5C893240"/>
    <w:rsid w:val="5CADF4A0"/>
    <w:rsid w:val="5CBAAF65"/>
    <w:rsid w:val="5CCF221B"/>
    <w:rsid w:val="5CDDC6C8"/>
    <w:rsid w:val="5D00CC04"/>
    <w:rsid w:val="5D197613"/>
    <w:rsid w:val="5D44F1C4"/>
    <w:rsid w:val="5D4D7B55"/>
    <w:rsid w:val="5D5941E9"/>
    <w:rsid w:val="5D80F718"/>
    <w:rsid w:val="5D8A8FF5"/>
    <w:rsid w:val="5DA8EC53"/>
    <w:rsid w:val="5DB0827E"/>
    <w:rsid w:val="5DE11300"/>
    <w:rsid w:val="5DFFB085"/>
    <w:rsid w:val="5E11DFB7"/>
    <w:rsid w:val="5E313261"/>
    <w:rsid w:val="5E367923"/>
    <w:rsid w:val="5E4C7137"/>
    <w:rsid w:val="5E5F86C8"/>
    <w:rsid w:val="5E64CA2D"/>
    <w:rsid w:val="5E9FE486"/>
    <w:rsid w:val="5EBF93CA"/>
    <w:rsid w:val="5EDC6B6E"/>
    <w:rsid w:val="5EF70EC0"/>
    <w:rsid w:val="5F323364"/>
    <w:rsid w:val="5F381400"/>
    <w:rsid w:val="5F58E5C3"/>
    <w:rsid w:val="5F6CA99C"/>
    <w:rsid w:val="5F88E859"/>
    <w:rsid w:val="5FC3C8B1"/>
    <w:rsid w:val="5FC71A8A"/>
    <w:rsid w:val="6028C245"/>
    <w:rsid w:val="602D1241"/>
    <w:rsid w:val="602E406A"/>
    <w:rsid w:val="603AEA3C"/>
    <w:rsid w:val="607010BA"/>
    <w:rsid w:val="60ADD868"/>
    <w:rsid w:val="60C97B8E"/>
    <w:rsid w:val="614D1F84"/>
    <w:rsid w:val="615D4AF4"/>
    <w:rsid w:val="61722B0F"/>
    <w:rsid w:val="618AEB6C"/>
    <w:rsid w:val="61AC9D2E"/>
    <w:rsid w:val="61AD3CAF"/>
    <w:rsid w:val="61B68B7E"/>
    <w:rsid w:val="61BCB33D"/>
    <w:rsid w:val="61BD8738"/>
    <w:rsid w:val="61D24296"/>
    <w:rsid w:val="61ED3BBD"/>
    <w:rsid w:val="620A31F2"/>
    <w:rsid w:val="621C7BD3"/>
    <w:rsid w:val="624C3264"/>
    <w:rsid w:val="62578463"/>
    <w:rsid w:val="62738629"/>
    <w:rsid w:val="629E706F"/>
    <w:rsid w:val="62DBA5C6"/>
    <w:rsid w:val="62F0CD69"/>
    <w:rsid w:val="62FA9703"/>
    <w:rsid w:val="63A5C994"/>
    <w:rsid w:val="63A90DFF"/>
    <w:rsid w:val="63BF5BC7"/>
    <w:rsid w:val="63DBC866"/>
    <w:rsid w:val="63DC89FC"/>
    <w:rsid w:val="63E1CDD0"/>
    <w:rsid w:val="63FDC9D7"/>
    <w:rsid w:val="6402CB62"/>
    <w:rsid w:val="64106CF0"/>
    <w:rsid w:val="64134D61"/>
    <w:rsid w:val="641554A4"/>
    <w:rsid w:val="644FF99F"/>
    <w:rsid w:val="64576441"/>
    <w:rsid w:val="645F976A"/>
    <w:rsid w:val="6474DBFB"/>
    <w:rsid w:val="648D3D53"/>
    <w:rsid w:val="649B395A"/>
    <w:rsid w:val="64A146FD"/>
    <w:rsid w:val="64C5AFA0"/>
    <w:rsid w:val="6527E221"/>
    <w:rsid w:val="65291487"/>
    <w:rsid w:val="65294758"/>
    <w:rsid w:val="652BFEC4"/>
    <w:rsid w:val="654E644A"/>
    <w:rsid w:val="65753273"/>
    <w:rsid w:val="6580428E"/>
    <w:rsid w:val="658F62C1"/>
    <w:rsid w:val="65994428"/>
    <w:rsid w:val="65CD6460"/>
    <w:rsid w:val="65D4212D"/>
    <w:rsid w:val="65FBDFE3"/>
    <w:rsid w:val="66140576"/>
    <w:rsid w:val="661C5529"/>
    <w:rsid w:val="6624F569"/>
    <w:rsid w:val="662717F8"/>
    <w:rsid w:val="663D35FC"/>
    <w:rsid w:val="6652BF4C"/>
    <w:rsid w:val="6663CC1B"/>
    <w:rsid w:val="6663DD8E"/>
    <w:rsid w:val="669F8662"/>
    <w:rsid w:val="66B49A03"/>
    <w:rsid w:val="66DD64D1"/>
    <w:rsid w:val="66E4C70A"/>
    <w:rsid w:val="66E61582"/>
    <w:rsid w:val="66E8A61E"/>
    <w:rsid w:val="67021F7F"/>
    <w:rsid w:val="672D4F4A"/>
    <w:rsid w:val="67357693"/>
    <w:rsid w:val="674B7C51"/>
    <w:rsid w:val="6750BA78"/>
    <w:rsid w:val="6766C9AF"/>
    <w:rsid w:val="67735DFF"/>
    <w:rsid w:val="677C2844"/>
    <w:rsid w:val="6789A450"/>
    <w:rsid w:val="678D42D9"/>
    <w:rsid w:val="67CC70B1"/>
    <w:rsid w:val="67E6CAC3"/>
    <w:rsid w:val="67FFAAC0"/>
    <w:rsid w:val="68012587"/>
    <w:rsid w:val="68186518"/>
    <w:rsid w:val="684A5E65"/>
    <w:rsid w:val="6881E02C"/>
    <w:rsid w:val="6884483C"/>
    <w:rsid w:val="688F639B"/>
    <w:rsid w:val="6891FA6A"/>
    <w:rsid w:val="689AAC2F"/>
    <w:rsid w:val="68C2567D"/>
    <w:rsid w:val="68F0DFBC"/>
    <w:rsid w:val="68F96F50"/>
    <w:rsid w:val="6913590F"/>
    <w:rsid w:val="6920996E"/>
    <w:rsid w:val="695B5C55"/>
    <w:rsid w:val="6981A968"/>
    <w:rsid w:val="69886F75"/>
    <w:rsid w:val="698D09EB"/>
    <w:rsid w:val="699B6AD2"/>
    <w:rsid w:val="699C7DB2"/>
    <w:rsid w:val="69A4A28F"/>
    <w:rsid w:val="69AD1290"/>
    <w:rsid w:val="69BA5DFF"/>
    <w:rsid w:val="69D61C50"/>
    <w:rsid w:val="69E3C2FA"/>
    <w:rsid w:val="69EC35A7"/>
    <w:rsid w:val="69FC389D"/>
    <w:rsid w:val="6A673B86"/>
    <w:rsid w:val="6A91296D"/>
    <w:rsid w:val="6AA4743A"/>
    <w:rsid w:val="6ABBE088"/>
    <w:rsid w:val="6AC8C541"/>
    <w:rsid w:val="6AD98788"/>
    <w:rsid w:val="6AF1D773"/>
    <w:rsid w:val="6AFA66CF"/>
    <w:rsid w:val="6B00BEDC"/>
    <w:rsid w:val="6B4F5A2F"/>
    <w:rsid w:val="6B531FBB"/>
    <w:rsid w:val="6B68997B"/>
    <w:rsid w:val="6B6B1133"/>
    <w:rsid w:val="6B77563E"/>
    <w:rsid w:val="6BACFD31"/>
    <w:rsid w:val="6BD9F69D"/>
    <w:rsid w:val="6BF88A53"/>
    <w:rsid w:val="6C0B915F"/>
    <w:rsid w:val="6C104E62"/>
    <w:rsid w:val="6C10D7A0"/>
    <w:rsid w:val="6C28DA5C"/>
    <w:rsid w:val="6C4A26FB"/>
    <w:rsid w:val="6C8385A2"/>
    <w:rsid w:val="6C87EFDB"/>
    <w:rsid w:val="6C8ABC6B"/>
    <w:rsid w:val="6C98B661"/>
    <w:rsid w:val="6CCB8AF5"/>
    <w:rsid w:val="6CDE85B6"/>
    <w:rsid w:val="6CE56E84"/>
    <w:rsid w:val="6CF54ED8"/>
    <w:rsid w:val="6CF616F7"/>
    <w:rsid w:val="6D055253"/>
    <w:rsid w:val="6D1DC765"/>
    <w:rsid w:val="6D2A37B6"/>
    <w:rsid w:val="6D509508"/>
    <w:rsid w:val="6D7EF3BD"/>
    <w:rsid w:val="6D908F76"/>
    <w:rsid w:val="6DA4E753"/>
    <w:rsid w:val="6DBEBDB9"/>
    <w:rsid w:val="6DE71961"/>
    <w:rsid w:val="6E0FD143"/>
    <w:rsid w:val="6E2A433F"/>
    <w:rsid w:val="6E402468"/>
    <w:rsid w:val="6E77D3EF"/>
    <w:rsid w:val="6E7C3A11"/>
    <w:rsid w:val="6E86BF4F"/>
    <w:rsid w:val="6E98367A"/>
    <w:rsid w:val="6E98D1D2"/>
    <w:rsid w:val="6EA6351F"/>
    <w:rsid w:val="6ED6574E"/>
    <w:rsid w:val="6EDBD675"/>
    <w:rsid w:val="6EEA0902"/>
    <w:rsid w:val="6F024D25"/>
    <w:rsid w:val="6F08C8E4"/>
    <w:rsid w:val="6F15D012"/>
    <w:rsid w:val="6F3732C3"/>
    <w:rsid w:val="6F6333A2"/>
    <w:rsid w:val="6F9FE017"/>
    <w:rsid w:val="6FC708BD"/>
    <w:rsid w:val="70364FEF"/>
    <w:rsid w:val="704410C9"/>
    <w:rsid w:val="70444D3D"/>
    <w:rsid w:val="706D83A9"/>
    <w:rsid w:val="7073EBC6"/>
    <w:rsid w:val="7084F536"/>
    <w:rsid w:val="70A2B880"/>
    <w:rsid w:val="70B9528C"/>
    <w:rsid w:val="70C8F0C6"/>
    <w:rsid w:val="70D49B92"/>
    <w:rsid w:val="70E72594"/>
    <w:rsid w:val="70F2C995"/>
    <w:rsid w:val="70F4F68E"/>
    <w:rsid w:val="7119F37C"/>
    <w:rsid w:val="711AA82A"/>
    <w:rsid w:val="7126DF0B"/>
    <w:rsid w:val="7127E855"/>
    <w:rsid w:val="713211A3"/>
    <w:rsid w:val="7135A1E0"/>
    <w:rsid w:val="713D4FC2"/>
    <w:rsid w:val="71683111"/>
    <w:rsid w:val="716DF6FC"/>
    <w:rsid w:val="719CC27B"/>
    <w:rsid w:val="71C165DD"/>
    <w:rsid w:val="71F12E5A"/>
    <w:rsid w:val="72070D2A"/>
    <w:rsid w:val="720D2589"/>
    <w:rsid w:val="723E2046"/>
    <w:rsid w:val="72A16021"/>
    <w:rsid w:val="72B329C7"/>
    <w:rsid w:val="72BD86E0"/>
    <w:rsid w:val="72CEFA7C"/>
    <w:rsid w:val="72ECB9BA"/>
    <w:rsid w:val="731DD1D6"/>
    <w:rsid w:val="731EBF94"/>
    <w:rsid w:val="7325FDF2"/>
    <w:rsid w:val="732E2207"/>
    <w:rsid w:val="7359591E"/>
    <w:rsid w:val="7364338C"/>
    <w:rsid w:val="737B9172"/>
    <w:rsid w:val="737E333D"/>
    <w:rsid w:val="73A9FE02"/>
    <w:rsid w:val="73ABB258"/>
    <w:rsid w:val="7448D609"/>
    <w:rsid w:val="745F9AEF"/>
    <w:rsid w:val="749DE9CB"/>
    <w:rsid w:val="74B0DB83"/>
    <w:rsid w:val="74F27DBF"/>
    <w:rsid w:val="74FF9CCF"/>
    <w:rsid w:val="7569FCB0"/>
    <w:rsid w:val="75938E4E"/>
    <w:rsid w:val="759B59DA"/>
    <w:rsid w:val="759E19DE"/>
    <w:rsid w:val="75B28FE7"/>
    <w:rsid w:val="75B7F40E"/>
    <w:rsid w:val="75C00503"/>
    <w:rsid w:val="75E2433A"/>
    <w:rsid w:val="75EED568"/>
    <w:rsid w:val="76037931"/>
    <w:rsid w:val="7615B6B1"/>
    <w:rsid w:val="7648F286"/>
    <w:rsid w:val="764BA999"/>
    <w:rsid w:val="7654EDB8"/>
    <w:rsid w:val="76A7A84F"/>
    <w:rsid w:val="76ACDB72"/>
    <w:rsid w:val="76BF2719"/>
    <w:rsid w:val="76DBC4B2"/>
    <w:rsid w:val="77048B9A"/>
    <w:rsid w:val="7725DFBD"/>
    <w:rsid w:val="772693AD"/>
    <w:rsid w:val="772A5241"/>
    <w:rsid w:val="775E5BF8"/>
    <w:rsid w:val="77924ED9"/>
    <w:rsid w:val="77E35E9B"/>
    <w:rsid w:val="77F74EB3"/>
    <w:rsid w:val="7836AB92"/>
    <w:rsid w:val="78C156A7"/>
    <w:rsid w:val="78CD898E"/>
    <w:rsid w:val="78F6B8C6"/>
    <w:rsid w:val="79119656"/>
    <w:rsid w:val="7948EF91"/>
    <w:rsid w:val="796E681B"/>
    <w:rsid w:val="7980BF4A"/>
    <w:rsid w:val="79882676"/>
    <w:rsid w:val="799A2F8D"/>
    <w:rsid w:val="79B1FB83"/>
    <w:rsid w:val="79B5438E"/>
    <w:rsid w:val="79C932E1"/>
    <w:rsid w:val="79CB01EC"/>
    <w:rsid w:val="7A10B1E1"/>
    <w:rsid w:val="7A1762AE"/>
    <w:rsid w:val="7A2088FF"/>
    <w:rsid w:val="7A3BB4D6"/>
    <w:rsid w:val="7A931BE9"/>
    <w:rsid w:val="7A9F3D65"/>
    <w:rsid w:val="7AACAA73"/>
    <w:rsid w:val="7ADA730D"/>
    <w:rsid w:val="7AF3BB4A"/>
    <w:rsid w:val="7B0E2F6E"/>
    <w:rsid w:val="7B557778"/>
    <w:rsid w:val="7B592D33"/>
    <w:rsid w:val="7B67DACA"/>
    <w:rsid w:val="7B8DA263"/>
    <w:rsid w:val="7BB22EEE"/>
    <w:rsid w:val="7BC13747"/>
    <w:rsid w:val="7BC83A11"/>
    <w:rsid w:val="7BC86D26"/>
    <w:rsid w:val="7BD67319"/>
    <w:rsid w:val="7BED187B"/>
    <w:rsid w:val="7C0D12B5"/>
    <w:rsid w:val="7C2026F0"/>
    <w:rsid w:val="7C45C52F"/>
    <w:rsid w:val="7C567914"/>
    <w:rsid w:val="7C5E4C34"/>
    <w:rsid w:val="7C70E5A4"/>
    <w:rsid w:val="7C83DE08"/>
    <w:rsid w:val="7C8949E9"/>
    <w:rsid w:val="7C975495"/>
    <w:rsid w:val="7CD8E6E7"/>
    <w:rsid w:val="7CDFD3BC"/>
    <w:rsid w:val="7CE17BC8"/>
    <w:rsid w:val="7CE7DE63"/>
    <w:rsid w:val="7CF0CBD4"/>
    <w:rsid w:val="7D40A636"/>
    <w:rsid w:val="7D4E4590"/>
    <w:rsid w:val="7D52F677"/>
    <w:rsid w:val="7D89C843"/>
    <w:rsid w:val="7D9BB1D0"/>
    <w:rsid w:val="7DA10F7E"/>
    <w:rsid w:val="7DE2BE9B"/>
    <w:rsid w:val="7DEC322C"/>
    <w:rsid w:val="7E265CB8"/>
    <w:rsid w:val="7E40996D"/>
    <w:rsid w:val="7E4F6A1D"/>
    <w:rsid w:val="7EAC46FA"/>
    <w:rsid w:val="7F0BD981"/>
    <w:rsid w:val="7F0ECE9C"/>
    <w:rsid w:val="7F448D74"/>
    <w:rsid w:val="7F590956"/>
    <w:rsid w:val="7F5EB3BA"/>
    <w:rsid w:val="7F76AADE"/>
    <w:rsid w:val="7FA67D27"/>
    <w:rsid w:val="7FD33873"/>
    <w:rsid w:val="7FDBBC33"/>
    <w:rsid w:val="7FEF2102"/>
    <w:rsid w:val="7FF24533"/>
    <w:rsid w:val="7FF778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CD1B27"/>
  <w15:docId w15:val="{DFA9DC7B-6264-4D88-BB31-1D1288BC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pl-PL"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uiPriority="99"/>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rsid w:val="005E704C"/>
    <w:pPr>
      <w:spacing w:after="120"/>
      <w:jc w:val="both"/>
    </w:pPr>
  </w:style>
  <w:style w:type="paragraph" w:styleId="Heading1">
    <w:name w:val="heading 1"/>
    <w:basedOn w:val="Normal"/>
    <w:next w:val="Text1"/>
    <w:uiPriority w:val="1"/>
    <w:qFormat/>
    <w:rsid w:val="00547296"/>
    <w:pPr>
      <w:keepNext/>
      <w:numPr>
        <w:numId w:val="28"/>
      </w:numPr>
      <w:spacing w:before="120"/>
      <w:outlineLvl w:val="0"/>
    </w:pPr>
    <w:rPr>
      <w:b/>
      <w:bCs/>
      <w:smallCaps/>
    </w:rPr>
  </w:style>
  <w:style w:type="paragraph" w:styleId="Heading2">
    <w:name w:val="heading 2"/>
    <w:basedOn w:val="Normal"/>
    <w:next w:val="Text2"/>
    <w:link w:val="Heading2Char"/>
    <w:uiPriority w:val="1"/>
    <w:qFormat/>
    <w:rsid w:val="00547296"/>
    <w:pPr>
      <w:keepNext/>
      <w:numPr>
        <w:ilvl w:val="1"/>
        <w:numId w:val="28"/>
      </w:numPr>
      <w:spacing w:before="120"/>
      <w:ind w:left="960"/>
      <w:outlineLvl w:val="1"/>
    </w:pPr>
    <w:rPr>
      <w:b/>
      <w:bCs/>
    </w:rPr>
  </w:style>
  <w:style w:type="paragraph" w:styleId="Heading3">
    <w:name w:val="heading 3"/>
    <w:basedOn w:val="Normal"/>
    <w:next w:val="Text3"/>
    <w:uiPriority w:val="1"/>
    <w:qFormat/>
    <w:rsid w:val="000E65C1"/>
    <w:pPr>
      <w:keepNext/>
      <w:numPr>
        <w:ilvl w:val="2"/>
        <w:numId w:val="28"/>
      </w:numPr>
      <w:ind w:left="1200"/>
      <w:outlineLvl w:val="2"/>
    </w:pPr>
    <w:rPr>
      <w:i/>
      <w:iCs/>
    </w:rPr>
  </w:style>
  <w:style w:type="paragraph" w:styleId="Heading4">
    <w:name w:val="heading 4"/>
    <w:basedOn w:val="Normal"/>
    <w:next w:val="Text4"/>
    <w:uiPriority w:val="1"/>
    <w:qFormat/>
    <w:rsid w:val="2F894A3E"/>
    <w:pPr>
      <w:keepNext/>
      <w:numPr>
        <w:ilvl w:val="3"/>
        <w:numId w:val="28"/>
      </w:numPr>
      <w:outlineLvl w:val="3"/>
    </w:pPr>
  </w:style>
  <w:style w:type="paragraph" w:styleId="Heading5">
    <w:name w:val="heading 5"/>
    <w:basedOn w:val="Normal"/>
    <w:next w:val="Normal"/>
    <w:uiPriority w:val="1"/>
    <w:semiHidden/>
    <w:rsid w:val="2F894A3E"/>
    <w:pPr>
      <w:keepNext/>
      <w:numPr>
        <w:ilvl w:val="4"/>
        <w:numId w:val="28"/>
      </w:numPr>
      <w:outlineLvl w:val="4"/>
    </w:pPr>
  </w:style>
  <w:style w:type="paragraph" w:styleId="Heading6">
    <w:name w:val="heading 6"/>
    <w:basedOn w:val="Normal"/>
    <w:next w:val="Normal"/>
    <w:uiPriority w:val="1"/>
    <w:semiHidden/>
    <w:rsid w:val="2F894A3E"/>
    <w:pPr>
      <w:keepNext/>
      <w:numPr>
        <w:ilvl w:val="5"/>
        <w:numId w:val="28"/>
      </w:numPr>
      <w:outlineLvl w:val="5"/>
    </w:pPr>
  </w:style>
  <w:style w:type="paragraph" w:styleId="Heading7">
    <w:name w:val="heading 7"/>
    <w:basedOn w:val="Normal"/>
    <w:next w:val="Normal"/>
    <w:uiPriority w:val="1"/>
    <w:semiHidden/>
    <w:rsid w:val="2F894A3E"/>
    <w:pPr>
      <w:keepNext/>
      <w:numPr>
        <w:ilvl w:val="6"/>
        <w:numId w:val="28"/>
      </w:numPr>
      <w:outlineLvl w:val="6"/>
    </w:pPr>
  </w:style>
  <w:style w:type="paragraph" w:styleId="Heading8">
    <w:name w:val="heading 8"/>
    <w:basedOn w:val="Normal"/>
    <w:next w:val="Normal"/>
    <w:uiPriority w:val="1"/>
    <w:semiHidden/>
    <w:rsid w:val="2F894A3E"/>
    <w:pPr>
      <w:keepNext/>
      <w:numPr>
        <w:ilvl w:val="7"/>
        <w:numId w:val="28"/>
      </w:numPr>
      <w:outlineLvl w:val="7"/>
    </w:pPr>
  </w:style>
  <w:style w:type="paragraph" w:styleId="Heading9">
    <w:name w:val="heading 9"/>
    <w:basedOn w:val="Normal"/>
    <w:next w:val="Normal"/>
    <w:uiPriority w:val="1"/>
    <w:semiHidden/>
    <w:rsid w:val="2F894A3E"/>
    <w:pPr>
      <w:keepNext/>
      <w:numPr>
        <w:ilvl w:val="8"/>
        <w:numId w:val="2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rsid w:val="00A33E35"/>
    <w:rPr>
      <w:sz w:val="20"/>
    </w:rPr>
  </w:style>
  <w:style w:type="character" w:styleId="Hyperlink">
    <w:name w:val="Hyperlink"/>
    <w:uiPriority w:val="99"/>
    <w:locked/>
    <w:rsid w:val="00A33E35"/>
    <w:rPr>
      <w:color w:val="0563C1"/>
      <w:u w:val="single"/>
    </w:rPr>
  </w:style>
  <w:style w:type="character" w:styleId="FootnoteReference">
    <w:name w:val="footnote reference"/>
    <w:locked/>
    <w:rsid w:val="00A33E35"/>
    <w:rPr>
      <w:shd w:val="clear" w:color="auto" w:fill="auto"/>
      <w:vertAlign w:val="superscript"/>
    </w:rPr>
  </w:style>
  <w:style w:type="paragraph" w:customStyle="1" w:styleId="Pagedecouverture">
    <w:name w:val="Page de couverture"/>
    <w:basedOn w:val="Normal"/>
    <w:next w:val="Normal"/>
    <w:link w:val="PagedecouvertureChar"/>
    <w:uiPriority w:val="1"/>
    <w:rsid w:val="2F894A3E"/>
    <w:pPr>
      <w:spacing w:after="0"/>
    </w:pPr>
    <w:rPr>
      <w:rFonts w:eastAsia="Calibri"/>
      <w:lang w:eastAsia="en-GB"/>
    </w:rPr>
  </w:style>
  <w:style w:type="paragraph" w:customStyle="1" w:styleId="FooterCoverPage">
    <w:name w:val="Footer Cover Page"/>
    <w:basedOn w:val="Normal"/>
    <w:link w:val="FooterCoverPageChar"/>
    <w:rsid w:val="2F894A3E"/>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sid w:val="00A33E35"/>
  </w:style>
  <w:style w:type="paragraph" w:customStyle="1" w:styleId="HeaderCoverPage">
    <w:name w:val="Header Cover Page"/>
    <w:basedOn w:val="Normal"/>
    <w:link w:val="HeaderCoverPageChar"/>
    <w:rsid w:val="2F894A3E"/>
    <w:pPr>
      <w:tabs>
        <w:tab w:val="center" w:pos="4535"/>
        <w:tab w:val="right" w:pos="9071"/>
      </w:tabs>
    </w:pPr>
  </w:style>
  <w:style w:type="character" w:customStyle="1" w:styleId="HeaderCoverPageChar">
    <w:name w:val="Header Cover Page Char"/>
    <w:link w:val="HeaderCoverPage"/>
    <w:rsid w:val="00A33E35"/>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rsid w:val="2F894A3E"/>
    <w:pPr>
      <w:pageBreakBefore/>
      <w:numPr>
        <w:numId w:val="18"/>
      </w:numPr>
      <w:spacing w:after="480"/>
      <w:outlineLvl w:val="0"/>
    </w:pPr>
    <w:rPr>
      <w:b/>
      <w:bCs/>
      <w:sz w:val="32"/>
      <w:szCs w:val="32"/>
    </w:rPr>
  </w:style>
  <w:style w:type="paragraph" w:styleId="Caption">
    <w:name w:val="caption"/>
    <w:basedOn w:val="Normal"/>
    <w:next w:val="Normal"/>
    <w:uiPriority w:val="1"/>
    <w:semiHidden/>
    <w:rsid w:val="2F894A3E"/>
    <w:pPr>
      <w:spacing w:before="160"/>
    </w:pPr>
    <w:rPr>
      <w:i/>
      <w:iCs/>
      <w:sz w:val="22"/>
      <w:szCs w:val="22"/>
    </w:rPr>
  </w:style>
  <w:style w:type="paragraph" w:styleId="Closing">
    <w:name w:val="Closing"/>
    <w:basedOn w:val="Normal"/>
    <w:next w:val="Signature"/>
    <w:uiPriority w:val="2"/>
    <w:rsid w:val="2F894A3E"/>
    <w:pPr>
      <w:tabs>
        <w:tab w:val="left" w:pos="5102"/>
      </w:tabs>
      <w:spacing w:before="240"/>
      <w:ind w:left="5102"/>
      <w:jc w:val="left"/>
    </w:pPr>
  </w:style>
  <w:style w:type="paragraph" w:customStyle="1" w:styleId="ClosingL">
    <w:name w:val="ClosingL"/>
    <w:basedOn w:val="Normal"/>
    <w:next w:val="Signature"/>
    <w:uiPriority w:val="2"/>
    <w:rsid w:val="2F894A3E"/>
    <w:pPr>
      <w:spacing w:before="240"/>
      <w:jc w:val="left"/>
    </w:pPr>
  </w:style>
  <w:style w:type="paragraph" w:customStyle="1" w:styleId="ConfidentialUE">
    <w:name w:val="Confidential UE"/>
    <w:basedOn w:val="Normal"/>
    <w:uiPriority w:val="1"/>
    <w:semiHidden/>
    <w:rsid w:val="2F894A3E"/>
    <w:pPr>
      <w:spacing w:after="0"/>
      <w:jc w:val="center"/>
    </w:pPr>
    <w:rPr>
      <w:b/>
      <w:bCs/>
      <w:caps/>
      <w:sz w:val="32"/>
      <w:szCs w:val="32"/>
    </w:rPr>
  </w:style>
  <w:style w:type="paragraph" w:customStyle="1" w:styleId="Contact">
    <w:name w:val="Contact"/>
    <w:basedOn w:val="Normal"/>
    <w:uiPriority w:val="1"/>
    <w:rsid w:val="2F894A3E"/>
    <w:pPr>
      <w:spacing w:before="480" w:after="0"/>
      <w:ind w:left="567" w:hanging="567"/>
      <w:contextualSpacing/>
      <w:jc w:val="left"/>
    </w:pPr>
  </w:style>
  <w:style w:type="paragraph" w:customStyle="1" w:styleId="ContNum">
    <w:name w:val="ContNum"/>
    <w:basedOn w:val="Normal"/>
    <w:uiPriority w:val="1"/>
    <w:qFormat/>
    <w:rsid w:val="2F894A3E"/>
    <w:pPr>
      <w:numPr>
        <w:numId w:val="17"/>
      </w:numPr>
    </w:pPr>
  </w:style>
  <w:style w:type="paragraph" w:customStyle="1" w:styleId="ContNumLevel2">
    <w:name w:val="ContNum (Level 2)"/>
    <w:basedOn w:val="Normal"/>
    <w:uiPriority w:val="1"/>
    <w:rsid w:val="2F894A3E"/>
    <w:pPr>
      <w:numPr>
        <w:ilvl w:val="1"/>
        <w:numId w:val="17"/>
      </w:numPr>
    </w:pPr>
  </w:style>
  <w:style w:type="paragraph" w:customStyle="1" w:styleId="ContNumLevel3">
    <w:name w:val="ContNum (Level 3)"/>
    <w:basedOn w:val="Normal"/>
    <w:uiPriority w:val="1"/>
    <w:rsid w:val="2F894A3E"/>
    <w:pPr>
      <w:numPr>
        <w:ilvl w:val="2"/>
        <w:numId w:val="17"/>
      </w:numPr>
    </w:pPr>
  </w:style>
  <w:style w:type="paragraph" w:customStyle="1" w:styleId="Copies">
    <w:name w:val="Copies"/>
    <w:basedOn w:val="Normal"/>
    <w:uiPriority w:val="2"/>
    <w:rsid w:val="2F894A3E"/>
    <w:pPr>
      <w:tabs>
        <w:tab w:val="left" w:pos="5669"/>
      </w:tabs>
      <w:spacing w:before="480" w:after="0"/>
      <w:ind w:left="1531" w:hanging="1531"/>
      <w:contextualSpacing/>
      <w:jc w:val="left"/>
    </w:pPr>
  </w:style>
  <w:style w:type="paragraph" w:styleId="Date">
    <w:name w:val="Date"/>
    <w:basedOn w:val="Normal"/>
    <w:next w:val="References"/>
    <w:uiPriority w:val="1"/>
    <w:rsid w:val="2F894A3E"/>
    <w:pPr>
      <w:spacing w:after="0"/>
      <w:ind w:left="5102" w:right="-567"/>
      <w:jc w:val="left"/>
    </w:pPr>
  </w:style>
  <w:style w:type="paragraph" w:customStyle="1" w:styleId="Designator">
    <w:name w:val="Designator"/>
    <w:basedOn w:val="Normal"/>
    <w:uiPriority w:val="1"/>
    <w:semiHidden/>
    <w:rsid w:val="2F894A3E"/>
    <w:pPr>
      <w:spacing w:after="0"/>
      <w:jc w:val="center"/>
    </w:pPr>
    <w:rPr>
      <w:b/>
      <w:bCs/>
      <w:caps/>
      <w:sz w:val="32"/>
      <w:szCs w:val="32"/>
    </w:rPr>
  </w:style>
  <w:style w:type="paragraph" w:customStyle="1" w:styleId="DoubSign">
    <w:name w:val="DoubSign"/>
    <w:basedOn w:val="Normal"/>
    <w:uiPriority w:val="2"/>
    <w:rsid w:val="2F894A3E"/>
    <w:pPr>
      <w:spacing w:before="1200" w:after="0"/>
      <w:jc w:val="left"/>
    </w:pPr>
  </w:style>
  <w:style w:type="paragraph" w:customStyle="1" w:styleId="EmptyParagraph">
    <w:name w:val="Empty Paragraph"/>
    <w:basedOn w:val="Normal"/>
    <w:next w:val="Normal"/>
    <w:uiPriority w:val="1"/>
    <w:semiHidden/>
    <w:rsid w:val="2F894A3E"/>
    <w:pPr>
      <w:spacing w:before="240"/>
    </w:pPr>
  </w:style>
  <w:style w:type="paragraph" w:customStyle="1" w:styleId="Enclosures">
    <w:name w:val="Enclosures"/>
    <w:basedOn w:val="Normal"/>
    <w:uiPriority w:val="2"/>
    <w:rsid w:val="2F894A3E"/>
    <w:pPr>
      <w:keepNext/>
      <w:keepLines/>
      <w:tabs>
        <w:tab w:val="left" w:pos="5669"/>
      </w:tabs>
      <w:spacing w:before="480" w:after="0"/>
      <w:ind w:left="1531" w:hanging="1531"/>
      <w:contextualSpacing/>
      <w:jc w:val="left"/>
    </w:pPr>
  </w:style>
  <w:style w:type="paragraph" w:styleId="EndnoteText">
    <w:name w:val="endnote text"/>
    <w:basedOn w:val="Normal"/>
    <w:uiPriority w:val="1"/>
    <w:semiHidden/>
    <w:unhideWhenUsed/>
    <w:rsid w:val="2F894A3E"/>
    <w:pPr>
      <w:ind w:left="357" w:hanging="357"/>
    </w:pPr>
    <w:rPr>
      <w:sz w:val="20"/>
    </w:rPr>
  </w:style>
  <w:style w:type="paragraph" w:customStyle="1" w:styleId="FigureBody">
    <w:name w:val="Figure Body"/>
    <w:basedOn w:val="Normal"/>
    <w:next w:val="FigureSource"/>
    <w:uiPriority w:val="2"/>
    <w:rsid w:val="2F894A3E"/>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sid w:val="2F894A3E"/>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rsid w:val="2F894A3E"/>
    <w:pPr>
      <w:keepNext/>
    </w:pPr>
    <w:rPr>
      <w:b/>
      <w:bCs/>
      <w:i/>
      <w:iCs/>
    </w:rPr>
  </w:style>
  <w:style w:type="paragraph" w:customStyle="1" w:styleId="FigureTitle1">
    <w:name w:val="Figure Title 1"/>
    <w:basedOn w:val="Text1"/>
    <w:next w:val="FigureBody1"/>
    <w:uiPriority w:val="2"/>
    <w:pPr>
      <w:keepNext/>
    </w:pPr>
    <w:rPr>
      <w:b/>
      <w:i/>
    </w:rPr>
  </w:style>
  <w:style w:type="paragraph" w:customStyle="1" w:styleId="FigureTitle2">
    <w:name w:val="Figure Title 2"/>
    <w:basedOn w:val="Text2"/>
    <w:next w:val="FigureBody2"/>
    <w:uiPriority w:val="2"/>
    <w:pPr>
      <w:keepNext/>
    </w:pPr>
    <w:rPr>
      <w:b/>
      <w:i/>
    </w:rPr>
  </w:style>
  <w:style w:type="paragraph" w:customStyle="1" w:styleId="FigureTitle3">
    <w:name w:val="Figure Title 3"/>
    <w:basedOn w:val="Text3"/>
    <w:next w:val="FigureBody3"/>
    <w:uiPriority w:val="2"/>
    <w:pPr>
      <w:keepNext/>
    </w:pPr>
    <w:rPr>
      <w:b/>
      <w:i/>
    </w:rPr>
  </w:style>
  <w:style w:type="paragraph" w:customStyle="1" w:styleId="FigureTitle4">
    <w:name w:val="Figure Title 4"/>
    <w:basedOn w:val="Text4"/>
    <w:next w:val="FigureBody4"/>
    <w:uiPriority w:val="2"/>
    <w:pPr>
      <w:keepNext/>
    </w:pPr>
    <w:rPr>
      <w:b/>
      <w:i/>
    </w:rPr>
  </w:style>
  <w:style w:type="paragraph" w:styleId="Footer">
    <w:name w:val="footer"/>
    <w:basedOn w:val="Normal"/>
    <w:uiPriority w:val="2"/>
    <w:rsid w:val="2F894A3E"/>
    <w:pPr>
      <w:spacing w:after="0"/>
      <w:ind w:right="-567"/>
      <w:jc w:val="left"/>
    </w:pPr>
    <w:rPr>
      <w:sz w:val="16"/>
      <w:szCs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unhideWhenUsed/>
    <w:rsid w:val="003E0E6A"/>
    <w:pPr>
      <w:ind w:left="357" w:hanging="357"/>
    </w:pPr>
    <w:rPr>
      <w:sz w:val="20"/>
    </w:rPr>
  </w:style>
  <w:style w:type="paragraph" w:customStyle="1" w:styleId="LegalNumPar">
    <w:name w:val="LegalNumPar"/>
    <w:basedOn w:val="Normal"/>
    <w:uiPriority w:val="1"/>
    <w:qFormat/>
    <w:rsid w:val="2F894A3E"/>
    <w:pPr>
      <w:numPr>
        <w:numId w:val="16"/>
      </w:numPr>
      <w:spacing w:line="360" w:lineRule="auto"/>
    </w:pPr>
  </w:style>
  <w:style w:type="paragraph" w:customStyle="1" w:styleId="LegalNumPar2">
    <w:name w:val="LegalNumPar2"/>
    <w:basedOn w:val="Normal"/>
    <w:uiPriority w:val="1"/>
    <w:rsid w:val="2F894A3E"/>
    <w:pPr>
      <w:numPr>
        <w:ilvl w:val="1"/>
        <w:numId w:val="16"/>
      </w:numPr>
      <w:spacing w:line="360" w:lineRule="auto"/>
    </w:pPr>
  </w:style>
  <w:style w:type="paragraph" w:customStyle="1" w:styleId="LegalNumPar3">
    <w:name w:val="LegalNumPar3"/>
    <w:basedOn w:val="Normal"/>
    <w:uiPriority w:val="1"/>
    <w:rsid w:val="2F894A3E"/>
    <w:pPr>
      <w:numPr>
        <w:ilvl w:val="2"/>
        <w:numId w:val="16"/>
      </w:numPr>
      <w:spacing w:line="360" w:lineRule="auto"/>
    </w:pPr>
  </w:style>
  <w:style w:type="paragraph" w:styleId="ListBullet">
    <w:name w:val="List Bullet"/>
    <w:basedOn w:val="Normal"/>
    <w:uiPriority w:val="1"/>
    <w:rsid w:val="2F894A3E"/>
    <w:pPr>
      <w:numPr>
        <w:numId w:val="15"/>
      </w:numPr>
    </w:pPr>
  </w:style>
  <w:style w:type="paragraph" w:customStyle="1" w:styleId="ListBulletLevel2">
    <w:name w:val="List Bullet (Level 2)"/>
    <w:basedOn w:val="Normal"/>
    <w:uiPriority w:val="1"/>
    <w:rsid w:val="2F894A3E"/>
    <w:pPr>
      <w:numPr>
        <w:ilvl w:val="1"/>
        <w:numId w:val="15"/>
      </w:numPr>
    </w:pPr>
  </w:style>
  <w:style w:type="paragraph" w:customStyle="1" w:styleId="ListBulletLevel3">
    <w:name w:val="List Bullet (Level 3)"/>
    <w:basedOn w:val="Normal"/>
    <w:uiPriority w:val="1"/>
    <w:semiHidden/>
    <w:unhideWhenUsed/>
    <w:rsid w:val="2F894A3E"/>
    <w:pPr>
      <w:numPr>
        <w:ilvl w:val="2"/>
        <w:numId w:val="15"/>
      </w:numPr>
    </w:pPr>
  </w:style>
  <w:style w:type="paragraph" w:customStyle="1" w:styleId="ListBulletLevel4">
    <w:name w:val="List Bullet (Level 4)"/>
    <w:basedOn w:val="Normal"/>
    <w:uiPriority w:val="1"/>
    <w:semiHidden/>
    <w:unhideWhenUsed/>
    <w:rsid w:val="2F894A3E"/>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34"/>
      </w:numPr>
      <w:tabs>
        <w:tab w:val="num" w:pos="426"/>
      </w:tabs>
    </w:pPr>
  </w:style>
  <w:style w:type="paragraph" w:customStyle="1" w:styleId="ListBullet3Level2">
    <w:name w:val="List Bullet 3 (Level 2)"/>
    <w:basedOn w:val="Text3"/>
    <w:uiPriority w:val="1"/>
    <w:pPr>
      <w:numPr>
        <w:ilvl w:val="1"/>
        <w:numId w:val="24"/>
      </w:numPr>
    </w:pPr>
  </w:style>
  <w:style w:type="paragraph" w:customStyle="1" w:styleId="ListBullet3Level3">
    <w:name w:val="List Bullet 3 (Level 3)"/>
    <w:basedOn w:val="Text3"/>
    <w:uiPriority w:val="1"/>
    <w:semiHidden/>
    <w:unhideWhenUsed/>
    <w:pPr>
      <w:numPr>
        <w:ilvl w:val="2"/>
        <w:numId w:val="24"/>
      </w:numPr>
    </w:pPr>
  </w:style>
  <w:style w:type="paragraph" w:customStyle="1" w:styleId="ListBullet3Level4">
    <w:name w:val="List Bullet 3 (Level 4)"/>
    <w:basedOn w:val="Text3"/>
    <w:uiPriority w:val="1"/>
    <w:semiHidden/>
    <w:unhideWhenUsed/>
    <w:pPr>
      <w:numPr>
        <w:ilvl w:val="3"/>
        <w:numId w:val="24"/>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rsid w:val="2F894A3E"/>
    <w:pPr>
      <w:numPr>
        <w:numId w:val="6"/>
      </w:numPr>
    </w:pPr>
  </w:style>
  <w:style w:type="paragraph" w:customStyle="1" w:styleId="ListDashLevel2">
    <w:name w:val="List Dash (Level 2)"/>
    <w:basedOn w:val="Normal"/>
    <w:uiPriority w:val="1"/>
    <w:rsid w:val="2F894A3E"/>
    <w:pPr>
      <w:numPr>
        <w:ilvl w:val="1"/>
        <w:numId w:val="6"/>
      </w:numPr>
    </w:pPr>
  </w:style>
  <w:style w:type="paragraph" w:customStyle="1" w:styleId="ListDashLevel3">
    <w:name w:val="List Dash (Level 3)"/>
    <w:basedOn w:val="Normal"/>
    <w:uiPriority w:val="1"/>
    <w:semiHidden/>
    <w:unhideWhenUsed/>
    <w:rsid w:val="2F894A3E"/>
    <w:pPr>
      <w:numPr>
        <w:ilvl w:val="2"/>
        <w:numId w:val="6"/>
      </w:numPr>
    </w:pPr>
  </w:style>
  <w:style w:type="paragraph" w:customStyle="1" w:styleId="ListDashLevel4">
    <w:name w:val="List Dash (Level 4)"/>
    <w:basedOn w:val="Normal"/>
    <w:uiPriority w:val="1"/>
    <w:semiHidden/>
    <w:unhideWhenUsed/>
    <w:rsid w:val="2F894A3E"/>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rsid w:val="2F894A3E"/>
    <w:pPr>
      <w:numPr>
        <w:numId w:val="11"/>
      </w:numPr>
    </w:pPr>
  </w:style>
  <w:style w:type="paragraph" w:customStyle="1" w:styleId="ListNumberLevel2">
    <w:name w:val="List Number (Level 2)"/>
    <w:basedOn w:val="Normal"/>
    <w:uiPriority w:val="1"/>
    <w:rsid w:val="2F894A3E"/>
    <w:pPr>
      <w:numPr>
        <w:ilvl w:val="1"/>
        <w:numId w:val="11"/>
      </w:numPr>
    </w:pPr>
  </w:style>
  <w:style w:type="paragraph" w:customStyle="1" w:styleId="ListNumberLevel3">
    <w:name w:val="List Number (Level 3)"/>
    <w:basedOn w:val="Normal"/>
    <w:uiPriority w:val="1"/>
    <w:semiHidden/>
    <w:unhideWhenUsed/>
    <w:rsid w:val="2F894A3E"/>
    <w:pPr>
      <w:numPr>
        <w:ilvl w:val="2"/>
        <w:numId w:val="11"/>
      </w:numPr>
    </w:pPr>
  </w:style>
  <w:style w:type="paragraph" w:customStyle="1" w:styleId="ListNumberLevel4">
    <w:name w:val="List Number (Level 4)"/>
    <w:basedOn w:val="Normal"/>
    <w:uiPriority w:val="1"/>
    <w:semiHidden/>
    <w:unhideWhenUsed/>
    <w:rsid w:val="2F894A3E"/>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rsid w:val="2F894A3E"/>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szCs w:val="22"/>
    </w:rPr>
  </w:style>
  <w:style w:type="paragraph" w:customStyle="1" w:styleId="Marking">
    <w:name w:val="Marking"/>
    <w:basedOn w:val="Normal"/>
    <w:uiPriority w:val="1"/>
    <w:semiHidden/>
    <w:rsid w:val="2F894A3E"/>
    <w:pPr>
      <w:ind w:left="5102" w:right="-680"/>
      <w:contextualSpacing/>
      <w:jc w:val="left"/>
    </w:pPr>
    <w:rPr>
      <w:sz w:val="28"/>
      <w:szCs w:val="28"/>
    </w:rPr>
  </w:style>
  <w:style w:type="paragraph" w:customStyle="1" w:styleId="NoteAddressee">
    <w:name w:val="NoteAddressee"/>
    <w:basedOn w:val="Normal"/>
    <w:uiPriority w:val="2"/>
    <w:rsid w:val="2F894A3E"/>
    <w:pPr>
      <w:spacing w:after="720"/>
      <w:contextualSpacing/>
      <w:jc w:val="center"/>
    </w:pPr>
    <w:rPr>
      <w:b/>
      <w:bCs/>
      <w:smallCaps/>
    </w:rPr>
  </w:style>
  <w:style w:type="paragraph" w:customStyle="1" w:styleId="NoteColumn">
    <w:name w:val="NoteColumn"/>
    <w:basedOn w:val="Normal"/>
    <w:uiPriority w:val="2"/>
    <w:rsid w:val="2F894A3E"/>
    <w:pPr>
      <w:tabs>
        <w:tab w:val="left" w:pos="850"/>
        <w:tab w:val="left" w:pos="1570"/>
        <w:tab w:val="left" w:pos="5102"/>
        <w:tab w:val="left" w:pos="5822"/>
      </w:tabs>
      <w:spacing w:after="720"/>
      <w:ind w:left="680"/>
      <w:jc w:val="left"/>
    </w:pPr>
    <w:rPr>
      <w:b/>
      <w:bCs/>
      <w:smallCaps/>
    </w:rPr>
  </w:style>
  <w:style w:type="paragraph" w:customStyle="1" w:styleId="NoteHead">
    <w:name w:val="NoteHead"/>
    <w:basedOn w:val="Normal"/>
    <w:uiPriority w:val="2"/>
    <w:rsid w:val="2F894A3E"/>
    <w:pPr>
      <w:spacing w:before="720" w:after="720"/>
      <w:contextualSpacing/>
      <w:jc w:val="center"/>
    </w:pPr>
    <w:rPr>
      <w:b/>
      <w:bCs/>
      <w:smallCaps/>
    </w:rPr>
  </w:style>
  <w:style w:type="paragraph" w:customStyle="1" w:styleId="NoteList">
    <w:name w:val="NoteList"/>
    <w:basedOn w:val="Normal"/>
    <w:uiPriority w:val="2"/>
    <w:rsid w:val="2F894A3E"/>
    <w:pPr>
      <w:tabs>
        <w:tab w:val="left" w:pos="5822"/>
      </w:tabs>
      <w:spacing w:before="720" w:after="720"/>
      <w:ind w:left="5102" w:hanging="3118"/>
      <w:contextualSpacing/>
      <w:jc w:val="left"/>
    </w:pPr>
    <w:rPr>
      <w:b/>
      <w:bCs/>
      <w:smallCaps/>
    </w:rPr>
  </w:style>
  <w:style w:type="paragraph" w:customStyle="1" w:styleId="NoteTitle">
    <w:name w:val="NoteTitle"/>
    <w:basedOn w:val="Normal"/>
    <w:uiPriority w:val="2"/>
    <w:rsid w:val="2F894A3E"/>
    <w:pPr>
      <w:spacing w:before="720" w:after="360"/>
      <w:contextualSpacing/>
      <w:jc w:val="center"/>
    </w:pPr>
    <w:rPr>
      <w:b/>
      <w:bCs/>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rsid w:val="2F894A3E"/>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rsid w:val="2F894A3E"/>
    <w:pPr>
      <w:ind w:left="5102" w:right="-567"/>
      <w:contextualSpacing/>
      <w:jc w:val="left"/>
    </w:pPr>
    <w:rPr>
      <w:sz w:val="20"/>
    </w:rPr>
  </w:style>
  <w:style w:type="paragraph" w:customStyle="1" w:styleId="Releasable">
    <w:name w:val="Releasable"/>
    <w:basedOn w:val="Normal"/>
    <w:uiPriority w:val="1"/>
    <w:semiHidden/>
    <w:rsid w:val="2F894A3E"/>
    <w:pPr>
      <w:spacing w:after="0"/>
      <w:jc w:val="center"/>
    </w:pPr>
    <w:rPr>
      <w:b/>
      <w:bCs/>
      <w:caps/>
      <w:sz w:val="32"/>
      <w:szCs w:val="32"/>
    </w:rPr>
  </w:style>
  <w:style w:type="paragraph" w:customStyle="1" w:styleId="RUE">
    <w:name w:val="RUE"/>
    <w:basedOn w:val="Normal"/>
    <w:uiPriority w:val="1"/>
    <w:semiHidden/>
    <w:rsid w:val="2F894A3E"/>
    <w:pPr>
      <w:spacing w:after="0"/>
      <w:jc w:val="center"/>
    </w:pPr>
    <w:rPr>
      <w:b/>
      <w:bCs/>
      <w:caps/>
      <w:sz w:val="32"/>
      <w:szCs w:val="32"/>
    </w:rPr>
  </w:style>
  <w:style w:type="paragraph" w:customStyle="1" w:styleId="SecretUE">
    <w:name w:val="Secret UE"/>
    <w:basedOn w:val="Normal"/>
    <w:uiPriority w:val="1"/>
    <w:semiHidden/>
    <w:rsid w:val="2F894A3E"/>
    <w:pPr>
      <w:spacing w:after="0"/>
      <w:jc w:val="center"/>
    </w:pPr>
    <w:rPr>
      <w:b/>
      <w:bCs/>
      <w:caps/>
      <w:color w:val="FF0000"/>
      <w:sz w:val="32"/>
      <w:szCs w:val="32"/>
    </w:rPr>
  </w:style>
  <w:style w:type="paragraph" w:styleId="Signature">
    <w:name w:val="Signature"/>
    <w:basedOn w:val="Normal"/>
    <w:uiPriority w:val="2"/>
    <w:rsid w:val="2F894A3E"/>
    <w:pPr>
      <w:spacing w:before="1200" w:after="0"/>
      <w:ind w:left="5102"/>
      <w:jc w:val="center"/>
    </w:pPr>
  </w:style>
  <w:style w:type="paragraph" w:customStyle="1" w:styleId="SignatureL">
    <w:name w:val="SignatureL"/>
    <w:basedOn w:val="Normal"/>
    <w:uiPriority w:val="2"/>
    <w:rsid w:val="2F894A3E"/>
    <w:pPr>
      <w:spacing w:before="1200" w:after="0"/>
      <w:jc w:val="left"/>
    </w:pPr>
  </w:style>
  <w:style w:type="paragraph" w:customStyle="1" w:styleId="Subject">
    <w:name w:val="Subject"/>
    <w:basedOn w:val="Normal"/>
    <w:uiPriority w:val="2"/>
    <w:rsid w:val="2F894A3E"/>
    <w:pPr>
      <w:spacing w:after="480"/>
      <w:ind w:left="1191" w:hanging="1191"/>
      <w:contextualSpacing/>
      <w:jc w:val="left"/>
    </w:pPr>
    <w:rPr>
      <w:b/>
      <w:bCs/>
    </w:rPr>
  </w:style>
  <w:style w:type="paragraph" w:customStyle="1" w:styleId="TableListBullet">
    <w:name w:val="Table List Bullet"/>
    <w:basedOn w:val="TableText"/>
    <w:uiPriority w:val="1"/>
    <w:pPr>
      <w:numPr>
        <w:numId w:val="19"/>
      </w:numPr>
    </w:pPr>
  </w:style>
  <w:style w:type="paragraph" w:customStyle="1" w:styleId="TableListBulletLevel2">
    <w:name w:val="Table List Bullet (Level 2)"/>
    <w:basedOn w:val="TableText"/>
    <w:uiPriority w:val="1"/>
    <w:pPr>
      <w:numPr>
        <w:ilvl w:val="1"/>
        <w:numId w:val="19"/>
      </w:numPr>
    </w:pPr>
  </w:style>
  <w:style w:type="paragraph" w:customStyle="1" w:styleId="TableListBulletLevel3">
    <w:name w:val="Table List Bullet (Level 3)"/>
    <w:basedOn w:val="TableText"/>
    <w:uiPriority w:val="1"/>
    <w:semiHidden/>
    <w:unhideWhenUsed/>
    <w:pPr>
      <w:numPr>
        <w:ilvl w:val="2"/>
        <w:numId w:val="19"/>
      </w:numPr>
    </w:pPr>
  </w:style>
  <w:style w:type="paragraph" w:customStyle="1" w:styleId="TableListBulletLevel4">
    <w:name w:val="Table List Bullet (Level 4)"/>
    <w:basedOn w:val="TableText"/>
    <w:uiPriority w:val="1"/>
    <w:semiHidden/>
    <w:unhideWhenUsed/>
    <w:pPr>
      <w:numPr>
        <w:ilvl w:val="3"/>
        <w:numId w:val="19"/>
      </w:numPr>
    </w:pPr>
  </w:style>
  <w:style w:type="paragraph" w:customStyle="1" w:styleId="TableListDash">
    <w:name w:val="Table List Dash"/>
    <w:basedOn w:val="TableText"/>
    <w:uiPriority w:val="1"/>
    <w:pPr>
      <w:numPr>
        <w:numId w:val="20"/>
      </w:numPr>
    </w:pPr>
  </w:style>
  <w:style w:type="paragraph" w:customStyle="1" w:styleId="TableListDashLevel2">
    <w:name w:val="Table List Dash (Level 2)"/>
    <w:basedOn w:val="TableText"/>
    <w:uiPriority w:val="1"/>
    <w:pPr>
      <w:numPr>
        <w:ilvl w:val="1"/>
        <w:numId w:val="20"/>
      </w:numPr>
    </w:pPr>
  </w:style>
  <w:style w:type="paragraph" w:customStyle="1" w:styleId="TableListDashLevel3">
    <w:name w:val="Table List Dash (Level 3)"/>
    <w:basedOn w:val="TableText"/>
    <w:uiPriority w:val="1"/>
    <w:semiHidden/>
    <w:unhideWhenUsed/>
    <w:pPr>
      <w:numPr>
        <w:ilvl w:val="2"/>
        <w:numId w:val="20"/>
      </w:numPr>
    </w:pPr>
  </w:style>
  <w:style w:type="paragraph" w:customStyle="1" w:styleId="TableListDashLevel4">
    <w:name w:val="Table List Dash (Level 4)"/>
    <w:basedOn w:val="TableText"/>
    <w:uiPriority w:val="1"/>
    <w:semiHidden/>
    <w:unhideWhenUsed/>
    <w:pPr>
      <w:numPr>
        <w:ilvl w:val="3"/>
        <w:numId w:val="20"/>
      </w:numPr>
    </w:pPr>
  </w:style>
  <w:style w:type="paragraph" w:customStyle="1" w:styleId="TableListNumber">
    <w:name w:val="Table List Number"/>
    <w:basedOn w:val="TableText"/>
    <w:uiPriority w:val="1"/>
    <w:pPr>
      <w:numPr>
        <w:numId w:val="21"/>
      </w:numPr>
    </w:pPr>
  </w:style>
  <w:style w:type="paragraph" w:customStyle="1" w:styleId="TableListNumberLevel2">
    <w:name w:val="Table List Number (Level 2)"/>
    <w:basedOn w:val="TableText"/>
    <w:uiPriority w:val="1"/>
    <w:pPr>
      <w:numPr>
        <w:ilvl w:val="1"/>
        <w:numId w:val="21"/>
      </w:numPr>
    </w:pPr>
  </w:style>
  <w:style w:type="paragraph" w:customStyle="1" w:styleId="TableListNumberLevel3">
    <w:name w:val="Table List Number (Level 3)"/>
    <w:basedOn w:val="TableText"/>
    <w:uiPriority w:val="1"/>
    <w:semiHidden/>
    <w:unhideWhenUsed/>
    <w:pPr>
      <w:numPr>
        <w:ilvl w:val="2"/>
        <w:numId w:val="21"/>
      </w:numPr>
    </w:pPr>
  </w:style>
  <w:style w:type="paragraph" w:customStyle="1" w:styleId="TableListNumberLevel4">
    <w:name w:val="Table List Number (Level 4)"/>
    <w:basedOn w:val="TableText"/>
    <w:uiPriority w:val="1"/>
    <w:semiHidden/>
    <w:unhideWhenUsed/>
    <w:pPr>
      <w:numPr>
        <w:ilvl w:val="3"/>
        <w:numId w:val="21"/>
      </w:numPr>
    </w:pPr>
  </w:style>
  <w:style w:type="paragraph" w:customStyle="1" w:styleId="TableSource">
    <w:name w:val="Table Source"/>
    <w:basedOn w:val="Normal"/>
    <w:next w:val="Normal"/>
    <w:uiPriority w:val="1"/>
    <w:semiHidden/>
    <w:unhideWhenUsed/>
    <w:rsid w:val="2F894A3E"/>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rsid w:val="2F894A3E"/>
    <w:pPr>
      <w:spacing w:before="60" w:after="60"/>
      <w:jc w:val="left"/>
    </w:pPr>
  </w:style>
  <w:style w:type="paragraph" w:customStyle="1" w:styleId="TableTitle">
    <w:name w:val="Table Title"/>
    <w:basedOn w:val="Normal"/>
    <w:uiPriority w:val="1"/>
    <w:semiHidden/>
    <w:unhideWhenUsed/>
    <w:rsid w:val="2F894A3E"/>
    <w:pPr>
      <w:keepNext/>
    </w:pPr>
    <w:rPr>
      <w:b/>
      <w:bCs/>
      <w:i/>
      <w:iCs/>
    </w:rPr>
  </w:style>
  <w:style w:type="paragraph" w:customStyle="1" w:styleId="TableTitle1">
    <w:name w:val="Table Title 1"/>
    <w:basedOn w:val="Text1"/>
    <w:uiPriority w:val="1"/>
    <w:semiHidden/>
    <w:unhideWhenUsed/>
    <w:pPr>
      <w:keepNext/>
    </w:pPr>
    <w:rPr>
      <w:b/>
      <w:i/>
    </w:rPr>
  </w:style>
  <w:style w:type="paragraph" w:customStyle="1" w:styleId="TableTitle2">
    <w:name w:val="Table Title 2"/>
    <w:basedOn w:val="Text2"/>
    <w:uiPriority w:val="1"/>
    <w:semiHidden/>
    <w:unhideWhenUsed/>
    <w:pPr>
      <w:keepNext/>
    </w:pPr>
    <w:rPr>
      <w:b/>
      <w:i/>
    </w:rPr>
  </w:style>
  <w:style w:type="paragraph" w:customStyle="1" w:styleId="TableTitle3">
    <w:name w:val="Table Title 3"/>
    <w:basedOn w:val="Text3"/>
    <w:uiPriority w:val="1"/>
    <w:semiHidden/>
    <w:unhideWhenUsed/>
    <w:pPr>
      <w:keepNext/>
    </w:pPr>
    <w:rPr>
      <w:b/>
      <w:i/>
    </w:rPr>
  </w:style>
  <w:style w:type="paragraph" w:customStyle="1" w:styleId="TableTitle4">
    <w:name w:val="Table Title 4"/>
    <w:basedOn w:val="Text4"/>
    <w:uiPriority w:val="1"/>
    <w:semiHidden/>
    <w:unhideWhenUsed/>
    <w:pPr>
      <w:keepNext/>
    </w:pPr>
    <w:rPr>
      <w:b/>
      <w:i/>
    </w:rPr>
  </w:style>
  <w:style w:type="paragraph" w:customStyle="1" w:styleId="Text1">
    <w:name w:val="Text 1"/>
    <w:basedOn w:val="Normal"/>
    <w:uiPriority w:val="1"/>
    <w:qFormat/>
    <w:rsid w:val="2F894A3E"/>
    <w:pPr>
      <w:ind w:left="482"/>
    </w:pPr>
  </w:style>
  <w:style w:type="paragraph" w:customStyle="1" w:styleId="Text2">
    <w:name w:val="Text 2"/>
    <w:basedOn w:val="Normal"/>
    <w:uiPriority w:val="1"/>
    <w:qFormat/>
    <w:rsid w:val="2F894A3E"/>
    <w:pPr>
      <w:ind w:left="1077"/>
    </w:pPr>
  </w:style>
  <w:style w:type="paragraph" w:customStyle="1" w:styleId="Text3">
    <w:name w:val="Text 3"/>
    <w:basedOn w:val="Normal"/>
    <w:uiPriority w:val="1"/>
    <w:qFormat/>
    <w:rsid w:val="2F894A3E"/>
    <w:pPr>
      <w:ind w:left="1916"/>
    </w:pPr>
  </w:style>
  <w:style w:type="paragraph" w:customStyle="1" w:styleId="Text4">
    <w:name w:val="Text 4"/>
    <w:basedOn w:val="Normal"/>
    <w:uiPriority w:val="1"/>
    <w:qFormat/>
    <w:rsid w:val="2F894A3E"/>
    <w:pPr>
      <w:ind w:left="2880"/>
    </w:pPr>
  </w:style>
  <w:style w:type="paragraph" w:styleId="Title">
    <w:name w:val="Title"/>
    <w:basedOn w:val="Normal"/>
    <w:next w:val="Normal"/>
    <w:uiPriority w:val="1"/>
    <w:qFormat/>
    <w:rsid w:val="2F894A3E"/>
    <w:pPr>
      <w:spacing w:after="480"/>
      <w:jc w:val="center"/>
    </w:pPr>
    <w:rPr>
      <w:b/>
      <w:bCs/>
      <w:sz w:val="48"/>
      <w:szCs w:val="48"/>
    </w:rPr>
  </w:style>
  <w:style w:type="paragraph" w:styleId="TOC1">
    <w:name w:val="toc 1"/>
    <w:basedOn w:val="Normal"/>
    <w:next w:val="Normal"/>
    <w:uiPriority w:val="39"/>
    <w:rsid w:val="2F894A3E"/>
    <w:pPr>
      <w:tabs>
        <w:tab w:val="right" w:leader="dot" w:pos="8640"/>
      </w:tabs>
      <w:spacing w:before="120"/>
      <w:ind w:left="482" w:right="720" w:hanging="482"/>
    </w:pPr>
  </w:style>
  <w:style w:type="paragraph" w:styleId="TOC2">
    <w:name w:val="toc 2"/>
    <w:basedOn w:val="Normal"/>
    <w:next w:val="Normal"/>
    <w:uiPriority w:val="39"/>
    <w:rsid w:val="2F894A3E"/>
    <w:pPr>
      <w:tabs>
        <w:tab w:val="right" w:leader="dot" w:pos="8640"/>
      </w:tabs>
      <w:spacing w:before="60" w:after="60"/>
      <w:ind w:left="1077" w:right="720" w:hanging="595"/>
    </w:pPr>
    <w:rPr>
      <w:noProof/>
    </w:rPr>
  </w:style>
  <w:style w:type="paragraph" w:styleId="TOC3">
    <w:name w:val="toc 3"/>
    <w:basedOn w:val="Normal"/>
    <w:next w:val="Normal"/>
    <w:uiPriority w:val="39"/>
    <w:rsid w:val="2F894A3E"/>
    <w:pPr>
      <w:tabs>
        <w:tab w:val="right" w:leader="dot" w:pos="8640"/>
      </w:tabs>
      <w:spacing w:before="60" w:after="60"/>
      <w:ind w:left="1916" w:right="720" w:hanging="839"/>
    </w:pPr>
  </w:style>
  <w:style w:type="paragraph" w:styleId="TOC4">
    <w:name w:val="toc 4"/>
    <w:basedOn w:val="Normal"/>
    <w:next w:val="Normal"/>
    <w:uiPriority w:val="1"/>
    <w:semiHidden/>
    <w:rsid w:val="2F894A3E"/>
    <w:pPr>
      <w:tabs>
        <w:tab w:val="right" w:leader="dot" w:pos="8640"/>
      </w:tabs>
      <w:spacing w:before="60" w:after="60"/>
      <w:ind w:left="2880" w:right="720" w:hanging="964"/>
    </w:pPr>
    <w:rPr>
      <w:noProof/>
    </w:rPr>
  </w:style>
  <w:style w:type="paragraph" w:styleId="TOC5">
    <w:name w:val="toc 5"/>
    <w:basedOn w:val="Normal"/>
    <w:next w:val="Normal"/>
    <w:uiPriority w:val="1"/>
    <w:semiHidden/>
    <w:rsid w:val="2F894A3E"/>
    <w:pPr>
      <w:tabs>
        <w:tab w:val="right" w:leader="dot" w:pos="8640"/>
      </w:tabs>
      <w:spacing w:before="240"/>
      <w:ind w:right="720"/>
    </w:pPr>
    <w:rPr>
      <w:caps/>
    </w:rPr>
  </w:style>
  <w:style w:type="paragraph" w:styleId="TOC6">
    <w:name w:val="toc 6"/>
    <w:basedOn w:val="Normal"/>
    <w:next w:val="Normal"/>
    <w:uiPriority w:val="1"/>
    <w:semiHidden/>
    <w:rsid w:val="2F894A3E"/>
    <w:rPr>
      <w:caps/>
    </w:rPr>
  </w:style>
  <w:style w:type="paragraph" w:styleId="TOC7">
    <w:name w:val="toc 7"/>
    <w:basedOn w:val="Normal"/>
    <w:next w:val="Normal"/>
    <w:uiPriority w:val="1"/>
    <w:semiHidden/>
    <w:rsid w:val="2F894A3E"/>
    <w:pPr>
      <w:tabs>
        <w:tab w:val="left" w:pos="3685"/>
      </w:tabs>
      <w:spacing w:after="0"/>
      <w:ind w:left="2880" w:hanging="1349"/>
    </w:pPr>
  </w:style>
  <w:style w:type="paragraph" w:styleId="TOC8">
    <w:name w:val="toc 8"/>
    <w:basedOn w:val="Normal"/>
    <w:next w:val="Normal"/>
    <w:uiPriority w:val="1"/>
    <w:semiHidden/>
    <w:rsid w:val="2F894A3E"/>
    <w:pPr>
      <w:tabs>
        <w:tab w:val="right" w:leader="dot" w:pos="8640"/>
      </w:tabs>
    </w:pPr>
  </w:style>
  <w:style w:type="paragraph" w:styleId="TOC9">
    <w:name w:val="toc 9"/>
    <w:basedOn w:val="Normal"/>
    <w:next w:val="Normal"/>
    <w:uiPriority w:val="1"/>
    <w:semiHidden/>
    <w:rsid w:val="2F894A3E"/>
    <w:pPr>
      <w:tabs>
        <w:tab w:val="right" w:leader="dot" w:pos="8640"/>
      </w:tabs>
    </w:pPr>
  </w:style>
  <w:style w:type="paragraph" w:styleId="TOCHeading">
    <w:name w:val="TOC Heading"/>
    <w:basedOn w:val="Normal"/>
    <w:next w:val="Normal"/>
    <w:uiPriority w:val="1"/>
    <w:semiHidden/>
    <w:rsid w:val="2F894A3E"/>
    <w:pPr>
      <w:spacing w:before="240"/>
      <w:jc w:val="center"/>
    </w:pPr>
    <w:rPr>
      <w:rFonts w:ascii="Times New Roman Bold" w:hAnsi="Times New Roman Bold"/>
      <w:b/>
      <w:bCs/>
      <w:caps/>
    </w:rPr>
  </w:style>
  <w:style w:type="paragraph" w:customStyle="1" w:styleId="TrsSecretUE">
    <w:name w:val="Très Secret UE"/>
    <w:basedOn w:val="Normal"/>
    <w:uiPriority w:val="1"/>
    <w:semiHidden/>
    <w:rsid w:val="2F894A3E"/>
    <w:pPr>
      <w:spacing w:after="0"/>
      <w:jc w:val="center"/>
    </w:pPr>
    <w:rPr>
      <w:b/>
      <w:bCs/>
      <w:caps/>
      <w:color w:val="FF0000"/>
      <w:sz w:val="32"/>
      <w:szCs w:val="32"/>
    </w:rPr>
  </w:style>
  <w:style w:type="paragraph" w:customStyle="1" w:styleId="YReferences">
    <w:name w:val="YReferences"/>
    <w:basedOn w:val="Normal"/>
    <w:uiPriority w:val="2"/>
    <w:rsid w:val="2F894A3E"/>
    <w:pPr>
      <w:spacing w:after="480"/>
      <w:ind w:left="1191" w:hanging="1191"/>
      <w:contextualSpacing/>
    </w:pPr>
  </w:style>
  <w:style w:type="paragraph" w:customStyle="1" w:styleId="ZCom">
    <w:name w:val="Z_Com"/>
    <w:basedOn w:val="Normal"/>
    <w:next w:val="Normal"/>
    <w:uiPriority w:val="2"/>
    <w:rsid w:val="2F894A3E"/>
    <w:pPr>
      <w:widowControl w:val="0"/>
      <w:spacing w:before="90" w:after="0"/>
      <w:ind w:right="85"/>
      <w:jc w:val="left"/>
    </w:pPr>
  </w:style>
  <w:style w:type="paragraph" w:customStyle="1" w:styleId="ZDGName">
    <w:name w:val="Z_DGName"/>
    <w:basedOn w:val="Normal"/>
    <w:uiPriority w:val="2"/>
    <w:rsid w:val="2F894A3E"/>
    <w:pPr>
      <w:widowControl w:val="0"/>
      <w:spacing w:after="0"/>
      <w:ind w:right="85"/>
      <w:jc w:val="left"/>
    </w:pPr>
    <w:rPr>
      <w:sz w:val="16"/>
      <w:szCs w:val="16"/>
    </w:rPr>
  </w:style>
  <w:style w:type="paragraph" w:customStyle="1" w:styleId="ZFlag">
    <w:name w:val="Z_Flag"/>
    <w:basedOn w:val="Normal"/>
    <w:next w:val="Normal"/>
    <w:uiPriority w:val="2"/>
    <w:rsid w:val="2F894A3E"/>
    <w:pPr>
      <w:widowControl w:val="0"/>
      <w:spacing w:after="0"/>
      <w:ind w:right="85"/>
    </w:pPr>
  </w:style>
  <w:style w:type="paragraph" w:styleId="Header">
    <w:name w:val="header"/>
    <w:basedOn w:val="Normal"/>
    <w:link w:val="HeaderChar"/>
    <w:uiPriority w:val="2"/>
    <w:rsid w:val="2F894A3E"/>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Marker">
    <w:name w:val="Marker"/>
    <w:basedOn w:val="DefaultParagraphFont"/>
    <w:rsid w:val="000D0175"/>
    <w:rPr>
      <w:color w:val="0000FF"/>
      <w:shd w:val="clear" w:color="auto" w:fill="auto"/>
    </w:rPr>
  </w:style>
  <w:style w:type="paragraph" w:customStyle="1" w:styleId="Typedudocument">
    <w:name w:val="Type du document"/>
    <w:basedOn w:val="Normal"/>
    <w:next w:val="Normal"/>
    <w:uiPriority w:val="1"/>
    <w:rsid w:val="2F894A3E"/>
    <w:pPr>
      <w:spacing w:before="360" w:after="0"/>
      <w:jc w:val="center"/>
    </w:pPr>
    <w:rPr>
      <w:rFonts w:eastAsiaTheme="minorEastAsia"/>
      <w:b/>
      <w:bCs/>
      <w:lang w:eastAsia="en-US"/>
    </w:rPr>
  </w:style>
  <w:style w:type="paragraph" w:customStyle="1" w:styleId="Titreobjet">
    <w:name w:val="Titre objet"/>
    <w:basedOn w:val="Normal"/>
    <w:next w:val="Normal"/>
    <w:uiPriority w:val="1"/>
    <w:rsid w:val="2F894A3E"/>
    <w:pPr>
      <w:spacing w:before="360" w:after="360"/>
      <w:jc w:val="center"/>
    </w:pPr>
    <w:rPr>
      <w:rFonts w:eastAsiaTheme="minorEastAsia"/>
      <w:b/>
      <w:bCs/>
      <w:lang w:eastAsia="en-US"/>
    </w:rPr>
  </w:style>
  <w:style w:type="paragraph" w:customStyle="1" w:styleId="FooterSensitivity">
    <w:name w:val="Footer Sensitivity"/>
    <w:basedOn w:val="Normal"/>
    <w:link w:val="FooterSensitivityChar"/>
    <w:rsid w:val="2F894A3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PagedecouvertureChar">
    <w:name w:val="Page de couverture Char"/>
    <w:basedOn w:val="DefaultParagraphFont"/>
    <w:link w:val="Pagedecouverture"/>
    <w:rsid w:val="000D0175"/>
    <w:rPr>
      <w:rFonts w:eastAsia="Calibri"/>
      <w:szCs w:val="22"/>
      <w:lang w:eastAsia="en-GB"/>
    </w:rPr>
  </w:style>
  <w:style w:type="character" w:customStyle="1" w:styleId="FooterSensitivityChar">
    <w:name w:val="Footer Sensitivity Char"/>
    <w:basedOn w:val="PagedecouvertureChar"/>
    <w:link w:val="FooterSensitivity"/>
    <w:rsid w:val="000D0175"/>
    <w:rPr>
      <w:rFonts w:eastAsia="Calibri"/>
      <w:b/>
      <w:sz w:val="32"/>
      <w:szCs w:val="22"/>
      <w:lang w:eastAsia="en-GB"/>
    </w:rPr>
  </w:style>
  <w:style w:type="paragraph" w:customStyle="1" w:styleId="HeaderSensitivity">
    <w:name w:val="Header Sensitivity"/>
    <w:basedOn w:val="Normal"/>
    <w:link w:val="HeaderSensitivityChar"/>
    <w:rsid w:val="2F894A3E"/>
    <w:pPr>
      <w:pBdr>
        <w:top w:val="single" w:sz="4" w:space="1" w:color="auto"/>
        <w:left w:val="single" w:sz="4" w:space="4" w:color="auto"/>
        <w:bottom w:val="single" w:sz="4" w:space="1" w:color="auto"/>
        <w:right w:val="single" w:sz="4" w:space="4" w:color="auto"/>
      </w:pBdr>
      <w:ind w:left="113" w:right="113"/>
      <w:jc w:val="center"/>
    </w:pPr>
    <w:rPr>
      <w:b/>
      <w:sz w:val="32"/>
    </w:rPr>
  </w:style>
  <w:style w:type="character" w:customStyle="1" w:styleId="HeaderSensitivityChar">
    <w:name w:val="Header Sensitivity Char"/>
    <w:basedOn w:val="PagedecouvertureChar"/>
    <w:link w:val="HeaderSensitivity"/>
    <w:rsid w:val="000D0175"/>
    <w:rPr>
      <w:rFonts w:eastAsia="Calibri"/>
      <w:b/>
      <w:sz w:val="32"/>
      <w:szCs w:val="22"/>
      <w:lang w:eastAsia="en-GB"/>
    </w:rPr>
  </w:style>
  <w:style w:type="paragraph" w:customStyle="1" w:styleId="HeaderSensitivityRight">
    <w:name w:val="Header Sensitivity Right"/>
    <w:basedOn w:val="Normal"/>
    <w:link w:val="HeaderSensitivityRightChar"/>
    <w:rsid w:val="2F894A3E"/>
    <w:pPr>
      <w:jc w:val="right"/>
    </w:pPr>
    <w:rPr>
      <w:sz w:val="28"/>
    </w:rPr>
  </w:style>
  <w:style w:type="character" w:customStyle="1" w:styleId="HeaderSensitivityRightChar">
    <w:name w:val="Header Sensitivity Right Char"/>
    <w:basedOn w:val="PagedecouvertureChar"/>
    <w:link w:val="HeaderSensitivityRight"/>
    <w:rsid w:val="000D0175"/>
    <w:rPr>
      <w:rFonts w:eastAsia="Calibri"/>
      <w:sz w:val="28"/>
      <w:szCs w:val="22"/>
      <w:lang w:eastAsia="en-GB"/>
    </w:rPr>
  </w:style>
  <w:style w:type="paragraph" w:styleId="Subtitle">
    <w:name w:val="Subtitle"/>
    <w:basedOn w:val="Normal"/>
    <w:next w:val="Normal"/>
    <w:uiPriority w:val="11"/>
    <w:qFormat/>
    <w:rsid w:val="2F894A3E"/>
    <w:rPr>
      <w:rFonts w:eastAsiaTheme="minorEastAsia"/>
      <w:color w:val="5A5A5A"/>
    </w:rPr>
  </w:style>
  <w:style w:type="paragraph" w:styleId="Quote">
    <w:name w:val="Quote"/>
    <w:basedOn w:val="Normal"/>
    <w:next w:val="Normal"/>
    <w:uiPriority w:val="29"/>
    <w:qFormat/>
    <w:rsid w:val="2F894A3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F894A3E"/>
    <w:pPr>
      <w:spacing w:before="360" w:after="360"/>
      <w:ind w:left="864" w:right="864"/>
      <w:jc w:val="center"/>
    </w:pPr>
    <w:rPr>
      <w:i/>
      <w:iCs/>
      <w:color w:val="4472C4" w:themeColor="accent1"/>
    </w:rPr>
  </w:style>
  <w:style w:type="paragraph" w:styleId="ListParagraph">
    <w:name w:val="List Paragraph"/>
    <w:aliases w:val="Fiche List Paragraph,Task Body,Viñetas (Inicio Parrafo),3 Txt tabla,Zerrenda-paragrafoa,Lista multicolor - Énfasis 11,Dot pt,F5 List Paragraph,List Paragraph1,No Spacing1,List Paragraph Char Char Char,Indicator Text"/>
    <w:basedOn w:val="Normal"/>
    <w:link w:val="ListParagraphChar"/>
    <w:uiPriority w:val="34"/>
    <w:qFormat/>
    <w:rsid w:val="2F894A3E"/>
    <w:pPr>
      <w:ind w:left="720"/>
      <w:contextualSpacing/>
    </w:pPr>
  </w:style>
  <w:style w:type="character" w:styleId="CommentReference">
    <w:name w:val="annotation reference"/>
    <w:basedOn w:val="DefaultParagraphFont"/>
    <w:uiPriority w:val="99"/>
    <w:semiHidden/>
    <w:locked/>
    <w:rsid w:val="00A860F2"/>
    <w:rPr>
      <w:sz w:val="16"/>
      <w:szCs w:val="16"/>
    </w:rPr>
  </w:style>
  <w:style w:type="paragraph" w:styleId="CommentText">
    <w:name w:val="annotation text"/>
    <w:basedOn w:val="Normal"/>
    <w:link w:val="CommentTextChar"/>
    <w:semiHidden/>
    <w:locked/>
    <w:rsid w:val="00A860F2"/>
    <w:rPr>
      <w:sz w:val="20"/>
    </w:rPr>
  </w:style>
  <w:style w:type="character" w:customStyle="1" w:styleId="CommentTextChar">
    <w:name w:val="Comment Text Char"/>
    <w:basedOn w:val="DefaultParagraphFont"/>
    <w:link w:val="CommentText"/>
    <w:semiHidden/>
    <w:rsid w:val="00A860F2"/>
    <w:rPr>
      <w:sz w:val="20"/>
    </w:rPr>
  </w:style>
  <w:style w:type="paragraph" w:styleId="CommentSubject">
    <w:name w:val="annotation subject"/>
    <w:basedOn w:val="CommentText"/>
    <w:next w:val="CommentText"/>
    <w:link w:val="CommentSubjectChar"/>
    <w:semiHidden/>
    <w:locked/>
    <w:rsid w:val="00A860F2"/>
    <w:rPr>
      <w:b/>
      <w:bCs/>
    </w:rPr>
  </w:style>
  <w:style w:type="character" w:customStyle="1" w:styleId="CommentSubjectChar">
    <w:name w:val="Comment Subject Char"/>
    <w:basedOn w:val="CommentTextChar"/>
    <w:link w:val="CommentSubject"/>
    <w:semiHidden/>
    <w:rsid w:val="00A860F2"/>
    <w:rPr>
      <w:b/>
      <w:bCs/>
      <w:sz w:val="20"/>
    </w:rPr>
  </w:style>
  <w:style w:type="paragraph" w:styleId="Revision">
    <w:name w:val="Revision"/>
    <w:hidden/>
    <w:semiHidden/>
    <w:locked/>
    <w:rsid w:val="001E48F1"/>
  </w:style>
  <w:style w:type="character" w:customStyle="1" w:styleId="UnresolvedMention">
    <w:name w:val="Unresolved Mention"/>
    <w:basedOn w:val="DefaultParagraphFont"/>
    <w:semiHidden/>
    <w:locked/>
    <w:rsid w:val="009E6D18"/>
    <w:rPr>
      <w:color w:val="605E5C"/>
      <w:shd w:val="clear" w:color="auto" w:fill="E1DFDD"/>
    </w:rPr>
  </w:style>
  <w:style w:type="character" w:styleId="FollowedHyperlink">
    <w:name w:val="FollowedHyperlink"/>
    <w:basedOn w:val="DefaultParagraphFont"/>
    <w:semiHidden/>
    <w:locked/>
    <w:rsid w:val="00691B17"/>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Dot pt Char,F5 List Paragraph Char,List Paragraph1 Char,No Spacing1 Char"/>
    <w:link w:val="ListParagraph"/>
    <w:uiPriority w:val="34"/>
    <w:qFormat/>
    <w:locked/>
    <w:rsid w:val="00EE12B6"/>
  </w:style>
  <w:style w:type="paragraph" w:styleId="NormalWeb">
    <w:name w:val="Normal (Web)"/>
    <w:basedOn w:val="Normal"/>
    <w:uiPriority w:val="99"/>
    <w:unhideWhenUsed/>
    <w:locked/>
    <w:rsid w:val="0094717F"/>
    <w:rPr>
      <w:rFonts w:eastAsiaTheme="minorHAnsi"/>
      <w:szCs w:val="24"/>
      <w:lang w:eastAsia="en-US"/>
    </w:rPr>
  </w:style>
  <w:style w:type="character" w:customStyle="1" w:styleId="Mention">
    <w:name w:val="Mention"/>
    <w:basedOn w:val="DefaultParagraphFont"/>
    <w:uiPriority w:val="99"/>
    <w:unhideWhenUsed/>
    <w:rPr>
      <w:color w:val="2B579A"/>
      <w:shd w:val="clear" w:color="auto" w:fill="E6E6E6"/>
    </w:rPr>
  </w:style>
  <w:style w:type="paragraph" w:customStyle="1" w:styleId="title-bold">
    <w:name w:val="title-bold"/>
    <w:basedOn w:val="Normal"/>
    <w:rsid w:val="00D33154"/>
    <w:pPr>
      <w:spacing w:before="100" w:beforeAutospacing="1" w:after="100" w:afterAutospacing="1"/>
      <w:jc w:val="left"/>
    </w:pPr>
    <w:rPr>
      <w:szCs w:val="24"/>
    </w:rPr>
  </w:style>
  <w:style w:type="character" w:styleId="Emphasis">
    <w:name w:val="Emphasis"/>
    <w:basedOn w:val="DefaultParagraphFont"/>
    <w:uiPriority w:val="20"/>
    <w:qFormat/>
    <w:locked/>
    <w:rsid w:val="00D33154"/>
    <w:rPr>
      <w:i/>
      <w:iCs/>
    </w:rPr>
  </w:style>
  <w:style w:type="paragraph" w:customStyle="1" w:styleId="paragraph">
    <w:name w:val="paragraph"/>
    <w:basedOn w:val="Normal"/>
    <w:rsid w:val="00761EFC"/>
    <w:pPr>
      <w:spacing w:before="100" w:beforeAutospacing="1" w:after="100" w:afterAutospacing="1"/>
      <w:jc w:val="left"/>
    </w:pPr>
    <w:rPr>
      <w:szCs w:val="24"/>
    </w:rPr>
  </w:style>
  <w:style w:type="character" w:customStyle="1" w:styleId="normaltextrun">
    <w:name w:val="normaltextrun"/>
    <w:basedOn w:val="DefaultParagraphFont"/>
    <w:rsid w:val="00761EFC"/>
  </w:style>
  <w:style w:type="character" w:customStyle="1" w:styleId="eop">
    <w:name w:val="eop"/>
    <w:basedOn w:val="DefaultParagraphFont"/>
    <w:rsid w:val="00761EFC"/>
  </w:style>
  <w:style w:type="character" w:customStyle="1" w:styleId="footnotereference0">
    <w:name w:val="footnotereference"/>
    <w:basedOn w:val="DefaultParagraphFont"/>
    <w:rsid w:val="00524AC8"/>
  </w:style>
  <w:style w:type="paragraph" w:styleId="PlainText">
    <w:name w:val="Plain Text"/>
    <w:basedOn w:val="Normal"/>
    <w:link w:val="PlainTextChar"/>
    <w:uiPriority w:val="99"/>
    <w:semiHidden/>
    <w:unhideWhenUsed/>
    <w:locked/>
    <w:rsid w:val="00031D83"/>
    <w:pPr>
      <w:spacing w:after="0"/>
      <w:jc w:val="left"/>
    </w:pPr>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semiHidden/>
    <w:rsid w:val="00031D83"/>
    <w:rPr>
      <w:rFonts w:ascii="Calibri" w:eastAsiaTheme="minorHAnsi" w:hAnsi="Calibri" w:cstheme="minorBidi"/>
      <w:kern w:val="2"/>
      <w:sz w:val="22"/>
      <w:szCs w:val="21"/>
      <w:lang w:eastAsia="en-US"/>
      <w14:ligatures w14:val="standardContextual"/>
    </w:rPr>
  </w:style>
  <w:style w:type="character" w:customStyle="1" w:styleId="hgkelc">
    <w:name w:val="hgkelc"/>
    <w:basedOn w:val="DefaultParagraphFont"/>
    <w:rsid w:val="000A5774"/>
  </w:style>
  <w:style w:type="character" w:customStyle="1" w:styleId="Heading2Char">
    <w:name w:val="Heading 2 Char"/>
    <w:basedOn w:val="DefaultParagraphFont"/>
    <w:link w:val="Heading2"/>
    <w:uiPriority w:val="1"/>
    <w:rsid w:val="00547296"/>
    <w:rPr>
      <w:b/>
      <w:bCs/>
    </w:rPr>
  </w:style>
  <w:style w:type="paragraph" w:customStyle="1" w:styleId="pf0">
    <w:name w:val="pf0"/>
    <w:basedOn w:val="Normal"/>
    <w:rsid w:val="002B7CDA"/>
    <w:pPr>
      <w:spacing w:before="100" w:beforeAutospacing="1" w:after="100" w:afterAutospacing="1"/>
      <w:jc w:val="left"/>
    </w:pPr>
    <w:rPr>
      <w:szCs w:val="24"/>
      <w:lang w:eastAsia="en-GB"/>
    </w:rPr>
  </w:style>
  <w:style w:type="character" w:customStyle="1" w:styleId="cf01">
    <w:name w:val="cf01"/>
    <w:basedOn w:val="DefaultParagraphFont"/>
    <w:rsid w:val="002B7CDA"/>
    <w:rPr>
      <w:rFonts w:ascii="Segoe UI" w:hAnsi="Segoe UI" w:cs="Segoe UI" w:hint="default"/>
      <w:sz w:val="18"/>
      <w:szCs w:val="18"/>
    </w:rPr>
  </w:style>
  <w:style w:type="paragraph" w:customStyle="1" w:styleId="PointManual">
    <w:name w:val="Point Manual"/>
    <w:basedOn w:val="Normal"/>
    <w:rsid w:val="000B1486"/>
    <w:pPr>
      <w:spacing w:before="120" w:line="360" w:lineRule="auto"/>
      <w:ind w:left="567" w:hanging="567"/>
      <w:jc w:val="left"/>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402">
      <w:bodyDiv w:val="1"/>
      <w:marLeft w:val="0"/>
      <w:marRight w:val="0"/>
      <w:marTop w:val="0"/>
      <w:marBottom w:val="0"/>
      <w:divBdr>
        <w:top w:val="none" w:sz="0" w:space="0" w:color="auto"/>
        <w:left w:val="none" w:sz="0" w:space="0" w:color="auto"/>
        <w:bottom w:val="none" w:sz="0" w:space="0" w:color="auto"/>
        <w:right w:val="none" w:sz="0" w:space="0" w:color="auto"/>
      </w:divBdr>
    </w:div>
    <w:div w:id="24642604">
      <w:bodyDiv w:val="1"/>
      <w:marLeft w:val="0"/>
      <w:marRight w:val="0"/>
      <w:marTop w:val="0"/>
      <w:marBottom w:val="0"/>
      <w:divBdr>
        <w:top w:val="none" w:sz="0" w:space="0" w:color="auto"/>
        <w:left w:val="none" w:sz="0" w:space="0" w:color="auto"/>
        <w:bottom w:val="none" w:sz="0" w:space="0" w:color="auto"/>
        <w:right w:val="none" w:sz="0" w:space="0" w:color="auto"/>
      </w:divBdr>
    </w:div>
    <w:div w:id="329063269">
      <w:bodyDiv w:val="1"/>
      <w:marLeft w:val="0"/>
      <w:marRight w:val="0"/>
      <w:marTop w:val="0"/>
      <w:marBottom w:val="0"/>
      <w:divBdr>
        <w:top w:val="none" w:sz="0" w:space="0" w:color="auto"/>
        <w:left w:val="none" w:sz="0" w:space="0" w:color="auto"/>
        <w:bottom w:val="none" w:sz="0" w:space="0" w:color="auto"/>
        <w:right w:val="none" w:sz="0" w:space="0" w:color="auto"/>
      </w:divBdr>
      <w:divsChild>
        <w:div w:id="1499224083">
          <w:marLeft w:val="0"/>
          <w:marRight w:val="0"/>
          <w:marTop w:val="0"/>
          <w:marBottom w:val="0"/>
          <w:divBdr>
            <w:top w:val="none" w:sz="0" w:space="0" w:color="auto"/>
            <w:left w:val="none" w:sz="0" w:space="0" w:color="auto"/>
            <w:bottom w:val="none" w:sz="0" w:space="0" w:color="auto"/>
            <w:right w:val="none" w:sz="0" w:space="0" w:color="auto"/>
          </w:divBdr>
        </w:div>
        <w:div w:id="1714187809">
          <w:marLeft w:val="0"/>
          <w:marRight w:val="0"/>
          <w:marTop w:val="0"/>
          <w:marBottom w:val="0"/>
          <w:divBdr>
            <w:top w:val="none" w:sz="0" w:space="0" w:color="auto"/>
            <w:left w:val="none" w:sz="0" w:space="0" w:color="auto"/>
            <w:bottom w:val="none" w:sz="0" w:space="0" w:color="auto"/>
            <w:right w:val="none" w:sz="0" w:space="0" w:color="auto"/>
          </w:divBdr>
        </w:div>
      </w:divsChild>
    </w:div>
    <w:div w:id="395511672">
      <w:bodyDiv w:val="1"/>
      <w:marLeft w:val="0"/>
      <w:marRight w:val="0"/>
      <w:marTop w:val="0"/>
      <w:marBottom w:val="0"/>
      <w:divBdr>
        <w:top w:val="none" w:sz="0" w:space="0" w:color="auto"/>
        <w:left w:val="none" w:sz="0" w:space="0" w:color="auto"/>
        <w:bottom w:val="none" w:sz="0" w:space="0" w:color="auto"/>
        <w:right w:val="none" w:sz="0" w:space="0" w:color="auto"/>
      </w:divBdr>
    </w:div>
    <w:div w:id="400248607">
      <w:bodyDiv w:val="1"/>
      <w:marLeft w:val="0"/>
      <w:marRight w:val="0"/>
      <w:marTop w:val="0"/>
      <w:marBottom w:val="0"/>
      <w:divBdr>
        <w:top w:val="none" w:sz="0" w:space="0" w:color="auto"/>
        <w:left w:val="none" w:sz="0" w:space="0" w:color="auto"/>
        <w:bottom w:val="none" w:sz="0" w:space="0" w:color="auto"/>
        <w:right w:val="none" w:sz="0" w:space="0" w:color="auto"/>
      </w:divBdr>
    </w:div>
    <w:div w:id="609974648">
      <w:bodyDiv w:val="1"/>
      <w:marLeft w:val="0"/>
      <w:marRight w:val="0"/>
      <w:marTop w:val="0"/>
      <w:marBottom w:val="0"/>
      <w:divBdr>
        <w:top w:val="none" w:sz="0" w:space="0" w:color="auto"/>
        <w:left w:val="none" w:sz="0" w:space="0" w:color="auto"/>
        <w:bottom w:val="none" w:sz="0" w:space="0" w:color="auto"/>
        <w:right w:val="none" w:sz="0" w:space="0" w:color="auto"/>
      </w:divBdr>
    </w:div>
    <w:div w:id="745615481">
      <w:bodyDiv w:val="1"/>
      <w:marLeft w:val="0"/>
      <w:marRight w:val="0"/>
      <w:marTop w:val="0"/>
      <w:marBottom w:val="0"/>
      <w:divBdr>
        <w:top w:val="none" w:sz="0" w:space="0" w:color="auto"/>
        <w:left w:val="none" w:sz="0" w:space="0" w:color="auto"/>
        <w:bottom w:val="none" w:sz="0" w:space="0" w:color="auto"/>
        <w:right w:val="none" w:sz="0" w:space="0" w:color="auto"/>
      </w:divBdr>
    </w:div>
    <w:div w:id="929773254">
      <w:bodyDiv w:val="1"/>
      <w:marLeft w:val="0"/>
      <w:marRight w:val="0"/>
      <w:marTop w:val="0"/>
      <w:marBottom w:val="0"/>
      <w:divBdr>
        <w:top w:val="none" w:sz="0" w:space="0" w:color="auto"/>
        <w:left w:val="none" w:sz="0" w:space="0" w:color="auto"/>
        <w:bottom w:val="none" w:sz="0" w:space="0" w:color="auto"/>
        <w:right w:val="none" w:sz="0" w:space="0" w:color="auto"/>
      </w:divBdr>
    </w:div>
    <w:div w:id="989868649">
      <w:bodyDiv w:val="1"/>
      <w:marLeft w:val="0"/>
      <w:marRight w:val="0"/>
      <w:marTop w:val="0"/>
      <w:marBottom w:val="0"/>
      <w:divBdr>
        <w:top w:val="none" w:sz="0" w:space="0" w:color="auto"/>
        <w:left w:val="none" w:sz="0" w:space="0" w:color="auto"/>
        <w:bottom w:val="none" w:sz="0" w:space="0" w:color="auto"/>
        <w:right w:val="none" w:sz="0" w:space="0" w:color="auto"/>
      </w:divBdr>
    </w:div>
    <w:div w:id="1193107368">
      <w:bodyDiv w:val="1"/>
      <w:marLeft w:val="0"/>
      <w:marRight w:val="0"/>
      <w:marTop w:val="0"/>
      <w:marBottom w:val="0"/>
      <w:divBdr>
        <w:top w:val="none" w:sz="0" w:space="0" w:color="auto"/>
        <w:left w:val="none" w:sz="0" w:space="0" w:color="auto"/>
        <w:bottom w:val="none" w:sz="0" w:space="0" w:color="auto"/>
        <w:right w:val="none" w:sz="0" w:space="0" w:color="auto"/>
      </w:divBdr>
    </w:div>
    <w:div w:id="1328899369">
      <w:bodyDiv w:val="1"/>
      <w:marLeft w:val="0"/>
      <w:marRight w:val="0"/>
      <w:marTop w:val="0"/>
      <w:marBottom w:val="0"/>
      <w:divBdr>
        <w:top w:val="none" w:sz="0" w:space="0" w:color="auto"/>
        <w:left w:val="none" w:sz="0" w:space="0" w:color="auto"/>
        <w:bottom w:val="none" w:sz="0" w:space="0" w:color="auto"/>
        <w:right w:val="none" w:sz="0" w:space="0" w:color="auto"/>
      </w:divBdr>
    </w:div>
    <w:div w:id="1422410148">
      <w:bodyDiv w:val="1"/>
      <w:marLeft w:val="0"/>
      <w:marRight w:val="0"/>
      <w:marTop w:val="0"/>
      <w:marBottom w:val="0"/>
      <w:divBdr>
        <w:top w:val="none" w:sz="0" w:space="0" w:color="auto"/>
        <w:left w:val="none" w:sz="0" w:space="0" w:color="auto"/>
        <w:bottom w:val="none" w:sz="0" w:space="0" w:color="auto"/>
        <w:right w:val="none" w:sz="0" w:space="0" w:color="auto"/>
      </w:divBdr>
    </w:div>
    <w:div w:id="1482037950">
      <w:bodyDiv w:val="1"/>
      <w:marLeft w:val="0"/>
      <w:marRight w:val="0"/>
      <w:marTop w:val="0"/>
      <w:marBottom w:val="0"/>
      <w:divBdr>
        <w:top w:val="none" w:sz="0" w:space="0" w:color="auto"/>
        <w:left w:val="none" w:sz="0" w:space="0" w:color="auto"/>
        <w:bottom w:val="none" w:sz="0" w:space="0" w:color="auto"/>
        <w:right w:val="none" w:sz="0" w:space="0" w:color="auto"/>
      </w:divBdr>
    </w:div>
    <w:div w:id="1514764473">
      <w:bodyDiv w:val="1"/>
      <w:marLeft w:val="0"/>
      <w:marRight w:val="0"/>
      <w:marTop w:val="0"/>
      <w:marBottom w:val="0"/>
      <w:divBdr>
        <w:top w:val="none" w:sz="0" w:space="0" w:color="auto"/>
        <w:left w:val="none" w:sz="0" w:space="0" w:color="auto"/>
        <w:bottom w:val="none" w:sz="0" w:space="0" w:color="auto"/>
        <w:right w:val="none" w:sz="0" w:space="0" w:color="auto"/>
      </w:divBdr>
    </w:div>
    <w:div w:id="1547832170">
      <w:bodyDiv w:val="1"/>
      <w:marLeft w:val="0"/>
      <w:marRight w:val="0"/>
      <w:marTop w:val="0"/>
      <w:marBottom w:val="0"/>
      <w:divBdr>
        <w:top w:val="none" w:sz="0" w:space="0" w:color="auto"/>
        <w:left w:val="none" w:sz="0" w:space="0" w:color="auto"/>
        <w:bottom w:val="none" w:sz="0" w:space="0" w:color="auto"/>
        <w:right w:val="none" w:sz="0" w:space="0" w:color="auto"/>
      </w:divBdr>
    </w:div>
    <w:div w:id="1633363439">
      <w:bodyDiv w:val="1"/>
      <w:marLeft w:val="0"/>
      <w:marRight w:val="0"/>
      <w:marTop w:val="0"/>
      <w:marBottom w:val="0"/>
      <w:divBdr>
        <w:top w:val="none" w:sz="0" w:space="0" w:color="auto"/>
        <w:left w:val="none" w:sz="0" w:space="0" w:color="auto"/>
        <w:bottom w:val="none" w:sz="0" w:space="0" w:color="auto"/>
        <w:right w:val="none" w:sz="0" w:space="0" w:color="auto"/>
      </w:divBdr>
    </w:div>
    <w:div w:id="1797092779">
      <w:bodyDiv w:val="1"/>
      <w:marLeft w:val="0"/>
      <w:marRight w:val="0"/>
      <w:marTop w:val="0"/>
      <w:marBottom w:val="0"/>
      <w:divBdr>
        <w:top w:val="none" w:sz="0" w:space="0" w:color="auto"/>
        <w:left w:val="none" w:sz="0" w:space="0" w:color="auto"/>
        <w:bottom w:val="none" w:sz="0" w:space="0" w:color="auto"/>
        <w:right w:val="none" w:sz="0" w:space="0" w:color="auto"/>
      </w:divBdr>
    </w:div>
    <w:div w:id="1836457776">
      <w:bodyDiv w:val="1"/>
      <w:marLeft w:val="0"/>
      <w:marRight w:val="0"/>
      <w:marTop w:val="0"/>
      <w:marBottom w:val="0"/>
      <w:divBdr>
        <w:top w:val="none" w:sz="0" w:space="0" w:color="auto"/>
        <w:left w:val="none" w:sz="0" w:space="0" w:color="auto"/>
        <w:bottom w:val="none" w:sz="0" w:space="0" w:color="auto"/>
        <w:right w:val="none" w:sz="0" w:space="0" w:color="auto"/>
      </w:divBdr>
    </w:div>
    <w:div w:id="1986666494">
      <w:bodyDiv w:val="1"/>
      <w:marLeft w:val="0"/>
      <w:marRight w:val="0"/>
      <w:marTop w:val="0"/>
      <w:marBottom w:val="0"/>
      <w:divBdr>
        <w:top w:val="none" w:sz="0" w:space="0" w:color="auto"/>
        <w:left w:val="none" w:sz="0" w:space="0" w:color="auto"/>
        <w:bottom w:val="none" w:sz="0" w:space="0" w:color="auto"/>
        <w:right w:val="none" w:sz="0" w:space="0" w:color="auto"/>
      </w:divBdr>
    </w:div>
    <w:div w:id="2024671692">
      <w:bodyDiv w:val="1"/>
      <w:marLeft w:val="0"/>
      <w:marRight w:val="0"/>
      <w:marTop w:val="0"/>
      <w:marBottom w:val="0"/>
      <w:divBdr>
        <w:top w:val="none" w:sz="0" w:space="0" w:color="auto"/>
        <w:left w:val="none" w:sz="0" w:space="0" w:color="auto"/>
        <w:bottom w:val="none" w:sz="0" w:space="0" w:color="auto"/>
        <w:right w:val="none" w:sz="0" w:space="0" w:color="auto"/>
      </w:divBdr>
    </w:div>
    <w:div w:id="2064597689">
      <w:bodyDiv w:val="1"/>
      <w:marLeft w:val="0"/>
      <w:marRight w:val="0"/>
      <w:marTop w:val="0"/>
      <w:marBottom w:val="0"/>
      <w:divBdr>
        <w:top w:val="none" w:sz="0" w:space="0" w:color="auto"/>
        <w:left w:val="none" w:sz="0" w:space="0" w:color="auto"/>
        <w:bottom w:val="none" w:sz="0" w:space="0" w:color="auto"/>
        <w:right w:val="none" w:sz="0" w:space="0" w:color="auto"/>
      </w:divBdr>
    </w:div>
    <w:div w:id="2086341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dpb.europa.eu/our-work-tools/our-documents/letters/edpb-letter-eu-commission-procedural-aspects-could-be_en" TargetMode="External"/><Relationship Id="rId13" Type="http://schemas.openxmlformats.org/officeDocument/2006/relationships/hyperlink" Target="https://ec.europa.eu/transparency/expert-groups-register/screen/meetings/consult?lang=pl&amp;meetingId=31754&amp;fromExpertGroups=3461" TargetMode="External"/><Relationship Id="rId18" Type="http://schemas.openxmlformats.org/officeDocument/2006/relationships/hyperlink" Target="https://commission.europa.eu/strategy-and-policy/policies/justice-and-fundamental-rights/rights-child/combating-violence-against-children-and-ensuring-child-protection_en" TargetMode="External"/><Relationship Id="rId26" Type="http://schemas.openxmlformats.org/officeDocument/2006/relationships/hyperlink" Target="https://www.edpb.europa.eu/system/files/2024-01/edpb_report_20240116_cef_dpo_en.pdf" TargetMode="External"/><Relationship Id="rId39" Type="http://schemas.openxmlformats.org/officeDocument/2006/relationships/hyperlink" Target="https://servicios.infoleg.gob.ar/infolegInternet/anexos/265000-269999/267922/norma.htm" TargetMode="External"/><Relationship Id="rId3" Type="http://schemas.openxmlformats.org/officeDocument/2006/relationships/hyperlink" Target="https://ec.europa.eu/info/law/better-regulation/have-your-say_pl" TargetMode="External"/><Relationship Id="rId21" Type="http://schemas.openxmlformats.org/officeDocument/2006/relationships/hyperlink" Target="https://commission.europa.eu/law/law-making-process/evaluating-and-improving-existing-laws/refit-making-eu-law-simpler-less-costly-and-future-proof/fit-future-platform-f4f_en" TargetMode="External"/><Relationship Id="rId34" Type="http://schemas.openxmlformats.org/officeDocument/2006/relationships/hyperlink" Target="https://ec.europa.eu/commission/presscorner/detail/en/mex_24_1307" TargetMode="External"/><Relationship Id="rId42" Type="http://schemas.openxmlformats.org/officeDocument/2006/relationships/hyperlink" Target="https://asean.org/wp-content/uploads/3-ASEAN-Model-Contractual-Clauses-for-Cross-Border-Data-Flows_Final.pdf" TargetMode="External"/><Relationship Id="rId7" Type="http://schemas.openxmlformats.org/officeDocument/2006/relationships/hyperlink" Target="https://fra.europa.eu/en/publication/2024/gdpr-experiences-data-protection-authorities" TargetMode="External"/><Relationship Id="rId12" Type="http://schemas.openxmlformats.org/officeDocument/2006/relationships/hyperlink" Target="https://ec.europa.eu/transparency/expert-groups-register/screen/expert-groups/consult?lang=pl&amp;do=groupDetail.groupDetail&amp;groupID=3461" TargetMode="External"/><Relationship Id="rId17" Type="http://schemas.openxmlformats.org/officeDocument/2006/relationships/hyperlink" Target="https://www.consilium.europa.eu/pl/press/press-releases/2024/03/11/platform-workers-council-confirms-agreement-on-new-rules-to-improve-their-working-conditions/" TargetMode="External"/><Relationship Id="rId25" Type="http://schemas.openxmlformats.org/officeDocument/2006/relationships/hyperlink" Target="https://edpb.europa.eu/sme-data-protection-guide/home_en" TargetMode="External"/><Relationship Id="rId33" Type="http://schemas.openxmlformats.org/officeDocument/2006/relationships/hyperlink" Target="https://ec.europa.eu/commission/presscorner/detail/pl/IP_19_421" TargetMode="External"/><Relationship Id="rId38" Type="http://schemas.openxmlformats.org/officeDocument/2006/relationships/hyperlink" Target="https://privacy.org.nz/responsibilities/your-obligations/disclosing-personal-information-outside-new-zealand/" TargetMode="External"/><Relationship Id="rId46" Type="http://schemas.openxmlformats.org/officeDocument/2006/relationships/hyperlink" Target="https://www.edps.europa.eu/data-protection/our-work/edps-worldwide/data-protection-and-international-organisations_en" TargetMode="External"/><Relationship Id="rId2" Type="http://schemas.openxmlformats.org/officeDocument/2006/relationships/hyperlink" Target="file:///C:\Users\nicolor\Downloads\Report%20from%20Multistakeholder%20Expert%20group%20on%20GDPR%20application%20-%20June%202024.pdf" TargetMode="External"/><Relationship Id="rId16" Type="http://schemas.openxmlformats.org/officeDocument/2006/relationships/hyperlink" Target="https://www.consilium.europa.eu/pl/press/press-releases/2024/03/11/platform-workers-council-confirms-agreement-on-new-rules-to-improve-their-working-conditions/" TargetMode="External"/><Relationship Id="rId20" Type="http://schemas.openxmlformats.org/officeDocument/2006/relationships/hyperlink" Target="https://digital-strategy.ec.europa.eu/en/policies/strategy-better-internet-kids" TargetMode="External"/><Relationship Id="rId29" Type="http://schemas.openxmlformats.org/officeDocument/2006/relationships/hyperlink" Target="https://finance.ec.europa.eu/publications/anti-money-laundering-and-countering-financing-terrorism-legislative-package_en" TargetMode="External"/><Relationship Id="rId41" Type="http://schemas.openxmlformats.org/officeDocument/2006/relationships/hyperlink" Target="https://www.redipd.org/sites/default/files/2023-02/anexo-modelos-clausulas-contractuales-en.pdf" TargetMode="External"/><Relationship Id="rId1" Type="http://schemas.openxmlformats.org/officeDocument/2006/relationships/hyperlink" Target="https://data.consilium.europa.eu/doc/document/ST-15507-2023-INIT/pl/pdf" TargetMode="External"/><Relationship Id="rId6" Type="http://schemas.openxmlformats.org/officeDocument/2006/relationships/hyperlink" Target="https://fra.europa.eu/en/publication/2024/gdpr-experiences-data-protection-authorities" TargetMode="External"/><Relationship Id="rId11" Type="http://schemas.openxmlformats.org/officeDocument/2006/relationships/hyperlink" Target="https://www.edpb.europa.eu/system/files/2024-04/edpb_strategy_2024-2027_en.pdf" TargetMode="External"/><Relationship Id="rId24" Type="http://schemas.openxmlformats.org/officeDocument/2006/relationships/hyperlink" Target="https://commission.europa.eu/law/law-topic/data-protection/eu-funding-supporting-implementation-general-data-protection-regulation-gdpr_en" TargetMode="External"/><Relationship Id="rId32" Type="http://schemas.openxmlformats.org/officeDocument/2006/relationships/hyperlink" Target="https://commission.europa.eu/news/joint-press-statement-european-commissioner-justice-didier-reynders-and-us-secretary-commerce-wilbur-2020-08-10_en" TargetMode="External"/><Relationship Id="rId37" Type="http://schemas.openxmlformats.org/officeDocument/2006/relationships/hyperlink" Target="https://www.edoeb.admin.ch/edoeb/en/home/datenschutz/arbeit_wirtschaft/datenuebermittlung_ausland.html" TargetMode="External"/><Relationship Id="rId40" Type="http://schemas.openxmlformats.org/officeDocument/2006/relationships/hyperlink" Target="https://rm.coe.int/t-pd-2022-1rev10-en-final/1680abc6b4" TargetMode="External"/><Relationship Id="rId45" Type="http://schemas.openxmlformats.org/officeDocument/2006/relationships/hyperlink" Target="https://www.g7germany.de/resource/blob/974430/2062292/fbdb2c7e996205aee402386aae057c5e/2022-07-14-leaders-communique-data.pdf?download=1" TargetMode="External"/><Relationship Id="rId5" Type="http://schemas.openxmlformats.org/officeDocument/2006/relationships/hyperlink" Target="https://www.edpb.europa.eu/our-work-tools/our-documents/other/contribution-edpb-evaluation-gdpr-under-article-97_en" TargetMode="External"/><Relationship Id="rId15" Type="http://schemas.openxmlformats.org/officeDocument/2006/relationships/hyperlink" Target="https://www.edpb.europa.eu/news/news/2024/cef-2024-launch-coordinated-enforcement-right-access_en" TargetMode="External"/><Relationship Id="rId23" Type="http://schemas.openxmlformats.org/officeDocument/2006/relationships/hyperlink" Target="https://www.edpb.europa.eu/system/files/2024-04/edpb_strategy_2024-2027_en.pdf" TargetMode="External"/><Relationship Id="rId28" Type="http://schemas.openxmlformats.org/officeDocument/2006/relationships/hyperlink" Target="https://www.consilium.europa.eu/pl/press/press-releases/2024/03/11/platform-workers-council-confirms-agreement-on-new-rules-to-improve-their-working-conditions/" TargetMode="External"/><Relationship Id="rId36" Type="http://schemas.openxmlformats.org/officeDocument/2006/relationships/hyperlink" Target="https://ico.org.uk/media/for-organisations/documents/4019539/international-data-transfer-addendum.pdf" TargetMode="External"/><Relationship Id="rId10" Type="http://schemas.openxmlformats.org/officeDocument/2006/relationships/hyperlink" Target="https://www.edpb.europa.eu/system/files/2022-07/internal_edpb_document_1_2021_on_art_62_joint_operations_en.pdf" TargetMode="External"/><Relationship Id="rId19" Type="http://schemas.openxmlformats.org/officeDocument/2006/relationships/hyperlink" Target="https://commission.europa.eu/law/law-topic/data-protection/eu-funding-supporting-implementation-general-data-protection-regulation-gdpr_en" TargetMode="External"/><Relationship Id="rId31" Type="http://schemas.openxmlformats.org/officeDocument/2006/relationships/hyperlink" Target="https://www.dataguidance.com/news/germany-bsi-announces-formation-digital-cluster-bonn" TargetMode="External"/><Relationship Id="rId44" Type="http://schemas.openxmlformats.org/officeDocument/2006/relationships/hyperlink" Target="https://commission.europa.eu/news/eu-us-announcement-resumption-negotiations-eu-us-agreement-facilitate-access-electronic-evidence-2023-03-02_en" TargetMode="External"/><Relationship Id="rId4" Type="http://schemas.openxmlformats.org/officeDocument/2006/relationships/hyperlink" Target="https://www.edpb.europa.eu/our-work-tools/our-documents/other/contribution-edpb-evaluation-gdpr-under-article-97_en" TargetMode="External"/><Relationship Id="rId9" Type="http://schemas.openxmlformats.org/officeDocument/2006/relationships/hyperlink" Target="https://ec.europa.eu/transparency/expert-groups-register/screen/expert-groups/consult?lang=pl&amp;do=groupDetail.groupDetail&amp;groupID=3461" TargetMode="External"/><Relationship Id="rId14" Type="http://schemas.openxmlformats.org/officeDocument/2006/relationships/hyperlink" Target="https://commission.europa.eu/law/law-topic/data-protection/eu-funding-supporting-implementation-general-data-protection-regulation-gdpr_en" TargetMode="External"/><Relationship Id="rId22" Type="http://schemas.openxmlformats.org/officeDocument/2006/relationships/hyperlink" Target="https://www.edpb.europa.eu/our-work-tools/accountability-tools/register-codes-conduct-amendments-and-extensions-art-4011_en?f%5B0%5D=coc_scope%3Anational" TargetMode="External"/><Relationship Id="rId27" Type="http://schemas.openxmlformats.org/officeDocument/2006/relationships/hyperlink" Target="https://www.consilium.europa.eu/pl/press/press-releases/2024/03/11/platform-workers-council-confirms-agreement-on-new-rules-to-improve-their-working-conditions/" TargetMode="External"/><Relationship Id="rId30" Type="http://schemas.openxmlformats.org/officeDocument/2006/relationships/hyperlink" Target="https://www.europarl.europa.eu/doceo/document/TA-9-2024-0331_PL.html" TargetMode="External"/><Relationship Id="rId35" Type="http://schemas.openxmlformats.org/officeDocument/2006/relationships/hyperlink" Target="https://commission.europa.eu/law/law-topic/data-protection/international-dimension-data-protection/new-standard-contractual-clauses-questions-and-answers-overview_en" TargetMode="External"/><Relationship Id="rId43" Type="http://schemas.openxmlformats.org/officeDocument/2006/relationships/hyperlink" Target="https://commission.europa.eu/document/download/df5cd5a0-7387-4a2a-8058-8d2ccfec3062_en?filename=%28Final%29%20Joint_Guide_to_ASEAN_MCC_and_EU_S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eate a new document." ma:contentTypeScope="" ma:versionID="4f9c962fa346fb4ee4d235e808d9d049">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460808c2c73fea78cf9bc72727922b06"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uthor AuthorRoleName="Writer" AuthorRoleId="a4fbaff4-b07c-48b4-a21e-e7b9eedf3796">
  <Id>5ee908a3-c50a-4169-8709-ed0552c98e7a</Id>
  <Names>
    <Latin>
      <FirstName>Ciaran</FirstName>
      <LastName>DONOHUE</LastName>
    </Latin>
    <Greek>
      <FirstName/>
      <LastName/>
    </Greek>
    <Cyrillic>
      <FirstName/>
      <LastName/>
    </Cyrillic>
    <DocumentScript>
      <FirstName>Ciaran</FirstName>
      <LastName>DONOHUE</LastName>
      <FullName>Ciaran DONOHUE</FullName>
    </DocumentScript>
  </Names>
  <Initials>CD</Initials>
  <Gender>m</Gender>
  <Email>Ciaran.DONOHUE@ec.europa.eu</Email>
  <Service>JUST.C.3</Service>
  <Function ADCode="" ShowInSignature="true" ShowInHeader="false" HeaderText=""/>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Id>6b41d3ec-eb32-409a-919f-e4799e2ded3d</Id>
    <LogicalLevel>2</LogicalLevel>
    <Name>JUST.C</Name>
    <HeadLine1>Directorate C – Rule of Law, Fundamental Rights and Democracy</HeadLine1>
    <HeadLine2/>
    <PrimaryAddressId>f03b5801-04c9-4931-aa17-c6d6c70bc579</PrimaryAddressId>
    <SecondaryAddressId/>
    <WebAddress/>
    <InheritedWebAddress>WebAddress</InheritedWebAddress>
    <ShowInHeader>true</ShowInHeader>
  </OrgaEntity2>
  <OrgaEntity3>
    <Id>110b590d-eabf-4f57-8be0-f72b84a87eff</Id>
    <LogicalLevel>3</LogicalLevel>
    <Name>JUST.C.3</Name>
    <HeadLine1>Unit C.3 – Data Protection</HeadLine1>
    <HeadLine2/>
    <PrimaryAddressId>f03b5801-04c9-4931-aa17-c6d6c70bc579</PrimaryAddressId>
    <SecondaryAddressId/>
    <WebAddress/>
    <InheritedWebAddress>WebAddress</InheritedWebAddress>
    <ShowInHeader>true</ShowInHeader>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OrgaEntity>
      <Id>6b41d3ec-eb32-409a-919f-e4799e2ded3d</Id>
      <LogicalLevel>2</LogicalLevel>
      <Name>JUST.C</Name>
      <HeadLine1>Directorate C – Rule of Law, Fundamental Rights and Democracy</HeadLine1>
      <HeadLine2/>
      <PrimaryAddressId>f03b5801-04c9-4931-aa17-c6d6c70bc579</PrimaryAddressId>
      <SecondaryAddressId/>
      <WebAddress/>
      <InheritedWebAddress>WebAddress</InheritedWebAddress>
      <ShowInHeader>true</ShowInHeader>
    </OrgaEntity>
    <OrgaEntity>
      <Id>110b590d-eabf-4f57-8be0-f72b84a87eff</Id>
      <LogicalLevel>3</LogicalLevel>
      <Name>JUST.C.3</Name>
      <HeadLine1>Unit C.3 – Data Protection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+32 229-96099</Phone>
    <Office>MO59 03/093</Office>
  </MainWorkplace>
  <Workplaces>
    <Workplace IsMain="true">
      <AddressId>f03b5801-04c9-4931-aa17-c6d6c70bc579</AddressId>
      <Fax/>
      <Phone>+32 229-96099</Phone>
      <Office>MO59 03/093</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Author Role="Creator" AuthorRoleName="Signatory" AuthorRoleId="dd422d74-d41f-4095-8cb8-8304a90a6b0c">
  <Id>5ee908a3-c50a-4169-8709-ed0552c98e7a</Id>
  <Names>
    <Latin>
      <FirstName>Ciaran</FirstName>
      <LastName>DONOHUE</LastName>
    </Latin>
    <Greek>
      <FirstName/>
      <LastName/>
    </Greek>
    <Cyrillic>
      <FirstName/>
      <LastName/>
    </Cyrillic>
    <DocumentScript>
      <FirstName>Ciaran</FirstName>
      <LastName>DONOHUE</LastName>
      <FullName>Ciaran DONOHUE</FullName>
    </DocumentScript>
  </Names>
  <Initials>CD</Initials>
  <Gender>m</Gender>
  <Email>Ciaran.DONOHUE@ec.europa.eu</Email>
  <Service>JUST.C.3</Service>
  <Function ADCode="" ShowInSignature="true" ShowInHeader="false" HeaderText=""/>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Id>6b41d3ec-eb32-409a-919f-e4799e2ded3d</Id>
    <LogicalLevel>2</LogicalLevel>
    <Name>JUST.C</Name>
    <HeadLine1>Directorate C – Rule of Law, Fundamental Rights and Democracy</HeadLine1>
    <HeadLine2/>
    <PrimaryAddressId>f03b5801-04c9-4931-aa17-c6d6c70bc579</PrimaryAddressId>
    <SecondaryAddressId/>
    <WebAddress/>
    <InheritedWebAddress>WebAddress</InheritedWebAddress>
    <ShowInHeader>true</ShowInHeader>
  </OrgaEntity2>
  <OrgaEntity3>
    <Id>110b590d-eabf-4f57-8be0-f72b84a87eff</Id>
    <LogicalLevel>3</LogicalLevel>
    <Name>JUST.C.3</Name>
    <HeadLine1>Unit C.3 – Data Protection</HeadLine1>
    <HeadLine2/>
    <PrimaryAddressId>f03b5801-04c9-4931-aa17-c6d6c70bc579</PrimaryAddressId>
    <SecondaryAddressId/>
    <WebAddress/>
    <InheritedWebAddress>WebAddress</InheritedWebAddress>
    <ShowInHeader>true</ShowInHeader>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OrgaEntity>
      <Id>6b41d3ec-eb32-409a-919f-e4799e2ded3d</Id>
      <LogicalLevel>2</LogicalLevel>
      <Name>JUST.C</Name>
      <HeadLine1>Directorate C – Rule of Law, Fundamental Rights and Democracy</HeadLine1>
      <HeadLine2/>
      <PrimaryAddressId>f03b5801-04c9-4931-aa17-c6d6c70bc579</PrimaryAddressId>
      <SecondaryAddressId/>
      <WebAddress/>
      <InheritedWebAddress>WebAddress</InheritedWebAddress>
      <ShowInHeader>true</ShowInHeader>
    </OrgaEntity>
    <OrgaEntity>
      <Id>110b590d-eabf-4f57-8be0-f72b84a87eff</Id>
      <LogicalLevel>3</LogicalLevel>
      <Name>JUST.C.3</Name>
      <HeadLine1>Unit C.3 – Data Protection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+32 229-96099</Phone>
    <Office>MO59 03/093</Office>
  </MainWorkplace>
  <Workplaces>
    <Workplace IsMain="true">
      <AddressId>f03b5801-04c9-4931-aa17-c6d6c70bc579</AddressId>
      <Fax/>
      <Phone>+32 229-96099</Phone>
      <Office>MO59 03/093</Office>
    </Workplace>
  </Workplaces>
</Author>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EurolookProperties>
  <ProductCustomizationId>EC</ProductCustomizationId>
  <Created>
    <Version>10.0.45789.0</Version>
    <Date>2024-02-06T14:18:31</Date>
    <Language>EN</Language>
    <Note>Created using 'Convert To Eurolook'</Note>
  </Created>
  <Edited>
    <Version/>
    <Date/>
  </Edited>
  <DocumentModel>
    <Id>0b054141-88b1-4efb-8c91-2905cb0bed6c</Id>
    <Name>Note</Name>
  </DocumentModel>
  <CustomTemplate>
    <Id/>
    <Name/>
  </CustomTemplate>
  <DocumentDate>2024-02-06T14:18:31</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7.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MOJZESOWICZ Karolina (JUST)</DisplayName>
        <AccountId>26</AccountId>
        <AccountType/>
      </UserInfo>
      <UserInfo>
        <DisplayName>SHERIDAN Caoimhe (JUST)</DisplayName>
        <AccountId>24</AccountId>
        <AccountType/>
      </UserInfo>
      <UserInfo>
        <DisplayName>MOSCIBRODA Anna (JUST)</DisplayName>
        <AccountId>36</AccountId>
        <AccountType/>
      </UserInfo>
      <UserInfo>
        <DisplayName>BEIZITERE Valda (JUST)</DisplayName>
        <AccountId>25</AccountId>
        <AccountType/>
      </UserInfo>
      <UserInfo>
        <DisplayName>PENEVA Pavlina (JUST)</DisplayName>
        <AccountId>19</AccountId>
        <AccountType/>
      </UserInfo>
      <UserInfo>
        <DisplayName>POHJOLAINEN Anna-Elina (JUST)</DisplayName>
        <AccountId>28</AccountId>
        <AccountType/>
      </UserInfo>
      <UserInfo>
        <DisplayName>CHRONOPOULOU Eleni (JUST)</DisplayName>
        <AccountId>37</AccountId>
        <AccountType/>
      </UserInfo>
      <UserInfo>
        <DisplayName>MARECHAL-HUET Helene (JUST)</DisplayName>
        <AccountId>22</AccountId>
        <AccountType/>
      </UserInfo>
      <UserInfo>
        <DisplayName>SAJFERT Juraj (JUST)</DisplayName>
        <AccountId>38</AccountId>
        <AccountType/>
      </UserInfo>
      <UserInfo>
        <DisplayName>SCHEUER Ursula (JUST)</DisplayName>
        <AccountId>39</AccountId>
        <AccountType/>
      </UserInfo>
      <UserInfo>
        <DisplayName>KARDASIADOU Zoi (JUST)</DisplayName>
        <AccountId>20</AccountId>
        <AccountType/>
      </UserInfo>
    </SharedWithUsers>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4324D-645E-4879-9B56-AEF304019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B9D9B-5E1C-4F22-BDA3-4DE0770B1F9D}">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289B77DE-1A76-472F-AB79-1E2DBC72A192}">
  <ds:schemaRefs/>
</ds:datastoreItem>
</file>

<file path=customXml/itemProps5.xml><?xml version="1.0" encoding="utf-8"?>
<ds:datastoreItem xmlns:ds="http://schemas.openxmlformats.org/officeDocument/2006/customXml" ds:itemID="{EB361B9D-B038-4E09-AB4C-DE048FD9FC8C}">
  <ds:schemaRefs>
    <ds:schemaRef ds:uri="http://schemas.microsoft.com/sharepoint/v3/contenttype/forms"/>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6FBF89F-3ADF-44E0-8648-342E64EA4C79}">
  <ds:schemaRefs>
    <ds:schemaRef ds:uri="http://schemas.microsoft.com/office/2006/metadata/properties"/>
    <ds:schemaRef ds:uri="http://schemas.microsoft.com/office/infopath/2007/PartnerControls"/>
    <ds:schemaRef ds:uri="c1752347-4e16-4ce8-a381-9ddf3e797ad6"/>
  </ds:schemaRefs>
</ds:datastoreItem>
</file>

<file path=customXml/itemProps8.xml><?xml version="1.0" encoding="utf-8"?>
<ds:datastoreItem xmlns:ds="http://schemas.openxmlformats.org/officeDocument/2006/customXml" ds:itemID="{26504174-D87F-4C4F-812A-1BC973A5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14444</Words>
  <Characters>82332</Characters>
  <Application>Microsoft Office Word</Application>
  <DocSecurity>0</DocSecurity>
  <PresentationFormat>Microsoft Word 14.0</PresentationFormat>
  <Lines>686</Lines>
  <Paragraphs>193</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96583</CharactersWithSpaces>
  <SharedDoc>false</SharedDoc>
  <HLinks>
    <vt:vector size="300" baseType="variant">
      <vt:variant>
        <vt:i4>5636129</vt:i4>
      </vt:variant>
      <vt:variant>
        <vt:i4>129</vt:i4>
      </vt:variant>
      <vt:variant>
        <vt:i4>0</vt:i4>
      </vt:variant>
      <vt:variant>
        <vt:i4>5</vt:i4>
      </vt:variant>
      <vt:variant>
        <vt:lpwstr>https://www.edps.europa.eu/data-protection/our-work/edps-worldwide/data-protection-and-international-organisations_en</vt:lpwstr>
      </vt:variant>
      <vt:variant>
        <vt:lpwstr/>
      </vt:variant>
      <vt:variant>
        <vt:i4>4915283</vt:i4>
      </vt:variant>
      <vt:variant>
        <vt:i4>126</vt:i4>
      </vt:variant>
      <vt:variant>
        <vt:i4>0</vt:i4>
      </vt:variant>
      <vt:variant>
        <vt:i4>5</vt:i4>
      </vt:variant>
      <vt:variant>
        <vt:lpwstr>https://www.g7germany.de/resource/blob/974430/2062292/fbdb2c7e996205aee402386aae057c5e/2022-07-14-leaders-communique-data.pdf?download=1</vt:lpwstr>
      </vt:variant>
      <vt:variant>
        <vt:lpwstr/>
      </vt:variant>
      <vt:variant>
        <vt:i4>4063305</vt:i4>
      </vt:variant>
      <vt:variant>
        <vt:i4>123</vt:i4>
      </vt:variant>
      <vt:variant>
        <vt:i4>0</vt:i4>
      </vt:variant>
      <vt:variant>
        <vt:i4>5</vt:i4>
      </vt:variant>
      <vt:variant>
        <vt:lpwstr>https://commission.europa.eu/news/eu-us-announcement-resumption-negotiations-eu-us-agreement-facilitate-access-electronic-evidence-2023-03-02_en</vt:lpwstr>
      </vt:variant>
      <vt:variant>
        <vt:lpwstr/>
      </vt:variant>
      <vt:variant>
        <vt:i4>5505047</vt:i4>
      </vt:variant>
      <vt:variant>
        <vt:i4>120</vt:i4>
      </vt:variant>
      <vt:variant>
        <vt:i4>0</vt:i4>
      </vt:variant>
      <vt:variant>
        <vt:i4>5</vt:i4>
      </vt:variant>
      <vt:variant>
        <vt:lpwstr>https://commission.europa.eu/document/download/df5cd5a0-7387-4a2a-8058-8d2ccfec3062_en?filename=%28Final%29%20Joint_Guide_to_ASEAN_MCC_and_EU_SCC.pdf</vt:lpwstr>
      </vt:variant>
      <vt:variant>
        <vt:lpwstr/>
      </vt:variant>
      <vt:variant>
        <vt:i4>1507452</vt:i4>
      </vt:variant>
      <vt:variant>
        <vt:i4>117</vt:i4>
      </vt:variant>
      <vt:variant>
        <vt:i4>0</vt:i4>
      </vt:variant>
      <vt:variant>
        <vt:i4>5</vt:i4>
      </vt:variant>
      <vt:variant>
        <vt:lpwstr>https://asean.org/wp-content/uploads/3-ASEAN-Model-Contractual-Clauses-for-Cross-Border-Data-Flows_Final.pdf</vt:lpwstr>
      </vt:variant>
      <vt:variant>
        <vt:lpwstr/>
      </vt:variant>
      <vt:variant>
        <vt:i4>7536740</vt:i4>
      </vt:variant>
      <vt:variant>
        <vt:i4>114</vt:i4>
      </vt:variant>
      <vt:variant>
        <vt:i4>0</vt:i4>
      </vt:variant>
      <vt:variant>
        <vt:i4>5</vt:i4>
      </vt:variant>
      <vt:variant>
        <vt:lpwstr>https://www.redipd.org/sites/default/files/2023-02/anexo-modelos-clausulas-contractuales-en.pdf</vt:lpwstr>
      </vt:variant>
      <vt:variant>
        <vt:lpwstr/>
      </vt:variant>
      <vt:variant>
        <vt:i4>6750321</vt:i4>
      </vt:variant>
      <vt:variant>
        <vt:i4>111</vt:i4>
      </vt:variant>
      <vt:variant>
        <vt:i4>0</vt:i4>
      </vt:variant>
      <vt:variant>
        <vt:i4>5</vt:i4>
      </vt:variant>
      <vt:variant>
        <vt:lpwstr>https://rm.coe.int/t-pd-2022-1rev10-en-final/1680abc6b4</vt:lpwstr>
      </vt:variant>
      <vt:variant>
        <vt:lpwstr/>
      </vt:variant>
      <vt:variant>
        <vt:i4>6684725</vt:i4>
      </vt:variant>
      <vt:variant>
        <vt:i4>108</vt:i4>
      </vt:variant>
      <vt:variant>
        <vt:i4>0</vt:i4>
      </vt:variant>
      <vt:variant>
        <vt:i4>5</vt:i4>
      </vt:variant>
      <vt:variant>
        <vt:lpwstr>https://servicios.infoleg.gob.ar/infolegInternet/anexos/265000-269999/267922/norma.htm</vt:lpwstr>
      </vt:variant>
      <vt:variant>
        <vt:lpwstr/>
      </vt:variant>
      <vt:variant>
        <vt:i4>1441811</vt:i4>
      </vt:variant>
      <vt:variant>
        <vt:i4>105</vt:i4>
      </vt:variant>
      <vt:variant>
        <vt:i4>0</vt:i4>
      </vt:variant>
      <vt:variant>
        <vt:i4>5</vt:i4>
      </vt:variant>
      <vt:variant>
        <vt:lpwstr>https://privacy.org.nz/responsibilities/your-obligations/disclosing-personal-information-outside-new-zealand/</vt:lpwstr>
      </vt:variant>
      <vt:variant>
        <vt:lpwstr/>
      </vt:variant>
      <vt:variant>
        <vt:i4>3342432</vt:i4>
      </vt:variant>
      <vt:variant>
        <vt:i4>102</vt:i4>
      </vt:variant>
      <vt:variant>
        <vt:i4>0</vt:i4>
      </vt:variant>
      <vt:variant>
        <vt:i4>5</vt:i4>
      </vt:variant>
      <vt:variant>
        <vt:lpwstr>https://www.edoeb.admin.ch/edoeb/en/home/datenschutz/arbeit_wirtschaft/datenuebermittlung_ausland.html</vt:lpwstr>
      </vt:variant>
      <vt:variant>
        <vt:lpwstr/>
      </vt:variant>
      <vt:variant>
        <vt:i4>1048595</vt:i4>
      </vt:variant>
      <vt:variant>
        <vt:i4>99</vt:i4>
      </vt:variant>
      <vt:variant>
        <vt:i4>0</vt:i4>
      </vt:variant>
      <vt:variant>
        <vt:i4>5</vt:i4>
      </vt:variant>
      <vt:variant>
        <vt:lpwstr>https://ico.org.uk/media/for-organisations/documents/4019539/international-data-transfer-addendum.pdf</vt:lpwstr>
      </vt:variant>
      <vt:variant>
        <vt:lpwstr/>
      </vt:variant>
      <vt:variant>
        <vt:i4>4980843</vt:i4>
      </vt:variant>
      <vt:variant>
        <vt:i4>96</vt:i4>
      </vt:variant>
      <vt:variant>
        <vt:i4>0</vt:i4>
      </vt:variant>
      <vt:variant>
        <vt:i4>5</vt:i4>
      </vt:variant>
      <vt:variant>
        <vt:lpwstr>https://commission.europa.eu/law/law-topic/data-protection/international-dimension-data-protection/new-standard-contractual-clauses-questions-and-answers-overview_en</vt:lpwstr>
      </vt:variant>
      <vt:variant>
        <vt:lpwstr/>
      </vt:variant>
      <vt:variant>
        <vt:i4>6029339</vt:i4>
      </vt:variant>
      <vt:variant>
        <vt:i4>93</vt:i4>
      </vt:variant>
      <vt:variant>
        <vt:i4>0</vt:i4>
      </vt:variant>
      <vt:variant>
        <vt:i4>5</vt:i4>
      </vt:variant>
      <vt:variant>
        <vt:lpwstr>https://ec.europa.eu/commission/presscorner/detail/en/mex_24_1307</vt:lpwstr>
      </vt:variant>
      <vt:variant>
        <vt:lpwstr>11</vt:lpwstr>
      </vt:variant>
      <vt:variant>
        <vt:i4>5111898</vt:i4>
      </vt:variant>
      <vt:variant>
        <vt:i4>90</vt:i4>
      </vt:variant>
      <vt:variant>
        <vt:i4>0</vt:i4>
      </vt:variant>
      <vt:variant>
        <vt:i4>5</vt:i4>
      </vt:variant>
      <vt:variant>
        <vt:lpwstr>https://ec.europa.eu/commission/presscorner/detail/en/IP_19_421</vt:lpwstr>
      </vt:variant>
      <vt:variant>
        <vt:lpwstr/>
      </vt:variant>
      <vt:variant>
        <vt:i4>7864405</vt:i4>
      </vt:variant>
      <vt:variant>
        <vt:i4>87</vt:i4>
      </vt:variant>
      <vt:variant>
        <vt:i4>0</vt:i4>
      </vt:variant>
      <vt:variant>
        <vt:i4>5</vt:i4>
      </vt:variant>
      <vt:variant>
        <vt:lpwstr>https://commission.europa.eu/news/joint-press-statement-european-commissioner-justice-didier-reynders-and-us-secretary-commerce-wilbur-2020-08-10_en</vt:lpwstr>
      </vt:variant>
      <vt:variant>
        <vt:lpwstr/>
      </vt:variant>
      <vt:variant>
        <vt:i4>7733309</vt:i4>
      </vt:variant>
      <vt:variant>
        <vt:i4>84</vt:i4>
      </vt:variant>
      <vt:variant>
        <vt:i4>0</vt:i4>
      </vt:variant>
      <vt:variant>
        <vt:i4>5</vt:i4>
      </vt:variant>
      <vt:variant>
        <vt:lpwstr>https://www.dataguidance.com/news/germany-bsi-announces-formation-digital-cluster-bonn</vt:lpwstr>
      </vt:variant>
      <vt:variant>
        <vt:lpwstr/>
      </vt:variant>
      <vt:variant>
        <vt:i4>4391016</vt:i4>
      </vt:variant>
      <vt:variant>
        <vt:i4>81</vt:i4>
      </vt:variant>
      <vt:variant>
        <vt:i4>0</vt:i4>
      </vt:variant>
      <vt:variant>
        <vt:i4>5</vt:i4>
      </vt:variant>
      <vt:variant>
        <vt:lpwstr>https://finance.ec.europa.eu/publications/anti-money-laundering-and-countering-financing-terrorism-legislative-package_en</vt:lpwstr>
      </vt:variant>
      <vt:variant>
        <vt:lpwstr/>
      </vt:variant>
      <vt:variant>
        <vt:i4>1376321</vt:i4>
      </vt:variant>
      <vt:variant>
        <vt:i4>78</vt:i4>
      </vt:variant>
      <vt:variant>
        <vt:i4>0</vt:i4>
      </vt:variant>
      <vt:variant>
        <vt:i4>5</vt:i4>
      </vt:variant>
      <vt:variant>
        <vt:lpwstr>https://www.consilium.europa.eu/en/press/press-releases/2024/03/11/platform-workers-council-confirms-agreement-on-new-rules-to-improve-their-working-conditions/</vt:lpwstr>
      </vt:variant>
      <vt:variant>
        <vt:lpwstr/>
      </vt:variant>
      <vt:variant>
        <vt:i4>720942</vt:i4>
      </vt:variant>
      <vt:variant>
        <vt:i4>75</vt:i4>
      </vt:variant>
      <vt:variant>
        <vt:i4>0</vt:i4>
      </vt:variant>
      <vt:variant>
        <vt:i4>5</vt:i4>
      </vt:variant>
      <vt:variant>
        <vt:lpwstr>https://www.edpb.europa.eu/system/files/2024-01/edpb_report_20240116_cef_dpo_en.pdf</vt:lpwstr>
      </vt:variant>
      <vt:variant>
        <vt:lpwstr/>
      </vt:variant>
      <vt:variant>
        <vt:i4>3997719</vt:i4>
      </vt:variant>
      <vt:variant>
        <vt:i4>72</vt:i4>
      </vt:variant>
      <vt:variant>
        <vt:i4>0</vt:i4>
      </vt:variant>
      <vt:variant>
        <vt:i4>5</vt:i4>
      </vt:variant>
      <vt:variant>
        <vt:lpwstr>https://edpb.europa.eu/sme-data-protection-guide/home_en</vt:lpwstr>
      </vt:variant>
      <vt:variant>
        <vt:lpwstr/>
      </vt:variant>
      <vt:variant>
        <vt:i4>721017</vt:i4>
      </vt:variant>
      <vt:variant>
        <vt:i4>69</vt:i4>
      </vt:variant>
      <vt:variant>
        <vt:i4>0</vt:i4>
      </vt:variant>
      <vt:variant>
        <vt:i4>5</vt:i4>
      </vt:variant>
      <vt:variant>
        <vt:lpwstr>https://commission.europa.eu/law/law-topic/data-protection/eu-funding-supporting-implementation-general-data-protection-regulation-gdpr_en</vt:lpwstr>
      </vt:variant>
      <vt:variant>
        <vt:lpwstr/>
      </vt:variant>
      <vt:variant>
        <vt:i4>6815756</vt:i4>
      </vt:variant>
      <vt:variant>
        <vt:i4>66</vt:i4>
      </vt:variant>
      <vt:variant>
        <vt:i4>0</vt:i4>
      </vt:variant>
      <vt:variant>
        <vt:i4>5</vt:i4>
      </vt:variant>
      <vt:variant>
        <vt:lpwstr>https://www.edpb.europa.eu/system/files/2024-04/edpb_strategy_2024-2027_en.pdf</vt:lpwstr>
      </vt:variant>
      <vt:variant>
        <vt:lpwstr/>
      </vt:variant>
      <vt:variant>
        <vt:i4>4849746</vt:i4>
      </vt:variant>
      <vt:variant>
        <vt:i4>63</vt:i4>
      </vt:variant>
      <vt:variant>
        <vt:i4>0</vt:i4>
      </vt:variant>
      <vt:variant>
        <vt:i4>5</vt:i4>
      </vt:variant>
      <vt:variant>
        <vt:lpwstr>https://www.edpb.europa.eu/our-work-tools/accountability-tools/register-codes-conduct-amendments-and-extensions-art-4011_en?f%5B0%5D=coc_scope%3Anational</vt:lpwstr>
      </vt:variant>
      <vt:variant>
        <vt:lpwstr/>
      </vt:variant>
      <vt:variant>
        <vt:i4>2031741</vt:i4>
      </vt:variant>
      <vt:variant>
        <vt:i4>60</vt:i4>
      </vt:variant>
      <vt:variant>
        <vt:i4>0</vt:i4>
      </vt:variant>
      <vt:variant>
        <vt:i4>5</vt:i4>
      </vt:variant>
      <vt:variant>
        <vt:lpwstr>https://commission.europa.eu/law/law-making-process/evaluating-and-improving-existing-laws/refit-making-eu-law-simpler-less-costly-and-future-proof/fit-future-platform-f4f_en</vt:lpwstr>
      </vt:variant>
      <vt:variant>
        <vt:lpwstr/>
      </vt:variant>
      <vt:variant>
        <vt:i4>1966160</vt:i4>
      </vt:variant>
      <vt:variant>
        <vt:i4>57</vt:i4>
      </vt:variant>
      <vt:variant>
        <vt:i4>0</vt:i4>
      </vt:variant>
      <vt:variant>
        <vt:i4>5</vt:i4>
      </vt:variant>
      <vt:variant>
        <vt:lpwstr>https://www.dataprotection.ie/sites/default/files/uploads/2021-12/Fundamentals for a Child-Oriented Approach to Data Processing_FINAL_EN.pdf</vt:lpwstr>
      </vt:variant>
      <vt:variant>
        <vt:lpwstr/>
      </vt:variant>
      <vt:variant>
        <vt:i4>4915270</vt:i4>
      </vt:variant>
      <vt:variant>
        <vt:i4>54</vt:i4>
      </vt:variant>
      <vt:variant>
        <vt:i4>0</vt:i4>
      </vt:variant>
      <vt:variant>
        <vt:i4>5</vt:i4>
      </vt:variant>
      <vt:variant>
        <vt:lpwstr>https://www.aepd.es/prensa-y-comunicacion/notas-de-prensa/aepd-presenta-sistema-verificacion-edad-para-proteger-a-menores-de-edad</vt:lpwstr>
      </vt:variant>
      <vt:variant>
        <vt:lpwstr/>
      </vt:variant>
      <vt:variant>
        <vt:i4>3932284</vt:i4>
      </vt:variant>
      <vt:variant>
        <vt:i4>51</vt:i4>
      </vt:variant>
      <vt:variant>
        <vt:i4>0</vt:i4>
      </vt:variant>
      <vt:variant>
        <vt:i4>5</vt:i4>
      </vt:variant>
      <vt:variant>
        <vt:lpwstr>https://digital-strategy.ec.europa.eu/en/policies/strategy-better-internet-kids</vt:lpwstr>
      </vt:variant>
      <vt:variant>
        <vt:lpwstr/>
      </vt:variant>
      <vt:variant>
        <vt:i4>721017</vt:i4>
      </vt:variant>
      <vt:variant>
        <vt:i4>48</vt:i4>
      </vt:variant>
      <vt:variant>
        <vt:i4>0</vt:i4>
      </vt:variant>
      <vt:variant>
        <vt:i4>5</vt:i4>
      </vt:variant>
      <vt:variant>
        <vt:lpwstr>https://commission.europa.eu/law/law-topic/data-protection/eu-funding-supporting-implementation-general-data-protection-regulation-gdpr_en</vt:lpwstr>
      </vt:variant>
      <vt:variant>
        <vt:lpwstr/>
      </vt:variant>
      <vt:variant>
        <vt:i4>4849701</vt:i4>
      </vt:variant>
      <vt:variant>
        <vt:i4>45</vt:i4>
      </vt:variant>
      <vt:variant>
        <vt:i4>0</vt:i4>
      </vt:variant>
      <vt:variant>
        <vt:i4>5</vt:i4>
      </vt:variant>
      <vt:variant>
        <vt:lpwstr>https://commission.europa.eu/strategy-and-policy/policies/justice-and-fundamental-rights/rights-child/combating-violence-against-children-and-ensuring-child-protection_en</vt:lpwstr>
      </vt:variant>
      <vt:variant>
        <vt:lpwstr/>
      </vt:variant>
      <vt:variant>
        <vt:i4>1376321</vt:i4>
      </vt:variant>
      <vt:variant>
        <vt:i4>42</vt:i4>
      </vt:variant>
      <vt:variant>
        <vt:i4>0</vt:i4>
      </vt:variant>
      <vt:variant>
        <vt:i4>5</vt:i4>
      </vt:variant>
      <vt:variant>
        <vt:lpwstr>https://www.consilium.europa.eu/en/press/press-releases/2024/03/11/platform-workers-council-confirms-agreement-on-new-rules-to-improve-their-working-conditions/</vt:lpwstr>
      </vt:variant>
      <vt:variant>
        <vt:lpwstr/>
      </vt:variant>
      <vt:variant>
        <vt:i4>4915325</vt:i4>
      </vt:variant>
      <vt:variant>
        <vt:i4>39</vt:i4>
      </vt:variant>
      <vt:variant>
        <vt:i4>0</vt:i4>
      </vt:variant>
      <vt:variant>
        <vt:i4>5</vt:i4>
      </vt:variant>
      <vt:variant>
        <vt:lpwstr>https://www.edpb.europa.eu/news/news/2024/cef-2024-launch-coordinated-enforcement-right-access_en</vt:lpwstr>
      </vt:variant>
      <vt:variant>
        <vt:lpwstr/>
      </vt:variant>
      <vt:variant>
        <vt:i4>721017</vt:i4>
      </vt:variant>
      <vt:variant>
        <vt:i4>36</vt:i4>
      </vt:variant>
      <vt:variant>
        <vt:i4>0</vt:i4>
      </vt:variant>
      <vt:variant>
        <vt:i4>5</vt:i4>
      </vt:variant>
      <vt:variant>
        <vt:lpwstr>https://commission.europa.eu/law/law-topic/data-protection/eu-funding-supporting-implementation-general-data-protection-regulation-gdpr_en</vt:lpwstr>
      </vt:variant>
      <vt:variant>
        <vt:lpwstr/>
      </vt:variant>
      <vt:variant>
        <vt:i4>3145828</vt:i4>
      </vt:variant>
      <vt:variant>
        <vt:i4>33</vt:i4>
      </vt:variant>
      <vt:variant>
        <vt:i4>0</vt:i4>
      </vt:variant>
      <vt:variant>
        <vt:i4>5</vt:i4>
      </vt:variant>
      <vt:variant>
        <vt:lpwstr>https://ec.europa.eu/transparency/expert-groups-register/screen/meetings/consult?lang=en&amp;meetingId=31754&amp;fromExpertGroups=3461</vt:lpwstr>
      </vt:variant>
      <vt:variant>
        <vt:lpwstr/>
      </vt:variant>
      <vt:variant>
        <vt:i4>6225948</vt:i4>
      </vt:variant>
      <vt:variant>
        <vt:i4>30</vt:i4>
      </vt:variant>
      <vt:variant>
        <vt:i4>0</vt:i4>
      </vt:variant>
      <vt:variant>
        <vt:i4>5</vt:i4>
      </vt:variant>
      <vt:variant>
        <vt:lpwstr>https://ec.europa.eu/transparency/expert-groups-register/screen/expert-groups/consult?lang=en&amp;do=groupDetail.groupDetail&amp;groupID=3461</vt:lpwstr>
      </vt:variant>
      <vt:variant>
        <vt:lpwstr/>
      </vt:variant>
      <vt:variant>
        <vt:i4>6815756</vt:i4>
      </vt:variant>
      <vt:variant>
        <vt:i4>27</vt:i4>
      </vt:variant>
      <vt:variant>
        <vt:i4>0</vt:i4>
      </vt:variant>
      <vt:variant>
        <vt:i4>5</vt:i4>
      </vt:variant>
      <vt:variant>
        <vt:lpwstr>https://www.edpb.europa.eu/system/files/2024-04/edpb_strategy_2024-2027_en.pdf</vt:lpwstr>
      </vt:variant>
      <vt:variant>
        <vt:lpwstr/>
      </vt:variant>
      <vt:variant>
        <vt:i4>2687086</vt:i4>
      </vt:variant>
      <vt:variant>
        <vt:i4>24</vt:i4>
      </vt:variant>
      <vt:variant>
        <vt:i4>0</vt:i4>
      </vt:variant>
      <vt:variant>
        <vt:i4>5</vt:i4>
      </vt:variant>
      <vt:variant>
        <vt:lpwstr>https://www.edpb.europa.eu/system/files/2022-07/internal_edpb_document_1_2021_on_art_62_joint_operations_en.pdf</vt:lpwstr>
      </vt:variant>
      <vt:variant>
        <vt:lpwstr/>
      </vt:variant>
      <vt:variant>
        <vt:i4>6225948</vt:i4>
      </vt:variant>
      <vt:variant>
        <vt:i4>21</vt:i4>
      </vt:variant>
      <vt:variant>
        <vt:i4>0</vt:i4>
      </vt:variant>
      <vt:variant>
        <vt:i4>5</vt:i4>
      </vt:variant>
      <vt:variant>
        <vt:lpwstr>https://ec.europa.eu/transparency/expert-groups-register/screen/expert-groups/consult?lang=en&amp;do=groupDetail.groupDetail&amp;groupID=3461</vt:lpwstr>
      </vt:variant>
      <vt:variant>
        <vt:lpwstr/>
      </vt:variant>
      <vt:variant>
        <vt:i4>3932253</vt:i4>
      </vt:variant>
      <vt:variant>
        <vt:i4>18</vt:i4>
      </vt:variant>
      <vt:variant>
        <vt:i4>0</vt:i4>
      </vt:variant>
      <vt:variant>
        <vt:i4>5</vt:i4>
      </vt:variant>
      <vt:variant>
        <vt:lpwstr>https://edpb.europa.eu/our-work-tools/our-documents/letters/edpb-letter-eu-commission-procedural-aspects-could-be_en</vt:lpwstr>
      </vt:variant>
      <vt:variant>
        <vt:lpwstr/>
      </vt:variant>
      <vt:variant>
        <vt:i4>7471137</vt:i4>
      </vt:variant>
      <vt:variant>
        <vt:i4>15</vt:i4>
      </vt:variant>
      <vt:variant>
        <vt:i4>0</vt:i4>
      </vt:variant>
      <vt:variant>
        <vt:i4>5</vt:i4>
      </vt:variant>
      <vt:variant>
        <vt:lpwstr>https://fra.europa.eu/en/publication/2024/gdpr-experiences-data-protection-authorities</vt:lpwstr>
      </vt:variant>
      <vt:variant>
        <vt:lpwstr/>
      </vt:variant>
      <vt:variant>
        <vt:i4>7929867</vt:i4>
      </vt:variant>
      <vt:variant>
        <vt:i4>12</vt:i4>
      </vt:variant>
      <vt:variant>
        <vt:i4>0</vt:i4>
      </vt:variant>
      <vt:variant>
        <vt:i4>5</vt:i4>
      </vt:variant>
      <vt:variant>
        <vt:lpwstr>https://www.edpb.europa.eu/our-work-tools/our-documents/other/contribution-edpb-evaluation-gdpr-under-article-97_en</vt:lpwstr>
      </vt:variant>
      <vt:variant>
        <vt:lpwstr/>
      </vt:variant>
      <vt:variant>
        <vt:i4>917512</vt:i4>
      </vt:variant>
      <vt:variant>
        <vt:i4>6</vt:i4>
      </vt:variant>
      <vt:variant>
        <vt:i4>0</vt:i4>
      </vt:variant>
      <vt:variant>
        <vt:i4>5</vt:i4>
      </vt:variant>
      <vt:variant>
        <vt:lpwstr>https://ec.europa.eu/info/law/better-regulation/</vt:lpwstr>
      </vt:variant>
      <vt:variant>
        <vt:lpwstr/>
      </vt:variant>
      <vt:variant>
        <vt:i4>1245278</vt:i4>
      </vt:variant>
      <vt:variant>
        <vt:i4>3</vt:i4>
      </vt:variant>
      <vt:variant>
        <vt:i4>0</vt:i4>
      </vt:variant>
      <vt:variant>
        <vt:i4>5</vt:i4>
      </vt:variant>
      <vt:variant>
        <vt:lpwstr>C:\Users\nicolor\Downloads\Report from Multistakeholder Expert group on GDPR application - June 2024.pdf</vt:lpwstr>
      </vt:variant>
      <vt:variant>
        <vt:lpwstr/>
      </vt:variant>
      <vt:variant>
        <vt:i4>4128875</vt:i4>
      </vt:variant>
      <vt:variant>
        <vt:i4>0</vt:i4>
      </vt:variant>
      <vt:variant>
        <vt:i4>0</vt:i4>
      </vt:variant>
      <vt:variant>
        <vt:i4>5</vt:i4>
      </vt:variant>
      <vt:variant>
        <vt:lpwstr>https://data.consilium.europa.eu/doc/document/ST-15507-2023-INIT/en/pdf</vt:lpwstr>
      </vt:variant>
      <vt:variant>
        <vt:lpwstr/>
      </vt:variant>
      <vt:variant>
        <vt:i4>1507329</vt:i4>
      </vt:variant>
      <vt:variant>
        <vt:i4>18</vt:i4>
      </vt:variant>
      <vt:variant>
        <vt:i4>0</vt:i4>
      </vt:variant>
      <vt:variant>
        <vt:i4>5</vt:i4>
      </vt:variant>
      <vt:variant>
        <vt:lpwstr>https://myintracomm.ec.europa.eu/sg/Documents/commission_style_guide.pdf</vt:lpwstr>
      </vt:variant>
      <vt:variant>
        <vt:lpwstr/>
      </vt:variant>
      <vt:variant>
        <vt:i4>4718711</vt:i4>
      </vt:variant>
      <vt:variant>
        <vt:i4>15</vt:i4>
      </vt:variant>
      <vt:variant>
        <vt:i4>0</vt:i4>
      </vt:variant>
      <vt:variant>
        <vt:i4>5</vt:i4>
      </vt:variant>
      <vt:variant>
        <vt:lpwstr>mailto:Olivier.MICOL@ec.europa.eu</vt:lpwstr>
      </vt:variant>
      <vt:variant>
        <vt:lpwstr/>
      </vt:variant>
      <vt:variant>
        <vt:i4>1507329</vt:i4>
      </vt:variant>
      <vt:variant>
        <vt:i4>12</vt:i4>
      </vt:variant>
      <vt:variant>
        <vt:i4>0</vt:i4>
      </vt:variant>
      <vt:variant>
        <vt:i4>5</vt:i4>
      </vt:variant>
      <vt:variant>
        <vt:lpwstr>https://myintracomm.ec.europa.eu/sg/Documents/commission_style_guide.pdf</vt:lpwstr>
      </vt:variant>
      <vt:variant>
        <vt:lpwstr/>
      </vt:variant>
      <vt:variant>
        <vt:i4>2949203</vt:i4>
      </vt:variant>
      <vt:variant>
        <vt:i4>9</vt:i4>
      </vt:variant>
      <vt:variant>
        <vt:i4>0</vt:i4>
      </vt:variant>
      <vt:variant>
        <vt:i4>5</vt:i4>
      </vt:variant>
      <vt:variant>
        <vt:lpwstr>https://myintracomm-collab.ec.europa.eu/networks/dgtedit/Knowledge_base/clear-writing-tips/Lists/Posts/Post.aspx?ID=249</vt:lpwstr>
      </vt:variant>
      <vt:variant>
        <vt:lpwstr/>
      </vt:variant>
      <vt:variant>
        <vt:i4>2687056</vt:i4>
      </vt:variant>
      <vt:variant>
        <vt:i4>6</vt:i4>
      </vt:variant>
      <vt:variant>
        <vt:i4>0</vt:i4>
      </vt:variant>
      <vt:variant>
        <vt:i4>5</vt:i4>
      </vt:variant>
      <vt:variant>
        <vt:lpwstr>https://myintracomm-collab.ec.europa.eu/networks/dgtedit/Knowledge_base/clear-writing-tips/Lists/Posts/Post.aspx?ID=101</vt:lpwstr>
      </vt:variant>
      <vt:variant>
        <vt:lpwstr/>
      </vt:variant>
      <vt:variant>
        <vt:i4>1507329</vt:i4>
      </vt:variant>
      <vt:variant>
        <vt:i4>3</vt:i4>
      </vt:variant>
      <vt:variant>
        <vt:i4>0</vt:i4>
      </vt:variant>
      <vt:variant>
        <vt:i4>5</vt:i4>
      </vt:variant>
      <vt:variant>
        <vt:lpwstr>https://myintracomm.ec.europa.eu/sg/Documents/commission_style_guide.pdf</vt:lpwstr>
      </vt:variant>
      <vt:variant>
        <vt:lpwstr/>
      </vt:variant>
      <vt:variant>
        <vt:i4>7733333</vt:i4>
      </vt:variant>
      <vt:variant>
        <vt:i4>0</vt:i4>
      </vt:variant>
      <vt:variant>
        <vt:i4>0</vt:i4>
      </vt:variant>
      <vt:variant>
        <vt:i4>5</vt:i4>
      </vt:variant>
      <vt:variant>
        <vt:lpwstr>https://en.wikipedia.org/wiki/One-stop_shop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2024-06-10T10:16:00Z</cp:lastPrinted>
  <dcterms:created xsi:type="dcterms:W3CDTF">2024-07-23T08:04:00Z</dcterms:created>
  <dcterms:modified xsi:type="dcterms:W3CDTF">2024-07-24T11:29:00Z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2024-02-06T13:18:31Z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23b4871b-3e39-4004-bc1f-09e80f6c3c99</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not.dot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CP-012</vt:lpwstr>
  </property>
  <property fmtid="{D5CDD505-2E9C-101B-9397-08002B2CF9AE}" pid="16" name="Last edited using">
    <vt:lpwstr>LW 9.0, Build 20230317</vt:lpwstr>
  </property>
  <property fmtid="{D5CDD505-2E9C-101B-9397-08002B2CF9AE}" pid="17" name="Created using">
    <vt:lpwstr>LW 9.0, Build 20230317</vt:lpwstr>
  </property>
  <property fmtid="{D5CDD505-2E9C-101B-9397-08002B2CF9AE}" pid="18" name="ContentTypeId">
    <vt:lpwstr>0x01010081D7E5E20A3B6448BB831F127F5CFB05</vt:lpwstr>
  </property>
  <property name="OP_sanitized" fmtid="{D5CDD505-2E9C-101B-9397-08002B2CF9AE}" pid="19">
    <vt:lpwstr>True</vt:lpwstr>
  </property>
</Properties>
</file>