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DC547" w14:textId="319B74BA" w:rsidR="00C8464D" w:rsidRPr="00913665" w:rsidRDefault="00B85A1C" w:rsidP="00B85A1C">
      <w:pPr>
        <w:pStyle w:val="Pagedecouverture"/>
        <w:rPr>
          <w:noProof/>
        </w:rPr>
      </w:pPr>
      <w:bookmarkStart w:id="0" w:name="LW_BM_COVERPAGE"/>
      <w:r>
        <w:rPr>
          <w:noProof/>
        </w:rPr>
        <w:pict w14:anchorId="1823F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0DD11A54-E437-42F1-A8B4-2327EB2D4EBE" style="width:455.25pt;height:336.75pt">
            <v:imagedata r:id="rId8" o:title=""/>
          </v:shape>
        </w:pict>
      </w:r>
    </w:p>
    <w:bookmarkEnd w:id="0"/>
    <w:p w14:paraId="3785F622" w14:textId="77777777" w:rsidR="00C43095" w:rsidRPr="00913665" w:rsidRDefault="00C43095" w:rsidP="00C43095">
      <w:pPr>
        <w:rPr>
          <w:noProof/>
        </w:rPr>
        <w:sectPr w:rsidR="00C43095" w:rsidRPr="00913665" w:rsidSect="00B85A1C">
          <w:headerReference w:type="even" r:id="rId9"/>
          <w:headerReference w:type="default" r:id="rId10"/>
          <w:footerReference w:type="even" r:id="rId11"/>
          <w:footerReference w:type="default" r:id="rId12"/>
          <w:headerReference w:type="first" r:id="rId13"/>
          <w:footerReference w:type="first" r:id="rId14"/>
          <w:pgSz w:w="11910" w:h="16840"/>
          <w:pgMar w:top="1134" w:right="1417" w:bottom="1134" w:left="1417" w:header="709" w:footer="709" w:gutter="0"/>
          <w:pgNumType w:start="1"/>
          <w:cols w:space="720"/>
          <w:docGrid w:linePitch="299"/>
        </w:sectPr>
      </w:pPr>
    </w:p>
    <w:p w14:paraId="294038D1" w14:textId="545B7316" w:rsidR="00C8464D" w:rsidRPr="00913665" w:rsidRDefault="00C8464D" w:rsidP="00002349">
      <w:pPr>
        <w:pStyle w:val="BodyText"/>
        <w:kinsoku w:val="0"/>
        <w:overflowPunct w:val="0"/>
        <w:spacing w:before="240" w:line="276" w:lineRule="auto"/>
        <w:ind w:right="975"/>
        <w:jc w:val="center"/>
        <w:rPr>
          <w:rFonts w:ascii="Arial" w:hAnsi="Arial" w:cs="Arial"/>
          <w:b/>
          <w:bCs/>
          <w:noProof/>
          <w:color w:val="2E5395"/>
          <w:w w:val="85"/>
          <w:sz w:val="36"/>
          <w:szCs w:val="36"/>
        </w:rPr>
      </w:pPr>
      <w:bookmarkStart w:id="1" w:name="The_European_Health_Union:_a_Europe_that"/>
      <w:bookmarkStart w:id="2" w:name="_GoBack"/>
      <w:bookmarkEnd w:id="1"/>
      <w:bookmarkEnd w:id="2"/>
      <w:r w:rsidRPr="00913665">
        <w:rPr>
          <w:rFonts w:ascii="Arial" w:hAnsi="Arial"/>
          <w:b/>
          <w:noProof/>
          <w:color w:val="2E5395"/>
          <w:sz w:val="36"/>
        </w:rPr>
        <w:lastRenderedPageBreak/>
        <w:t>Europejska Unia Zdrowotna: wspólne działanie na rzecz zdrowia ludzi</w:t>
      </w:r>
    </w:p>
    <w:p w14:paraId="1FD061D3" w14:textId="77777777" w:rsidR="00C8464D" w:rsidRPr="00913665" w:rsidRDefault="00C8464D" w:rsidP="00002349">
      <w:pPr>
        <w:pStyle w:val="Heading1"/>
        <w:numPr>
          <w:ilvl w:val="0"/>
          <w:numId w:val="6"/>
        </w:numPr>
        <w:tabs>
          <w:tab w:val="left" w:pos="1289"/>
        </w:tabs>
        <w:kinsoku w:val="0"/>
        <w:overflowPunct w:val="0"/>
        <w:spacing w:before="240" w:line="276" w:lineRule="auto"/>
        <w:ind w:left="0" w:right="975" w:firstLine="0"/>
        <w:jc w:val="both"/>
        <w:rPr>
          <w:noProof/>
          <w:color w:val="2E5395"/>
          <w:spacing w:val="-2"/>
        </w:rPr>
      </w:pPr>
      <w:bookmarkStart w:id="3" w:name="1._Introduction"/>
      <w:bookmarkEnd w:id="3"/>
      <w:r w:rsidRPr="00913665">
        <w:rPr>
          <w:noProof/>
          <w:color w:val="2E5395"/>
        </w:rPr>
        <w:t>Wprowadzenie</w:t>
      </w:r>
    </w:p>
    <w:p w14:paraId="1845A276" w14:textId="66CA5637" w:rsidR="00C8464D" w:rsidRPr="00913665" w:rsidRDefault="00C8464D" w:rsidP="00597730">
      <w:pPr>
        <w:pStyle w:val="BodyText"/>
        <w:kinsoku w:val="0"/>
        <w:overflowPunct w:val="0"/>
        <w:spacing w:before="240" w:line="276" w:lineRule="auto"/>
        <w:jc w:val="both"/>
        <w:rPr>
          <w:noProof/>
        </w:rPr>
      </w:pPr>
      <w:r w:rsidRPr="00913665">
        <w:rPr>
          <w:noProof/>
        </w:rPr>
        <w:t>Niemal pięć lat temu Komisja pod przewodnictwem Ursuli von der Leyen rozpoczęła swoją kadencję od ambitnych planów działania UE</w:t>
      </w:r>
      <w:r w:rsidR="00913665" w:rsidRPr="00913665">
        <w:rPr>
          <w:noProof/>
        </w:rPr>
        <w:t xml:space="preserve"> w</w:t>
      </w:r>
      <w:r w:rsidR="00913665">
        <w:rPr>
          <w:noProof/>
        </w:rPr>
        <w:t> </w:t>
      </w:r>
      <w:r w:rsidR="00913665" w:rsidRPr="00913665">
        <w:rPr>
          <w:noProof/>
        </w:rPr>
        <w:t>dzi</w:t>
      </w:r>
      <w:r w:rsidRPr="00913665">
        <w:rPr>
          <w:noProof/>
        </w:rPr>
        <w:t>edzinie zdrowia. Zobowiązała się wspierać państwa członkowskie</w:t>
      </w:r>
      <w:r w:rsidR="00913665" w:rsidRPr="00913665">
        <w:rPr>
          <w:noProof/>
        </w:rPr>
        <w:t xml:space="preserve"> w</w:t>
      </w:r>
      <w:r w:rsidR="00913665">
        <w:rPr>
          <w:noProof/>
        </w:rPr>
        <w:t> </w:t>
      </w:r>
      <w:r w:rsidR="00913665" w:rsidRPr="00913665">
        <w:rPr>
          <w:noProof/>
        </w:rPr>
        <w:t>nie</w:t>
      </w:r>
      <w:r w:rsidRPr="00913665">
        <w:rPr>
          <w:noProof/>
        </w:rPr>
        <w:t>ustannych staraniach na rzecz poprawy jakości</w:t>
      </w:r>
      <w:r w:rsidR="00913665" w:rsidRPr="00913665">
        <w:rPr>
          <w:noProof/>
        </w:rPr>
        <w:t xml:space="preserve"> i</w:t>
      </w:r>
      <w:r w:rsidR="00913665">
        <w:rPr>
          <w:noProof/>
        </w:rPr>
        <w:t> </w:t>
      </w:r>
      <w:r w:rsidR="00913665" w:rsidRPr="00913665">
        <w:rPr>
          <w:noProof/>
        </w:rPr>
        <w:t>sta</w:t>
      </w:r>
      <w:r w:rsidRPr="00913665">
        <w:rPr>
          <w:noProof/>
        </w:rPr>
        <w:t>bilności ich systemów opieki zdrowotnej</w:t>
      </w:r>
      <w:r w:rsidR="00E73303" w:rsidRPr="00913665">
        <w:rPr>
          <w:rStyle w:val="FootnoteReference"/>
          <w:noProof/>
        </w:rPr>
        <w:footnoteReference w:id="1"/>
      </w:r>
      <w:r w:rsidRPr="00913665">
        <w:rPr>
          <w:noProof/>
        </w:rPr>
        <w:t>, rozwiązywaniu najpilniejszych wyzwań społecznych, takich jak profilaktyka</w:t>
      </w:r>
      <w:r w:rsidR="00913665" w:rsidRPr="00913665">
        <w:rPr>
          <w:noProof/>
        </w:rPr>
        <w:t xml:space="preserve"> i</w:t>
      </w:r>
      <w:r w:rsidR="00913665">
        <w:rPr>
          <w:noProof/>
        </w:rPr>
        <w:t> </w:t>
      </w:r>
      <w:r w:rsidR="00913665" w:rsidRPr="00913665">
        <w:rPr>
          <w:noProof/>
        </w:rPr>
        <w:t>lec</w:t>
      </w:r>
      <w:r w:rsidRPr="00913665">
        <w:rPr>
          <w:noProof/>
        </w:rPr>
        <w:t>zenie nowotworów, zapewnieniu zrównoważonych dostaw leków po przystępnych cenach</w:t>
      </w:r>
      <w:r w:rsidR="00913665" w:rsidRPr="00913665">
        <w:rPr>
          <w:noProof/>
        </w:rPr>
        <w:t xml:space="preserve"> w</w:t>
      </w:r>
      <w:r w:rsidR="00913665">
        <w:rPr>
          <w:noProof/>
        </w:rPr>
        <w:t> </w:t>
      </w:r>
      <w:r w:rsidR="00913665" w:rsidRPr="00913665">
        <w:rPr>
          <w:noProof/>
        </w:rPr>
        <w:t>Eur</w:t>
      </w:r>
      <w:r w:rsidRPr="00913665">
        <w:rPr>
          <w:noProof/>
        </w:rPr>
        <w:t>opie</w:t>
      </w:r>
      <w:r w:rsidR="00913665" w:rsidRPr="00913665">
        <w:rPr>
          <w:noProof/>
        </w:rPr>
        <w:t xml:space="preserve"> i</w:t>
      </w:r>
      <w:r w:rsidR="00913665">
        <w:rPr>
          <w:noProof/>
        </w:rPr>
        <w:t> </w:t>
      </w:r>
      <w:r w:rsidR="00913665" w:rsidRPr="00913665">
        <w:rPr>
          <w:noProof/>
        </w:rPr>
        <w:t>peł</w:t>
      </w:r>
      <w:r w:rsidRPr="00913665">
        <w:rPr>
          <w:noProof/>
        </w:rPr>
        <w:t>nym wykorzystaniu potencjału e-zdrowia. Inicjatywy te stały się głównymi filarami wizji, którą dziś znamy jako Europejska Unia Zdrowotna.</w:t>
      </w:r>
    </w:p>
    <w:p w14:paraId="4276554B" w14:textId="7B8621B0" w:rsidR="00C8464D" w:rsidRPr="00913665" w:rsidRDefault="00C8464D" w:rsidP="00597730">
      <w:pPr>
        <w:pStyle w:val="BodyText"/>
        <w:kinsoku w:val="0"/>
        <w:overflowPunct w:val="0"/>
        <w:spacing w:before="240" w:line="276" w:lineRule="auto"/>
        <w:jc w:val="both"/>
        <w:rPr>
          <w:noProof/>
        </w:rPr>
      </w:pPr>
      <w:r w:rsidRPr="00913665">
        <w:rPr>
          <w:noProof/>
        </w:rPr>
        <w:t>Niecały miesiąc po rozpoczęciu kadencji Komisji świat pogrążył się</w:t>
      </w:r>
      <w:r w:rsidR="00913665" w:rsidRPr="00913665">
        <w:rPr>
          <w:noProof/>
        </w:rPr>
        <w:t xml:space="preserve"> w</w:t>
      </w:r>
      <w:r w:rsidR="00913665">
        <w:rPr>
          <w:noProof/>
        </w:rPr>
        <w:t> </w:t>
      </w:r>
      <w:r w:rsidR="00913665" w:rsidRPr="00913665">
        <w:rPr>
          <w:noProof/>
        </w:rPr>
        <w:t>pan</w:t>
      </w:r>
      <w:r w:rsidRPr="00913665">
        <w:rPr>
          <w:noProof/>
        </w:rPr>
        <w:t>demii COVID-19, która spowodowała miliony ofiar śmiertelnych oraz bezprecedensowe szkody zdrowotne</w:t>
      </w:r>
      <w:r w:rsidR="00913665" w:rsidRPr="00913665">
        <w:rPr>
          <w:noProof/>
        </w:rPr>
        <w:t xml:space="preserve"> i</w:t>
      </w:r>
      <w:r w:rsidR="00913665">
        <w:rPr>
          <w:noProof/>
        </w:rPr>
        <w:t> </w:t>
      </w:r>
      <w:r w:rsidR="00913665" w:rsidRPr="00913665">
        <w:rPr>
          <w:noProof/>
        </w:rPr>
        <w:t>spo</w:t>
      </w:r>
      <w:r w:rsidRPr="00913665">
        <w:rPr>
          <w:noProof/>
        </w:rPr>
        <w:t>łeczno-gospodarcze. Pandemia zaskoczyła świat, unaoczniła strategiczne zależności</w:t>
      </w:r>
      <w:r w:rsidR="00913665" w:rsidRPr="00913665">
        <w:rPr>
          <w:noProof/>
        </w:rPr>
        <w:t xml:space="preserve"> i</w:t>
      </w:r>
      <w:r w:rsidR="00913665">
        <w:rPr>
          <w:noProof/>
        </w:rPr>
        <w:t> </w:t>
      </w:r>
      <w:r w:rsidR="00913665" w:rsidRPr="00913665">
        <w:rPr>
          <w:noProof/>
        </w:rPr>
        <w:t>uja</w:t>
      </w:r>
      <w:r w:rsidRPr="00913665">
        <w:rPr>
          <w:noProof/>
        </w:rPr>
        <w:t>wniła luki</w:t>
      </w:r>
      <w:r w:rsidR="00913665" w:rsidRPr="00913665">
        <w:rPr>
          <w:noProof/>
        </w:rPr>
        <w:t xml:space="preserve"> w</w:t>
      </w:r>
      <w:r w:rsidR="00913665">
        <w:rPr>
          <w:noProof/>
        </w:rPr>
        <w:t> </w:t>
      </w:r>
      <w:r w:rsidR="00913665" w:rsidRPr="00913665">
        <w:rPr>
          <w:noProof/>
        </w:rPr>
        <w:t>zak</w:t>
      </w:r>
      <w:r w:rsidRPr="00913665">
        <w:rPr>
          <w:noProof/>
        </w:rPr>
        <w:t>resie gotowości</w:t>
      </w:r>
      <w:r w:rsidR="00913665" w:rsidRPr="00913665">
        <w:rPr>
          <w:noProof/>
        </w:rPr>
        <w:t>. W</w:t>
      </w:r>
      <w:r w:rsidR="00913665">
        <w:rPr>
          <w:noProof/>
        </w:rPr>
        <w:t> </w:t>
      </w:r>
      <w:r w:rsidR="00913665" w:rsidRPr="00913665">
        <w:rPr>
          <w:noProof/>
        </w:rPr>
        <w:t>odp</w:t>
      </w:r>
      <w:r w:rsidRPr="00913665">
        <w:rPr>
          <w:noProof/>
        </w:rPr>
        <w:t>owiedzi na początkowe wyzwania UE podjęła konkretne</w:t>
      </w:r>
      <w:r w:rsidR="00913665" w:rsidRPr="00913665">
        <w:rPr>
          <w:noProof/>
        </w:rPr>
        <w:t xml:space="preserve"> i</w:t>
      </w:r>
      <w:r w:rsidR="00913665">
        <w:rPr>
          <w:noProof/>
        </w:rPr>
        <w:t> </w:t>
      </w:r>
      <w:r w:rsidR="00913665" w:rsidRPr="00913665">
        <w:rPr>
          <w:noProof/>
        </w:rPr>
        <w:t>zde</w:t>
      </w:r>
      <w:r w:rsidRPr="00913665">
        <w:rPr>
          <w:noProof/>
        </w:rPr>
        <w:t>cydowane działania,</w:t>
      </w:r>
      <w:r w:rsidR="00913665" w:rsidRPr="00913665">
        <w:rPr>
          <w:noProof/>
        </w:rPr>
        <w:t xml:space="preserve"> w</w:t>
      </w:r>
      <w:r w:rsidR="00913665">
        <w:rPr>
          <w:noProof/>
        </w:rPr>
        <w:t> </w:t>
      </w:r>
      <w:r w:rsidR="00913665" w:rsidRPr="00913665">
        <w:rPr>
          <w:noProof/>
        </w:rPr>
        <w:t>któ</w:t>
      </w:r>
      <w:r w:rsidRPr="00913665">
        <w:rPr>
          <w:noProof/>
        </w:rPr>
        <w:t>rych demonstrowała siłę solidarności</w:t>
      </w:r>
      <w:r w:rsidR="00913665" w:rsidRPr="00913665">
        <w:rPr>
          <w:noProof/>
        </w:rPr>
        <w:t xml:space="preserve"> w</w:t>
      </w:r>
      <w:r w:rsidR="00913665">
        <w:rPr>
          <w:noProof/>
        </w:rPr>
        <w:t> </w:t>
      </w:r>
      <w:r w:rsidR="00913665" w:rsidRPr="00913665">
        <w:rPr>
          <w:noProof/>
        </w:rPr>
        <w:t>prz</w:t>
      </w:r>
      <w:r w:rsidRPr="00913665">
        <w:rPr>
          <w:noProof/>
        </w:rPr>
        <w:t>eciwdziałaniu bezprecedensowemu zagrożeniu dla zdrowia,</w:t>
      </w:r>
      <w:r w:rsidR="00913665" w:rsidRPr="00913665">
        <w:rPr>
          <w:noProof/>
        </w:rPr>
        <w:t xml:space="preserve"> w</w:t>
      </w:r>
      <w:r w:rsidR="00913665">
        <w:rPr>
          <w:noProof/>
        </w:rPr>
        <w:t> </w:t>
      </w:r>
      <w:r w:rsidR="00913665" w:rsidRPr="00913665">
        <w:rPr>
          <w:noProof/>
        </w:rPr>
        <w:t>prz</w:t>
      </w:r>
      <w:r w:rsidRPr="00913665">
        <w:rPr>
          <w:noProof/>
        </w:rPr>
        <w:t>ywracaniu życia gospodarczego</w:t>
      </w:r>
      <w:r w:rsidR="00913665" w:rsidRPr="00913665">
        <w:rPr>
          <w:noProof/>
        </w:rPr>
        <w:t xml:space="preserve"> i</w:t>
      </w:r>
      <w:r w:rsidR="00913665">
        <w:rPr>
          <w:noProof/>
        </w:rPr>
        <w:t> </w:t>
      </w:r>
      <w:r w:rsidR="00913665" w:rsidRPr="00913665">
        <w:rPr>
          <w:noProof/>
        </w:rPr>
        <w:t>spo</w:t>
      </w:r>
      <w:r w:rsidRPr="00913665">
        <w:rPr>
          <w:noProof/>
        </w:rPr>
        <w:t>łecznego oraz podkreślała potrzebę bardziej strukturalnych, dalekosiężnych rozwiązań.</w:t>
      </w:r>
    </w:p>
    <w:p w14:paraId="50B30293" w14:textId="560CDF2E" w:rsidR="00C8464D" w:rsidRPr="00913665" w:rsidRDefault="00C8464D" w:rsidP="00597730">
      <w:pPr>
        <w:pStyle w:val="BodyText"/>
        <w:kinsoku w:val="0"/>
        <w:overflowPunct w:val="0"/>
        <w:spacing w:before="240" w:line="276" w:lineRule="auto"/>
        <w:jc w:val="both"/>
        <w:rPr>
          <w:noProof/>
        </w:rPr>
      </w:pPr>
      <w:r w:rsidRPr="00913665">
        <w:rPr>
          <w:noProof/>
        </w:rPr>
        <w:t>Przedstawiona</w:t>
      </w:r>
      <w:r w:rsidR="00913665" w:rsidRPr="00913665">
        <w:rPr>
          <w:noProof/>
        </w:rPr>
        <w:t xml:space="preserve"> w</w:t>
      </w:r>
      <w:r w:rsidR="00913665">
        <w:rPr>
          <w:noProof/>
        </w:rPr>
        <w:t> </w:t>
      </w:r>
      <w:r w:rsidR="00913665" w:rsidRPr="00913665">
        <w:rPr>
          <w:noProof/>
        </w:rPr>
        <w:t>cze</w:t>
      </w:r>
      <w:r w:rsidRPr="00913665">
        <w:rPr>
          <w:noProof/>
        </w:rPr>
        <w:t>rwcu 2020</w:t>
      </w:r>
      <w:r w:rsidR="00913665" w:rsidRPr="00913665">
        <w:rPr>
          <w:noProof/>
        </w:rPr>
        <w:t> </w:t>
      </w:r>
      <w:r w:rsidRPr="00913665">
        <w:rPr>
          <w:noProof/>
        </w:rPr>
        <w:t>r. unijna strategia dotycząca szczepionek</w:t>
      </w:r>
      <w:r w:rsidR="00E73303" w:rsidRPr="00913665">
        <w:rPr>
          <w:rStyle w:val="FootnoteReference"/>
          <w:noProof/>
        </w:rPr>
        <w:footnoteReference w:id="2"/>
      </w:r>
      <w:r w:rsidRPr="00913665">
        <w:rPr>
          <w:noProof/>
        </w:rPr>
        <w:t>,</w:t>
      </w:r>
      <w:r w:rsidR="00913665" w:rsidRPr="00913665">
        <w:rPr>
          <w:noProof/>
        </w:rPr>
        <w:t xml:space="preserve"> w</w:t>
      </w:r>
      <w:r w:rsidR="00913665">
        <w:rPr>
          <w:noProof/>
        </w:rPr>
        <w:t> </w:t>
      </w:r>
      <w:r w:rsidR="00913665" w:rsidRPr="00913665">
        <w:rPr>
          <w:noProof/>
        </w:rPr>
        <w:t>ram</w:t>
      </w:r>
      <w:r w:rsidRPr="00913665">
        <w:rPr>
          <w:noProof/>
        </w:rPr>
        <w:t>ach której udało się zaopatrzyć co najmniej 1,4 mln osób</w:t>
      </w:r>
      <w:r w:rsidR="00913665" w:rsidRPr="00913665">
        <w:rPr>
          <w:noProof/>
        </w:rPr>
        <w:t xml:space="preserve"> w</w:t>
      </w:r>
      <w:r w:rsidR="00913665">
        <w:rPr>
          <w:noProof/>
        </w:rPr>
        <w:t> </w:t>
      </w:r>
      <w:r w:rsidR="00913665" w:rsidRPr="00913665">
        <w:rPr>
          <w:noProof/>
        </w:rPr>
        <w:t>Eur</w:t>
      </w:r>
      <w:r w:rsidRPr="00913665">
        <w:rPr>
          <w:noProof/>
        </w:rPr>
        <w:t>opie</w:t>
      </w:r>
      <w:r w:rsidR="00913665" w:rsidRPr="00913665">
        <w:rPr>
          <w:noProof/>
        </w:rPr>
        <w:t xml:space="preserve"> w</w:t>
      </w:r>
      <w:r w:rsidR="00913665">
        <w:rPr>
          <w:noProof/>
        </w:rPr>
        <w:t> </w:t>
      </w:r>
      <w:r w:rsidR="00913665" w:rsidRPr="00913665">
        <w:rPr>
          <w:noProof/>
        </w:rPr>
        <w:t>szc</w:t>
      </w:r>
      <w:r w:rsidRPr="00913665">
        <w:rPr>
          <w:noProof/>
        </w:rPr>
        <w:t>zepionki ratujące życie</w:t>
      </w:r>
      <w:r w:rsidR="00FA4877" w:rsidRPr="00913665">
        <w:rPr>
          <w:rStyle w:val="FootnoteReference"/>
          <w:noProof/>
        </w:rPr>
        <w:footnoteReference w:id="3"/>
      </w:r>
      <w:r w:rsidRPr="00913665">
        <w:rPr>
          <w:noProof/>
        </w:rPr>
        <w:t>, okazała się sukcesem całej UE. Tempo rozwoju tej technologii było bezprecedensowe, począwszy od opracowania, oceny, wydawania pozwoleń na dopuszczenie do obrotu, produkcji</w:t>
      </w:r>
      <w:r w:rsidR="00913665" w:rsidRPr="00913665">
        <w:rPr>
          <w:noProof/>
        </w:rPr>
        <w:t xml:space="preserve"> i</w:t>
      </w:r>
      <w:r w:rsidR="00913665">
        <w:rPr>
          <w:noProof/>
        </w:rPr>
        <w:t> </w:t>
      </w:r>
      <w:r w:rsidR="00913665" w:rsidRPr="00913665">
        <w:rPr>
          <w:noProof/>
        </w:rPr>
        <w:t>wdr</w:t>
      </w:r>
      <w:r w:rsidRPr="00913665">
        <w:rPr>
          <w:noProof/>
        </w:rPr>
        <w:t>ażania; udało się zapewnić dostęp do szczepionek wszystkim obywatelom</w:t>
      </w:r>
      <w:r w:rsidR="00913665" w:rsidRPr="00913665">
        <w:rPr>
          <w:noProof/>
        </w:rPr>
        <w:t xml:space="preserve"> w</w:t>
      </w:r>
      <w:r w:rsidR="00913665">
        <w:rPr>
          <w:noProof/>
        </w:rPr>
        <w:t> </w:t>
      </w:r>
      <w:r w:rsidR="00913665" w:rsidRPr="00913665">
        <w:rPr>
          <w:noProof/>
        </w:rPr>
        <w:t>tym</w:t>
      </w:r>
      <w:r w:rsidRPr="00913665">
        <w:rPr>
          <w:noProof/>
        </w:rPr>
        <w:t xml:space="preserve"> samym czasie i na takich samych warunkach, niezależnie od ich miejsca zamieszkania w UE. Zabezpieczono 4,6 mld dawek dla Europejczyków</w:t>
      </w:r>
      <w:r w:rsidR="00913665" w:rsidRPr="00913665">
        <w:rPr>
          <w:noProof/>
        </w:rPr>
        <w:t xml:space="preserve"> i</w:t>
      </w:r>
      <w:r w:rsidR="00913665">
        <w:rPr>
          <w:noProof/>
        </w:rPr>
        <w:t> </w:t>
      </w:r>
      <w:r w:rsidR="00913665" w:rsidRPr="00913665">
        <w:rPr>
          <w:noProof/>
        </w:rPr>
        <w:t>kra</w:t>
      </w:r>
      <w:r w:rsidRPr="00913665">
        <w:rPr>
          <w:noProof/>
        </w:rPr>
        <w:t>jów partnerskich</w:t>
      </w:r>
      <w:r w:rsidR="00913665" w:rsidRPr="00913665">
        <w:rPr>
          <w:noProof/>
        </w:rPr>
        <w:t>. W</w:t>
      </w:r>
      <w:r w:rsidR="00913665">
        <w:rPr>
          <w:noProof/>
        </w:rPr>
        <w:t> </w:t>
      </w:r>
      <w:r w:rsidR="00913665" w:rsidRPr="00913665">
        <w:rPr>
          <w:noProof/>
        </w:rPr>
        <w:t>ram</w:t>
      </w:r>
      <w:r w:rsidRPr="00913665">
        <w:rPr>
          <w:noProof/>
        </w:rPr>
        <w:t>ach historycznego, ogólnoeuropejskiego wysiłku na rzecz ochrony naszych obywateli</w:t>
      </w:r>
      <w:r w:rsidR="00913665" w:rsidRPr="00913665">
        <w:rPr>
          <w:noProof/>
        </w:rPr>
        <w:t xml:space="preserve"> w</w:t>
      </w:r>
      <w:r w:rsidR="00913665">
        <w:rPr>
          <w:noProof/>
        </w:rPr>
        <w:t> </w:t>
      </w:r>
      <w:r w:rsidR="00913665" w:rsidRPr="00913665">
        <w:rPr>
          <w:noProof/>
        </w:rPr>
        <w:t>naj</w:t>
      </w:r>
      <w:r w:rsidRPr="00913665">
        <w:rPr>
          <w:noProof/>
        </w:rPr>
        <w:t>ostrzejszej fazie pandemii co najmniej jeden cykl szczepienia przeciwko COVID-19 otrzymało ponad 80 % dorosłej populacji w UE. Późniejsze wprowadzenie unijnego cyfrowego zaświadczenia COVID przyczyniło się do ponownego otwarcia społeczeństw Europy, przywrócenia działalności gospodarczej</w:t>
      </w:r>
      <w:r w:rsidR="00913665" w:rsidRPr="00913665">
        <w:rPr>
          <w:noProof/>
        </w:rPr>
        <w:t xml:space="preserve"> i</w:t>
      </w:r>
      <w:r w:rsidR="00913665">
        <w:rPr>
          <w:noProof/>
        </w:rPr>
        <w:t> </w:t>
      </w:r>
      <w:r w:rsidR="00913665" w:rsidRPr="00913665">
        <w:rPr>
          <w:noProof/>
        </w:rPr>
        <w:t>umo</w:t>
      </w:r>
      <w:r w:rsidRPr="00913665">
        <w:rPr>
          <w:noProof/>
        </w:rPr>
        <w:t>żliwiło ludziom bezpieczne wznowienie podróży, co przybliżyło UE do normalnych warunków funkcjonowania.</w:t>
      </w:r>
    </w:p>
    <w:p w14:paraId="6C8ED3BA" w14:textId="516BC870" w:rsidR="00431174" w:rsidRPr="00913665" w:rsidRDefault="00C8464D" w:rsidP="00597730">
      <w:pPr>
        <w:pStyle w:val="BodyText"/>
        <w:kinsoku w:val="0"/>
        <w:overflowPunct w:val="0"/>
        <w:spacing w:before="240" w:line="276" w:lineRule="auto"/>
        <w:jc w:val="both"/>
        <w:rPr>
          <w:noProof/>
        </w:rPr>
      </w:pPr>
      <w:r w:rsidRPr="00913665">
        <w:rPr>
          <w:noProof/>
        </w:rPr>
        <w:t>Europejska współpraca</w:t>
      </w:r>
      <w:r w:rsidR="00913665" w:rsidRPr="00913665">
        <w:rPr>
          <w:noProof/>
        </w:rPr>
        <w:t xml:space="preserve"> i</w:t>
      </w:r>
      <w:r w:rsidR="00913665">
        <w:rPr>
          <w:noProof/>
        </w:rPr>
        <w:t> </w:t>
      </w:r>
      <w:r w:rsidR="00913665" w:rsidRPr="00913665">
        <w:rPr>
          <w:noProof/>
        </w:rPr>
        <w:t>sol</w:t>
      </w:r>
      <w:r w:rsidRPr="00913665">
        <w:rPr>
          <w:noProof/>
        </w:rPr>
        <w:t>idarność sięgały daleko poza nasze granice, a UE</w:t>
      </w:r>
      <w:r w:rsidR="00913665" w:rsidRPr="00913665">
        <w:rPr>
          <w:noProof/>
        </w:rPr>
        <w:t xml:space="preserve"> i</w:t>
      </w:r>
      <w:r w:rsidR="00913665">
        <w:rPr>
          <w:noProof/>
        </w:rPr>
        <w:t> </w:t>
      </w:r>
      <w:r w:rsidR="00913665" w:rsidRPr="00913665">
        <w:rPr>
          <w:noProof/>
        </w:rPr>
        <w:t>pań</w:t>
      </w:r>
      <w:r w:rsidRPr="00913665">
        <w:rPr>
          <w:noProof/>
        </w:rPr>
        <w:t>stwa członkowskie stały się największym na świecie dostawcą szczepionek</w:t>
      </w:r>
      <w:r w:rsidR="00913665" w:rsidRPr="00913665">
        <w:rPr>
          <w:noProof/>
        </w:rPr>
        <w:t xml:space="preserve"> w</w:t>
      </w:r>
      <w:r w:rsidR="00913665">
        <w:rPr>
          <w:noProof/>
        </w:rPr>
        <w:t> </w:t>
      </w:r>
      <w:r w:rsidR="00913665" w:rsidRPr="00913665">
        <w:rPr>
          <w:noProof/>
        </w:rPr>
        <w:t>mom</w:t>
      </w:r>
      <w:r w:rsidRPr="00913665">
        <w:rPr>
          <w:noProof/>
        </w:rPr>
        <w:t>encie, gdy ich dostępność była kwestią najwyższej konieczności. Krajom</w:t>
      </w:r>
      <w:r w:rsidR="00913665" w:rsidRPr="00913665">
        <w:rPr>
          <w:noProof/>
        </w:rPr>
        <w:t xml:space="preserve"> o</w:t>
      </w:r>
      <w:r w:rsidR="00913665">
        <w:rPr>
          <w:noProof/>
        </w:rPr>
        <w:t> </w:t>
      </w:r>
      <w:r w:rsidR="00913665" w:rsidRPr="00913665">
        <w:rPr>
          <w:noProof/>
        </w:rPr>
        <w:t>nis</w:t>
      </w:r>
      <w:r w:rsidRPr="00913665">
        <w:rPr>
          <w:noProof/>
        </w:rPr>
        <w:t>kim</w:t>
      </w:r>
      <w:r w:rsidR="00913665" w:rsidRPr="00913665">
        <w:rPr>
          <w:noProof/>
        </w:rPr>
        <w:t xml:space="preserve"> i</w:t>
      </w:r>
      <w:r w:rsidR="00913665">
        <w:rPr>
          <w:noProof/>
        </w:rPr>
        <w:t> </w:t>
      </w:r>
      <w:r w:rsidR="00913665" w:rsidRPr="00913665">
        <w:rPr>
          <w:noProof/>
        </w:rPr>
        <w:t>śre</w:t>
      </w:r>
      <w:r w:rsidRPr="00913665">
        <w:rPr>
          <w:noProof/>
        </w:rPr>
        <w:t>dnim dochodzie przekazano ponad 530 milionów dawek. Unia Europejska zapewniła także dostawy ponad 190 mln sztuk wyrobów medycznych</w:t>
      </w:r>
      <w:r w:rsidR="00913665" w:rsidRPr="00913665">
        <w:rPr>
          <w:noProof/>
        </w:rPr>
        <w:t xml:space="preserve"> i</w:t>
      </w:r>
      <w:r w:rsidR="00913665">
        <w:rPr>
          <w:noProof/>
        </w:rPr>
        <w:t> </w:t>
      </w:r>
      <w:r w:rsidR="00913665" w:rsidRPr="00913665">
        <w:rPr>
          <w:noProof/>
        </w:rPr>
        <w:t>śro</w:t>
      </w:r>
      <w:r w:rsidRPr="00913665">
        <w:rPr>
          <w:noProof/>
        </w:rPr>
        <w:t>dków ochrony indywidualnej, takich jak maseczki czy rękawice, do krajów partnerskich. Nie udałoby się tego osiągnąć bez ścisłej współpracy między Parlamentem Europejskim, państwami członkowskimi, Komisją, Europejską Służbą Działań Zewnętrznych, agencjami UE</w:t>
      </w:r>
      <w:r w:rsidR="00913665" w:rsidRPr="00913665">
        <w:rPr>
          <w:noProof/>
        </w:rPr>
        <w:t xml:space="preserve"> i</w:t>
      </w:r>
      <w:r w:rsidR="00913665">
        <w:rPr>
          <w:noProof/>
        </w:rPr>
        <w:t> </w:t>
      </w:r>
      <w:r w:rsidR="00913665" w:rsidRPr="00913665">
        <w:rPr>
          <w:noProof/>
        </w:rPr>
        <w:t>pod</w:t>
      </w:r>
      <w:r w:rsidRPr="00913665">
        <w:rPr>
          <w:noProof/>
        </w:rPr>
        <w:t>miotami międzynarodowymi. Dzięki swej kluczowej roli na arenie międzynarodowej UE zapewniła dostęp do szczepień wszystkim grupom ludności,</w:t>
      </w:r>
      <w:r w:rsidR="00913665" w:rsidRPr="00913665">
        <w:rPr>
          <w:noProof/>
        </w:rPr>
        <w:t xml:space="preserve"> w</w:t>
      </w:r>
      <w:r w:rsidR="00913665">
        <w:rPr>
          <w:noProof/>
        </w:rPr>
        <w:t> </w:t>
      </w:r>
      <w:r w:rsidR="00913665" w:rsidRPr="00913665">
        <w:rPr>
          <w:noProof/>
        </w:rPr>
        <w:t>tym</w:t>
      </w:r>
      <w:r w:rsidRPr="00913665">
        <w:rPr>
          <w:noProof/>
        </w:rPr>
        <w:t xml:space="preserve"> grupom szczególnie wrażliwym, mieszkającym</w:t>
      </w:r>
      <w:r w:rsidR="00913665" w:rsidRPr="00913665">
        <w:rPr>
          <w:noProof/>
        </w:rPr>
        <w:t xml:space="preserve"> w</w:t>
      </w:r>
      <w:r w:rsidR="00913665">
        <w:rPr>
          <w:noProof/>
        </w:rPr>
        <w:t> </w:t>
      </w:r>
      <w:r w:rsidR="00913665" w:rsidRPr="00913665">
        <w:rPr>
          <w:noProof/>
        </w:rPr>
        <w:t>śro</w:t>
      </w:r>
      <w:r w:rsidRPr="00913665">
        <w:rPr>
          <w:noProof/>
        </w:rPr>
        <w:t>dowiskach wymagających interwencji humanitarnych, niestabilnych lub dotkniętych konfliktami. Unijne cyfrowe zaświadczenie COVID stało się globalnym standardem mobilności</w:t>
      </w:r>
      <w:r w:rsidR="00913665" w:rsidRPr="00913665">
        <w:rPr>
          <w:noProof/>
        </w:rPr>
        <w:t xml:space="preserve"> w</w:t>
      </w:r>
      <w:r w:rsidR="00913665">
        <w:rPr>
          <w:noProof/>
        </w:rPr>
        <w:t> </w:t>
      </w:r>
      <w:r w:rsidR="00913665" w:rsidRPr="00913665">
        <w:rPr>
          <w:noProof/>
        </w:rPr>
        <w:t>wym</w:t>
      </w:r>
      <w:r w:rsidRPr="00913665">
        <w:rPr>
          <w:noProof/>
        </w:rPr>
        <w:t>iarze międzynarodowym</w:t>
      </w:r>
      <w:r w:rsidR="00913665" w:rsidRPr="00913665">
        <w:rPr>
          <w:noProof/>
        </w:rPr>
        <w:t xml:space="preserve"> i</w:t>
      </w:r>
      <w:r w:rsidR="00913665">
        <w:rPr>
          <w:noProof/>
        </w:rPr>
        <w:t> </w:t>
      </w:r>
      <w:r w:rsidR="00913665" w:rsidRPr="00913665">
        <w:rPr>
          <w:noProof/>
        </w:rPr>
        <w:t>prz</w:t>
      </w:r>
      <w:r w:rsidRPr="00913665">
        <w:rPr>
          <w:noProof/>
        </w:rPr>
        <w:t>yspieszyło powrót do działalności gospodarczej na szczeblu globalnym.</w:t>
      </w:r>
    </w:p>
    <w:p w14:paraId="0B5B207F" w14:textId="68E9066F" w:rsidR="00C8464D" w:rsidRPr="00913665" w:rsidRDefault="00405124" w:rsidP="00597730">
      <w:pPr>
        <w:pStyle w:val="BodyText"/>
        <w:kinsoku w:val="0"/>
        <w:overflowPunct w:val="0"/>
        <w:spacing w:before="240" w:line="276" w:lineRule="auto"/>
        <w:jc w:val="both"/>
        <w:rPr>
          <w:noProof/>
          <w:sz w:val="20"/>
          <w:szCs w:val="20"/>
        </w:rPr>
      </w:pPr>
      <w:r>
        <w:rPr>
          <w:noProof/>
        </w:rPr>
        <w:pict w14:anchorId="289D6C6C">
          <v:shape id="_x0000_i1026" type="#_x0000_t75" style="width:433.5pt;height:243pt;visibility:visible;mso-wrap-style:square">
            <v:imagedata r:id="rId15" o:title=""/>
          </v:shape>
        </w:pict>
      </w:r>
    </w:p>
    <w:p w14:paraId="67154EBE" w14:textId="0C5D32FE" w:rsidR="00C8464D" w:rsidRPr="00913665" w:rsidRDefault="00C8464D" w:rsidP="00597730">
      <w:pPr>
        <w:pStyle w:val="BodyText"/>
        <w:kinsoku w:val="0"/>
        <w:overflowPunct w:val="0"/>
        <w:spacing w:before="240" w:line="276" w:lineRule="auto"/>
        <w:jc w:val="both"/>
        <w:rPr>
          <w:noProof/>
        </w:rPr>
      </w:pPr>
      <w:r w:rsidRPr="00913665">
        <w:rPr>
          <w:noProof/>
        </w:rPr>
        <w:t>Determinacja</w:t>
      </w:r>
      <w:r w:rsidR="00913665" w:rsidRPr="00913665">
        <w:rPr>
          <w:noProof/>
        </w:rPr>
        <w:t xml:space="preserve"> i</w:t>
      </w:r>
      <w:r w:rsidR="00913665">
        <w:rPr>
          <w:noProof/>
        </w:rPr>
        <w:t> </w:t>
      </w:r>
      <w:r w:rsidR="00913665" w:rsidRPr="00913665">
        <w:rPr>
          <w:noProof/>
        </w:rPr>
        <w:t>sko</w:t>
      </w:r>
      <w:r w:rsidRPr="00913665">
        <w:rPr>
          <w:noProof/>
        </w:rPr>
        <w:t>ordynowane podejście przełożyły się na szybką</w:t>
      </w:r>
      <w:r w:rsidR="00913665" w:rsidRPr="00913665">
        <w:rPr>
          <w:noProof/>
        </w:rPr>
        <w:t xml:space="preserve"> i</w:t>
      </w:r>
      <w:r w:rsidR="00913665">
        <w:rPr>
          <w:noProof/>
        </w:rPr>
        <w:t> </w:t>
      </w:r>
      <w:r w:rsidR="00913665" w:rsidRPr="00913665">
        <w:rPr>
          <w:noProof/>
        </w:rPr>
        <w:t>moż</w:t>
      </w:r>
      <w:r w:rsidRPr="00913665">
        <w:rPr>
          <w:noProof/>
        </w:rPr>
        <w:t>liwie najbardziej skuteczną odpowiedź na pandemię COVID-19</w:t>
      </w:r>
      <w:r w:rsidR="00913665" w:rsidRPr="00913665">
        <w:rPr>
          <w:noProof/>
        </w:rPr>
        <w:t xml:space="preserve"> w</w:t>
      </w:r>
      <w:r w:rsidR="00913665">
        <w:rPr>
          <w:noProof/>
        </w:rPr>
        <w:t> </w:t>
      </w:r>
      <w:r w:rsidR="00913665" w:rsidRPr="00913665">
        <w:rPr>
          <w:noProof/>
        </w:rPr>
        <w:t>Eur</w:t>
      </w:r>
      <w:r w:rsidRPr="00913665">
        <w:rPr>
          <w:noProof/>
        </w:rPr>
        <w:t>opie. Tak traumatyczne doświadczenie było dla Europy trudną, lecz bardzo ważną lekcją. Pandemia wyeksponowała słabe punkty</w:t>
      </w:r>
      <w:r w:rsidR="00913665" w:rsidRPr="00913665">
        <w:rPr>
          <w:noProof/>
        </w:rPr>
        <w:t xml:space="preserve"> w</w:t>
      </w:r>
      <w:r w:rsidR="00913665">
        <w:rPr>
          <w:noProof/>
        </w:rPr>
        <w:t> </w:t>
      </w:r>
      <w:r w:rsidR="00913665" w:rsidRPr="00913665">
        <w:rPr>
          <w:noProof/>
        </w:rPr>
        <w:t>eur</w:t>
      </w:r>
      <w:r w:rsidRPr="00913665">
        <w:rPr>
          <w:noProof/>
        </w:rPr>
        <w:t>opejskich systemach opieki zdrowotnej</w:t>
      </w:r>
      <w:r w:rsidR="00913665" w:rsidRPr="00913665">
        <w:rPr>
          <w:noProof/>
        </w:rPr>
        <w:t xml:space="preserve"> i</w:t>
      </w:r>
      <w:r w:rsidR="00913665">
        <w:rPr>
          <w:noProof/>
        </w:rPr>
        <w:t> </w:t>
      </w:r>
      <w:r w:rsidR="00913665" w:rsidRPr="00913665">
        <w:rPr>
          <w:noProof/>
        </w:rPr>
        <w:t>wsk</w:t>
      </w:r>
      <w:r w:rsidRPr="00913665">
        <w:rPr>
          <w:noProof/>
        </w:rPr>
        <w:t>azała na potrzebę wzmocnienia podejścia „Jedno zdrowie”, opartego na założeniu, że zdrowie ludzi, zwierząt</w:t>
      </w:r>
      <w:r w:rsidR="00913665" w:rsidRPr="00913665">
        <w:rPr>
          <w:noProof/>
        </w:rPr>
        <w:t xml:space="preserve"> i</w:t>
      </w:r>
      <w:r w:rsidR="00913665">
        <w:rPr>
          <w:noProof/>
        </w:rPr>
        <w:t> </w:t>
      </w:r>
      <w:r w:rsidR="00913665" w:rsidRPr="00913665">
        <w:rPr>
          <w:noProof/>
        </w:rPr>
        <w:t>roś</w:t>
      </w:r>
      <w:r w:rsidRPr="00913665">
        <w:rPr>
          <w:noProof/>
        </w:rPr>
        <w:t>lin oraz środowisko są ze sobą ściśle powiązane. Pandemia zwiększyła zależności między zdrowiem</w:t>
      </w:r>
      <w:r w:rsidR="00913665" w:rsidRPr="00913665">
        <w:rPr>
          <w:noProof/>
        </w:rPr>
        <w:t xml:space="preserve"> a</w:t>
      </w:r>
      <w:r w:rsidR="00913665">
        <w:rPr>
          <w:noProof/>
        </w:rPr>
        <w:t> </w:t>
      </w:r>
      <w:r w:rsidR="00913665" w:rsidRPr="00913665">
        <w:rPr>
          <w:noProof/>
        </w:rPr>
        <w:t>odp</w:t>
      </w:r>
      <w:r w:rsidRPr="00913665">
        <w:rPr>
          <w:noProof/>
        </w:rPr>
        <w:t>ornością gospodarczą</w:t>
      </w:r>
      <w:r w:rsidR="00913665" w:rsidRPr="00913665">
        <w:rPr>
          <w:noProof/>
        </w:rPr>
        <w:t xml:space="preserve"> i</w:t>
      </w:r>
      <w:r w:rsidR="00913665">
        <w:rPr>
          <w:noProof/>
        </w:rPr>
        <w:t> </w:t>
      </w:r>
      <w:r w:rsidR="00913665" w:rsidRPr="00913665">
        <w:rPr>
          <w:noProof/>
        </w:rPr>
        <w:t>otw</w:t>
      </w:r>
      <w:r w:rsidRPr="00913665">
        <w:rPr>
          <w:noProof/>
        </w:rPr>
        <w:t>artą strategiczną autonomią Unii. Uwidoczniła również potrzebę wzmocnienia przywództwa UE</w:t>
      </w:r>
      <w:r w:rsidR="00913665" w:rsidRPr="00913665">
        <w:rPr>
          <w:noProof/>
        </w:rPr>
        <w:t xml:space="preserve"> w</w:t>
      </w:r>
      <w:r w:rsidR="00913665">
        <w:rPr>
          <w:noProof/>
        </w:rPr>
        <w:t> </w:t>
      </w:r>
      <w:r w:rsidR="00913665" w:rsidRPr="00913665">
        <w:rPr>
          <w:noProof/>
        </w:rPr>
        <w:t>dzi</w:t>
      </w:r>
      <w:r w:rsidRPr="00913665">
        <w:rPr>
          <w:noProof/>
        </w:rPr>
        <w:t>edzinie zdrowia na świecie, przy uznaniu znaczenia zdrowia jako czynnika geopolitycznego.</w:t>
      </w:r>
    </w:p>
    <w:p w14:paraId="377ACC01" w14:textId="6C2A7595" w:rsidR="00C8464D" w:rsidRPr="00913665" w:rsidRDefault="00C8464D" w:rsidP="00597730">
      <w:pPr>
        <w:pStyle w:val="BodyText"/>
        <w:kinsoku w:val="0"/>
        <w:overflowPunct w:val="0"/>
        <w:spacing w:before="240" w:line="276" w:lineRule="auto"/>
        <w:jc w:val="both"/>
        <w:rPr>
          <w:noProof/>
        </w:rPr>
      </w:pPr>
      <w:r w:rsidRPr="00913665">
        <w:rPr>
          <w:noProof/>
        </w:rPr>
        <w:t>Pandemia także –</w:t>
      </w:r>
      <w:r w:rsidR="00913665" w:rsidRPr="00913665">
        <w:rPr>
          <w:noProof/>
        </w:rPr>
        <w:t xml:space="preserve"> a</w:t>
      </w:r>
      <w:r w:rsidR="00913665">
        <w:rPr>
          <w:noProof/>
        </w:rPr>
        <w:t> </w:t>
      </w:r>
      <w:r w:rsidR="00913665" w:rsidRPr="00913665">
        <w:rPr>
          <w:noProof/>
        </w:rPr>
        <w:t>moż</w:t>
      </w:r>
      <w:r w:rsidRPr="00913665">
        <w:rPr>
          <w:noProof/>
        </w:rPr>
        <w:t>e przede wszystkim – przypominała nam</w:t>
      </w:r>
      <w:r w:rsidR="00913665" w:rsidRPr="00913665">
        <w:rPr>
          <w:noProof/>
        </w:rPr>
        <w:t xml:space="preserve"> o</w:t>
      </w:r>
      <w:r w:rsidR="00913665">
        <w:rPr>
          <w:noProof/>
        </w:rPr>
        <w:t> </w:t>
      </w:r>
      <w:r w:rsidR="00913665" w:rsidRPr="00913665">
        <w:rPr>
          <w:noProof/>
        </w:rPr>
        <w:t>zna</w:t>
      </w:r>
      <w:r w:rsidRPr="00913665">
        <w:rPr>
          <w:noProof/>
        </w:rPr>
        <w:t>czeniu zdrowia publicznego jako priorytetowej kwestii</w:t>
      </w:r>
      <w:r w:rsidR="00913665" w:rsidRPr="00913665">
        <w:rPr>
          <w:noProof/>
        </w:rPr>
        <w:t xml:space="preserve"> w</w:t>
      </w:r>
      <w:r w:rsidR="00913665">
        <w:rPr>
          <w:noProof/>
        </w:rPr>
        <w:t> </w:t>
      </w:r>
      <w:r w:rsidR="00913665" w:rsidRPr="00913665">
        <w:rPr>
          <w:noProof/>
        </w:rPr>
        <w:t>pro</w:t>
      </w:r>
      <w:r w:rsidRPr="00913665">
        <w:rPr>
          <w:noProof/>
        </w:rPr>
        <w:t>gramie politycznym oraz pokazała</w:t>
      </w:r>
      <w:r w:rsidR="00913665" w:rsidRPr="00913665">
        <w:rPr>
          <w:noProof/>
        </w:rPr>
        <w:t xml:space="preserve"> w</w:t>
      </w:r>
      <w:r w:rsidR="00913665">
        <w:rPr>
          <w:noProof/>
        </w:rPr>
        <w:t> </w:t>
      </w:r>
      <w:r w:rsidR="00913665" w:rsidRPr="00913665">
        <w:rPr>
          <w:noProof/>
        </w:rPr>
        <w:t>bar</w:t>
      </w:r>
      <w:r w:rsidRPr="00913665">
        <w:rPr>
          <w:noProof/>
        </w:rPr>
        <w:t>dzo namacalny sposób, jak Unia może uzupełniać polityki krajowe</w:t>
      </w:r>
      <w:r w:rsidR="00913665" w:rsidRPr="00913665">
        <w:rPr>
          <w:noProof/>
        </w:rPr>
        <w:t xml:space="preserve"> i</w:t>
      </w:r>
      <w:r w:rsidR="00913665">
        <w:rPr>
          <w:noProof/>
        </w:rPr>
        <w:t> </w:t>
      </w:r>
      <w:r w:rsidR="00913665" w:rsidRPr="00913665">
        <w:rPr>
          <w:noProof/>
        </w:rPr>
        <w:t>wno</w:t>
      </w:r>
      <w:r w:rsidRPr="00913665">
        <w:rPr>
          <w:noProof/>
        </w:rPr>
        <w:t>sić do nich wartość dodaną</w:t>
      </w:r>
      <w:r w:rsidR="00913665" w:rsidRPr="00913665">
        <w:rPr>
          <w:noProof/>
        </w:rPr>
        <w:t xml:space="preserve"> w</w:t>
      </w:r>
      <w:r w:rsidR="00913665">
        <w:rPr>
          <w:noProof/>
        </w:rPr>
        <w:t> </w:t>
      </w:r>
      <w:r w:rsidR="00913665" w:rsidRPr="00913665">
        <w:rPr>
          <w:noProof/>
        </w:rPr>
        <w:t>cel</w:t>
      </w:r>
      <w:r w:rsidRPr="00913665">
        <w:rPr>
          <w:noProof/>
        </w:rPr>
        <w:t>u poprawy codziennego życia</w:t>
      </w:r>
      <w:r w:rsidR="00913665" w:rsidRPr="00913665">
        <w:rPr>
          <w:noProof/>
        </w:rPr>
        <w:t xml:space="preserve"> i</w:t>
      </w:r>
      <w:r w:rsidR="00913665">
        <w:rPr>
          <w:noProof/>
        </w:rPr>
        <w:t> </w:t>
      </w:r>
      <w:r w:rsidR="00913665" w:rsidRPr="00913665">
        <w:rPr>
          <w:noProof/>
        </w:rPr>
        <w:t>dob</w:t>
      </w:r>
      <w:r w:rsidRPr="00913665">
        <w:rPr>
          <w:noProof/>
        </w:rPr>
        <w:t>robytu obywateli. Takie podejście pozwala spełnić jasno określone oczekiwania obywateli</w:t>
      </w:r>
      <w:r w:rsidR="00913665" w:rsidRPr="00913665">
        <w:rPr>
          <w:noProof/>
        </w:rPr>
        <w:t xml:space="preserve"> w</w:t>
      </w:r>
      <w:r w:rsidR="00913665">
        <w:rPr>
          <w:noProof/>
        </w:rPr>
        <w:t> </w:t>
      </w:r>
      <w:r w:rsidR="00913665" w:rsidRPr="00913665">
        <w:rPr>
          <w:noProof/>
        </w:rPr>
        <w:t>zak</w:t>
      </w:r>
      <w:r w:rsidRPr="00913665">
        <w:rPr>
          <w:noProof/>
        </w:rPr>
        <w:t>resie ochrony</w:t>
      </w:r>
      <w:r w:rsidR="00913665" w:rsidRPr="00913665">
        <w:rPr>
          <w:noProof/>
        </w:rPr>
        <w:t xml:space="preserve"> i</w:t>
      </w:r>
      <w:r w:rsidR="00913665">
        <w:rPr>
          <w:noProof/>
        </w:rPr>
        <w:t> </w:t>
      </w:r>
      <w:r w:rsidR="00913665" w:rsidRPr="00913665">
        <w:rPr>
          <w:noProof/>
        </w:rPr>
        <w:t>pro</w:t>
      </w:r>
      <w:r w:rsidRPr="00913665">
        <w:rPr>
          <w:noProof/>
        </w:rPr>
        <w:t>mowania zdrowia. Według najnowszych badań Eurobarometr dotyczących opinii publicznej</w:t>
      </w:r>
      <w:r w:rsidR="00E73303" w:rsidRPr="00913665">
        <w:rPr>
          <w:rStyle w:val="FootnoteReference"/>
          <w:noProof/>
        </w:rPr>
        <w:footnoteReference w:id="4"/>
      </w:r>
      <w:r w:rsidRPr="00913665">
        <w:rPr>
          <w:noProof/>
          <w:vertAlign w:val="superscript"/>
        </w:rPr>
        <w:t xml:space="preserve"> </w:t>
      </w:r>
      <w:r w:rsidR="00E73303" w:rsidRPr="00913665">
        <w:rPr>
          <w:rStyle w:val="FootnoteReference"/>
          <w:noProof/>
        </w:rPr>
        <w:footnoteReference w:id="5"/>
      </w:r>
      <w:r w:rsidRPr="00913665">
        <w:rPr>
          <w:noProof/>
        </w:rPr>
        <w:t>obywatele Europy uznają zdrowie za jeden</w:t>
      </w:r>
      <w:r w:rsidR="00913665" w:rsidRPr="00913665">
        <w:rPr>
          <w:noProof/>
        </w:rPr>
        <w:t xml:space="preserve"> z</w:t>
      </w:r>
      <w:r w:rsidR="00913665">
        <w:rPr>
          <w:noProof/>
        </w:rPr>
        <w:t> </w:t>
      </w:r>
      <w:r w:rsidR="00913665" w:rsidRPr="00913665">
        <w:rPr>
          <w:noProof/>
        </w:rPr>
        <w:t>naj</w:t>
      </w:r>
      <w:r w:rsidRPr="00913665">
        <w:rPr>
          <w:noProof/>
        </w:rPr>
        <w:t>ważniejszych priorytetów. Europejską Unię Zdrowotną utworzono, aby spełnić ich oczekiwania</w:t>
      </w:r>
      <w:r w:rsidR="00913665" w:rsidRPr="00913665">
        <w:rPr>
          <w:noProof/>
        </w:rPr>
        <w:t xml:space="preserve"> w</w:t>
      </w:r>
      <w:r w:rsidR="00913665">
        <w:rPr>
          <w:noProof/>
        </w:rPr>
        <w:t> </w:t>
      </w:r>
      <w:r w:rsidR="00913665" w:rsidRPr="00913665">
        <w:rPr>
          <w:noProof/>
        </w:rPr>
        <w:t>tym</w:t>
      </w:r>
      <w:r w:rsidRPr="00913665">
        <w:rPr>
          <w:noProof/>
        </w:rPr>
        <w:t xml:space="preserve"> zakresie.</w:t>
      </w:r>
    </w:p>
    <w:p w14:paraId="7CF11B4D" w14:textId="1283ADEE" w:rsidR="00C8464D" w:rsidRPr="00913665" w:rsidRDefault="00C8464D" w:rsidP="00597730">
      <w:pPr>
        <w:pStyle w:val="BodyText"/>
        <w:kinsoku w:val="0"/>
        <w:overflowPunct w:val="0"/>
        <w:spacing w:before="240" w:line="276" w:lineRule="auto"/>
        <w:jc w:val="both"/>
        <w:rPr>
          <w:noProof/>
        </w:rPr>
      </w:pPr>
      <w:r w:rsidRPr="00913665">
        <w:rPr>
          <w:noProof/>
        </w:rPr>
        <w:t>Inwestowanie</w:t>
      </w:r>
      <w:r w:rsidR="00913665" w:rsidRPr="00913665">
        <w:rPr>
          <w:noProof/>
        </w:rPr>
        <w:t xml:space="preserve"> w</w:t>
      </w:r>
      <w:r w:rsidR="00913665">
        <w:rPr>
          <w:noProof/>
        </w:rPr>
        <w:t> </w:t>
      </w:r>
      <w:r w:rsidR="00913665" w:rsidRPr="00913665">
        <w:rPr>
          <w:noProof/>
        </w:rPr>
        <w:t>zdr</w:t>
      </w:r>
      <w:r w:rsidRPr="00913665">
        <w:rPr>
          <w:noProof/>
        </w:rPr>
        <w:t>owie zawsze się opłaca</w:t>
      </w:r>
      <w:r w:rsidR="00913665" w:rsidRPr="00913665">
        <w:rPr>
          <w:noProof/>
        </w:rPr>
        <w:t>. Z</w:t>
      </w:r>
      <w:r w:rsidR="00913665">
        <w:rPr>
          <w:noProof/>
        </w:rPr>
        <w:t> </w:t>
      </w:r>
      <w:r w:rsidR="00913665" w:rsidRPr="00913665">
        <w:rPr>
          <w:noProof/>
        </w:rPr>
        <w:t>pan</w:t>
      </w:r>
      <w:r w:rsidRPr="00913665">
        <w:rPr>
          <w:noProof/>
        </w:rPr>
        <w:t>demii wynika bezsprzecznie, że zdrowie publiczne jest podstawowym warunkiem funkcjonowania społeczeństw</w:t>
      </w:r>
      <w:r w:rsidR="00913665" w:rsidRPr="00913665">
        <w:rPr>
          <w:noProof/>
        </w:rPr>
        <w:t xml:space="preserve"> i</w:t>
      </w:r>
      <w:r w:rsidR="00913665">
        <w:rPr>
          <w:noProof/>
        </w:rPr>
        <w:t> </w:t>
      </w:r>
      <w:r w:rsidR="00913665" w:rsidRPr="00913665">
        <w:rPr>
          <w:noProof/>
        </w:rPr>
        <w:t>gos</w:t>
      </w:r>
      <w:r w:rsidRPr="00913665">
        <w:rPr>
          <w:noProof/>
        </w:rPr>
        <w:t>podarek. Największym kosztem kryzysu zdrowotnego są niewątpliwie istnienia ludzkie, ale kryzys tego typu może też zakłócić swobodny przepływ osób</w:t>
      </w:r>
      <w:r w:rsidR="00913665" w:rsidRPr="00913665">
        <w:rPr>
          <w:noProof/>
        </w:rPr>
        <w:t xml:space="preserve"> i</w:t>
      </w:r>
      <w:r w:rsidR="00913665">
        <w:rPr>
          <w:noProof/>
        </w:rPr>
        <w:t> </w:t>
      </w:r>
      <w:r w:rsidR="00913665" w:rsidRPr="00913665">
        <w:rPr>
          <w:noProof/>
        </w:rPr>
        <w:t>tow</w:t>
      </w:r>
      <w:r w:rsidRPr="00913665">
        <w:rPr>
          <w:noProof/>
        </w:rPr>
        <w:t>arów, który UE zobowiązała się chronić, zahamować wzrost gospodarczy</w:t>
      </w:r>
      <w:r w:rsidR="00913665" w:rsidRPr="00913665">
        <w:rPr>
          <w:noProof/>
        </w:rPr>
        <w:t xml:space="preserve"> i</w:t>
      </w:r>
      <w:r w:rsidR="00913665">
        <w:rPr>
          <w:noProof/>
        </w:rPr>
        <w:t> </w:t>
      </w:r>
      <w:r w:rsidR="00913665" w:rsidRPr="00913665">
        <w:rPr>
          <w:noProof/>
        </w:rPr>
        <w:t>zak</w:t>
      </w:r>
      <w:r w:rsidRPr="00913665">
        <w:rPr>
          <w:noProof/>
        </w:rPr>
        <w:t>łócić podstawowe funkcje społeczne, od edukacji, usług zdrowotnych po funkcjonowanie naszych demokracji.</w:t>
      </w:r>
    </w:p>
    <w:p w14:paraId="48B14A1D" w14:textId="60737A38" w:rsidR="00C8464D" w:rsidRPr="00913665" w:rsidRDefault="00C8464D" w:rsidP="00597730">
      <w:pPr>
        <w:pStyle w:val="BodyText"/>
        <w:kinsoku w:val="0"/>
        <w:overflowPunct w:val="0"/>
        <w:spacing w:before="240" w:line="276" w:lineRule="auto"/>
        <w:jc w:val="both"/>
        <w:rPr>
          <w:noProof/>
        </w:rPr>
      </w:pPr>
      <w:r w:rsidRPr="00913665">
        <w:rPr>
          <w:noProof/>
        </w:rPr>
        <w:t>Ostatnie pięć lat naznaczone było nie tylko pandemią COVID-19, ale także poważnymi wyzwaniami geopolitycznymi,</w:t>
      </w:r>
      <w:r w:rsidR="00913665" w:rsidRPr="00913665">
        <w:rPr>
          <w:noProof/>
        </w:rPr>
        <w:t xml:space="preserve"> w</w:t>
      </w:r>
      <w:r w:rsidR="00913665">
        <w:rPr>
          <w:noProof/>
        </w:rPr>
        <w:t> </w:t>
      </w:r>
      <w:r w:rsidR="00913665" w:rsidRPr="00913665">
        <w:rPr>
          <w:noProof/>
        </w:rPr>
        <w:t>szc</w:t>
      </w:r>
      <w:r w:rsidRPr="00913665">
        <w:rPr>
          <w:noProof/>
        </w:rPr>
        <w:t>zególności rosyjską niczym nieuzasadnioną wojną napastniczą przeciwko Ukrainie, kryzysem na Bliskim Wschodzie oraz coraz bardziej odczuwalnymi skutkami zmiany klimatu</w:t>
      </w:r>
      <w:r w:rsidR="00913665" w:rsidRPr="00913665">
        <w:rPr>
          <w:noProof/>
        </w:rPr>
        <w:t xml:space="preserve"> i</w:t>
      </w:r>
      <w:r w:rsidR="00913665">
        <w:rPr>
          <w:noProof/>
        </w:rPr>
        <w:t> </w:t>
      </w:r>
      <w:r w:rsidR="00913665" w:rsidRPr="00913665">
        <w:rPr>
          <w:noProof/>
        </w:rPr>
        <w:t>tra</w:t>
      </w:r>
      <w:r w:rsidRPr="00913665">
        <w:rPr>
          <w:noProof/>
        </w:rPr>
        <w:t>nsformacji cyfrowej, przy czym wszystkie te czynniki miały</w:t>
      </w:r>
      <w:r w:rsidR="00913665" w:rsidRPr="00913665">
        <w:rPr>
          <w:noProof/>
        </w:rPr>
        <w:t xml:space="preserve"> i</w:t>
      </w:r>
      <w:r w:rsidR="00913665">
        <w:rPr>
          <w:noProof/>
        </w:rPr>
        <w:t> </w:t>
      </w:r>
      <w:r w:rsidR="00913665" w:rsidRPr="00913665">
        <w:rPr>
          <w:noProof/>
        </w:rPr>
        <w:t>nad</w:t>
      </w:r>
      <w:r w:rsidRPr="00913665">
        <w:rPr>
          <w:noProof/>
        </w:rPr>
        <w:t>al mają głęboki wpływ na zdrowie obywateli w UE</w:t>
      </w:r>
      <w:r w:rsidR="00913665" w:rsidRPr="00913665">
        <w:rPr>
          <w:noProof/>
        </w:rPr>
        <w:t xml:space="preserve"> i</w:t>
      </w:r>
      <w:r w:rsidR="00913665">
        <w:rPr>
          <w:noProof/>
        </w:rPr>
        <w:t> </w:t>
      </w:r>
      <w:r w:rsidR="00913665" w:rsidRPr="00913665">
        <w:rPr>
          <w:noProof/>
        </w:rPr>
        <w:t>poz</w:t>
      </w:r>
      <w:r w:rsidRPr="00913665">
        <w:rPr>
          <w:noProof/>
        </w:rPr>
        <w:t>a nią.</w:t>
      </w:r>
    </w:p>
    <w:p w14:paraId="54751F2A" w14:textId="52CAAA43" w:rsidR="00C8464D" w:rsidRPr="00913665" w:rsidRDefault="00C8464D" w:rsidP="00597730">
      <w:pPr>
        <w:pStyle w:val="BodyText"/>
        <w:kinsoku w:val="0"/>
        <w:overflowPunct w:val="0"/>
        <w:spacing w:before="240" w:line="276" w:lineRule="auto"/>
        <w:jc w:val="both"/>
        <w:rPr>
          <w:noProof/>
        </w:rPr>
      </w:pPr>
      <w:r w:rsidRPr="00913665">
        <w:rPr>
          <w:noProof/>
        </w:rPr>
        <w:t>Europejska Unia Zdrowotna jest naszą odpowiedzią na tę szybko zmieniającą się sytuację na świecie. Opiera się na zasadzie, zgodnie</w:t>
      </w:r>
      <w:r w:rsidR="00913665" w:rsidRPr="00913665">
        <w:rPr>
          <w:noProof/>
        </w:rPr>
        <w:t xml:space="preserve"> z</w:t>
      </w:r>
      <w:r w:rsidR="00913665">
        <w:rPr>
          <w:noProof/>
        </w:rPr>
        <w:t> </w:t>
      </w:r>
      <w:r w:rsidR="00913665" w:rsidRPr="00913665">
        <w:rPr>
          <w:noProof/>
        </w:rPr>
        <w:t>któ</w:t>
      </w:r>
      <w:r w:rsidRPr="00913665">
        <w:rPr>
          <w:noProof/>
        </w:rPr>
        <w:t>rą równy dostęp jest podstawowym prawem człowieka,</w:t>
      </w:r>
      <w:r w:rsidR="00913665" w:rsidRPr="00913665">
        <w:rPr>
          <w:noProof/>
        </w:rPr>
        <w:t xml:space="preserve"> a</w:t>
      </w:r>
      <w:r w:rsidR="00913665">
        <w:rPr>
          <w:noProof/>
        </w:rPr>
        <w:t> </w:t>
      </w:r>
      <w:r w:rsidR="00913665" w:rsidRPr="00913665">
        <w:rPr>
          <w:noProof/>
        </w:rPr>
        <w:t>pol</w:t>
      </w:r>
      <w:r w:rsidRPr="00913665">
        <w:rPr>
          <w:noProof/>
        </w:rPr>
        <w:t>ityka zdrowotna powinna wykraczać poza granice sprzed pandemii – wspólne działanie na szczeblu europejskim ma kluczowe znaczenie dla dobrobytu społeczeństwa</w:t>
      </w:r>
      <w:r w:rsidR="00913665" w:rsidRPr="00913665">
        <w:rPr>
          <w:noProof/>
        </w:rPr>
        <w:t xml:space="preserve"> w</w:t>
      </w:r>
      <w:r w:rsidR="00913665">
        <w:rPr>
          <w:noProof/>
        </w:rPr>
        <w:t> </w:t>
      </w:r>
      <w:r w:rsidR="00913665" w:rsidRPr="00913665">
        <w:rPr>
          <w:noProof/>
        </w:rPr>
        <w:t>Eur</w:t>
      </w:r>
      <w:r w:rsidRPr="00913665">
        <w:rPr>
          <w:noProof/>
        </w:rPr>
        <w:t>opie, naszej strategicznej autonomii</w:t>
      </w:r>
      <w:r w:rsidR="00913665" w:rsidRPr="00913665">
        <w:rPr>
          <w:noProof/>
        </w:rPr>
        <w:t xml:space="preserve"> i</w:t>
      </w:r>
      <w:r w:rsidR="00913665">
        <w:rPr>
          <w:noProof/>
        </w:rPr>
        <w:t> </w:t>
      </w:r>
      <w:r w:rsidR="00913665" w:rsidRPr="00913665">
        <w:rPr>
          <w:noProof/>
        </w:rPr>
        <w:t>sta</w:t>
      </w:r>
      <w:r w:rsidRPr="00913665">
        <w:rPr>
          <w:noProof/>
        </w:rPr>
        <w:t>bilności geopolitycznej.</w:t>
      </w:r>
    </w:p>
    <w:p w14:paraId="2C3965ED" w14:textId="5A110F54" w:rsidR="00C8464D" w:rsidRPr="00913665" w:rsidRDefault="00C8464D" w:rsidP="00597730">
      <w:pPr>
        <w:pStyle w:val="BodyText"/>
        <w:kinsoku w:val="0"/>
        <w:overflowPunct w:val="0"/>
        <w:spacing w:before="240" w:line="276" w:lineRule="auto"/>
        <w:jc w:val="both"/>
        <w:rPr>
          <w:noProof/>
        </w:rPr>
      </w:pPr>
      <w:r w:rsidRPr="00913665">
        <w:rPr>
          <w:noProof/>
        </w:rPr>
        <w:t>W ramach tego nowego podejścia państwa członkowskie chronią swoich obywateli, podejmują działania przygotowawcze</w:t>
      </w:r>
      <w:r w:rsidR="00913665" w:rsidRPr="00913665">
        <w:rPr>
          <w:noProof/>
        </w:rPr>
        <w:t xml:space="preserve"> i</w:t>
      </w:r>
      <w:r w:rsidR="00913665">
        <w:rPr>
          <w:noProof/>
        </w:rPr>
        <w:t> </w:t>
      </w:r>
      <w:r w:rsidR="00913665" w:rsidRPr="00913665">
        <w:rPr>
          <w:noProof/>
        </w:rPr>
        <w:t>pre</w:t>
      </w:r>
      <w:r w:rsidRPr="00913665">
        <w:rPr>
          <w:noProof/>
        </w:rPr>
        <w:t>wencyjne na szczeblu europejskim wszędzie tam, gdzie jest to konieczne. Europejska Unia Zdrowotna opiera się kluczowych filarach:</w:t>
      </w:r>
    </w:p>
    <w:p w14:paraId="116BB5E7" w14:textId="1ABDDD75" w:rsidR="00C8464D" w:rsidRPr="00913665" w:rsidRDefault="008F792E" w:rsidP="00597730">
      <w:pPr>
        <w:pStyle w:val="ListParagraph"/>
        <w:numPr>
          <w:ilvl w:val="0"/>
          <w:numId w:val="7"/>
        </w:numPr>
        <w:tabs>
          <w:tab w:val="left" w:pos="1701"/>
        </w:tabs>
        <w:kinsoku w:val="0"/>
        <w:overflowPunct w:val="0"/>
        <w:spacing w:before="87" w:line="276" w:lineRule="auto"/>
        <w:rPr>
          <w:noProof/>
          <w:sz w:val="22"/>
          <w:szCs w:val="22"/>
        </w:rPr>
      </w:pPr>
      <w:r w:rsidRPr="00913665">
        <w:rPr>
          <w:noProof/>
          <w:sz w:val="22"/>
        </w:rPr>
        <w:t>n</w:t>
      </w:r>
      <w:r w:rsidR="00C8464D" w:rsidRPr="00913665">
        <w:rPr>
          <w:noProof/>
          <w:sz w:val="22"/>
        </w:rPr>
        <w:t>owe ramy kryzysu zdrowotnego: skuteczne przepisy dotyczące radzenia sobie</w:t>
      </w:r>
      <w:r w:rsidR="00913665" w:rsidRPr="00913665">
        <w:rPr>
          <w:noProof/>
          <w:sz w:val="22"/>
        </w:rPr>
        <w:t xml:space="preserve"> z</w:t>
      </w:r>
      <w:r w:rsidR="00913665">
        <w:rPr>
          <w:noProof/>
          <w:sz w:val="22"/>
        </w:rPr>
        <w:t> </w:t>
      </w:r>
      <w:r w:rsidR="00913665" w:rsidRPr="00913665">
        <w:rPr>
          <w:noProof/>
          <w:sz w:val="22"/>
        </w:rPr>
        <w:t>zag</w:t>
      </w:r>
      <w:r w:rsidR="00C8464D" w:rsidRPr="00913665">
        <w:rPr>
          <w:noProof/>
          <w:sz w:val="22"/>
        </w:rPr>
        <w:t>rożeniami dla zdrowia oraz nowy unijny Urząd ds. Gotowości I Reagowania na Stany Zagrożenia Zdrowia, aby UE</w:t>
      </w:r>
      <w:r w:rsidR="00913665" w:rsidRPr="00913665">
        <w:rPr>
          <w:noProof/>
          <w:sz w:val="22"/>
        </w:rPr>
        <w:t xml:space="preserve"> i</w:t>
      </w:r>
      <w:r w:rsidR="00913665">
        <w:rPr>
          <w:noProof/>
          <w:sz w:val="22"/>
        </w:rPr>
        <w:t> </w:t>
      </w:r>
      <w:r w:rsidR="00913665" w:rsidRPr="00913665">
        <w:rPr>
          <w:noProof/>
          <w:sz w:val="22"/>
        </w:rPr>
        <w:t>pań</w:t>
      </w:r>
      <w:r w:rsidR="00C8464D" w:rsidRPr="00913665">
        <w:rPr>
          <w:noProof/>
          <w:sz w:val="22"/>
        </w:rPr>
        <w:t>stwa członkowskie mogły lepiej przygotować się na grożące kryzysy</w:t>
      </w:r>
      <w:r w:rsidR="00913665" w:rsidRPr="00913665">
        <w:rPr>
          <w:noProof/>
          <w:sz w:val="22"/>
        </w:rPr>
        <w:t xml:space="preserve"> i</w:t>
      </w:r>
      <w:r w:rsidR="00913665">
        <w:rPr>
          <w:noProof/>
          <w:sz w:val="22"/>
        </w:rPr>
        <w:t> </w:t>
      </w:r>
      <w:r w:rsidR="00913665" w:rsidRPr="00913665">
        <w:rPr>
          <w:noProof/>
          <w:sz w:val="22"/>
        </w:rPr>
        <w:t>sku</w:t>
      </w:r>
      <w:r w:rsidR="00C8464D" w:rsidRPr="00913665">
        <w:rPr>
          <w:noProof/>
          <w:sz w:val="22"/>
        </w:rPr>
        <w:t>teczniej na nie reagować;</w:t>
      </w:r>
    </w:p>
    <w:p w14:paraId="6C2E274C" w14:textId="263670C4" w:rsidR="00C8464D" w:rsidRPr="00913665" w:rsidRDefault="008F792E" w:rsidP="00597730">
      <w:pPr>
        <w:pStyle w:val="ListParagraph"/>
        <w:numPr>
          <w:ilvl w:val="0"/>
          <w:numId w:val="7"/>
        </w:numPr>
        <w:tabs>
          <w:tab w:val="left" w:pos="1701"/>
        </w:tabs>
        <w:kinsoku w:val="0"/>
        <w:overflowPunct w:val="0"/>
        <w:spacing w:before="14" w:line="276" w:lineRule="auto"/>
        <w:rPr>
          <w:noProof/>
          <w:sz w:val="22"/>
          <w:szCs w:val="22"/>
        </w:rPr>
      </w:pPr>
      <w:r w:rsidRPr="00913665">
        <w:rPr>
          <w:noProof/>
          <w:sz w:val="22"/>
        </w:rPr>
        <w:t>b</w:t>
      </w:r>
      <w:r w:rsidR="00C8464D" w:rsidRPr="00913665">
        <w:rPr>
          <w:noProof/>
          <w:sz w:val="22"/>
        </w:rPr>
        <w:t>ezpieczeństwo zaopatrzenia</w:t>
      </w:r>
      <w:r w:rsidR="00913665" w:rsidRPr="00913665">
        <w:rPr>
          <w:noProof/>
          <w:sz w:val="22"/>
        </w:rPr>
        <w:t xml:space="preserve"> w</w:t>
      </w:r>
      <w:r w:rsidR="00913665">
        <w:rPr>
          <w:noProof/>
          <w:sz w:val="22"/>
        </w:rPr>
        <w:t> </w:t>
      </w:r>
      <w:r w:rsidR="00913665" w:rsidRPr="00913665">
        <w:rPr>
          <w:noProof/>
          <w:sz w:val="22"/>
        </w:rPr>
        <w:t>śro</w:t>
      </w:r>
      <w:r w:rsidR="00C8464D" w:rsidRPr="00913665">
        <w:rPr>
          <w:noProof/>
          <w:sz w:val="22"/>
        </w:rPr>
        <w:t>dki medyczne: zapewnienie przystępnych cenowo, dostępnych</w:t>
      </w:r>
      <w:r w:rsidR="00913665" w:rsidRPr="00913665">
        <w:rPr>
          <w:noProof/>
          <w:sz w:val="22"/>
        </w:rPr>
        <w:t xml:space="preserve"> i</w:t>
      </w:r>
      <w:r w:rsidR="00913665">
        <w:rPr>
          <w:noProof/>
          <w:sz w:val="22"/>
        </w:rPr>
        <w:t> </w:t>
      </w:r>
      <w:r w:rsidR="00913665" w:rsidRPr="00913665">
        <w:rPr>
          <w:noProof/>
          <w:sz w:val="22"/>
        </w:rPr>
        <w:t>inn</w:t>
      </w:r>
      <w:r w:rsidR="00C8464D" w:rsidRPr="00913665">
        <w:rPr>
          <w:noProof/>
          <w:sz w:val="22"/>
        </w:rPr>
        <w:t>owacyjnych metod leczenia</w:t>
      </w:r>
      <w:r w:rsidR="00913665" w:rsidRPr="00913665">
        <w:rPr>
          <w:noProof/>
          <w:sz w:val="22"/>
        </w:rPr>
        <w:t xml:space="preserve"> i</w:t>
      </w:r>
      <w:r w:rsidR="00913665">
        <w:rPr>
          <w:noProof/>
          <w:sz w:val="22"/>
        </w:rPr>
        <w:t> </w:t>
      </w:r>
      <w:r w:rsidR="00913665" w:rsidRPr="00913665">
        <w:rPr>
          <w:noProof/>
          <w:sz w:val="22"/>
        </w:rPr>
        <w:t>pro</w:t>
      </w:r>
      <w:r w:rsidR="00C8464D" w:rsidRPr="00913665">
        <w:rPr>
          <w:noProof/>
          <w:sz w:val="22"/>
        </w:rPr>
        <w:t>duktów leczniczych dla wszystkich;</w:t>
      </w:r>
    </w:p>
    <w:p w14:paraId="41A67A48" w14:textId="304DE636" w:rsidR="00C8464D" w:rsidRPr="00913665" w:rsidRDefault="008F792E" w:rsidP="00597730">
      <w:pPr>
        <w:pStyle w:val="ListParagraph"/>
        <w:numPr>
          <w:ilvl w:val="0"/>
          <w:numId w:val="7"/>
        </w:numPr>
        <w:tabs>
          <w:tab w:val="left" w:pos="1701"/>
        </w:tabs>
        <w:kinsoku w:val="0"/>
        <w:overflowPunct w:val="0"/>
        <w:spacing w:before="12" w:line="276" w:lineRule="auto"/>
        <w:rPr>
          <w:noProof/>
          <w:sz w:val="22"/>
          <w:szCs w:val="22"/>
        </w:rPr>
      </w:pPr>
      <w:r w:rsidRPr="00913665">
        <w:rPr>
          <w:noProof/>
          <w:sz w:val="22"/>
        </w:rPr>
        <w:t>n</w:t>
      </w:r>
      <w:r w:rsidR="00C8464D" w:rsidRPr="00913665">
        <w:rPr>
          <w:noProof/>
          <w:sz w:val="22"/>
        </w:rPr>
        <w:t>owoczesna</w:t>
      </w:r>
      <w:r w:rsidR="00913665" w:rsidRPr="00913665">
        <w:rPr>
          <w:noProof/>
          <w:sz w:val="22"/>
        </w:rPr>
        <w:t xml:space="preserve"> i</w:t>
      </w:r>
      <w:r w:rsidR="00913665">
        <w:rPr>
          <w:noProof/>
          <w:sz w:val="22"/>
        </w:rPr>
        <w:t> </w:t>
      </w:r>
      <w:r w:rsidR="00913665" w:rsidRPr="00913665">
        <w:rPr>
          <w:noProof/>
          <w:sz w:val="22"/>
        </w:rPr>
        <w:t>inn</w:t>
      </w:r>
      <w:r w:rsidR="00C8464D" w:rsidRPr="00913665">
        <w:rPr>
          <w:noProof/>
          <w:sz w:val="22"/>
        </w:rPr>
        <w:t>owacyjna polityka zdrowotna: lepsza ochrona zdrowia naszych obywateli</w:t>
      </w:r>
      <w:r w:rsidR="00913665" w:rsidRPr="00913665">
        <w:rPr>
          <w:noProof/>
          <w:sz w:val="22"/>
        </w:rPr>
        <w:t xml:space="preserve"> i</w:t>
      </w:r>
      <w:r w:rsidR="00913665">
        <w:rPr>
          <w:noProof/>
          <w:sz w:val="22"/>
        </w:rPr>
        <w:t> </w:t>
      </w:r>
      <w:r w:rsidR="00913665" w:rsidRPr="00913665">
        <w:rPr>
          <w:noProof/>
          <w:sz w:val="22"/>
        </w:rPr>
        <w:t>wyk</w:t>
      </w:r>
      <w:r w:rsidR="00C8464D" w:rsidRPr="00913665">
        <w:rPr>
          <w:noProof/>
          <w:sz w:val="22"/>
        </w:rPr>
        <w:t>orzystanie potencjału nowych technologii.</w:t>
      </w:r>
    </w:p>
    <w:p w14:paraId="1BC53CF5" w14:textId="40A41E3B" w:rsidR="00DB79AE" w:rsidRPr="00913665" w:rsidRDefault="00C8464D" w:rsidP="00597730">
      <w:pPr>
        <w:pStyle w:val="BodyText"/>
        <w:kinsoku w:val="0"/>
        <w:overflowPunct w:val="0"/>
        <w:spacing w:before="240" w:line="276" w:lineRule="auto"/>
        <w:jc w:val="both"/>
        <w:rPr>
          <w:noProof/>
          <w:spacing w:val="-2"/>
        </w:rPr>
      </w:pPr>
      <w:r w:rsidRPr="00913665">
        <w:rPr>
          <w:noProof/>
        </w:rPr>
        <w:t>Co najważniejsze, projekt ten opiera się na najambitniejszym</w:t>
      </w:r>
      <w:r w:rsidR="00913665" w:rsidRPr="00913665">
        <w:rPr>
          <w:noProof/>
        </w:rPr>
        <w:t xml:space="preserve"> w</w:t>
      </w:r>
      <w:r w:rsidR="00913665">
        <w:rPr>
          <w:noProof/>
        </w:rPr>
        <w:t> </w:t>
      </w:r>
      <w:r w:rsidR="00913665" w:rsidRPr="00913665">
        <w:rPr>
          <w:noProof/>
        </w:rPr>
        <w:t>his</w:t>
      </w:r>
      <w:r w:rsidRPr="00913665">
        <w:rPr>
          <w:noProof/>
        </w:rPr>
        <w:t xml:space="preserve">torii unijnym programie finansowania ochrony zdrowia – Programie UE dla zdrowia. </w:t>
      </w:r>
    </w:p>
    <w:p w14:paraId="6EDFC803" w14:textId="4B5571AA" w:rsidR="00C8464D" w:rsidRPr="00913665" w:rsidRDefault="00C8464D" w:rsidP="00597730">
      <w:pPr>
        <w:pStyle w:val="BodyText"/>
        <w:kinsoku w:val="0"/>
        <w:overflowPunct w:val="0"/>
        <w:spacing w:before="240" w:line="276" w:lineRule="auto"/>
        <w:jc w:val="both"/>
        <w:rPr>
          <w:noProof/>
        </w:rPr>
      </w:pPr>
      <w:r w:rsidRPr="00913665">
        <w:rPr>
          <w:noProof/>
        </w:rPr>
        <w:t>Każde działanie</w:t>
      </w:r>
      <w:r w:rsidR="00913665" w:rsidRPr="00913665">
        <w:rPr>
          <w:noProof/>
        </w:rPr>
        <w:t xml:space="preserve"> w</w:t>
      </w:r>
      <w:r w:rsidR="00913665">
        <w:rPr>
          <w:noProof/>
        </w:rPr>
        <w:t> </w:t>
      </w:r>
      <w:r w:rsidR="00913665" w:rsidRPr="00913665">
        <w:rPr>
          <w:noProof/>
        </w:rPr>
        <w:t>ram</w:t>
      </w:r>
      <w:r w:rsidRPr="00913665">
        <w:rPr>
          <w:noProof/>
        </w:rPr>
        <w:t>ach Europejskiej Unii Zdrowotnej zostało opracowane</w:t>
      </w:r>
      <w:r w:rsidR="00913665" w:rsidRPr="00913665">
        <w:rPr>
          <w:noProof/>
        </w:rPr>
        <w:t xml:space="preserve"> i</w:t>
      </w:r>
      <w:r w:rsidR="00913665">
        <w:rPr>
          <w:noProof/>
        </w:rPr>
        <w:t> </w:t>
      </w:r>
      <w:r w:rsidR="00913665" w:rsidRPr="00913665">
        <w:rPr>
          <w:noProof/>
        </w:rPr>
        <w:t>zre</w:t>
      </w:r>
      <w:r w:rsidRPr="00913665">
        <w:rPr>
          <w:noProof/>
        </w:rPr>
        <w:t>alizowane</w:t>
      </w:r>
      <w:r w:rsidR="00913665" w:rsidRPr="00913665">
        <w:rPr>
          <w:noProof/>
        </w:rPr>
        <w:t xml:space="preserve"> z</w:t>
      </w:r>
      <w:r w:rsidR="00913665">
        <w:rPr>
          <w:noProof/>
        </w:rPr>
        <w:t> </w:t>
      </w:r>
      <w:r w:rsidR="00913665" w:rsidRPr="00913665">
        <w:rPr>
          <w:noProof/>
        </w:rPr>
        <w:t>myś</w:t>
      </w:r>
      <w:r w:rsidRPr="00913665">
        <w:rPr>
          <w:noProof/>
        </w:rPr>
        <w:t>lą</w:t>
      </w:r>
      <w:r w:rsidR="00913665" w:rsidRPr="00913665">
        <w:rPr>
          <w:noProof/>
        </w:rPr>
        <w:t xml:space="preserve"> o</w:t>
      </w:r>
      <w:r w:rsidR="00913665">
        <w:rPr>
          <w:noProof/>
        </w:rPr>
        <w:t> </w:t>
      </w:r>
      <w:r w:rsidR="00913665" w:rsidRPr="00913665">
        <w:rPr>
          <w:noProof/>
        </w:rPr>
        <w:t>pop</w:t>
      </w:r>
      <w:r w:rsidRPr="00913665">
        <w:rPr>
          <w:noProof/>
        </w:rPr>
        <w:t>rawie bezpieczeństwa</w:t>
      </w:r>
      <w:r w:rsidR="00913665" w:rsidRPr="00913665">
        <w:rPr>
          <w:noProof/>
        </w:rPr>
        <w:t xml:space="preserve"> i</w:t>
      </w:r>
      <w:r w:rsidR="00913665">
        <w:rPr>
          <w:noProof/>
        </w:rPr>
        <w:t> </w:t>
      </w:r>
      <w:r w:rsidR="00913665" w:rsidRPr="00913665">
        <w:rPr>
          <w:noProof/>
        </w:rPr>
        <w:t>zdr</w:t>
      </w:r>
      <w:r w:rsidRPr="00913665">
        <w:rPr>
          <w:noProof/>
        </w:rPr>
        <w:t>owia obywateli</w:t>
      </w:r>
      <w:r w:rsidR="00913665" w:rsidRPr="00913665">
        <w:rPr>
          <w:noProof/>
        </w:rPr>
        <w:t>. W</w:t>
      </w:r>
      <w:r w:rsidR="00913665">
        <w:rPr>
          <w:noProof/>
        </w:rPr>
        <w:t> </w:t>
      </w:r>
      <w:r w:rsidR="00913665" w:rsidRPr="00913665">
        <w:rPr>
          <w:noProof/>
        </w:rPr>
        <w:t>ram</w:t>
      </w:r>
      <w:r w:rsidRPr="00913665">
        <w:rPr>
          <w:noProof/>
        </w:rPr>
        <w:t>ach tych działań Unia Europejska podjęła przełomowe kroki na rzecz ochrony</w:t>
      </w:r>
      <w:r w:rsidR="00913665" w:rsidRPr="00913665">
        <w:rPr>
          <w:noProof/>
        </w:rPr>
        <w:t xml:space="preserve"> i</w:t>
      </w:r>
      <w:r w:rsidR="00913665">
        <w:rPr>
          <w:noProof/>
        </w:rPr>
        <w:t> </w:t>
      </w:r>
      <w:r w:rsidR="00913665" w:rsidRPr="00913665">
        <w:rPr>
          <w:noProof/>
        </w:rPr>
        <w:t>pro</w:t>
      </w:r>
      <w:r w:rsidRPr="00913665">
        <w:rPr>
          <w:noProof/>
        </w:rPr>
        <w:t>mowania zdrowia oraz wzmocnienia systemów opieki zdrowotnej</w:t>
      </w:r>
      <w:r w:rsidR="00913665" w:rsidRPr="00913665">
        <w:rPr>
          <w:noProof/>
        </w:rPr>
        <w:t xml:space="preserve"> w</w:t>
      </w:r>
      <w:r w:rsidR="00913665">
        <w:rPr>
          <w:noProof/>
        </w:rPr>
        <w:t> </w:t>
      </w:r>
      <w:r w:rsidR="00913665" w:rsidRPr="00913665">
        <w:rPr>
          <w:noProof/>
        </w:rPr>
        <w:t>cał</w:t>
      </w:r>
      <w:r w:rsidRPr="00913665">
        <w:rPr>
          <w:noProof/>
        </w:rPr>
        <w:t>ej Europie.</w:t>
      </w:r>
    </w:p>
    <w:p w14:paraId="1A0917FF" w14:textId="77777777" w:rsidR="00C8464D" w:rsidRPr="00913665" w:rsidRDefault="00C8464D" w:rsidP="00597730">
      <w:pPr>
        <w:pStyle w:val="Heading1"/>
        <w:numPr>
          <w:ilvl w:val="0"/>
          <w:numId w:val="6"/>
        </w:numPr>
        <w:tabs>
          <w:tab w:val="left" w:pos="1289"/>
        </w:tabs>
        <w:kinsoku w:val="0"/>
        <w:overflowPunct w:val="0"/>
        <w:spacing w:before="240" w:line="276" w:lineRule="auto"/>
        <w:ind w:left="0" w:firstLine="0"/>
        <w:jc w:val="both"/>
        <w:rPr>
          <w:noProof/>
          <w:color w:val="2E5395"/>
          <w:spacing w:val="-2"/>
        </w:rPr>
      </w:pPr>
      <w:bookmarkStart w:id="4" w:name="2._Strengthening_health_security_for_EU_"/>
      <w:bookmarkEnd w:id="4"/>
      <w:r w:rsidRPr="00913665">
        <w:rPr>
          <w:noProof/>
          <w:color w:val="2E5395"/>
        </w:rPr>
        <w:t>Zwiększenie bezpieczeństwa zdrowotnego obywateli UE</w:t>
      </w:r>
    </w:p>
    <w:p w14:paraId="69EA63AE" w14:textId="77777777" w:rsidR="00C8464D" w:rsidRPr="00913665" w:rsidRDefault="00C8464D" w:rsidP="00597730">
      <w:pPr>
        <w:pStyle w:val="Heading2"/>
        <w:numPr>
          <w:ilvl w:val="1"/>
          <w:numId w:val="6"/>
        </w:numPr>
        <w:tabs>
          <w:tab w:val="left" w:pos="1364"/>
        </w:tabs>
        <w:kinsoku w:val="0"/>
        <w:overflowPunct w:val="0"/>
        <w:spacing w:before="240" w:line="276" w:lineRule="auto"/>
        <w:ind w:left="0" w:firstLine="0"/>
        <w:rPr>
          <w:noProof/>
          <w:color w:val="2E5395"/>
          <w:spacing w:val="-2"/>
        </w:rPr>
      </w:pPr>
      <w:bookmarkStart w:id="5" w:name="2.1_Tackling_serious_cross-border_health"/>
      <w:bookmarkEnd w:id="5"/>
      <w:r w:rsidRPr="00913665">
        <w:rPr>
          <w:noProof/>
          <w:color w:val="2E5395"/>
        </w:rPr>
        <w:t>Przeciwdziałanie poważnym transgranicznym zagrożeniom dla zdrowia</w:t>
      </w:r>
    </w:p>
    <w:p w14:paraId="5FFF0671" w14:textId="2B887D57" w:rsidR="00C8464D" w:rsidRPr="00913665" w:rsidRDefault="00C8464D" w:rsidP="00597730">
      <w:pPr>
        <w:pStyle w:val="BodyText"/>
        <w:kinsoku w:val="0"/>
        <w:overflowPunct w:val="0"/>
        <w:spacing w:before="240" w:line="276" w:lineRule="auto"/>
        <w:jc w:val="both"/>
        <w:rPr>
          <w:noProof/>
        </w:rPr>
      </w:pPr>
      <w:r w:rsidRPr="00913665">
        <w:rPr>
          <w:noProof/>
        </w:rPr>
        <w:t>We współczesnym, coraz bardziej mobilnym świecie,</w:t>
      </w:r>
      <w:r w:rsidR="00913665" w:rsidRPr="00913665">
        <w:rPr>
          <w:noProof/>
        </w:rPr>
        <w:t xml:space="preserve"> w</w:t>
      </w:r>
      <w:r w:rsidR="00913665">
        <w:rPr>
          <w:noProof/>
        </w:rPr>
        <w:t> </w:t>
      </w:r>
      <w:r w:rsidR="00913665" w:rsidRPr="00913665">
        <w:rPr>
          <w:noProof/>
        </w:rPr>
        <w:t>któ</w:t>
      </w:r>
      <w:r w:rsidRPr="00913665">
        <w:rPr>
          <w:noProof/>
        </w:rPr>
        <w:t>rym występuje coraz więcej wzajemnych powiązań, obywatele UE oczekują od swoich rządów ochrony przed zagrożeniami dla zdrowia, które mogą</w:t>
      </w:r>
      <w:r w:rsidR="00913665" w:rsidRPr="00913665">
        <w:rPr>
          <w:noProof/>
        </w:rPr>
        <w:t xml:space="preserve"> z</w:t>
      </w:r>
      <w:r w:rsidR="00913665">
        <w:rPr>
          <w:noProof/>
        </w:rPr>
        <w:t> </w:t>
      </w:r>
      <w:r w:rsidR="00913665" w:rsidRPr="00913665">
        <w:rPr>
          <w:noProof/>
        </w:rPr>
        <w:t>łat</w:t>
      </w:r>
      <w:r w:rsidRPr="00913665">
        <w:rPr>
          <w:noProof/>
        </w:rPr>
        <w:t>wością przekraczać granice państw. Doświadczenia ostatnich pięciu lat dobitnie świadczą</w:t>
      </w:r>
      <w:r w:rsidR="00913665" w:rsidRPr="00913665">
        <w:rPr>
          <w:noProof/>
        </w:rPr>
        <w:t xml:space="preserve"> o</w:t>
      </w:r>
      <w:r w:rsidR="00913665">
        <w:rPr>
          <w:noProof/>
        </w:rPr>
        <w:t> </w:t>
      </w:r>
      <w:r w:rsidR="00913665" w:rsidRPr="00913665">
        <w:rPr>
          <w:noProof/>
        </w:rPr>
        <w:t>tym</w:t>
      </w:r>
      <w:r w:rsidRPr="00913665">
        <w:rPr>
          <w:noProof/>
        </w:rPr>
        <w:t>, że państwa członkowskie muszą wspólnie</w:t>
      </w:r>
      <w:r w:rsidR="00913665" w:rsidRPr="00913665">
        <w:rPr>
          <w:noProof/>
        </w:rPr>
        <w:t xml:space="preserve"> i</w:t>
      </w:r>
      <w:r w:rsidR="00913665">
        <w:rPr>
          <w:noProof/>
        </w:rPr>
        <w:t> </w:t>
      </w:r>
      <w:r w:rsidR="00913665" w:rsidRPr="00913665">
        <w:rPr>
          <w:noProof/>
        </w:rPr>
        <w:t>w</w:t>
      </w:r>
      <w:r w:rsidR="00913665">
        <w:rPr>
          <w:noProof/>
        </w:rPr>
        <w:t> </w:t>
      </w:r>
      <w:r w:rsidR="00913665" w:rsidRPr="00913665">
        <w:rPr>
          <w:noProof/>
        </w:rPr>
        <w:t>sko</w:t>
      </w:r>
      <w:r w:rsidRPr="00913665">
        <w:rPr>
          <w:noProof/>
        </w:rPr>
        <w:t>ordynowany sposób reagować na kryzysy zdrowotne.</w:t>
      </w:r>
    </w:p>
    <w:p w14:paraId="55A6FD08" w14:textId="675FC965" w:rsidR="00C8464D" w:rsidRPr="00913665" w:rsidRDefault="00C8464D" w:rsidP="00597730">
      <w:pPr>
        <w:pStyle w:val="BodyText"/>
        <w:kinsoku w:val="0"/>
        <w:overflowPunct w:val="0"/>
        <w:spacing w:before="240" w:line="276" w:lineRule="auto"/>
        <w:jc w:val="both"/>
        <w:rPr>
          <w:noProof/>
          <w:spacing w:val="-2"/>
        </w:rPr>
      </w:pPr>
      <w:r w:rsidRPr="00913665">
        <w:rPr>
          <w:noProof/>
        </w:rPr>
        <w:t xml:space="preserve">W odpowiedzi na tę potrzebę przyjęto nowe przepisy UE dotyczące </w:t>
      </w:r>
      <w:r w:rsidRPr="00913665">
        <w:rPr>
          <w:b/>
          <w:bCs/>
          <w:noProof/>
        </w:rPr>
        <w:t>poważnych transgranicznych zagrożeń zdrowia</w:t>
      </w:r>
      <w:r w:rsidRPr="00913665">
        <w:rPr>
          <w:noProof/>
        </w:rPr>
        <w:t>, które stanowią podstawę unijnych ram bezpieczeństwa zdrowotnego. Te bardziej rygorystyczne przepisy, które obowiązują od grudnia 2022</w:t>
      </w:r>
      <w:r w:rsidR="00913665" w:rsidRPr="00913665">
        <w:rPr>
          <w:noProof/>
        </w:rPr>
        <w:t> </w:t>
      </w:r>
      <w:r w:rsidRPr="00913665">
        <w:rPr>
          <w:noProof/>
        </w:rPr>
        <w:t>r., umożliwiają UE przewidywanie poważnych zagrożeń dla zdrowia, przygotowanie się do nich</w:t>
      </w:r>
      <w:r w:rsidR="00913665" w:rsidRPr="00913665">
        <w:rPr>
          <w:noProof/>
        </w:rPr>
        <w:t xml:space="preserve"> i</w:t>
      </w:r>
      <w:r w:rsidR="00913665">
        <w:rPr>
          <w:noProof/>
        </w:rPr>
        <w:t> </w:t>
      </w:r>
      <w:r w:rsidR="00913665" w:rsidRPr="00913665">
        <w:rPr>
          <w:noProof/>
        </w:rPr>
        <w:t>rea</w:t>
      </w:r>
      <w:r w:rsidRPr="00913665">
        <w:rPr>
          <w:noProof/>
        </w:rPr>
        <w:t>gowanie na nie – chodzi nie tylko</w:t>
      </w:r>
      <w:r w:rsidR="00913665" w:rsidRPr="00913665">
        <w:rPr>
          <w:noProof/>
        </w:rPr>
        <w:t xml:space="preserve"> o</w:t>
      </w:r>
      <w:r w:rsidR="00913665">
        <w:rPr>
          <w:noProof/>
        </w:rPr>
        <w:t> </w:t>
      </w:r>
      <w:r w:rsidR="00913665" w:rsidRPr="00913665">
        <w:rPr>
          <w:noProof/>
        </w:rPr>
        <w:t>cho</w:t>
      </w:r>
      <w:r w:rsidRPr="00913665">
        <w:rPr>
          <w:noProof/>
        </w:rPr>
        <w:t>roby zakaźne, ale również zagrożenia środowiskowe, związane</w:t>
      </w:r>
      <w:r w:rsidR="00913665" w:rsidRPr="00913665">
        <w:rPr>
          <w:noProof/>
        </w:rPr>
        <w:t xml:space="preserve"> z</w:t>
      </w:r>
      <w:r w:rsidR="00913665">
        <w:rPr>
          <w:noProof/>
        </w:rPr>
        <w:t> </w:t>
      </w:r>
      <w:r w:rsidR="00913665" w:rsidRPr="00913665">
        <w:rPr>
          <w:noProof/>
        </w:rPr>
        <w:t>kli</w:t>
      </w:r>
      <w:r w:rsidRPr="00913665">
        <w:rPr>
          <w:noProof/>
        </w:rPr>
        <w:t>matem lub chemiczne. Dla przykładu, Komisja, we współpracy</w:t>
      </w:r>
      <w:r w:rsidR="00913665" w:rsidRPr="00913665">
        <w:rPr>
          <w:noProof/>
        </w:rPr>
        <w:t xml:space="preserve"> z</w:t>
      </w:r>
      <w:r w:rsidR="00913665">
        <w:rPr>
          <w:noProof/>
        </w:rPr>
        <w:t> </w:t>
      </w:r>
      <w:r w:rsidR="00913665" w:rsidRPr="00913665">
        <w:rPr>
          <w:noProof/>
        </w:rPr>
        <w:t>Kom</w:t>
      </w:r>
      <w:r w:rsidRPr="00913665">
        <w:rPr>
          <w:noProof/>
        </w:rPr>
        <w:t>itetem ds. Bezpieczeństwa Zdrowia (KBZ), może teraz szybko przyjąć wytyczne dotyczące środków reagowania</w:t>
      </w:r>
      <w:r w:rsidR="00913665" w:rsidRPr="00913665">
        <w:rPr>
          <w:noProof/>
        </w:rPr>
        <w:t xml:space="preserve"> w</w:t>
      </w:r>
      <w:r w:rsidR="00913665">
        <w:rPr>
          <w:noProof/>
        </w:rPr>
        <w:t> </w:t>
      </w:r>
      <w:r w:rsidR="00913665" w:rsidRPr="00913665">
        <w:rPr>
          <w:noProof/>
        </w:rPr>
        <w:t>cel</w:t>
      </w:r>
      <w:r w:rsidRPr="00913665">
        <w:rPr>
          <w:noProof/>
        </w:rPr>
        <w:t>u zaradzenia pojawiającym się zagrożeniom lub ogłosić stan zagrożenia zdrowia publicznego</w:t>
      </w:r>
      <w:r w:rsidR="00913665" w:rsidRPr="00913665">
        <w:rPr>
          <w:noProof/>
        </w:rPr>
        <w:t xml:space="preserve"> w</w:t>
      </w:r>
      <w:r w:rsidR="00913665">
        <w:rPr>
          <w:noProof/>
        </w:rPr>
        <w:t> </w:t>
      </w:r>
      <w:r w:rsidR="00913665" w:rsidRPr="00913665">
        <w:rPr>
          <w:noProof/>
        </w:rPr>
        <w:t>ska</w:t>
      </w:r>
      <w:r w:rsidRPr="00913665">
        <w:rPr>
          <w:noProof/>
        </w:rPr>
        <w:t>li Unii Europejskiej, aby poprawić koordynację</w:t>
      </w:r>
      <w:r w:rsidR="00913665" w:rsidRPr="00913665">
        <w:rPr>
          <w:noProof/>
        </w:rPr>
        <w:t xml:space="preserve"> i</w:t>
      </w:r>
      <w:r w:rsidR="00913665">
        <w:rPr>
          <w:noProof/>
        </w:rPr>
        <w:t> </w:t>
      </w:r>
      <w:r w:rsidR="00913665" w:rsidRPr="00913665">
        <w:rPr>
          <w:noProof/>
        </w:rPr>
        <w:t>uru</w:t>
      </w:r>
      <w:r w:rsidRPr="00913665">
        <w:rPr>
          <w:noProof/>
        </w:rPr>
        <w:t>chomić finansowanie medycznych środków przeciwdziałania</w:t>
      </w:r>
      <w:r w:rsidR="00913665" w:rsidRPr="00913665">
        <w:rPr>
          <w:noProof/>
        </w:rPr>
        <w:t xml:space="preserve"> w</w:t>
      </w:r>
      <w:r w:rsidR="00913665">
        <w:rPr>
          <w:noProof/>
        </w:rPr>
        <w:t> </w:t>
      </w:r>
      <w:r w:rsidR="00913665" w:rsidRPr="00913665">
        <w:rPr>
          <w:noProof/>
        </w:rPr>
        <w:t>syt</w:t>
      </w:r>
      <w:r w:rsidRPr="00913665">
        <w:rPr>
          <w:noProof/>
        </w:rPr>
        <w:t>uacjach nadzwyczajnych. Komisja opracowuje również kompleksowy unijny plan gotowości</w:t>
      </w:r>
      <w:r w:rsidR="00913665" w:rsidRPr="00913665">
        <w:rPr>
          <w:noProof/>
        </w:rPr>
        <w:t xml:space="preserve"> i</w:t>
      </w:r>
      <w:r w:rsidR="00913665">
        <w:rPr>
          <w:noProof/>
        </w:rPr>
        <w:t> </w:t>
      </w:r>
      <w:r w:rsidR="00913665" w:rsidRPr="00913665">
        <w:rPr>
          <w:noProof/>
        </w:rPr>
        <w:t>rea</w:t>
      </w:r>
      <w:r w:rsidRPr="00913665">
        <w:rPr>
          <w:noProof/>
        </w:rPr>
        <w:t>gowania</w:t>
      </w:r>
      <w:r w:rsidR="00913665" w:rsidRPr="00913665">
        <w:rPr>
          <w:noProof/>
        </w:rPr>
        <w:t xml:space="preserve"> w</w:t>
      </w:r>
      <w:r w:rsidR="00913665">
        <w:rPr>
          <w:noProof/>
        </w:rPr>
        <w:t> </w:t>
      </w:r>
      <w:r w:rsidR="00913665" w:rsidRPr="00913665">
        <w:rPr>
          <w:noProof/>
        </w:rPr>
        <w:t>ści</w:t>
      </w:r>
      <w:r w:rsidRPr="00913665">
        <w:rPr>
          <w:noProof/>
        </w:rPr>
        <w:t>słej współpracy</w:t>
      </w:r>
      <w:r w:rsidR="00913665" w:rsidRPr="00913665">
        <w:rPr>
          <w:noProof/>
        </w:rPr>
        <w:t xml:space="preserve"> z</w:t>
      </w:r>
      <w:r w:rsidR="00913665">
        <w:rPr>
          <w:noProof/>
        </w:rPr>
        <w:t> </w:t>
      </w:r>
      <w:r w:rsidR="00913665" w:rsidRPr="00913665">
        <w:rPr>
          <w:noProof/>
        </w:rPr>
        <w:t>pań</w:t>
      </w:r>
      <w:r w:rsidRPr="00913665">
        <w:rPr>
          <w:noProof/>
        </w:rPr>
        <w:t>stwami członkowskimi</w:t>
      </w:r>
      <w:r w:rsidR="00913665" w:rsidRPr="00913665">
        <w:rPr>
          <w:noProof/>
        </w:rPr>
        <w:t xml:space="preserve"> i</w:t>
      </w:r>
      <w:r w:rsidR="00913665">
        <w:rPr>
          <w:noProof/>
        </w:rPr>
        <w:t> </w:t>
      </w:r>
      <w:r w:rsidR="00913665" w:rsidRPr="00913665">
        <w:rPr>
          <w:noProof/>
        </w:rPr>
        <w:t>odp</w:t>
      </w:r>
      <w:r w:rsidRPr="00913665">
        <w:rPr>
          <w:noProof/>
        </w:rPr>
        <w:t>owiednimi agencjami unijnymi.</w:t>
      </w:r>
    </w:p>
    <w:p w14:paraId="02460FE6" w14:textId="3827508D" w:rsidR="00C8464D" w:rsidRPr="00913665" w:rsidRDefault="00C8464D" w:rsidP="00597730">
      <w:pPr>
        <w:pStyle w:val="BodyText"/>
        <w:kinsoku w:val="0"/>
        <w:overflowPunct w:val="0"/>
        <w:spacing w:before="240" w:line="276" w:lineRule="auto"/>
        <w:jc w:val="both"/>
        <w:rPr>
          <w:noProof/>
        </w:rPr>
      </w:pPr>
      <w:r w:rsidRPr="00913665">
        <w:rPr>
          <w:noProof/>
        </w:rPr>
        <w:t>Obecnie UE jest</w:t>
      </w:r>
      <w:r w:rsidR="00913665" w:rsidRPr="00913665">
        <w:rPr>
          <w:noProof/>
        </w:rPr>
        <w:t xml:space="preserve"> w</w:t>
      </w:r>
      <w:r w:rsidR="00913665">
        <w:rPr>
          <w:noProof/>
        </w:rPr>
        <w:t> </w:t>
      </w:r>
      <w:r w:rsidR="00913665" w:rsidRPr="00913665">
        <w:rPr>
          <w:noProof/>
        </w:rPr>
        <w:t>sta</w:t>
      </w:r>
      <w:r w:rsidRPr="00913665">
        <w:rPr>
          <w:noProof/>
        </w:rPr>
        <w:t>nie skuteczniej pomagać państwom członkowskim</w:t>
      </w:r>
      <w:r w:rsidR="00913665" w:rsidRPr="00913665">
        <w:rPr>
          <w:noProof/>
        </w:rPr>
        <w:t xml:space="preserve"> i</w:t>
      </w:r>
      <w:r w:rsidR="00913665">
        <w:rPr>
          <w:noProof/>
        </w:rPr>
        <w:t> </w:t>
      </w:r>
      <w:r w:rsidR="00913665" w:rsidRPr="00913665">
        <w:rPr>
          <w:noProof/>
        </w:rPr>
        <w:t>kra</w:t>
      </w:r>
      <w:r w:rsidRPr="00913665">
        <w:rPr>
          <w:noProof/>
        </w:rPr>
        <w:t>jom partnerskim</w:t>
      </w:r>
      <w:r w:rsidR="00913665" w:rsidRPr="00913665">
        <w:rPr>
          <w:noProof/>
        </w:rPr>
        <w:t xml:space="preserve"> w</w:t>
      </w:r>
      <w:r w:rsidR="00913665">
        <w:rPr>
          <w:noProof/>
        </w:rPr>
        <w:t> </w:t>
      </w:r>
      <w:r w:rsidR="00913665" w:rsidRPr="00913665">
        <w:rPr>
          <w:noProof/>
        </w:rPr>
        <w:t>prz</w:t>
      </w:r>
      <w:r w:rsidRPr="00913665">
        <w:rPr>
          <w:noProof/>
        </w:rPr>
        <w:t>ygotowaniu się na kryzysy zdrowotne oraz</w:t>
      </w:r>
      <w:r w:rsidR="00913665" w:rsidRPr="00913665">
        <w:rPr>
          <w:noProof/>
        </w:rPr>
        <w:t xml:space="preserve"> w</w:t>
      </w:r>
      <w:r w:rsidR="00913665">
        <w:rPr>
          <w:noProof/>
        </w:rPr>
        <w:t> </w:t>
      </w:r>
      <w:r w:rsidR="00913665" w:rsidRPr="00913665">
        <w:rPr>
          <w:noProof/>
        </w:rPr>
        <w:t>rea</w:t>
      </w:r>
      <w:r w:rsidRPr="00913665">
        <w:rPr>
          <w:noProof/>
        </w:rPr>
        <w:t>gowaniu na nie. Wzmocniony Komitet ds. Bezpieczeństwa Zdrowia (KBZ) czuwa nad lepszą współpracą</w:t>
      </w:r>
      <w:r w:rsidR="00913665" w:rsidRPr="00913665">
        <w:rPr>
          <w:noProof/>
        </w:rPr>
        <w:t xml:space="preserve"> i</w:t>
      </w:r>
      <w:r w:rsidR="00913665">
        <w:rPr>
          <w:noProof/>
        </w:rPr>
        <w:t> </w:t>
      </w:r>
      <w:r w:rsidR="00913665" w:rsidRPr="00913665">
        <w:rPr>
          <w:noProof/>
        </w:rPr>
        <w:t>koo</w:t>
      </w:r>
      <w:r w:rsidRPr="00913665">
        <w:rPr>
          <w:noProof/>
        </w:rPr>
        <w:t>rdynacją między państwami członkowskimi. KBZ odegrał ważną rolę</w:t>
      </w:r>
      <w:r w:rsidR="00913665" w:rsidRPr="00913665">
        <w:rPr>
          <w:noProof/>
        </w:rPr>
        <w:t xml:space="preserve"> w</w:t>
      </w:r>
      <w:r w:rsidR="00913665">
        <w:rPr>
          <w:noProof/>
        </w:rPr>
        <w:t> </w:t>
      </w:r>
      <w:r w:rsidR="00913665" w:rsidRPr="00913665">
        <w:rPr>
          <w:noProof/>
        </w:rPr>
        <w:t>koo</w:t>
      </w:r>
      <w:r w:rsidRPr="00913665">
        <w:rPr>
          <w:noProof/>
        </w:rPr>
        <w:t>rdynowaniu przez Komisję odpowiedzi UE na pandemię COVID-19,</w:t>
      </w:r>
      <w:r w:rsidR="00913665" w:rsidRPr="00913665">
        <w:rPr>
          <w:noProof/>
        </w:rPr>
        <w:t xml:space="preserve"> a</w:t>
      </w:r>
      <w:r w:rsidR="00913665">
        <w:rPr>
          <w:noProof/>
        </w:rPr>
        <w:t> </w:t>
      </w:r>
      <w:r w:rsidR="00913665" w:rsidRPr="00913665">
        <w:rPr>
          <w:noProof/>
        </w:rPr>
        <w:t>tak</w:t>
      </w:r>
      <w:r w:rsidRPr="00913665">
        <w:rPr>
          <w:noProof/>
        </w:rPr>
        <w:t>że</w:t>
      </w:r>
      <w:r w:rsidR="00913665" w:rsidRPr="00913665">
        <w:rPr>
          <w:noProof/>
        </w:rPr>
        <w:t xml:space="preserve"> w</w:t>
      </w:r>
      <w:r w:rsidR="00913665">
        <w:rPr>
          <w:noProof/>
        </w:rPr>
        <w:t> </w:t>
      </w:r>
      <w:r w:rsidR="00913665" w:rsidRPr="00913665">
        <w:rPr>
          <w:noProof/>
        </w:rPr>
        <w:t>kon</w:t>
      </w:r>
      <w:r w:rsidRPr="00913665">
        <w:rPr>
          <w:noProof/>
        </w:rPr>
        <w:t>tekście ognisk zakażeń wirusem ospy małpiej</w:t>
      </w:r>
      <w:r w:rsidR="00913665" w:rsidRPr="00913665">
        <w:rPr>
          <w:noProof/>
        </w:rPr>
        <w:t xml:space="preserve"> i</w:t>
      </w:r>
      <w:r w:rsidR="00913665">
        <w:rPr>
          <w:noProof/>
        </w:rPr>
        <w:t> </w:t>
      </w:r>
      <w:r w:rsidR="00913665" w:rsidRPr="00913665">
        <w:rPr>
          <w:noProof/>
        </w:rPr>
        <w:t>wir</w:t>
      </w:r>
      <w:r w:rsidRPr="00913665">
        <w:rPr>
          <w:noProof/>
        </w:rPr>
        <w:t>usa ebola</w:t>
      </w:r>
      <w:r w:rsidR="00913665" w:rsidRPr="00913665">
        <w:rPr>
          <w:noProof/>
        </w:rPr>
        <w:t xml:space="preserve"> w</w:t>
      </w:r>
      <w:r w:rsidR="00913665">
        <w:rPr>
          <w:noProof/>
        </w:rPr>
        <w:t> </w:t>
      </w:r>
      <w:r w:rsidR="00913665" w:rsidRPr="00913665">
        <w:rPr>
          <w:noProof/>
        </w:rPr>
        <w:t>2</w:t>
      </w:r>
      <w:r w:rsidRPr="00913665">
        <w:rPr>
          <w:noProof/>
        </w:rPr>
        <w:t>022</w:t>
      </w:r>
      <w:r w:rsidR="00913665" w:rsidRPr="00913665">
        <w:rPr>
          <w:noProof/>
        </w:rPr>
        <w:t> </w:t>
      </w:r>
      <w:r w:rsidRPr="00913665">
        <w:rPr>
          <w:noProof/>
        </w:rPr>
        <w:t>r. Obecnie KBZ aktywnie zajmuje się problemem ptasiej grypy wśród zwierząt</w:t>
      </w:r>
      <w:r w:rsidR="00913665" w:rsidRPr="00913665">
        <w:rPr>
          <w:noProof/>
        </w:rPr>
        <w:t xml:space="preserve"> i</w:t>
      </w:r>
      <w:r w:rsidR="00913665">
        <w:rPr>
          <w:noProof/>
        </w:rPr>
        <w:t> </w:t>
      </w:r>
      <w:r w:rsidR="00913665" w:rsidRPr="00913665">
        <w:rPr>
          <w:noProof/>
        </w:rPr>
        <w:t>lud</w:t>
      </w:r>
      <w:r w:rsidRPr="00913665">
        <w:rPr>
          <w:noProof/>
        </w:rPr>
        <w:t>zi</w:t>
      </w:r>
      <w:r w:rsidR="00E73303" w:rsidRPr="00913665">
        <w:rPr>
          <w:rStyle w:val="FootnoteReference"/>
          <w:noProof/>
        </w:rPr>
        <w:footnoteReference w:id="6"/>
      </w:r>
      <w:r w:rsidRPr="00913665">
        <w:rPr>
          <w:noProof/>
        </w:rPr>
        <w:t xml:space="preserve"> oraz innymi potencjalnymi zagrożeniami. Jeżeli sytuacja kryzysowa przekracza zdolności reagowania danego państwa</w:t>
      </w:r>
      <w:r w:rsidR="00913665" w:rsidRPr="00913665">
        <w:rPr>
          <w:noProof/>
        </w:rPr>
        <w:t xml:space="preserve"> w</w:t>
      </w:r>
      <w:r w:rsidR="00913665">
        <w:rPr>
          <w:noProof/>
        </w:rPr>
        <w:t> </w:t>
      </w:r>
      <w:r w:rsidR="00913665" w:rsidRPr="00913665">
        <w:rPr>
          <w:noProof/>
        </w:rPr>
        <w:t>Eur</w:t>
      </w:r>
      <w:r w:rsidRPr="00913665">
        <w:rPr>
          <w:noProof/>
        </w:rPr>
        <w:t>opie lub poza nią, państwo to może za pośrednictwem Unijnego Mechanizmu Ochrony Ludności (UMOL) zwrócić się</w:t>
      </w:r>
      <w:r w:rsidR="00913665" w:rsidRPr="00913665">
        <w:rPr>
          <w:noProof/>
        </w:rPr>
        <w:t xml:space="preserve"> o</w:t>
      </w:r>
      <w:r w:rsidR="00913665">
        <w:rPr>
          <w:noProof/>
        </w:rPr>
        <w:t> </w:t>
      </w:r>
      <w:r w:rsidR="00913665" w:rsidRPr="00913665">
        <w:rPr>
          <w:noProof/>
        </w:rPr>
        <w:t>wsp</w:t>
      </w:r>
      <w:r w:rsidRPr="00913665">
        <w:rPr>
          <w:noProof/>
        </w:rPr>
        <w:t>arcie, które może obejmować pomoc medyczną</w:t>
      </w:r>
      <w:r w:rsidR="00913665" w:rsidRPr="00913665">
        <w:rPr>
          <w:noProof/>
        </w:rPr>
        <w:t xml:space="preserve"> w</w:t>
      </w:r>
      <w:r w:rsidR="00913665">
        <w:rPr>
          <w:noProof/>
        </w:rPr>
        <w:t> </w:t>
      </w:r>
      <w:r w:rsidR="00913665" w:rsidRPr="00913665">
        <w:rPr>
          <w:noProof/>
        </w:rPr>
        <w:t>syt</w:t>
      </w:r>
      <w:r w:rsidRPr="00913665">
        <w:rPr>
          <w:noProof/>
        </w:rPr>
        <w:t>uacji kryzysowej.</w:t>
      </w:r>
    </w:p>
    <w:p w14:paraId="5E444B84" w14:textId="1BDFE607" w:rsidR="00C8464D" w:rsidRPr="00913665" w:rsidRDefault="00C8464D" w:rsidP="00597730">
      <w:pPr>
        <w:pStyle w:val="BodyText"/>
        <w:kinsoku w:val="0"/>
        <w:overflowPunct w:val="0"/>
        <w:spacing w:before="240" w:line="276" w:lineRule="auto"/>
        <w:jc w:val="both"/>
        <w:rPr>
          <w:noProof/>
        </w:rPr>
      </w:pPr>
      <w:r w:rsidRPr="00913665">
        <w:rPr>
          <w:noProof/>
        </w:rPr>
        <w:t>Kluczową rolę</w:t>
      </w:r>
      <w:r w:rsidR="00913665" w:rsidRPr="00913665">
        <w:rPr>
          <w:noProof/>
        </w:rPr>
        <w:t xml:space="preserve"> w</w:t>
      </w:r>
      <w:r w:rsidR="00913665">
        <w:rPr>
          <w:noProof/>
        </w:rPr>
        <w:t> </w:t>
      </w:r>
      <w:r w:rsidR="00913665" w:rsidRPr="00913665">
        <w:rPr>
          <w:noProof/>
        </w:rPr>
        <w:t>och</w:t>
      </w:r>
      <w:r w:rsidRPr="00913665">
        <w:rPr>
          <w:noProof/>
        </w:rPr>
        <w:t>ronie zdrowia odgrywa nadzór,</w:t>
      </w:r>
      <w:r w:rsidR="00913665" w:rsidRPr="00913665">
        <w:rPr>
          <w:noProof/>
        </w:rPr>
        <w:t xml:space="preserve"> a</w:t>
      </w:r>
      <w:r w:rsidR="00913665">
        <w:rPr>
          <w:noProof/>
        </w:rPr>
        <w:t> </w:t>
      </w:r>
      <w:r w:rsidR="00913665" w:rsidRPr="00913665">
        <w:rPr>
          <w:noProof/>
        </w:rPr>
        <w:t>dzi</w:t>
      </w:r>
      <w:r w:rsidRPr="00913665">
        <w:rPr>
          <w:noProof/>
        </w:rPr>
        <w:t>ęki wymianie danych UE może lepiej monitorować tendencje</w:t>
      </w:r>
      <w:r w:rsidR="00913665" w:rsidRPr="00913665">
        <w:rPr>
          <w:noProof/>
        </w:rPr>
        <w:t xml:space="preserve"> w</w:t>
      </w:r>
      <w:r w:rsidR="00913665">
        <w:rPr>
          <w:noProof/>
        </w:rPr>
        <w:t> </w:t>
      </w:r>
      <w:r w:rsidR="00913665" w:rsidRPr="00913665">
        <w:rPr>
          <w:noProof/>
        </w:rPr>
        <w:t>zak</w:t>
      </w:r>
      <w:r w:rsidRPr="00913665">
        <w:rPr>
          <w:noProof/>
        </w:rPr>
        <w:t>resie chorób zakaźnych, wykrywać ogniska chorób</w:t>
      </w:r>
      <w:r w:rsidR="00913665" w:rsidRPr="00913665">
        <w:rPr>
          <w:noProof/>
        </w:rPr>
        <w:t xml:space="preserve"> i</w:t>
      </w:r>
      <w:r w:rsidR="00913665">
        <w:rPr>
          <w:noProof/>
        </w:rPr>
        <w:t> </w:t>
      </w:r>
      <w:r w:rsidR="00913665" w:rsidRPr="00913665">
        <w:rPr>
          <w:noProof/>
        </w:rPr>
        <w:t>oce</w:t>
      </w:r>
      <w:r w:rsidRPr="00913665">
        <w:rPr>
          <w:noProof/>
        </w:rPr>
        <w:t>niać skuteczność stosowanych środków</w:t>
      </w:r>
      <w:r w:rsidR="00913665" w:rsidRPr="00913665">
        <w:rPr>
          <w:noProof/>
        </w:rPr>
        <w:t xml:space="preserve"> w</w:t>
      </w:r>
      <w:r w:rsidR="00913665">
        <w:rPr>
          <w:noProof/>
        </w:rPr>
        <w:t> </w:t>
      </w:r>
      <w:r w:rsidR="00913665" w:rsidRPr="00913665">
        <w:rPr>
          <w:noProof/>
        </w:rPr>
        <w:t>zak</w:t>
      </w:r>
      <w:r w:rsidRPr="00913665">
        <w:rPr>
          <w:noProof/>
        </w:rPr>
        <w:t>resie zdrowia publicznego. Komisja pomaga państwom członkowskim wzmocnić ich</w:t>
      </w:r>
      <w:r w:rsidRPr="00913665">
        <w:rPr>
          <w:noProof/>
          <w:sz w:val="20"/>
        </w:rPr>
        <w:t xml:space="preserve"> </w:t>
      </w:r>
      <w:r w:rsidRPr="00913665">
        <w:rPr>
          <w:noProof/>
        </w:rPr>
        <w:t>krajowe systemy nadzoru,</w:t>
      </w:r>
      <w:r w:rsidR="00913665" w:rsidRPr="00913665">
        <w:rPr>
          <w:noProof/>
        </w:rPr>
        <w:t xml:space="preserve"> w</w:t>
      </w:r>
      <w:r w:rsidR="00913665">
        <w:rPr>
          <w:noProof/>
        </w:rPr>
        <w:t> </w:t>
      </w:r>
      <w:r w:rsidR="00913665" w:rsidRPr="00913665">
        <w:rPr>
          <w:noProof/>
        </w:rPr>
        <w:t>tym</w:t>
      </w:r>
      <w:r w:rsidRPr="00913665">
        <w:rPr>
          <w:noProof/>
        </w:rPr>
        <w:t xml:space="preserve"> nadzór nad ściekami, oraz łączy unijny system wczesnego ostrzegania</w:t>
      </w:r>
      <w:r w:rsidR="00913665" w:rsidRPr="00913665">
        <w:rPr>
          <w:noProof/>
        </w:rPr>
        <w:t xml:space="preserve"> i</w:t>
      </w:r>
      <w:r w:rsidR="00913665">
        <w:rPr>
          <w:noProof/>
        </w:rPr>
        <w:t> </w:t>
      </w:r>
      <w:r w:rsidR="00913665" w:rsidRPr="00913665">
        <w:rPr>
          <w:noProof/>
        </w:rPr>
        <w:t>rea</w:t>
      </w:r>
      <w:r w:rsidRPr="00913665">
        <w:rPr>
          <w:noProof/>
        </w:rPr>
        <w:t>gowania (EWRS)</w:t>
      </w:r>
      <w:r w:rsidR="00913665" w:rsidRPr="00913665">
        <w:rPr>
          <w:noProof/>
        </w:rPr>
        <w:t xml:space="preserve"> z</w:t>
      </w:r>
      <w:r w:rsidR="00913665">
        <w:rPr>
          <w:noProof/>
        </w:rPr>
        <w:t> </w:t>
      </w:r>
      <w:r w:rsidR="00913665" w:rsidRPr="00913665">
        <w:rPr>
          <w:noProof/>
        </w:rPr>
        <w:t>inn</w:t>
      </w:r>
      <w:r w:rsidRPr="00913665">
        <w:rPr>
          <w:noProof/>
        </w:rPr>
        <w:t>ymi unijnymi systemami ostrzegania.</w:t>
      </w:r>
    </w:p>
    <w:p w14:paraId="2EDC26E7" w14:textId="7A7E44D4" w:rsidR="00035BD7" w:rsidRPr="00913665" w:rsidRDefault="00C8464D" w:rsidP="00597730">
      <w:pPr>
        <w:pStyle w:val="BodyText"/>
        <w:kinsoku w:val="0"/>
        <w:overflowPunct w:val="0"/>
        <w:spacing w:before="240" w:line="276" w:lineRule="auto"/>
        <w:jc w:val="both"/>
        <w:rPr>
          <w:noProof/>
          <w:spacing w:val="-1"/>
        </w:rPr>
      </w:pPr>
      <w:r w:rsidRPr="00913665">
        <w:rPr>
          <w:noProof/>
        </w:rPr>
        <w:t>Nauka wyprowadziła świat</w:t>
      </w:r>
      <w:r w:rsidR="00913665" w:rsidRPr="00913665">
        <w:rPr>
          <w:noProof/>
        </w:rPr>
        <w:t xml:space="preserve"> z</w:t>
      </w:r>
      <w:r w:rsidR="00913665">
        <w:rPr>
          <w:noProof/>
        </w:rPr>
        <w:t> </w:t>
      </w:r>
      <w:r w:rsidR="00913665" w:rsidRPr="00913665">
        <w:rPr>
          <w:noProof/>
        </w:rPr>
        <w:t>pan</w:t>
      </w:r>
      <w:r w:rsidRPr="00913665">
        <w:rPr>
          <w:noProof/>
        </w:rPr>
        <w:t>demii,</w:t>
      </w:r>
      <w:r w:rsidR="00913665" w:rsidRPr="00913665">
        <w:rPr>
          <w:noProof/>
        </w:rPr>
        <w:t xml:space="preserve"> a</w:t>
      </w:r>
      <w:r w:rsidR="00913665">
        <w:rPr>
          <w:noProof/>
        </w:rPr>
        <w:t> </w:t>
      </w:r>
      <w:r w:rsidR="00913665" w:rsidRPr="00913665">
        <w:rPr>
          <w:noProof/>
        </w:rPr>
        <w:t>wsp</w:t>
      </w:r>
      <w:r w:rsidRPr="00913665">
        <w:rPr>
          <w:noProof/>
        </w:rPr>
        <w:t>ółpraca naukowa wytycza najpewniejszą drogę ku bezpieczniejszej</w:t>
      </w:r>
      <w:r w:rsidR="00913665" w:rsidRPr="00913665">
        <w:rPr>
          <w:noProof/>
        </w:rPr>
        <w:t xml:space="preserve"> i</w:t>
      </w:r>
      <w:r w:rsidR="00913665">
        <w:rPr>
          <w:noProof/>
        </w:rPr>
        <w:t> </w:t>
      </w:r>
      <w:r w:rsidR="00913665" w:rsidRPr="00913665">
        <w:rPr>
          <w:noProof/>
        </w:rPr>
        <w:t>zdr</w:t>
      </w:r>
      <w:r w:rsidRPr="00913665">
        <w:rPr>
          <w:noProof/>
        </w:rPr>
        <w:t>owszej przyszłości. Unijne programy ramowe UE na rzecz badań</w:t>
      </w:r>
      <w:r w:rsidR="00913665" w:rsidRPr="00913665">
        <w:rPr>
          <w:noProof/>
        </w:rPr>
        <w:t xml:space="preserve"> i</w:t>
      </w:r>
      <w:r w:rsidR="00913665">
        <w:rPr>
          <w:noProof/>
        </w:rPr>
        <w:t> </w:t>
      </w:r>
      <w:r w:rsidR="00913665" w:rsidRPr="00913665">
        <w:rPr>
          <w:noProof/>
        </w:rPr>
        <w:t>inn</w:t>
      </w:r>
      <w:r w:rsidRPr="00913665">
        <w:rPr>
          <w:noProof/>
        </w:rPr>
        <w:t>owacji, które zaliczają się do największych na świecie programów finansowania badań, rozwoju</w:t>
      </w:r>
      <w:r w:rsidR="00913665" w:rsidRPr="00913665">
        <w:rPr>
          <w:noProof/>
        </w:rPr>
        <w:t xml:space="preserve"> i</w:t>
      </w:r>
      <w:r w:rsidR="00913665">
        <w:rPr>
          <w:noProof/>
        </w:rPr>
        <w:t> </w:t>
      </w:r>
      <w:r w:rsidR="00913665" w:rsidRPr="00913665">
        <w:rPr>
          <w:noProof/>
        </w:rPr>
        <w:t>inn</w:t>
      </w:r>
      <w:r w:rsidRPr="00913665">
        <w:rPr>
          <w:noProof/>
        </w:rPr>
        <w:t>owacji, wspierały projekty</w:t>
      </w:r>
      <w:r w:rsidR="00913665" w:rsidRPr="00913665">
        <w:rPr>
          <w:noProof/>
        </w:rPr>
        <w:t xml:space="preserve"> z</w:t>
      </w:r>
      <w:r w:rsidR="00913665">
        <w:rPr>
          <w:noProof/>
        </w:rPr>
        <w:t> </w:t>
      </w:r>
      <w:r w:rsidR="00913665" w:rsidRPr="00913665">
        <w:rPr>
          <w:noProof/>
        </w:rPr>
        <w:t>róż</w:t>
      </w:r>
      <w:r w:rsidRPr="00913665">
        <w:rPr>
          <w:noProof/>
        </w:rPr>
        <w:t>nych dziedzin,</w:t>
      </w:r>
      <w:r w:rsidR="00913665" w:rsidRPr="00913665">
        <w:rPr>
          <w:noProof/>
        </w:rPr>
        <w:t xml:space="preserve"> w</w:t>
      </w:r>
      <w:r w:rsidR="00913665">
        <w:rPr>
          <w:noProof/>
        </w:rPr>
        <w:t> </w:t>
      </w:r>
      <w:r w:rsidR="00913665" w:rsidRPr="00913665">
        <w:rPr>
          <w:noProof/>
        </w:rPr>
        <w:t>tym</w:t>
      </w:r>
      <w:r w:rsidRPr="00913665">
        <w:rPr>
          <w:noProof/>
        </w:rPr>
        <w:t xml:space="preserve"> długoterminowe badania nad mRNA, które przyczyniły się do opracowania szczepionek przeciwko COVID-19</w:t>
      </w:r>
      <w:r w:rsidR="00913665" w:rsidRPr="00913665">
        <w:rPr>
          <w:noProof/>
        </w:rPr>
        <w:t>. W</w:t>
      </w:r>
      <w:r w:rsidR="00913665">
        <w:rPr>
          <w:noProof/>
        </w:rPr>
        <w:t> </w:t>
      </w:r>
      <w:r w:rsidR="00913665" w:rsidRPr="00913665">
        <w:rPr>
          <w:noProof/>
        </w:rPr>
        <w:t>odp</w:t>
      </w:r>
      <w:r w:rsidRPr="00913665">
        <w:rPr>
          <w:noProof/>
        </w:rPr>
        <w:t>owiedzi na pandemię Komisja zobowiązała się przeznaczyć 1 mld euro na badania nad koronawirusem,</w:t>
      </w:r>
      <w:r w:rsidR="00913665" w:rsidRPr="00913665">
        <w:rPr>
          <w:noProof/>
        </w:rPr>
        <w:t xml:space="preserve"> w</w:t>
      </w:r>
      <w:r w:rsidR="00913665">
        <w:rPr>
          <w:noProof/>
        </w:rPr>
        <w:t> </w:t>
      </w:r>
      <w:r w:rsidR="00913665" w:rsidRPr="00913665">
        <w:rPr>
          <w:noProof/>
        </w:rPr>
        <w:t>tym</w:t>
      </w:r>
      <w:r w:rsidRPr="00913665">
        <w:rPr>
          <w:noProof/>
        </w:rPr>
        <w:t xml:space="preserve"> na prowadzenie zakrojonych na szeroką skalę badań klinicznych</w:t>
      </w:r>
      <w:r w:rsidR="00913665" w:rsidRPr="00913665">
        <w:rPr>
          <w:noProof/>
        </w:rPr>
        <w:t xml:space="preserve"> w</w:t>
      </w:r>
      <w:r w:rsidR="00913665">
        <w:rPr>
          <w:noProof/>
        </w:rPr>
        <w:t> </w:t>
      </w:r>
      <w:r w:rsidR="00913665" w:rsidRPr="00913665">
        <w:rPr>
          <w:noProof/>
        </w:rPr>
        <w:t>cał</w:t>
      </w:r>
      <w:r w:rsidRPr="00913665">
        <w:rPr>
          <w:noProof/>
        </w:rPr>
        <w:t>ej UE. Europejski Bank Inwestycyjny wsparł europejskie przedsiębiorstwo BioNTech kwotą 100 mln EUR, walnie przyczyniając się do wykorzystania technologii mRNA</w:t>
      </w:r>
      <w:r w:rsidR="00913665" w:rsidRPr="00913665">
        <w:rPr>
          <w:noProof/>
        </w:rPr>
        <w:t xml:space="preserve"> w</w:t>
      </w:r>
      <w:r w:rsidR="00913665">
        <w:rPr>
          <w:noProof/>
        </w:rPr>
        <w:t> </w:t>
      </w:r>
      <w:r w:rsidR="00913665" w:rsidRPr="00913665">
        <w:rPr>
          <w:noProof/>
        </w:rPr>
        <w:t>opr</w:t>
      </w:r>
      <w:r w:rsidRPr="00913665">
        <w:rPr>
          <w:noProof/>
        </w:rPr>
        <w:t>acowaniu potencjalnej szczepionki przeciwko COVID-19. Komisja opracowała projekt sieci światowej klasy laboratoriów ds. zdrowia publicznego (DURABLE),</w:t>
      </w:r>
      <w:r w:rsidR="00913665" w:rsidRPr="00913665">
        <w:rPr>
          <w:noProof/>
        </w:rPr>
        <w:t xml:space="preserve"> a</w:t>
      </w:r>
      <w:r w:rsidR="00913665">
        <w:rPr>
          <w:noProof/>
        </w:rPr>
        <w:t> </w:t>
      </w:r>
      <w:r w:rsidR="00913665" w:rsidRPr="00913665">
        <w:rPr>
          <w:noProof/>
        </w:rPr>
        <w:t>w</w:t>
      </w:r>
      <w:r w:rsidR="00913665">
        <w:rPr>
          <w:noProof/>
        </w:rPr>
        <w:t> </w:t>
      </w:r>
      <w:r w:rsidR="00913665" w:rsidRPr="00913665">
        <w:rPr>
          <w:noProof/>
        </w:rPr>
        <w:t>mar</w:t>
      </w:r>
      <w:r w:rsidRPr="00913665">
        <w:rPr>
          <w:noProof/>
        </w:rPr>
        <w:t>cu 2024</w:t>
      </w:r>
      <w:r w:rsidR="00913665" w:rsidRPr="00913665">
        <w:rPr>
          <w:noProof/>
        </w:rPr>
        <w:t> </w:t>
      </w:r>
      <w:r w:rsidRPr="00913665">
        <w:rPr>
          <w:noProof/>
        </w:rPr>
        <w:t>r. wyznaczyła pierwsze sześć</w:t>
      </w:r>
      <w:r w:rsidR="00E73303" w:rsidRPr="00913665">
        <w:rPr>
          <w:rStyle w:val="FootnoteReference"/>
          <w:noProof/>
          <w:spacing w:val="-2"/>
        </w:rPr>
        <w:footnoteReference w:id="7"/>
      </w:r>
      <w:r w:rsidRPr="00913665">
        <w:rPr>
          <w:noProof/>
        </w:rPr>
        <w:t xml:space="preserve"> laboratoriów referencyjnych UE</w:t>
      </w:r>
      <w:r w:rsidR="00913665" w:rsidRPr="00913665">
        <w:rPr>
          <w:noProof/>
        </w:rPr>
        <w:t xml:space="preserve"> w</w:t>
      </w:r>
      <w:r w:rsidR="00913665">
        <w:rPr>
          <w:noProof/>
        </w:rPr>
        <w:t> </w:t>
      </w:r>
      <w:r w:rsidR="00913665" w:rsidRPr="00913665">
        <w:rPr>
          <w:noProof/>
        </w:rPr>
        <w:t>dzi</w:t>
      </w:r>
      <w:r w:rsidRPr="00913665">
        <w:rPr>
          <w:noProof/>
        </w:rPr>
        <w:t>edzinie zdrowia publicznego, co przyczyni się do zwiększenia zdolności laboratoryjnych</w:t>
      </w:r>
      <w:r w:rsidR="00913665" w:rsidRPr="00913665">
        <w:rPr>
          <w:noProof/>
        </w:rPr>
        <w:t xml:space="preserve"> w</w:t>
      </w:r>
      <w:r w:rsidR="00913665">
        <w:rPr>
          <w:noProof/>
        </w:rPr>
        <w:t> </w:t>
      </w:r>
      <w:r w:rsidR="00913665" w:rsidRPr="00913665">
        <w:rPr>
          <w:noProof/>
        </w:rPr>
        <w:t>cał</w:t>
      </w:r>
      <w:r w:rsidRPr="00913665">
        <w:rPr>
          <w:noProof/>
        </w:rPr>
        <w:t>ej UE</w:t>
      </w:r>
      <w:r w:rsidR="00913665" w:rsidRPr="00913665">
        <w:rPr>
          <w:noProof/>
        </w:rPr>
        <w:t xml:space="preserve"> i</w:t>
      </w:r>
      <w:r w:rsidR="00913665">
        <w:rPr>
          <w:noProof/>
        </w:rPr>
        <w:t> </w:t>
      </w:r>
      <w:r w:rsidR="00913665" w:rsidRPr="00913665">
        <w:rPr>
          <w:noProof/>
        </w:rPr>
        <w:t>pro</w:t>
      </w:r>
      <w:r w:rsidRPr="00913665">
        <w:rPr>
          <w:noProof/>
        </w:rPr>
        <w:t>mowania dobrych praktyk. Ponadto UE</w:t>
      </w:r>
      <w:r w:rsidR="00913665" w:rsidRPr="00913665">
        <w:rPr>
          <w:noProof/>
        </w:rPr>
        <w:t xml:space="preserve"> i</w:t>
      </w:r>
      <w:r w:rsidR="00913665">
        <w:rPr>
          <w:noProof/>
        </w:rPr>
        <w:t> </w:t>
      </w:r>
      <w:r w:rsidR="00913665" w:rsidRPr="00913665">
        <w:rPr>
          <w:noProof/>
        </w:rPr>
        <w:t>pań</w:t>
      </w:r>
      <w:r w:rsidRPr="00913665">
        <w:rPr>
          <w:noProof/>
        </w:rPr>
        <w:t>stwa członkowskie zgodziły się usprawnić</w:t>
      </w:r>
      <w:r w:rsidR="00913665" w:rsidRPr="00913665">
        <w:rPr>
          <w:noProof/>
        </w:rPr>
        <w:t xml:space="preserve"> i</w:t>
      </w:r>
      <w:r w:rsidR="00913665">
        <w:rPr>
          <w:noProof/>
        </w:rPr>
        <w:t> </w:t>
      </w:r>
      <w:r w:rsidR="00913665" w:rsidRPr="00913665">
        <w:rPr>
          <w:noProof/>
        </w:rPr>
        <w:t>wyk</w:t>
      </w:r>
      <w:r w:rsidRPr="00913665">
        <w:rPr>
          <w:noProof/>
        </w:rPr>
        <w:t>orzystać wysiłki badawcze</w:t>
      </w:r>
      <w:r w:rsidR="00913665" w:rsidRPr="00913665">
        <w:rPr>
          <w:noProof/>
        </w:rPr>
        <w:t xml:space="preserve"> w</w:t>
      </w:r>
      <w:r w:rsidR="00913665">
        <w:rPr>
          <w:noProof/>
        </w:rPr>
        <w:t> </w:t>
      </w:r>
      <w:r w:rsidR="00913665" w:rsidRPr="00913665">
        <w:rPr>
          <w:noProof/>
        </w:rPr>
        <w:t>ram</w:t>
      </w:r>
      <w:r w:rsidRPr="00913665">
        <w:rPr>
          <w:noProof/>
        </w:rPr>
        <w:t xml:space="preserve">ach europejskiego partnerstwa na rzecz gotowości na wypadek pandemii. </w:t>
      </w:r>
    </w:p>
    <w:p w14:paraId="186F5011" w14:textId="4AEBE91E" w:rsidR="00035BD7" w:rsidRPr="00913665" w:rsidRDefault="00035BD7" w:rsidP="00597730">
      <w:pPr>
        <w:pStyle w:val="BodyText"/>
        <w:kinsoku w:val="0"/>
        <w:overflowPunct w:val="0"/>
        <w:spacing w:before="240" w:line="276" w:lineRule="auto"/>
        <w:jc w:val="both"/>
        <w:rPr>
          <w:noProof/>
        </w:rPr>
      </w:pPr>
      <w:r w:rsidRPr="00913665">
        <w:rPr>
          <w:noProof/>
        </w:rPr>
        <w:t xml:space="preserve">Pandemia COVID-19 </w:t>
      </w:r>
      <w:bookmarkStart w:id="6" w:name="_Hlk165986926"/>
      <w:r w:rsidRPr="00913665">
        <w:rPr>
          <w:noProof/>
        </w:rPr>
        <w:t>uwypukliła kluczową potrzebę zapewnienia solidnych zdolności produkcyjnych</w:t>
      </w:r>
      <w:r w:rsidR="00913665" w:rsidRPr="00913665">
        <w:rPr>
          <w:noProof/>
        </w:rPr>
        <w:t xml:space="preserve"> i</w:t>
      </w:r>
      <w:r w:rsidR="00913665">
        <w:rPr>
          <w:noProof/>
        </w:rPr>
        <w:t> </w:t>
      </w:r>
      <w:r w:rsidR="00913665" w:rsidRPr="00913665">
        <w:rPr>
          <w:noProof/>
        </w:rPr>
        <w:t>odp</w:t>
      </w:r>
      <w:r w:rsidRPr="00913665">
        <w:rPr>
          <w:noProof/>
        </w:rPr>
        <w:t>ornych łańcuchów dostaw, ujawniając znaczne słabości, które mają wpływ na zdrowie</w:t>
      </w:r>
      <w:r w:rsidR="00913665" w:rsidRPr="00913665">
        <w:rPr>
          <w:noProof/>
        </w:rPr>
        <w:t xml:space="preserve"> i</w:t>
      </w:r>
      <w:r w:rsidR="00913665">
        <w:rPr>
          <w:noProof/>
        </w:rPr>
        <w:t> </w:t>
      </w:r>
      <w:r w:rsidR="00913665" w:rsidRPr="00913665">
        <w:rPr>
          <w:noProof/>
        </w:rPr>
        <w:t>sta</w:t>
      </w:r>
      <w:r w:rsidRPr="00913665">
        <w:rPr>
          <w:noProof/>
        </w:rPr>
        <w:t>bilność gospodarczą na świecie</w:t>
      </w:r>
      <w:bookmarkEnd w:id="6"/>
      <w:r w:rsidR="00913665" w:rsidRPr="00913665">
        <w:rPr>
          <w:noProof/>
        </w:rPr>
        <w:t>. W</w:t>
      </w:r>
      <w:r w:rsidR="00913665">
        <w:rPr>
          <w:noProof/>
        </w:rPr>
        <w:t> </w:t>
      </w:r>
      <w:r w:rsidR="00913665" w:rsidRPr="00913665">
        <w:rPr>
          <w:noProof/>
        </w:rPr>
        <w:t>odp</w:t>
      </w:r>
      <w:r w:rsidRPr="00913665">
        <w:rPr>
          <w:noProof/>
        </w:rPr>
        <w:t>owiedzi Komisja Europejska powołała grupę zadaniową ds. przyspieszenia produkcji szczepionek przeciwko COVID-19</w:t>
      </w:r>
      <w:r w:rsidRPr="00913665">
        <w:rPr>
          <w:rStyle w:val="FootnoteReference"/>
          <w:noProof/>
        </w:rPr>
        <w:footnoteReference w:id="8"/>
      </w:r>
      <w:r w:rsidRPr="00913665">
        <w:rPr>
          <w:noProof/>
        </w:rPr>
        <w:t>. Ta grupa zadaniowa ściśle współpracowała</w:t>
      </w:r>
      <w:r w:rsidR="00913665" w:rsidRPr="00913665">
        <w:rPr>
          <w:noProof/>
        </w:rPr>
        <w:t xml:space="preserve"> z</w:t>
      </w:r>
      <w:r w:rsidR="00913665">
        <w:rPr>
          <w:noProof/>
        </w:rPr>
        <w:t> </w:t>
      </w:r>
      <w:r w:rsidR="00913665" w:rsidRPr="00913665">
        <w:rPr>
          <w:noProof/>
        </w:rPr>
        <w:t>zai</w:t>
      </w:r>
      <w:r w:rsidRPr="00913665">
        <w:rPr>
          <w:noProof/>
        </w:rPr>
        <w:t>nteresowanymi stronami</w:t>
      </w:r>
      <w:r w:rsidR="00913665" w:rsidRPr="00913665">
        <w:rPr>
          <w:noProof/>
        </w:rPr>
        <w:t xml:space="preserve"> z</w:t>
      </w:r>
      <w:r w:rsidR="00913665">
        <w:rPr>
          <w:noProof/>
        </w:rPr>
        <w:t> </w:t>
      </w:r>
      <w:r w:rsidR="00913665" w:rsidRPr="00913665">
        <w:rPr>
          <w:noProof/>
        </w:rPr>
        <w:t>bra</w:t>
      </w:r>
      <w:r w:rsidRPr="00913665">
        <w:rPr>
          <w:noProof/>
        </w:rPr>
        <w:t>nży</w:t>
      </w:r>
      <w:r w:rsidR="00913665" w:rsidRPr="00913665">
        <w:rPr>
          <w:noProof/>
        </w:rPr>
        <w:t xml:space="preserve"> w</w:t>
      </w:r>
      <w:r w:rsidR="00913665">
        <w:rPr>
          <w:noProof/>
        </w:rPr>
        <w:t> </w:t>
      </w:r>
      <w:r w:rsidR="00913665" w:rsidRPr="00913665">
        <w:rPr>
          <w:noProof/>
        </w:rPr>
        <w:t>cel</w:t>
      </w:r>
      <w:r w:rsidRPr="00913665">
        <w:rPr>
          <w:noProof/>
        </w:rPr>
        <w:t>u złagodzenia wąskich gardeł</w:t>
      </w:r>
      <w:r w:rsidR="00913665" w:rsidRPr="00913665">
        <w:rPr>
          <w:noProof/>
        </w:rPr>
        <w:t xml:space="preserve"> w</w:t>
      </w:r>
      <w:r w:rsidR="00913665">
        <w:rPr>
          <w:noProof/>
        </w:rPr>
        <w:t> </w:t>
      </w:r>
      <w:r w:rsidR="00913665" w:rsidRPr="00913665">
        <w:rPr>
          <w:noProof/>
        </w:rPr>
        <w:t>pro</w:t>
      </w:r>
      <w:r w:rsidRPr="00913665">
        <w:rPr>
          <w:noProof/>
        </w:rPr>
        <w:t>dukcji szczepionek, skutecznego mapowania łańcuchów dostaw</w:t>
      </w:r>
      <w:r w:rsidR="00913665" w:rsidRPr="00913665">
        <w:rPr>
          <w:noProof/>
        </w:rPr>
        <w:t xml:space="preserve"> i</w:t>
      </w:r>
      <w:r w:rsidR="00913665">
        <w:rPr>
          <w:noProof/>
        </w:rPr>
        <w:t> </w:t>
      </w:r>
      <w:r w:rsidR="00913665" w:rsidRPr="00913665">
        <w:rPr>
          <w:noProof/>
        </w:rPr>
        <w:t>zap</w:t>
      </w:r>
      <w:r w:rsidRPr="00913665">
        <w:rPr>
          <w:noProof/>
        </w:rPr>
        <w:t>ewnienia długoterminowych zdolności produkcyjnych</w:t>
      </w:r>
      <w:r w:rsidR="00913665" w:rsidRPr="00913665">
        <w:rPr>
          <w:noProof/>
        </w:rPr>
        <w:t xml:space="preserve"> w</w:t>
      </w:r>
      <w:r w:rsidR="00913665">
        <w:rPr>
          <w:noProof/>
        </w:rPr>
        <w:t> </w:t>
      </w:r>
      <w:r w:rsidR="00913665" w:rsidRPr="00913665">
        <w:rPr>
          <w:noProof/>
        </w:rPr>
        <w:t>Eur</w:t>
      </w:r>
      <w:r w:rsidRPr="00913665">
        <w:rPr>
          <w:noProof/>
        </w:rPr>
        <w:t>opie, stając się katalizatorem wdrażania dalszych środków</w:t>
      </w:r>
      <w:r w:rsidR="00913665" w:rsidRPr="00913665">
        <w:rPr>
          <w:noProof/>
        </w:rPr>
        <w:t xml:space="preserve"> w</w:t>
      </w:r>
      <w:r w:rsidR="00913665">
        <w:rPr>
          <w:noProof/>
        </w:rPr>
        <w:t> </w:t>
      </w:r>
      <w:r w:rsidR="00913665" w:rsidRPr="00913665">
        <w:rPr>
          <w:noProof/>
        </w:rPr>
        <w:t>zak</w:t>
      </w:r>
      <w:r w:rsidRPr="00913665">
        <w:rPr>
          <w:noProof/>
        </w:rPr>
        <w:t>resie leków</w:t>
      </w:r>
      <w:r w:rsidR="00913665" w:rsidRPr="00913665">
        <w:rPr>
          <w:noProof/>
        </w:rPr>
        <w:t xml:space="preserve"> o</w:t>
      </w:r>
      <w:r w:rsidR="00913665">
        <w:rPr>
          <w:noProof/>
        </w:rPr>
        <w:t> </w:t>
      </w:r>
      <w:r w:rsidR="00913665" w:rsidRPr="00913665">
        <w:rPr>
          <w:noProof/>
        </w:rPr>
        <w:t>kry</w:t>
      </w:r>
      <w:r w:rsidRPr="00913665">
        <w:rPr>
          <w:noProof/>
        </w:rPr>
        <w:t>tycznym znaczeniu, wykraczających poza same szczepionki przeciwko COVID-19.</w:t>
      </w:r>
      <w:r w:rsidR="00913665" w:rsidRPr="00913665">
        <w:rPr>
          <w:noProof/>
        </w:rPr>
        <w:t xml:space="preserve"> </w:t>
      </w:r>
    </w:p>
    <w:p w14:paraId="7D11FD43" w14:textId="67364A97" w:rsidR="00C8464D" w:rsidRPr="00913665" w:rsidRDefault="00C8464D" w:rsidP="00597730">
      <w:pPr>
        <w:pStyle w:val="BodyText"/>
        <w:kinsoku w:val="0"/>
        <w:overflowPunct w:val="0"/>
        <w:spacing w:before="240" w:line="276" w:lineRule="auto"/>
        <w:jc w:val="both"/>
        <w:rPr>
          <w:noProof/>
        </w:rPr>
      </w:pPr>
      <w:r w:rsidRPr="00913665">
        <w:rPr>
          <w:noProof/>
        </w:rPr>
        <w:t>Ostatnie pięć lat</w:t>
      </w:r>
      <w:r w:rsidR="00913665" w:rsidRPr="00913665">
        <w:rPr>
          <w:noProof/>
        </w:rPr>
        <w:t xml:space="preserve"> i</w:t>
      </w:r>
      <w:r w:rsidR="00913665">
        <w:rPr>
          <w:noProof/>
        </w:rPr>
        <w:t> </w:t>
      </w:r>
      <w:r w:rsidR="00913665" w:rsidRPr="00913665">
        <w:rPr>
          <w:noProof/>
        </w:rPr>
        <w:t>doś</w:t>
      </w:r>
      <w:r w:rsidRPr="00913665">
        <w:rPr>
          <w:noProof/>
        </w:rPr>
        <w:t>wiadczenia związane</w:t>
      </w:r>
      <w:r w:rsidR="00913665" w:rsidRPr="00913665">
        <w:rPr>
          <w:noProof/>
        </w:rPr>
        <w:t xml:space="preserve"> z</w:t>
      </w:r>
      <w:r w:rsidR="00913665">
        <w:rPr>
          <w:noProof/>
        </w:rPr>
        <w:t> </w:t>
      </w:r>
      <w:r w:rsidR="00913665" w:rsidRPr="00913665">
        <w:rPr>
          <w:noProof/>
        </w:rPr>
        <w:t>zar</w:t>
      </w:r>
      <w:r w:rsidRPr="00913665">
        <w:rPr>
          <w:noProof/>
        </w:rPr>
        <w:t>ządzaniem pandemią pokazały, że inicjatywy te mają kluczowe znaczenie dla ochrony zdrowia obywateli, zwłaszcza tych najbardziej narażonych</w:t>
      </w:r>
      <w:r w:rsidR="00913665" w:rsidRPr="00913665">
        <w:rPr>
          <w:noProof/>
        </w:rPr>
        <w:t xml:space="preserve"> i</w:t>
      </w:r>
      <w:r w:rsidR="00913665">
        <w:rPr>
          <w:noProof/>
        </w:rPr>
        <w:t> </w:t>
      </w:r>
      <w:r w:rsidR="00913665" w:rsidRPr="00913665">
        <w:rPr>
          <w:noProof/>
        </w:rPr>
        <w:t>pod</w:t>
      </w:r>
      <w:r w:rsidRPr="00913665">
        <w:rPr>
          <w:noProof/>
        </w:rPr>
        <w:t>atnych na zagrożenia, takich jak dzieci, osoby starsze</w:t>
      </w:r>
      <w:r w:rsidR="00913665" w:rsidRPr="00913665">
        <w:rPr>
          <w:noProof/>
        </w:rPr>
        <w:t xml:space="preserve"> i</w:t>
      </w:r>
      <w:r w:rsidR="00913665">
        <w:rPr>
          <w:noProof/>
        </w:rPr>
        <w:t> </w:t>
      </w:r>
      <w:r w:rsidR="00913665" w:rsidRPr="00913665">
        <w:rPr>
          <w:noProof/>
        </w:rPr>
        <w:t>oso</w:t>
      </w:r>
      <w:r w:rsidRPr="00913665">
        <w:rPr>
          <w:noProof/>
        </w:rPr>
        <w:t>by</w:t>
      </w:r>
      <w:r w:rsidR="00913665" w:rsidRPr="00913665">
        <w:rPr>
          <w:noProof/>
        </w:rPr>
        <w:t xml:space="preserve"> z</w:t>
      </w:r>
      <w:r w:rsidR="00913665">
        <w:rPr>
          <w:noProof/>
        </w:rPr>
        <w:t> </w:t>
      </w:r>
      <w:r w:rsidR="00913665" w:rsidRPr="00913665">
        <w:rPr>
          <w:noProof/>
        </w:rPr>
        <w:t>nie</w:t>
      </w:r>
      <w:r w:rsidRPr="00913665">
        <w:rPr>
          <w:noProof/>
        </w:rPr>
        <w:t>pełnosprawnościami,</w:t>
      </w:r>
      <w:r w:rsidR="00913665" w:rsidRPr="00913665">
        <w:rPr>
          <w:noProof/>
        </w:rPr>
        <w:t xml:space="preserve"> a</w:t>
      </w:r>
      <w:r w:rsidR="00913665">
        <w:rPr>
          <w:noProof/>
        </w:rPr>
        <w:t> </w:t>
      </w:r>
      <w:r w:rsidR="00913665" w:rsidRPr="00913665">
        <w:rPr>
          <w:noProof/>
        </w:rPr>
        <w:t>tak</w:t>
      </w:r>
      <w:r w:rsidRPr="00913665">
        <w:rPr>
          <w:noProof/>
        </w:rPr>
        <w:t>że</w:t>
      </w:r>
      <w:r w:rsidR="00913665" w:rsidRPr="00913665">
        <w:rPr>
          <w:noProof/>
        </w:rPr>
        <w:t xml:space="preserve"> w</w:t>
      </w:r>
      <w:r w:rsidR="00913665">
        <w:rPr>
          <w:noProof/>
        </w:rPr>
        <w:t> </w:t>
      </w:r>
      <w:r w:rsidR="00913665" w:rsidRPr="00913665">
        <w:rPr>
          <w:noProof/>
        </w:rPr>
        <w:t>prz</w:t>
      </w:r>
      <w:r w:rsidRPr="00913665">
        <w:rPr>
          <w:noProof/>
        </w:rPr>
        <w:t>ezwyciężeniu bezprecedensowego kryzysu zdrowotnego.</w:t>
      </w:r>
    </w:p>
    <w:p w14:paraId="59DE8FEE" w14:textId="314A08DA" w:rsidR="00CE5831" w:rsidRPr="00913665" w:rsidRDefault="00C8464D" w:rsidP="00597730">
      <w:pPr>
        <w:pStyle w:val="ListParagraph"/>
        <w:numPr>
          <w:ilvl w:val="1"/>
          <w:numId w:val="6"/>
        </w:numPr>
        <w:tabs>
          <w:tab w:val="left" w:pos="1364"/>
        </w:tabs>
        <w:kinsoku w:val="0"/>
        <w:overflowPunct w:val="0"/>
        <w:spacing w:before="240" w:line="276" w:lineRule="auto"/>
        <w:ind w:left="0" w:firstLine="0"/>
        <w:rPr>
          <w:noProof/>
          <w:color w:val="000000"/>
          <w:sz w:val="22"/>
          <w:szCs w:val="22"/>
        </w:rPr>
      </w:pPr>
      <w:r w:rsidRPr="00913665">
        <w:rPr>
          <w:noProof/>
          <w:color w:val="2E5395"/>
          <w:sz w:val="26"/>
        </w:rPr>
        <w:t>Utworzenie Urzędu ds. Gotowości</w:t>
      </w:r>
      <w:r w:rsidR="00913665" w:rsidRPr="00913665">
        <w:rPr>
          <w:noProof/>
          <w:color w:val="2E5395"/>
          <w:sz w:val="26"/>
        </w:rPr>
        <w:t xml:space="preserve"> i</w:t>
      </w:r>
      <w:r w:rsidR="00913665">
        <w:rPr>
          <w:noProof/>
          <w:color w:val="2E5395"/>
          <w:sz w:val="26"/>
        </w:rPr>
        <w:t> </w:t>
      </w:r>
      <w:r w:rsidR="00913665" w:rsidRPr="00913665">
        <w:rPr>
          <w:noProof/>
          <w:color w:val="2E5395"/>
          <w:sz w:val="26"/>
        </w:rPr>
        <w:t>Rea</w:t>
      </w:r>
      <w:r w:rsidRPr="00913665">
        <w:rPr>
          <w:noProof/>
          <w:color w:val="2E5395"/>
          <w:sz w:val="26"/>
        </w:rPr>
        <w:t xml:space="preserve">gowania na Stany Zagrożenia Zdrowia (HERA) </w:t>
      </w:r>
    </w:p>
    <w:p w14:paraId="362DEC46" w14:textId="181A44B2" w:rsidR="00C8464D" w:rsidRPr="00913665" w:rsidRDefault="00C8464D" w:rsidP="00597730">
      <w:pPr>
        <w:pStyle w:val="ListParagraph"/>
        <w:tabs>
          <w:tab w:val="left" w:pos="1364"/>
        </w:tabs>
        <w:kinsoku w:val="0"/>
        <w:overflowPunct w:val="0"/>
        <w:spacing w:before="240" w:line="276" w:lineRule="auto"/>
        <w:ind w:left="0" w:firstLine="0"/>
        <w:rPr>
          <w:noProof/>
          <w:color w:val="000000"/>
          <w:sz w:val="22"/>
          <w:szCs w:val="22"/>
        </w:rPr>
      </w:pPr>
      <w:r w:rsidRPr="00913665">
        <w:rPr>
          <w:noProof/>
          <w:color w:val="000000"/>
          <w:sz w:val="22"/>
        </w:rPr>
        <w:t>Pandemia COVID-19 uwypukliła kluczowe znaczenie medycznych środków przeciwdziałania</w:t>
      </w:r>
      <w:r w:rsidR="00913665" w:rsidRPr="00913665">
        <w:rPr>
          <w:noProof/>
          <w:color w:val="000000"/>
          <w:sz w:val="22"/>
        </w:rPr>
        <w:t xml:space="preserve"> w</w:t>
      </w:r>
      <w:r w:rsidR="00913665">
        <w:rPr>
          <w:noProof/>
          <w:color w:val="000000"/>
          <w:sz w:val="22"/>
        </w:rPr>
        <w:t> </w:t>
      </w:r>
      <w:r w:rsidR="00913665" w:rsidRPr="00913665">
        <w:rPr>
          <w:noProof/>
          <w:color w:val="000000"/>
          <w:sz w:val="22"/>
        </w:rPr>
        <w:t>sta</w:t>
      </w:r>
      <w:r w:rsidRPr="00913665">
        <w:rPr>
          <w:noProof/>
          <w:color w:val="000000"/>
          <w:sz w:val="22"/>
        </w:rPr>
        <w:t>nach zagrożenia zdrowia,</w:t>
      </w:r>
      <w:r w:rsidR="00913665" w:rsidRPr="00913665">
        <w:rPr>
          <w:noProof/>
          <w:color w:val="000000"/>
          <w:sz w:val="22"/>
        </w:rPr>
        <w:t xml:space="preserve"> w</w:t>
      </w:r>
      <w:r w:rsidR="00913665">
        <w:rPr>
          <w:noProof/>
          <w:color w:val="000000"/>
          <w:sz w:val="22"/>
        </w:rPr>
        <w:t> </w:t>
      </w:r>
      <w:r w:rsidR="00913665" w:rsidRPr="00913665">
        <w:rPr>
          <w:noProof/>
          <w:color w:val="000000"/>
          <w:sz w:val="22"/>
        </w:rPr>
        <w:t>tym</w:t>
      </w:r>
      <w:r w:rsidRPr="00913665">
        <w:rPr>
          <w:noProof/>
          <w:color w:val="000000"/>
          <w:sz w:val="22"/>
        </w:rPr>
        <w:t xml:space="preserve"> diagnostyki, szczepionek, środków terapeutycznych</w:t>
      </w:r>
      <w:r w:rsidR="00913665" w:rsidRPr="00913665">
        <w:rPr>
          <w:noProof/>
          <w:color w:val="000000"/>
          <w:sz w:val="22"/>
        </w:rPr>
        <w:t xml:space="preserve"> i</w:t>
      </w:r>
      <w:r w:rsidR="00913665">
        <w:rPr>
          <w:noProof/>
          <w:color w:val="000000"/>
          <w:sz w:val="22"/>
        </w:rPr>
        <w:t> </w:t>
      </w:r>
      <w:r w:rsidR="00913665" w:rsidRPr="00913665">
        <w:rPr>
          <w:noProof/>
          <w:color w:val="000000"/>
          <w:sz w:val="22"/>
        </w:rPr>
        <w:t>śro</w:t>
      </w:r>
      <w:r w:rsidRPr="00913665">
        <w:rPr>
          <w:noProof/>
          <w:color w:val="000000"/>
          <w:sz w:val="22"/>
        </w:rPr>
        <w:t>dków ochrony indywidualnej. Okazało się również, że finansowanie ze środków UE</w:t>
      </w:r>
      <w:r w:rsidR="00913665" w:rsidRPr="00913665">
        <w:rPr>
          <w:noProof/>
          <w:color w:val="000000"/>
          <w:sz w:val="22"/>
        </w:rPr>
        <w:t xml:space="preserve"> i</w:t>
      </w:r>
      <w:r w:rsidR="00913665">
        <w:rPr>
          <w:noProof/>
          <w:color w:val="000000"/>
          <w:sz w:val="22"/>
        </w:rPr>
        <w:t> </w:t>
      </w:r>
      <w:r w:rsidR="00913665" w:rsidRPr="00913665">
        <w:rPr>
          <w:noProof/>
          <w:color w:val="000000"/>
          <w:sz w:val="22"/>
        </w:rPr>
        <w:t>pań</w:t>
      </w:r>
      <w:r w:rsidRPr="00913665">
        <w:rPr>
          <w:noProof/>
          <w:color w:val="000000"/>
          <w:sz w:val="22"/>
        </w:rPr>
        <w:t>stw członkowskich odegrało zasadniczą rolę</w:t>
      </w:r>
      <w:r w:rsidR="00913665" w:rsidRPr="00913665">
        <w:rPr>
          <w:noProof/>
          <w:color w:val="000000"/>
          <w:sz w:val="22"/>
        </w:rPr>
        <w:t xml:space="preserve"> w</w:t>
      </w:r>
      <w:r w:rsidR="00913665">
        <w:rPr>
          <w:noProof/>
          <w:color w:val="000000"/>
          <w:sz w:val="22"/>
        </w:rPr>
        <w:t> </w:t>
      </w:r>
      <w:r w:rsidR="00913665" w:rsidRPr="00913665">
        <w:rPr>
          <w:noProof/>
          <w:color w:val="000000"/>
          <w:sz w:val="22"/>
        </w:rPr>
        <w:t>zap</w:t>
      </w:r>
      <w:r w:rsidRPr="00913665">
        <w:rPr>
          <w:noProof/>
          <w:color w:val="000000"/>
          <w:sz w:val="22"/>
        </w:rPr>
        <w:t>ewnieniu dostępu do technologii mRNA na potrzeby szczepionek przeciwko COVID-19. Wsparcie UE miało kluczowe znaczenie</w:t>
      </w:r>
      <w:r w:rsidR="00913665" w:rsidRPr="00913665">
        <w:rPr>
          <w:noProof/>
          <w:color w:val="000000"/>
          <w:sz w:val="22"/>
        </w:rPr>
        <w:t xml:space="preserve"> w</w:t>
      </w:r>
      <w:r w:rsidR="00913665">
        <w:rPr>
          <w:noProof/>
          <w:color w:val="000000"/>
          <w:sz w:val="22"/>
        </w:rPr>
        <w:t> </w:t>
      </w:r>
      <w:r w:rsidR="00913665" w:rsidRPr="00913665">
        <w:rPr>
          <w:noProof/>
          <w:color w:val="000000"/>
          <w:sz w:val="22"/>
        </w:rPr>
        <w:t>opr</w:t>
      </w:r>
      <w:r w:rsidRPr="00913665">
        <w:rPr>
          <w:noProof/>
          <w:color w:val="000000"/>
          <w:sz w:val="22"/>
        </w:rPr>
        <w:t>acowaniu</w:t>
      </w:r>
      <w:r w:rsidR="00913665" w:rsidRPr="00913665">
        <w:rPr>
          <w:noProof/>
          <w:color w:val="000000"/>
          <w:sz w:val="22"/>
        </w:rPr>
        <w:t xml:space="preserve"> w</w:t>
      </w:r>
      <w:r w:rsidR="00913665">
        <w:rPr>
          <w:noProof/>
          <w:color w:val="000000"/>
          <w:sz w:val="22"/>
        </w:rPr>
        <w:t> </w:t>
      </w:r>
      <w:r w:rsidR="00913665" w:rsidRPr="00913665">
        <w:rPr>
          <w:noProof/>
          <w:color w:val="000000"/>
          <w:sz w:val="22"/>
        </w:rPr>
        <w:t>rek</w:t>
      </w:r>
      <w:r w:rsidRPr="00913665">
        <w:rPr>
          <w:noProof/>
          <w:color w:val="000000"/>
          <w:sz w:val="22"/>
        </w:rPr>
        <w:t>ordowym czasie szczepionek ratujących życie.</w:t>
      </w:r>
    </w:p>
    <w:p w14:paraId="51FC46CD" w14:textId="3C17A972" w:rsidR="00E73303" w:rsidRPr="00913665" w:rsidRDefault="00C8464D" w:rsidP="00597730">
      <w:pPr>
        <w:pStyle w:val="BodyText"/>
        <w:kinsoku w:val="0"/>
        <w:overflowPunct w:val="0"/>
        <w:spacing w:before="240" w:line="276" w:lineRule="auto"/>
        <w:jc w:val="both"/>
        <w:rPr>
          <w:noProof/>
        </w:rPr>
      </w:pPr>
      <w:r w:rsidRPr="00913665">
        <w:rPr>
          <w:noProof/>
        </w:rPr>
        <w:t>W 2021</w:t>
      </w:r>
      <w:r w:rsidR="00913665" w:rsidRPr="00913665">
        <w:rPr>
          <w:noProof/>
        </w:rPr>
        <w:t> </w:t>
      </w:r>
      <w:r w:rsidRPr="00913665">
        <w:rPr>
          <w:noProof/>
        </w:rPr>
        <w:t>r. Komisja powołała Urząd ds. Gotowości</w:t>
      </w:r>
      <w:r w:rsidR="00913665" w:rsidRPr="00913665">
        <w:rPr>
          <w:noProof/>
        </w:rPr>
        <w:t xml:space="preserve"> i</w:t>
      </w:r>
      <w:r w:rsidR="00913665">
        <w:rPr>
          <w:noProof/>
        </w:rPr>
        <w:t> </w:t>
      </w:r>
      <w:r w:rsidR="00913665" w:rsidRPr="00913665">
        <w:rPr>
          <w:noProof/>
        </w:rPr>
        <w:t>Rea</w:t>
      </w:r>
      <w:r w:rsidRPr="00913665">
        <w:rPr>
          <w:noProof/>
        </w:rPr>
        <w:t>gowania na Stany Zagrożenia Zdrowia (HERA). Celem HERA jest wzmocnienie rozwoju, produkcji, zaopatrzenia</w:t>
      </w:r>
      <w:r w:rsidR="00913665" w:rsidRPr="00913665">
        <w:rPr>
          <w:noProof/>
        </w:rPr>
        <w:t xml:space="preserve"> i</w:t>
      </w:r>
      <w:r w:rsidR="00913665">
        <w:rPr>
          <w:noProof/>
        </w:rPr>
        <w:t> </w:t>
      </w:r>
      <w:r w:rsidR="00913665" w:rsidRPr="00913665">
        <w:rPr>
          <w:noProof/>
        </w:rPr>
        <w:t>spr</w:t>
      </w:r>
      <w:r w:rsidRPr="00913665">
        <w:rPr>
          <w:noProof/>
        </w:rPr>
        <w:t>awiedliwej dystrybucji medycznych środków przeciwdziałania</w:t>
      </w:r>
      <w:r w:rsidR="00913665" w:rsidRPr="00913665">
        <w:rPr>
          <w:noProof/>
        </w:rPr>
        <w:t xml:space="preserve"> o</w:t>
      </w:r>
      <w:r w:rsidR="00913665">
        <w:rPr>
          <w:noProof/>
        </w:rPr>
        <w:t> </w:t>
      </w:r>
      <w:r w:rsidR="00913665" w:rsidRPr="00913665">
        <w:rPr>
          <w:noProof/>
        </w:rPr>
        <w:t>kry</w:t>
      </w:r>
      <w:r w:rsidRPr="00913665">
        <w:rPr>
          <w:noProof/>
        </w:rPr>
        <w:t>tycznym znaczeniu</w:t>
      </w:r>
      <w:r w:rsidR="00913665" w:rsidRPr="00913665">
        <w:rPr>
          <w:noProof/>
        </w:rPr>
        <w:t xml:space="preserve"> w</w:t>
      </w:r>
      <w:r w:rsidR="00913665">
        <w:rPr>
          <w:noProof/>
        </w:rPr>
        <w:t> </w:t>
      </w:r>
      <w:r w:rsidR="00913665" w:rsidRPr="00913665">
        <w:rPr>
          <w:noProof/>
        </w:rPr>
        <w:t>cel</w:t>
      </w:r>
      <w:r w:rsidRPr="00913665">
        <w:rPr>
          <w:noProof/>
        </w:rPr>
        <w:t>u ochrony Europejczyków</w:t>
      </w:r>
      <w:r w:rsidR="00913665" w:rsidRPr="00913665">
        <w:rPr>
          <w:noProof/>
        </w:rPr>
        <w:t xml:space="preserve"> w</w:t>
      </w:r>
      <w:r w:rsidR="00913665">
        <w:rPr>
          <w:noProof/>
        </w:rPr>
        <w:t> </w:t>
      </w:r>
      <w:r w:rsidR="00913665" w:rsidRPr="00913665">
        <w:rPr>
          <w:noProof/>
        </w:rPr>
        <w:t>syt</w:t>
      </w:r>
      <w:r w:rsidRPr="00913665">
        <w:rPr>
          <w:noProof/>
        </w:rPr>
        <w:t>uacji zagrożenia zdrowia publicznego,</w:t>
      </w:r>
      <w:r w:rsidR="00913665" w:rsidRPr="00913665">
        <w:rPr>
          <w:noProof/>
        </w:rPr>
        <w:t xml:space="preserve"> w</w:t>
      </w:r>
      <w:r w:rsidR="00913665">
        <w:rPr>
          <w:noProof/>
        </w:rPr>
        <w:t> </w:t>
      </w:r>
      <w:r w:rsidR="00913665" w:rsidRPr="00913665">
        <w:rPr>
          <w:noProof/>
        </w:rPr>
        <w:t>ści</w:t>
      </w:r>
      <w:r w:rsidRPr="00913665">
        <w:rPr>
          <w:noProof/>
        </w:rPr>
        <w:t>słej współpracy</w:t>
      </w:r>
      <w:r w:rsidR="00913665" w:rsidRPr="00913665">
        <w:rPr>
          <w:noProof/>
        </w:rPr>
        <w:t xml:space="preserve"> z</w:t>
      </w:r>
      <w:r w:rsidR="00913665">
        <w:rPr>
          <w:noProof/>
        </w:rPr>
        <w:t> </w:t>
      </w:r>
      <w:r w:rsidR="00913665" w:rsidRPr="00913665">
        <w:rPr>
          <w:noProof/>
        </w:rPr>
        <w:t>pań</w:t>
      </w:r>
      <w:r w:rsidRPr="00913665">
        <w:rPr>
          <w:noProof/>
        </w:rPr>
        <w:t>stwami członkowskimi, przemysłem</w:t>
      </w:r>
      <w:r w:rsidR="00913665" w:rsidRPr="00913665">
        <w:rPr>
          <w:noProof/>
        </w:rPr>
        <w:t xml:space="preserve"> i</w:t>
      </w:r>
      <w:r w:rsidR="00913665">
        <w:rPr>
          <w:noProof/>
        </w:rPr>
        <w:t> </w:t>
      </w:r>
      <w:r w:rsidR="00913665" w:rsidRPr="00913665">
        <w:rPr>
          <w:noProof/>
        </w:rPr>
        <w:t>spo</w:t>
      </w:r>
      <w:r w:rsidRPr="00913665">
        <w:rPr>
          <w:noProof/>
        </w:rPr>
        <w:t>łeczeństwem obywatelskim</w:t>
      </w:r>
      <w:r w:rsidR="00913665" w:rsidRPr="00913665">
        <w:rPr>
          <w:noProof/>
        </w:rPr>
        <w:t>. W</w:t>
      </w:r>
      <w:r w:rsidR="00913665">
        <w:rPr>
          <w:noProof/>
        </w:rPr>
        <w:t> </w:t>
      </w:r>
      <w:r w:rsidR="00913665" w:rsidRPr="00913665">
        <w:rPr>
          <w:noProof/>
        </w:rPr>
        <w:t>syt</w:t>
      </w:r>
      <w:r w:rsidRPr="00913665">
        <w:rPr>
          <w:noProof/>
        </w:rPr>
        <w:t>uacji kryzysu zdrowotnego wspólne zamówienia mogą okazać się kluczowym narzędziem zwiększającym siłę nabywczą państw członkowskich</w:t>
      </w:r>
      <w:r w:rsidR="00913665" w:rsidRPr="00913665">
        <w:rPr>
          <w:noProof/>
        </w:rPr>
        <w:t xml:space="preserve"> i</w:t>
      </w:r>
      <w:r w:rsidR="00913665">
        <w:rPr>
          <w:noProof/>
        </w:rPr>
        <w:t> </w:t>
      </w:r>
      <w:r w:rsidR="00913665" w:rsidRPr="00913665">
        <w:rPr>
          <w:noProof/>
        </w:rPr>
        <w:t>zap</w:t>
      </w:r>
      <w:r w:rsidRPr="00913665">
        <w:rPr>
          <w:noProof/>
        </w:rPr>
        <w:t>ewniającym wszystkim obywatelom, niezależnie od kraju ich zamieszkania, dostęp do tych samych produktów. Urząd zakupił szczepionki dwa tygodnie po tym, jak w UE odnotowano pierwsze przypadki zakażenia wirusem ospy małpiej</w:t>
      </w:r>
      <w:r w:rsidR="00913665" w:rsidRPr="00913665">
        <w:rPr>
          <w:noProof/>
        </w:rPr>
        <w:t xml:space="preserve"> w</w:t>
      </w:r>
      <w:r w:rsidR="00913665">
        <w:rPr>
          <w:noProof/>
        </w:rPr>
        <w:t> </w:t>
      </w:r>
      <w:r w:rsidR="00913665" w:rsidRPr="00913665">
        <w:rPr>
          <w:noProof/>
        </w:rPr>
        <w:t>2</w:t>
      </w:r>
      <w:r w:rsidRPr="00913665">
        <w:rPr>
          <w:noProof/>
        </w:rPr>
        <w:t>022</w:t>
      </w:r>
      <w:r w:rsidR="00913665" w:rsidRPr="00913665">
        <w:rPr>
          <w:noProof/>
        </w:rPr>
        <w:t> </w:t>
      </w:r>
      <w:r w:rsidRPr="00913665">
        <w:rPr>
          <w:noProof/>
        </w:rPr>
        <w:t>r.</w:t>
      </w:r>
      <w:r w:rsidR="00E73303" w:rsidRPr="00913665">
        <w:rPr>
          <w:rStyle w:val="FootnoteReference"/>
          <w:noProof/>
        </w:rPr>
        <w:footnoteReference w:id="9"/>
      </w:r>
      <w:r w:rsidRPr="00913665">
        <w:rPr>
          <w:noProof/>
        </w:rPr>
        <w:t xml:space="preserve"> HERA zapewnia także dostęp do szczepionek pandemicznych</w:t>
      </w:r>
      <w:r w:rsidR="00913665" w:rsidRPr="00913665">
        <w:rPr>
          <w:noProof/>
        </w:rPr>
        <w:t xml:space="preserve"> i</w:t>
      </w:r>
      <w:r w:rsidR="00913665">
        <w:rPr>
          <w:noProof/>
        </w:rPr>
        <w:t> </w:t>
      </w:r>
      <w:r w:rsidR="00913665" w:rsidRPr="00913665">
        <w:rPr>
          <w:noProof/>
        </w:rPr>
        <w:t>prz</w:t>
      </w:r>
      <w:r w:rsidRPr="00913665">
        <w:rPr>
          <w:noProof/>
        </w:rPr>
        <w:t>edpandemicznych, aby chronić Europejczyków przed ptasią grypą.</w:t>
      </w:r>
    </w:p>
    <w:p w14:paraId="3786C21E" w14:textId="5AA4A91E" w:rsidR="00842CD1" w:rsidRPr="00913665" w:rsidRDefault="00C8464D" w:rsidP="00597730">
      <w:pPr>
        <w:pStyle w:val="BodyText"/>
        <w:kinsoku w:val="0"/>
        <w:overflowPunct w:val="0"/>
        <w:spacing w:before="240" w:line="276" w:lineRule="auto"/>
        <w:jc w:val="both"/>
        <w:rPr>
          <w:noProof/>
        </w:rPr>
      </w:pPr>
      <w:r w:rsidRPr="00913665">
        <w:rPr>
          <w:noProof/>
        </w:rPr>
        <w:t>HERA kieruje działaniami przemysłowymi, badawczymi</w:t>
      </w:r>
      <w:r w:rsidR="00913665" w:rsidRPr="00913665">
        <w:rPr>
          <w:noProof/>
        </w:rPr>
        <w:t xml:space="preserve"> i</w:t>
      </w:r>
      <w:r w:rsidR="00913665">
        <w:rPr>
          <w:noProof/>
        </w:rPr>
        <w:t> </w:t>
      </w:r>
      <w:r w:rsidR="00913665" w:rsidRPr="00913665">
        <w:rPr>
          <w:noProof/>
        </w:rPr>
        <w:t>inn</w:t>
      </w:r>
      <w:r w:rsidRPr="00913665">
        <w:rPr>
          <w:noProof/>
        </w:rPr>
        <w:t>owacyjnymi</w:t>
      </w:r>
      <w:r w:rsidR="00913665" w:rsidRPr="00913665">
        <w:rPr>
          <w:noProof/>
        </w:rPr>
        <w:t xml:space="preserve"> w</w:t>
      </w:r>
      <w:r w:rsidR="00913665">
        <w:rPr>
          <w:noProof/>
        </w:rPr>
        <w:t> </w:t>
      </w:r>
      <w:r w:rsidR="00913665" w:rsidRPr="00913665">
        <w:rPr>
          <w:noProof/>
        </w:rPr>
        <w:t>cel</w:t>
      </w:r>
      <w:r w:rsidRPr="00913665">
        <w:rPr>
          <w:noProof/>
        </w:rPr>
        <w:t>u stworzenia nowej generacji narzędzi służących zwalczaniu poważnych transgranicznych zagrożeń zdrowia. Może pracować</w:t>
      </w:r>
      <w:r w:rsidR="00913665" w:rsidRPr="00913665">
        <w:rPr>
          <w:noProof/>
        </w:rPr>
        <w:t xml:space="preserve"> w</w:t>
      </w:r>
      <w:r w:rsidR="00913665">
        <w:rPr>
          <w:noProof/>
        </w:rPr>
        <w:t> </w:t>
      </w:r>
      <w:r w:rsidR="00913665" w:rsidRPr="00913665">
        <w:rPr>
          <w:noProof/>
        </w:rPr>
        <w:t>jed</w:t>
      </w:r>
      <w:r w:rsidRPr="00913665">
        <w:rPr>
          <w:noProof/>
        </w:rPr>
        <w:t>nym</w:t>
      </w:r>
      <w:r w:rsidR="00913665" w:rsidRPr="00913665">
        <w:rPr>
          <w:noProof/>
        </w:rPr>
        <w:t xml:space="preserve"> z</w:t>
      </w:r>
      <w:r w:rsidR="00913665">
        <w:rPr>
          <w:noProof/>
        </w:rPr>
        <w:t> </w:t>
      </w:r>
      <w:r w:rsidR="00913665" w:rsidRPr="00913665">
        <w:rPr>
          <w:noProof/>
        </w:rPr>
        <w:t>dwó</w:t>
      </w:r>
      <w:r w:rsidRPr="00913665">
        <w:rPr>
          <w:noProof/>
        </w:rPr>
        <w:t>ch trybów, co zapewnia maksymalną elastyczność działania Urzędu:</w:t>
      </w:r>
      <w:r w:rsidR="00913665" w:rsidRPr="00913665">
        <w:rPr>
          <w:noProof/>
        </w:rPr>
        <w:t xml:space="preserve"> w</w:t>
      </w:r>
      <w:r w:rsidR="00913665">
        <w:rPr>
          <w:noProof/>
        </w:rPr>
        <w:t> </w:t>
      </w:r>
      <w:r w:rsidR="00913665" w:rsidRPr="00913665">
        <w:rPr>
          <w:noProof/>
        </w:rPr>
        <w:t>jed</w:t>
      </w:r>
      <w:r w:rsidRPr="00913665">
        <w:rPr>
          <w:noProof/>
        </w:rPr>
        <w:t>nym trybie działania skupia się na zapewnieniu gotowości,</w:t>
      </w:r>
      <w:r w:rsidR="00913665" w:rsidRPr="00913665">
        <w:rPr>
          <w:noProof/>
        </w:rPr>
        <w:t xml:space="preserve"> a</w:t>
      </w:r>
      <w:r w:rsidR="00913665">
        <w:rPr>
          <w:noProof/>
        </w:rPr>
        <w:t> </w:t>
      </w:r>
      <w:r w:rsidR="00913665" w:rsidRPr="00913665">
        <w:rPr>
          <w:noProof/>
        </w:rPr>
        <w:t>w</w:t>
      </w:r>
      <w:r w:rsidR="00913665">
        <w:rPr>
          <w:noProof/>
        </w:rPr>
        <w:t> </w:t>
      </w:r>
      <w:r w:rsidR="00913665" w:rsidRPr="00913665">
        <w:rPr>
          <w:noProof/>
        </w:rPr>
        <w:t>dru</w:t>
      </w:r>
      <w:r w:rsidRPr="00913665">
        <w:rPr>
          <w:noProof/>
        </w:rPr>
        <w:t>gi tryb działania przechodzi tylko</w:t>
      </w:r>
      <w:r w:rsidR="00913665" w:rsidRPr="00913665">
        <w:rPr>
          <w:noProof/>
        </w:rPr>
        <w:t xml:space="preserve"> w</w:t>
      </w:r>
      <w:r w:rsidR="00913665">
        <w:rPr>
          <w:noProof/>
        </w:rPr>
        <w:t> </w:t>
      </w:r>
      <w:r w:rsidR="00913665" w:rsidRPr="00913665">
        <w:rPr>
          <w:noProof/>
        </w:rPr>
        <w:t>syt</w:t>
      </w:r>
      <w:r w:rsidRPr="00913665">
        <w:rPr>
          <w:noProof/>
        </w:rPr>
        <w:t>uacjach kryzysowych. Po ogłoszeniu stanu zagrożenia zdrowia publicznego Rada może uruchomić unijne ramy środków służących zapewnieniu zaopatrzenia</w:t>
      </w:r>
      <w:r w:rsidR="00913665" w:rsidRPr="00913665">
        <w:rPr>
          <w:noProof/>
        </w:rPr>
        <w:t xml:space="preserve"> w</w:t>
      </w:r>
      <w:r w:rsidR="00913665">
        <w:rPr>
          <w:noProof/>
        </w:rPr>
        <w:t> </w:t>
      </w:r>
      <w:r w:rsidR="00913665" w:rsidRPr="00913665">
        <w:rPr>
          <w:noProof/>
        </w:rPr>
        <w:t>med</w:t>
      </w:r>
      <w:r w:rsidRPr="00913665">
        <w:rPr>
          <w:noProof/>
        </w:rPr>
        <w:t>yczne środki przeciwdziałania na wypadek stanów zagrożenia</w:t>
      </w:r>
      <w:r w:rsidR="00E73303" w:rsidRPr="00913665">
        <w:rPr>
          <w:rStyle w:val="FootnoteReference"/>
          <w:noProof/>
        </w:rPr>
        <w:footnoteReference w:id="10"/>
      </w:r>
      <w:r w:rsidR="00913665" w:rsidRPr="00913665">
        <w:rPr>
          <w:noProof/>
        </w:rPr>
        <w:t>. W</w:t>
      </w:r>
      <w:r w:rsidR="00913665">
        <w:rPr>
          <w:noProof/>
        </w:rPr>
        <w:t> </w:t>
      </w:r>
      <w:r w:rsidR="00913665" w:rsidRPr="00913665">
        <w:rPr>
          <w:noProof/>
        </w:rPr>
        <w:t>uzu</w:t>
      </w:r>
      <w:r w:rsidRPr="00913665">
        <w:rPr>
          <w:noProof/>
        </w:rPr>
        <w:t>pełnieniu bieżących prac Rady HERA, Rada ds. Kryzysów Zdrowotnych zapewnia skoordynowane działania państw członkowskich</w:t>
      </w:r>
      <w:r w:rsidR="00913665" w:rsidRPr="00913665">
        <w:rPr>
          <w:noProof/>
        </w:rPr>
        <w:t xml:space="preserve"> w</w:t>
      </w:r>
      <w:r w:rsidR="00913665">
        <w:rPr>
          <w:noProof/>
        </w:rPr>
        <w:t> </w:t>
      </w:r>
      <w:r w:rsidR="00913665" w:rsidRPr="00913665">
        <w:rPr>
          <w:noProof/>
        </w:rPr>
        <w:t>kwe</w:t>
      </w:r>
      <w:r w:rsidRPr="00913665">
        <w:rPr>
          <w:noProof/>
        </w:rPr>
        <w:t>stiach związanych</w:t>
      </w:r>
      <w:r w:rsidR="00913665" w:rsidRPr="00913665">
        <w:rPr>
          <w:noProof/>
        </w:rPr>
        <w:t xml:space="preserve"> z</w:t>
      </w:r>
      <w:r w:rsidR="00913665">
        <w:rPr>
          <w:noProof/>
        </w:rPr>
        <w:t> </w:t>
      </w:r>
      <w:r w:rsidR="00913665" w:rsidRPr="00913665">
        <w:rPr>
          <w:noProof/>
        </w:rPr>
        <w:t>opr</w:t>
      </w:r>
      <w:r w:rsidRPr="00913665">
        <w:rPr>
          <w:noProof/>
        </w:rPr>
        <w:t>acowywaniem, produkcją, zamówieniami</w:t>
      </w:r>
      <w:r w:rsidR="00913665" w:rsidRPr="00913665">
        <w:rPr>
          <w:noProof/>
        </w:rPr>
        <w:t xml:space="preserve"> i</w:t>
      </w:r>
      <w:r w:rsidR="00913665">
        <w:rPr>
          <w:noProof/>
        </w:rPr>
        <w:t> </w:t>
      </w:r>
      <w:r w:rsidR="00913665" w:rsidRPr="00913665">
        <w:rPr>
          <w:noProof/>
        </w:rPr>
        <w:t>dys</w:t>
      </w:r>
      <w:r w:rsidRPr="00913665">
        <w:rPr>
          <w:noProof/>
        </w:rPr>
        <w:t>trybucją medycznych środków przeciwdziałania</w:t>
      </w:r>
      <w:r w:rsidR="00913665" w:rsidRPr="00913665">
        <w:rPr>
          <w:noProof/>
        </w:rPr>
        <w:t xml:space="preserve"> w</w:t>
      </w:r>
      <w:r w:rsidR="00913665">
        <w:rPr>
          <w:noProof/>
        </w:rPr>
        <w:t> </w:t>
      </w:r>
      <w:r w:rsidR="00913665" w:rsidRPr="00913665">
        <w:rPr>
          <w:noProof/>
        </w:rPr>
        <w:t>syt</w:t>
      </w:r>
      <w:r w:rsidRPr="00913665">
        <w:rPr>
          <w:noProof/>
        </w:rPr>
        <w:t>uacjach kryzysu</w:t>
      </w:r>
      <w:r w:rsidR="00913665" w:rsidRPr="00913665">
        <w:rPr>
          <w:noProof/>
        </w:rPr>
        <w:t xml:space="preserve"> i</w:t>
      </w:r>
      <w:r w:rsidR="00913665">
        <w:rPr>
          <w:noProof/>
        </w:rPr>
        <w:t> </w:t>
      </w:r>
      <w:r w:rsidR="00913665" w:rsidRPr="00913665">
        <w:rPr>
          <w:noProof/>
        </w:rPr>
        <w:t>got</w:t>
      </w:r>
      <w:r w:rsidRPr="00913665">
        <w:rPr>
          <w:noProof/>
        </w:rPr>
        <w:t>owości</w:t>
      </w:r>
      <w:r w:rsidR="00913665" w:rsidRPr="00913665">
        <w:rPr>
          <w:noProof/>
        </w:rPr>
        <w:t>. W</w:t>
      </w:r>
      <w:r w:rsidR="00913665">
        <w:rPr>
          <w:noProof/>
        </w:rPr>
        <w:t> </w:t>
      </w:r>
      <w:r w:rsidR="00913665" w:rsidRPr="00913665">
        <w:rPr>
          <w:noProof/>
        </w:rPr>
        <w:t>sta</w:t>
      </w:r>
      <w:r w:rsidRPr="00913665">
        <w:rPr>
          <w:noProof/>
        </w:rPr>
        <w:t>nach zagrożenia zdrowia publicznego Rada ds. Kryzysów Zdrowotnych</w:t>
      </w:r>
      <w:r w:rsidR="00913665" w:rsidRPr="00913665">
        <w:rPr>
          <w:noProof/>
        </w:rPr>
        <w:t xml:space="preserve"> i</w:t>
      </w:r>
      <w:r w:rsidR="00913665">
        <w:rPr>
          <w:noProof/>
        </w:rPr>
        <w:t> </w:t>
      </w:r>
      <w:r w:rsidR="00913665" w:rsidRPr="00913665">
        <w:rPr>
          <w:noProof/>
        </w:rPr>
        <w:t>Kom</w:t>
      </w:r>
      <w:r w:rsidRPr="00913665">
        <w:rPr>
          <w:noProof/>
        </w:rPr>
        <w:t>itet ds. Bezpieczeństwa Zdrowia ściśle koordynują swoje działania.</w:t>
      </w:r>
    </w:p>
    <w:p w14:paraId="6D116348" w14:textId="2702D15A" w:rsidR="00C8464D" w:rsidRPr="00913665" w:rsidRDefault="00405124" w:rsidP="00597730">
      <w:pPr>
        <w:pStyle w:val="BodyText"/>
        <w:kinsoku w:val="0"/>
        <w:overflowPunct w:val="0"/>
        <w:spacing w:before="240" w:line="276" w:lineRule="auto"/>
        <w:jc w:val="both"/>
        <w:rPr>
          <w:rFonts w:ascii="Arial" w:hAnsi="Arial" w:cs="Arial"/>
          <w:b/>
          <w:bCs/>
          <w:noProof/>
        </w:rPr>
      </w:pPr>
      <w:r>
        <w:rPr>
          <w:noProof/>
        </w:rPr>
        <w:pict w14:anchorId="54C7075D">
          <v:shape id="Picture 1" o:spid="_x0000_i1027" type="#_x0000_t75" style="width:451.5pt;height:210.75pt;visibility:visible;mso-wrap-style:square">
            <v:imagedata r:id="rId16" o:title=""/>
          </v:shape>
        </w:pict>
      </w:r>
    </w:p>
    <w:p w14:paraId="4F1ABEBC" w14:textId="69F945B0" w:rsidR="00C8464D" w:rsidRPr="00913665" w:rsidRDefault="00C8464D" w:rsidP="00597730">
      <w:pPr>
        <w:pStyle w:val="BodyText"/>
        <w:kinsoku w:val="0"/>
        <w:overflowPunct w:val="0"/>
        <w:spacing w:before="240" w:line="276" w:lineRule="auto"/>
        <w:jc w:val="both"/>
        <w:rPr>
          <w:noProof/>
        </w:rPr>
      </w:pPr>
      <w:r w:rsidRPr="00913665">
        <w:rPr>
          <w:noProof/>
        </w:rPr>
        <w:t>Aby zwiększyć stan gotowości</w:t>
      </w:r>
      <w:r w:rsidR="00913665" w:rsidRPr="00913665">
        <w:rPr>
          <w:noProof/>
        </w:rPr>
        <w:t xml:space="preserve"> w</w:t>
      </w:r>
      <w:r w:rsidR="00913665">
        <w:rPr>
          <w:noProof/>
        </w:rPr>
        <w:t> </w:t>
      </w:r>
      <w:r w:rsidR="00913665" w:rsidRPr="00913665">
        <w:rPr>
          <w:noProof/>
        </w:rPr>
        <w:t>dzi</w:t>
      </w:r>
      <w:r w:rsidRPr="00913665">
        <w:rPr>
          <w:noProof/>
        </w:rPr>
        <w:t>edzinie zdrowia, HERA uruchomiła globalny system nadzorowania ścieków</w:t>
      </w:r>
      <w:r w:rsidR="007E4AA2" w:rsidRPr="00913665">
        <w:rPr>
          <w:rStyle w:val="FootnoteReference"/>
          <w:noProof/>
        </w:rPr>
        <w:footnoteReference w:id="11"/>
      </w:r>
      <w:r w:rsidRPr="00913665">
        <w:rPr>
          <w:noProof/>
        </w:rPr>
        <w:t>, który może stać się międzynarodowym systemem obserwacyjnym służącym do wczesnego wykrywania</w:t>
      </w:r>
      <w:r w:rsidR="00913665" w:rsidRPr="00913665">
        <w:rPr>
          <w:noProof/>
        </w:rPr>
        <w:t xml:space="preserve"> i</w:t>
      </w:r>
      <w:r w:rsidR="00913665">
        <w:rPr>
          <w:noProof/>
        </w:rPr>
        <w:t> </w:t>
      </w:r>
      <w:r w:rsidR="00913665" w:rsidRPr="00913665">
        <w:rPr>
          <w:noProof/>
        </w:rPr>
        <w:t>mon</w:t>
      </w:r>
      <w:r w:rsidRPr="00913665">
        <w:rPr>
          <w:noProof/>
        </w:rPr>
        <w:t>itorowania</w:t>
      </w:r>
      <w:r w:rsidR="00913665" w:rsidRPr="00913665">
        <w:rPr>
          <w:noProof/>
        </w:rPr>
        <w:t xml:space="preserve"> w</w:t>
      </w:r>
      <w:r w:rsidR="00913665">
        <w:rPr>
          <w:noProof/>
        </w:rPr>
        <w:t> </w:t>
      </w:r>
      <w:r w:rsidR="00913665" w:rsidRPr="00913665">
        <w:rPr>
          <w:noProof/>
        </w:rPr>
        <w:t>cza</w:t>
      </w:r>
      <w:r w:rsidRPr="00913665">
        <w:rPr>
          <w:noProof/>
        </w:rPr>
        <w:t>sie rzeczywistym zagrożeń</w:t>
      </w:r>
      <w:r w:rsidR="00913665" w:rsidRPr="00913665">
        <w:rPr>
          <w:noProof/>
        </w:rPr>
        <w:t xml:space="preserve"> i</w:t>
      </w:r>
      <w:r w:rsidR="00913665">
        <w:rPr>
          <w:noProof/>
        </w:rPr>
        <w:t> </w:t>
      </w:r>
      <w:r w:rsidR="00913665" w:rsidRPr="00913665">
        <w:rPr>
          <w:noProof/>
        </w:rPr>
        <w:t>ogn</w:t>
      </w:r>
      <w:r w:rsidRPr="00913665">
        <w:rPr>
          <w:noProof/>
        </w:rPr>
        <w:t>isk epidemicznych. HERA rozpoznaje zagrożenia</w:t>
      </w:r>
      <w:r w:rsidR="00913665" w:rsidRPr="00913665">
        <w:rPr>
          <w:noProof/>
        </w:rPr>
        <w:t xml:space="preserve"> i</w:t>
      </w:r>
      <w:r w:rsidR="00913665">
        <w:rPr>
          <w:noProof/>
        </w:rPr>
        <w:t> </w:t>
      </w:r>
      <w:r w:rsidR="00913665" w:rsidRPr="00913665">
        <w:rPr>
          <w:noProof/>
        </w:rPr>
        <w:t>oce</w:t>
      </w:r>
      <w:r w:rsidRPr="00913665">
        <w:rPr>
          <w:noProof/>
        </w:rPr>
        <w:t>nia, jak najlepiej radzić sobie</w:t>
      </w:r>
      <w:r w:rsidR="00913665" w:rsidRPr="00913665">
        <w:rPr>
          <w:noProof/>
        </w:rPr>
        <w:t xml:space="preserve"> z</w:t>
      </w:r>
      <w:r w:rsidR="00913665">
        <w:rPr>
          <w:noProof/>
        </w:rPr>
        <w:t> </w:t>
      </w:r>
      <w:r w:rsidR="00913665" w:rsidRPr="00913665">
        <w:rPr>
          <w:noProof/>
        </w:rPr>
        <w:t>nim</w:t>
      </w:r>
      <w:r w:rsidRPr="00913665">
        <w:rPr>
          <w:noProof/>
        </w:rPr>
        <w:t>i za pomocą medycznych środków przeciwdziałania, ustanawiając</w:t>
      </w:r>
      <w:r w:rsidR="00913665" w:rsidRPr="00913665">
        <w:rPr>
          <w:noProof/>
        </w:rPr>
        <w:t xml:space="preserve"> w</w:t>
      </w:r>
      <w:r w:rsidR="00913665">
        <w:rPr>
          <w:noProof/>
        </w:rPr>
        <w:t> </w:t>
      </w:r>
      <w:r w:rsidR="00913665" w:rsidRPr="00913665">
        <w:rPr>
          <w:noProof/>
        </w:rPr>
        <w:t>ten</w:t>
      </w:r>
      <w:r w:rsidRPr="00913665">
        <w:rPr>
          <w:noProof/>
        </w:rPr>
        <w:t xml:space="preserve"> sposób szeroki wachlarz inicjatyw, dzięki którym UE może szybko zareagować na zagrożenie chorobą X</w:t>
      </w:r>
      <w:r w:rsidR="007E4AA2" w:rsidRPr="00913665">
        <w:rPr>
          <w:rStyle w:val="FootnoteReference"/>
          <w:noProof/>
        </w:rPr>
        <w:footnoteReference w:id="12"/>
      </w:r>
      <w:r w:rsidRPr="00913665">
        <w:rPr>
          <w:noProof/>
        </w:rPr>
        <w:t>. Komisja</w:t>
      </w:r>
      <w:r w:rsidR="00913665" w:rsidRPr="00913665">
        <w:rPr>
          <w:noProof/>
        </w:rPr>
        <w:t xml:space="preserve"> i</w:t>
      </w:r>
      <w:r w:rsidR="00913665">
        <w:rPr>
          <w:noProof/>
        </w:rPr>
        <w:t> </w:t>
      </w:r>
      <w:r w:rsidR="00913665" w:rsidRPr="00913665">
        <w:rPr>
          <w:noProof/>
        </w:rPr>
        <w:t>Eur</w:t>
      </w:r>
      <w:r w:rsidRPr="00913665">
        <w:rPr>
          <w:noProof/>
        </w:rPr>
        <w:t>opejski Bank Inwestycyjny utworzyły również dysponujący kwotą 100 mln EUR fundusz HERA Invest jako uzupełnienie programu InvestEU, aby wspierać badania</w:t>
      </w:r>
      <w:r w:rsidR="00913665" w:rsidRPr="00913665">
        <w:rPr>
          <w:noProof/>
        </w:rPr>
        <w:t xml:space="preserve"> i</w:t>
      </w:r>
      <w:r w:rsidR="00913665">
        <w:rPr>
          <w:noProof/>
        </w:rPr>
        <w:t> </w:t>
      </w:r>
      <w:r w:rsidR="00913665" w:rsidRPr="00913665">
        <w:rPr>
          <w:noProof/>
        </w:rPr>
        <w:t>roz</w:t>
      </w:r>
      <w:r w:rsidRPr="00913665">
        <w:rPr>
          <w:noProof/>
        </w:rPr>
        <w:t>wój</w:t>
      </w:r>
      <w:r w:rsidR="00913665" w:rsidRPr="00913665">
        <w:rPr>
          <w:noProof/>
        </w:rPr>
        <w:t xml:space="preserve"> w</w:t>
      </w:r>
      <w:r w:rsidR="00913665">
        <w:rPr>
          <w:noProof/>
        </w:rPr>
        <w:t> </w:t>
      </w:r>
      <w:r w:rsidR="00913665" w:rsidRPr="00913665">
        <w:rPr>
          <w:noProof/>
        </w:rPr>
        <w:t>odp</w:t>
      </w:r>
      <w:r w:rsidRPr="00913665">
        <w:rPr>
          <w:noProof/>
        </w:rPr>
        <w:t>owiedzi na najpilniejsze transgraniczne zagrożenia zdrowia</w:t>
      </w:r>
      <w:r w:rsidR="00913665" w:rsidRPr="00913665">
        <w:rPr>
          <w:noProof/>
        </w:rPr>
        <w:t xml:space="preserve"> z</w:t>
      </w:r>
      <w:r w:rsidR="00913665">
        <w:rPr>
          <w:noProof/>
        </w:rPr>
        <w:t> </w:t>
      </w:r>
      <w:r w:rsidR="00913665" w:rsidRPr="00913665">
        <w:rPr>
          <w:noProof/>
        </w:rPr>
        <w:t>wyk</w:t>
      </w:r>
      <w:r w:rsidRPr="00913665">
        <w:rPr>
          <w:noProof/>
        </w:rPr>
        <w:t>orzystaniem zasobów</w:t>
      </w:r>
      <w:r w:rsidR="00913665" w:rsidRPr="00913665">
        <w:rPr>
          <w:noProof/>
        </w:rPr>
        <w:t xml:space="preserve"> z</w:t>
      </w:r>
      <w:r w:rsidR="00913665">
        <w:rPr>
          <w:noProof/>
        </w:rPr>
        <w:t> </w:t>
      </w:r>
      <w:r w:rsidR="00913665" w:rsidRPr="00913665">
        <w:rPr>
          <w:noProof/>
        </w:rPr>
        <w:t>Pro</w:t>
      </w:r>
      <w:r w:rsidRPr="00913665">
        <w:rPr>
          <w:noProof/>
        </w:rPr>
        <w:t>gramu UE dla zdrowia.</w:t>
      </w:r>
    </w:p>
    <w:p w14:paraId="50141C9F" w14:textId="71AC6258" w:rsidR="00C8464D" w:rsidRPr="00913665" w:rsidRDefault="00C8464D" w:rsidP="00597730">
      <w:pPr>
        <w:pStyle w:val="BodyText"/>
        <w:kinsoku w:val="0"/>
        <w:overflowPunct w:val="0"/>
        <w:spacing w:before="240" w:line="276" w:lineRule="auto"/>
        <w:jc w:val="both"/>
        <w:rPr>
          <w:noProof/>
        </w:rPr>
      </w:pPr>
      <w:r w:rsidRPr="00913665">
        <w:rPr>
          <w:noProof/>
        </w:rPr>
        <w:t>Poprzez te działania HERA zapewnia UE zdolność do szybkiego opracowania</w:t>
      </w:r>
      <w:r w:rsidR="00913665" w:rsidRPr="00913665">
        <w:rPr>
          <w:noProof/>
        </w:rPr>
        <w:t xml:space="preserve"> i</w:t>
      </w:r>
      <w:r w:rsidR="00913665">
        <w:rPr>
          <w:noProof/>
        </w:rPr>
        <w:t> </w:t>
      </w:r>
      <w:r w:rsidR="00913665" w:rsidRPr="00913665">
        <w:rPr>
          <w:noProof/>
        </w:rPr>
        <w:t>wpr</w:t>
      </w:r>
      <w:r w:rsidRPr="00913665">
        <w:rPr>
          <w:noProof/>
        </w:rPr>
        <w:t>owadzenia na odpowiednią skalę środków przeciwdziałania</w:t>
      </w:r>
      <w:r w:rsidR="00913665" w:rsidRPr="00913665">
        <w:rPr>
          <w:noProof/>
        </w:rPr>
        <w:t xml:space="preserve"> w</w:t>
      </w:r>
      <w:r w:rsidR="00913665">
        <w:rPr>
          <w:noProof/>
        </w:rPr>
        <w:t> </w:t>
      </w:r>
      <w:r w:rsidR="00913665" w:rsidRPr="00913665">
        <w:rPr>
          <w:noProof/>
        </w:rPr>
        <w:t>syt</w:t>
      </w:r>
      <w:r w:rsidRPr="00913665">
        <w:rPr>
          <w:noProof/>
        </w:rPr>
        <w:t>uacji kryzysu. Istnieje możliwość finansowania badań naukowych</w:t>
      </w:r>
      <w:r w:rsidR="00913665" w:rsidRPr="00913665">
        <w:rPr>
          <w:noProof/>
        </w:rPr>
        <w:t xml:space="preserve"> w</w:t>
      </w:r>
      <w:r w:rsidR="00913665">
        <w:rPr>
          <w:noProof/>
        </w:rPr>
        <w:t> </w:t>
      </w:r>
      <w:r w:rsidR="00913665" w:rsidRPr="00913665">
        <w:rPr>
          <w:noProof/>
        </w:rPr>
        <w:t>syt</w:t>
      </w:r>
      <w:r w:rsidRPr="00913665">
        <w:rPr>
          <w:noProof/>
        </w:rPr>
        <w:t>uacjach nadzwyczajnych,</w:t>
      </w:r>
      <w:r w:rsidR="00913665" w:rsidRPr="00913665">
        <w:rPr>
          <w:noProof/>
        </w:rPr>
        <w:t xml:space="preserve"> a</w:t>
      </w:r>
      <w:r w:rsidR="00913665">
        <w:rPr>
          <w:noProof/>
        </w:rPr>
        <w:t> </w:t>
      </w:r>
      <w:r w:rsidR="00913665" w:rsidRPr="00913665">
        <w:rPr>
          <w:noProof/>
        </w:rPr>
        <w:t>tak</w:t>
      </w:r>
      <w:r w:rsidRPr="00913665">
        <w:rPr>
          <w:noProof/>
        </w:rPr>
        <w:t>że uruchomienia unijnych sieci badań klinicznych, aby</w:t>
      </w:r>
      <w:r w:rsidR="00913665" w:rsidRPr="00913665">
        <w:rPr>
          <w:noProof/>
        </w:rPr>
        <w:t xml:space="preserve"> w</w:t>
      </w:r>
      <w:r w:rsidR="00913665">
        <w:rPr>
          <w:noProof/>
        </w:rPr>
        <w:t> </w:t>
      </w:r>
      <w:r w:rsidR="00913665" w:rsidRPr="00913665">
        <w:rPr>
          <w:noProof/>
        </w:rPr>
        <w:t>odp</w:t>
      </w:r>
      <w:r w:rsidRPr="00913665">
        <w:rPr>
          <w:noProof/>
        </w:rPr>
        <w:t>owiednim czasie pozyskać wiarygodne dane</w:t>
      </w:r>
      <w:r w:rsidR="00913665" w:rsidRPr="00913665">
        <w:rPr>
          <w:noProof/>
        </w:rPr>
        <w:t>. W</w:t>
      </w:r>
      <w:r w:rsidR="00913665">
        <w:rPr>
          <w:noProof/>
        </w:rPr>
        <w:t> </w:t>
      </w:r>
      <w:r w:rsidR="00913665" w:rsidRPr="00913665">
        <w:rPr>
          <w:noProof/>
        </w:rPr>
        <w:t>dob</w:t>
      </w:r>
      <w:r w:rsidRPr="00913665">
        <w:rPr>
          <w:noProof/>
        </w:rPr>
        <w:t>ie kryzysu EU FAB, sieć „zawsze gotowych” unijnych zakładów produkcyjnych rozsianych</w:t>
      </w:r>
      <w:r w:rsidR="00913665" w:rsidRPr="00913665">
        <w:rPr>
          <w:noProof/>
        </w:rPr>
        <w:t xml:space="preserve"> w</w:t>
      </w:r>
      <w:r w:rsidR="00913665">
        <w:rPr>
          <w:noProof/>
        </w:rPr>
        <w:t> </w:t>
      </w:r>
      <w:r w:rsidR="00913665" w:rsidRPr="00913665">
        <w:rPr>
          <w:noProof/>
        </w:rPr>
        <w:t>cał</w:t>
      </w:r>
      <w:r w:rsidRPr="00913665">
        <w:rPr>
          <w:noProof/>
        </w:rPr>
        <w:t>ej Unii Europejskiej, może produkować 325 mln dawek szczepionek rocznie. Ponadto, dzięki inwestycjom</w:t>
      </w:r>
      <w:r w:rsidR="00913665" w:rsidRPr="00913665">
        <w:rPr>
          <w:noProof/>
        </w:rPr>
        <w:t xml:space="preserve"> o</w:t>
      </w:r>
      <w:r w:rsidR="00913665">
        <w:rPr>
          <w:noProof/>
        </w:rPr>
        <w:t> </w:t>
      </w:r>
      <w:r w:rsidR="00913665" w:rsidRPr="00913665">
        <w:rPr>
          <w:noProof/>
        </w:rPr>
        <w:t>war</w:t>
      </w:r>
      <w:r w:rsidRPr="00913665">
        <w:rPr>
          <w:noProof/>
        </w:rPr>
        <w:t>tości 1,65 miliarda EUR, Komisja utworzyła strategiczne zapasy medycznych środków przeciwdziałania</w:t>
      </w:r>
      <w:r w:rsidR="00913665" w:rsidRPr="00913665">
        <w:rPr>
          <w:noProof/>
        </w:rPr>
        <w:t xml:space="preserve"> i</w:t>
      </w:r>
      <w:r w:rsidR="00913665">
        <w:rPr>
          <w:noProof/>
        </w:rPr>
        <w:t> </w:t>
      </w:r>
      <w:r w:rsidR="00913665" w:rsidRPr="00913665">
        <w:rPr>
          <w:noProof/>
        </w:rPr>
        <w:t>pra</w:t>
      </w:r>
      <w:r w:rsidRPr="00913665">
        <w:rPr>
          <w:noProof/>
        </w:rPr>
        <w:t>cuje nad zabezpieczeniem sprzętu do reagowania na zagrożenia chemiczne, biologiczne, radiologiczne</w:t>
      </w:r>
      <w:r w:rsidR="00913665" w:rsidRPr="00913665">
        <w:rPr>
          <w:noProof/>
        </w:rPr>
        <w:t xml:space="preserve"> i</w:t>
      </w:r>
      <w:r w:rsidR="00913665">
        <w:rPr>
          <w:noProof/>
        </w:rPr>
        <w:t> </w:t>
      </w:r>
      <w:r w:rsidR="00913665" w:rsidRPr="00913665">
        <w:rPr>
          <w:noProof/>
        </w:rPr>
        <w:t>jąd</w:t>
      </w:r>
      <w:r w:rsidRPr="00913665">
        <w:rPr>
          <w:noProof/>
        </w:rPr>
        <w:t>rowe (CBRN)</w:t>
      </w:r>
      <w:r w:rsidR="00913665" w:rsidRPr="00913665">
        <w:rPr>
          <w:noProof/>
        </w:rPr>
        <w:t xml:space="preserve"> w</w:t>
      </w:r>
      <w:r w:rsidR="00913665">
        <w:rPr>
          <w:noProof/>
        </w:rPr>
        <w:t> </w:t>
      </w:r>
      <w:r w:rsidR="00913665" w:rsidRPr="00913665">
        <w:rPr>
          <w:noProof/>
        </w:rPr>
        <w:t>ram</w:t>
      </w:r>
      <w:r w:rsidRPr="00913665">
        <w:rPr>
          <w:noProof/>
        </w:rPr>
        <w:t>ach Unijnego Mechanizmu Ochrony Ludności – rescEU, aby zwiększyć stan gotowości</w:t>
      </w:r>
      <w:r w:rsidR="00913665" w:rsidRPr="00913665">
        <w:rPr>
          <w:noProof/>
        </w:rPr>
        <w:t xml:space="preserve"> i</w:t>
      </w:r>
      <w:r w:rsidR="00913665">
        <w:rPr>
          <w:noProof/>
        </w:rPr>
        <w:t> </w:t>
      </w:r>
      <w:r w:rsidR="00913665" w:rsidRPr="00913665">
        <w:rPr>
          <w:noProof/>
        </w:rPr>
        <w:t>ust</w:t>
      </w:r>
      <w:r w:rsidRPr="00913665">
        <w:rPr>
          <w:noProof/>
        </w:rPr>
        <w:t>anowić siatkę bezpieczeństwa na wypadek, gdyby zapasy państw członkowskich były niewystarczające.</w:t>
      </w:r>
    </w:p>
    <w:p w14:paraId="2E9ACFF0" w14:textId="77777777" w:rsidR="00C8464D" w:rsidRPr="00913665" w:rsidRDefault="00C8464D" w:rsidP="00597730">
      <w:pPr>
        <w:pStyle w:val="Heading2"/>
        <w:numPr>
          <w:ilvl w:val="1"/>
          <w:numId w:val="6"/>
        </w:numPr>
        <w:tabs>
          <w:tab w:val="left" w:pos="1364"/>
        </w:tabs>
        <w:kinsoku w:val="0"/>
        <w:overflowPunct w:val="0"/>
        <w:spacing w:before="240" w:line="276" w:lineRule="auto"/>
        <w:ind w:left="0" w:firstLine="0"/>
        <w:rPr>
          <w:noProof/>
          <w:color w:val="2E5395"/>
          <w:spacing w:val="-5"/>
        </w:rPr>
      </w:pPr>
      <w:r w:rsidRPr="00913665">
        <w:rPr>
          <w:noProof/>
          <w:color w:val="2E5395"/>
        </w:rPr>
        <w:t>Rozszerzone uprawnienia ECDC i EMA</w:t>
      </w:r>
    </w:p>
    <w:p w14:paraId="0427EB4E" w14:textId="2B610A00" w:rsidR="00C8464D" w:rsidRPr="00913665" w:rsidRDefault="00C8464D" w:rsidP="00597730">
      <w:pPr>
        <w:pStyle w:val="BodyText"/>
        <w:kinsoku w:val="0"/>
        <w:overflowPunct w:val="0"/>
        <w:spacing w:before="240" w:line="276" w:lineRule="auto"/>
        <w:jc w:val="both"/>
        <w:rPr>
          <w:noProof/>
        </w:rPr>
      </w:pPr>
      <w:r w:rsidRPr="00913665">
        <w:rPr>
          <w:noProof/>
        </w:rPr>
        <w:t>W odpowiedzi na doświadczenia związane</w:t>
      </w:r>
      <w:r w:rsidR="00913665" w:rsidRPr="00913665">
        <w:rPr>
          <w:noProof/>
        </w:rPr>
        <w:t xml:space="preserve"> z</w:t>
      </w:r>
      <w:r w:rsidR="00913665">
        <w:rPr>
          <w:noProof/>
        </w:rPr>
        <w:t> </w:t>
      </w:r>
      <w:r w:rsidR="00913665" w:rsidRPr="00913665">
        <w:rPr>
          <w:noProof/>
        </w:rPr>
        <w:t>pan</w:t>
      </w:r>
      <w:r w:rsidRPr="00913665">
        <w:rPr>
          <w:noProof/>
        </w:rPr>
        <w:t xml:space="preserve">demią rozszerzono uprawnienia </w:t>
      </w:r>
      <w:r w:rsidRPr="00913665">
        <w:rPr>
          <w:b/>
          <w:bCs/>
          <w:noProof/>
        </w:rPr>
        <w:t>Europejskiej Agencji Leków</w:t>
      </w:r>
      <w:r w:rsidRPr="00913665">
        <w:rPr>
          <w:noProof/>
        </w:rPr>
        <w:t xml:space="preserve"> (EMA), aby móc lepiej przygotować się na stany zagrożenia zdrowia publicznego</w:t>
      </w:r>
      <w:r w:rsidR="00913665" w:rsidRPr="00913665">
        <w:rPr>
          <w:noProof/>
        </w:rPr>
        <w:t xml:space="preserve"> i</w:t>
      </w:r>
      <w:r w:rsidR="00913665">
        <w:rPr>
          <w:noProof/>
        </w:rPr>
        <w:t> </w:t>
      </w:r>
      <w:r w:rsidR="00913665" w:rsidRPr="00913665">
        <w:rPr>
          <w:noProof/>
        </w:rPr>
        <w:t>pow</w:t>
      </w:r>
      <w:r w:rsidRPr="00913665">
        <w:rPr>
          <w:noProof/>
        </w:rPr>
        <w:t>ażne wydarzenia, zapobiegać im, koordynować je</w:t>
      </w:r>
      <w:r w:rsidR="00913665" w:rsidRPr="00913665">
        <w:rPr>
          <w:noProof/>
        </w:rPr>
        <w:t xml:space="preserve"> i</w:t>
      </w:r>
      <w:r w:rsidR="00913665">
        <w:rPr>
          <w:noProof/>
        </w:rPr>
        <w:t> </w:t>
      </w:r>
      <w:r w:rsidR="00913665" w:rsidRPr="00913665">
        <w:rPr>
          <w:noProof/>
        </w:rPr>
        <w:t>odp</w:t>
      </w:r>
      <w:r w:rsidRPr="00913665">
        <w:rPr>
          <w:noProof/>
        </w:rPr>
        <w:t>owiednio nimi zarządzać</w:t>
      </w:r>
      <w:r w:rsidR="00913665" w:rsidRPr="00913665">
        <w:rPr>
          <w:noProof/>
        </w:rPr>
        <w:t xml:space="preserve"> w</w:t>
      </w:r>
      <w:r w:rsidR="00913665">
        <w:rPr>
          <w:noProof/>
        </w:rPr>
        <w:t> </w:t>
      </w:r>
      <w:r w:rsidR="00913665" w:rsidRPr="00913665">
        <w:rPr>
          <w:noProof/>
        </w:rPr>
        <w:t>zak</w:t>
      </w:r>
      <w:r w:rsidRPr="00913665">
        <w:rPr>
          <w:noProof/>
        </w:rPr>
        <w:t>resie produktów leczniczych</w:t>
      </w:r>
      <w:r w:rsidR="00913665" w:rsidRPr="00913665">
        <w:rPr>
          <w:noProof/>
        </w:rPr>
        <w:t xml:space="preserve"> i</w:t>
      </w:r>
      <w:r w:rsidR="00913665">
        <w:rPr>
          <w:noProof/>
        </w:rPr>
        <w:t> </w:t>
      </w:r>
      <w:r w:rsidR="00913665" w:rsidRPr="00913665">
        <w:rPr>
          <w:noProof/>
        </w:rPr>
        <w:t>wyr</w:t>
      </w:r>
      <w:r w:rsidRPr="00913665">
        <w:rPr>
          <w:noProof/>
        </w:rPr>
        <w:t>obów medycznych</w:t>
      </w:r>
      <w:r w:rsidR="00913665" w:rsidRPr="00913665">
        <w:rPr>
          <w:noProof/>
        </w:rPr>
        <w:t>. W</w:t>
      </w:r>
      <w:r w:rsidR="00913665">
        <w:rPr>
          <w:noProof/>
        </w:rPr>
        <w:t> </w:t>
      </w:r>
      <w:r w:rsidR="00913665" w:rsidRPr="00913665">
        <w:rPr>
          <w:noProof/>
        </w:rPr>
        <w:t>ram</w:t>
      </w:r>
      <w:r w:rsidRPr="00913665">
        <w:rPr>
          <w:noProof/>
        </w:rPr>
        <w:t>ach rozszerzonych uprawnień EMA będzie również usprawniać skoordynowane reagowanie na szczeblu UE na stany zagrożenia zdrowia publicznego, zapewniając doradztwo naukowe</w:t>
      </w:r>
      <w:r w:rsidR="00913665" w:rsidRPr="00913665">
        <w:rPr>
          <w:noProof/>
        </w:rPr>
        <w:t xml:space="preserve"> i</w:t>
      </w:r>
      <w:r w:rsidR="00913665">
        <w:rPr>
          <w:noProof/>
        </w:rPr>
        <w:t> </w:t>
      </w:r>
      <w:r w:rsidR="00913665" w:rsidRPr="00913665">
        <w:rPr>
          <w:noProof/>
        </w:rPr>
        <w:t>dok</w:t>
      </w:r>
      <w:r w:rsidRPr="00913665">
        <w:rPr>
          <w:noProof/>
        </w:rPr>
        <w:t>onując przeglądu dostępnych dowodów naukowych na temat leków.</w:t>
      </w:r>
    </w:p>
    <w:p w14:paraId="5CC8878D" w14:textId="369A643F" w:rsidR="008E1767" w:rsidRPr="00913665" w:rsidRDefault="00C8464D" w:rsidP="00597730">
      <w:pPr>
        <w:pStyle w:val="BodyText"/>
        <w:kinsoku w:val="0"/>
        <w:overflowPunct w:val="0"/>
        <w:spacing w:before="240" w:line="276" w:lineRule="auto"/>
        <w:jc w:val="both"/>
        <w:rPr>
          <w:noProof/>
          <w:sz w:val="20"/>
          <w:szCs w:val="20"/>
        </w:rPr>
      </w:pPr>
      <w:r w:rsidRPr="00913665">
        <w:rPr>
          <w:b/>
          <w:noProof/>
        </w:rPr>
        <w:t>Europejskie Centrum ds. Zapobiegania</w:t>
      </w:r>
      <w:r w:rsidR="00913665" w:rsidRPr="00913665">
        <w:rPr>
          <w:b/>
          <w:noProof/>
        </w:rPr>
        <w:t xml:space="preserve"> i</w:t>
      </w:r>
      <w:r w:rsidR="00913665">
        <w:rPr>
          <w:b/>
          <w:noProof/>
        </w:rPr>
        <w:t> </w:t>
      </w:r>
      <w:r w:rsidR="00913665" w:rsidRPr="00913665">
        <w:rPr>
          <w:b/>
          <w:noProof/>
        </w:rPr>
        <w:t>Kon</w:t>
      </w:r>
      <w:r w:rsidRPr="00913665">
        <w:rPr>
          <w:b/>
          <w:noProof/>
        </w:rPr>
        <w:t>troli Chorób</w:t>
      </w:r>
      <w:r w:rsidRPr="00913665">
        <w:rPr>
          <w:noProof/>
        </w:rPr>
        <w:t xml:space="preserve"> (ECDC) odegrało zasadniczą rolę</w:t>
      </w:r>
      <w:r w:rsidR="00913665" w:rsidRPr="00913665">
        <w:rPr>
          <w:noProof/>
        </w:rPr>
        <w:t xml:space="preserve"> w</w:t>
      </w:r>
      <w:r w:rsidR="00913665">
        <w:rPr>
          <w:noProof/>
        </w:rPr>
        <w:t> </w:t>
      </w:r>
      <w:r w:rsidR="00913665" w:rsidRPr="00913665">
        <w:rPr>
          <w:noProof/>
        </w:rPr>
        <w:t>odp</w:t>
      </w:r>
      <w:r w:rsidRPr="00913665">
        <w:rPr>
          <w:noProof/>
        </w:rPr>
        <w:t>owiedzi UE na pandemię COVID-19. ECDC może obecnie wydawać zarówno państwom członkowskim, jak</w:t>
      </w:r>
      <w:r w:rsidR="00913665" w:rsidRPr="00913665">
        <w:rPr>
          <w:noProof/>
        </w:rPr>
        <w:t xml:space="preserve"> i</w:t>
      </w:r>
      <w:r w:rsidR="00913665">
        <w:rPr>
          <w:noProof/>
        </w:rPr>
        <w:t> </w:t>
      </w:r>
      <w:r w:rsidR="00913665" w:rsidRPr="00913665">
        <w:rPr>
          <w:noProof/>
        </w:rPr>
        <w:t>Kom</w:t>
      </w:r>
      <w:r w:rsidRPr="00913665">
        <w:rPr>
          <w:noProof/>
        </w:rPr>
        <w:t>isji zalecenia dotyczące działań</w:t>
      </w:r>
      <w:r w:rsidR="00913665" w:rsidRPr="00913665">
        <w:rPr>
          <w:noProof/>
        </w:rPr>
        <w:t xml:space="preserve"> i</w:t>
      </w:r>
      <w:r w:rsidR="00913665">
        <w:rPr>
          <w:noProof/>
        </w:rPr>
        <w:t> </w:t>
      </w:r>
      <w:r w:rsidR="00913665" w:rsidRPr="00913665">
        <w:rPr>
          <w:noProof/>
        </w:rPr>
        <w:t>kam</w:t>
      </w:r>
      <w:r w:rsidRPr="00913665">
        <w:rPr>
          <w:noProof/>
        </w:rPr>
        <w:t>ieni milowych, które należy wyznaczyć, po dokonaniu oceny stanu wdrożenia krajowych planów gotowości</w:t>
      </w:r>
      <w:r w:rsidR="00913665" w:rsidRPr="00913665">
        <w:rPr>
          <w:noProof/>
        </w:rPr>
        <w:t xml:space="preserve"> i</w:t>
      </w:r>
      <w:r w:rsidR="00913665">
        <w:rPr>
          <w:noProof/>
        </w:rPr>
        <w:t> </w:t>
      </w:r>
      <w:r w:rsidR="00913665" w:rsidRPr="00913665">
        <w:rPr>
          <w:noProof/>
        </w:rPr>
        <w:t>rea</w:t>
      </w:r>
      <w:r w:rsidRPr="00913665">
        <w:rPr>
          <w:noProof/>
        </w:rPr>
        <w:t>gowania państw członkowskich oraz ich związku</w:t>
      </w:r>
      <w:r w:rsidR="00913665" w:rsidRPr="00913665">
        <w:rPr>
          <w:noProof/>
        </w:rPr>
        <w:t xml:space="preserve"> z</w:t>
      </w:r>
      <w:r w:rsidR="00913665">
        <w:rPr>
          <w:noProof/>
        </w:rPr>
        <w:t> </w:t>
      </w:r>
      <w:r w:rsidR="00913665" w:rsidRPr="00913665">
        <w:rPr>
          <w:noProof/>
        </w:rPr>
        <w:t>uni</w:t>
      </w:r>
      <w:r w:rsidRPr="00913665">
        <w:rPr>
          <w:noProof/>
        </w:rPr>
        <w:t>jnym planem gotowości</w:t>
      </w:r>
      <w:r w:rsidR="00913665" w:rsidRPr="00913665">
        <w:rPr>
          <w:noProof/>
        </w:rPr>
        <w:t xml:space="preserve"> i</w:t>
      </w:r>
      <w:r w:rsidR="00913665">
        <w:rPr>
          <w:noProof/>
        </w:rPr>
        <w:t> </w:t>
      </w:r>
      <w:r w:rsidR="00913665" w:rsidRPr="00913665">
        <w:rPr>
          <w:noProof/>
        </w:rPr>
        <w:t>rea</w:t>
      </w:r>
      <w:r w:rsidRPr="00913665">
        <w:rPr>
          <w:noProof/>
        </w:rPr>
        <w:t>gowania, jak przewidziano</w:t>
      </w:r>
      <w:r w:rsidR="00913665" w:rsidRPr="00913665">
        <w:rPr>
          <w:noProof/>
        </w:rPr>
        <w:t xml:space="preserve"> w</w:t>
      </w:r>
      <w:r w:rsidR="00913665">
        <w:rPr>
          <w:noProof/>
        </w:rPr>
        <w:t> </w:t>
      </w:r>
      <w:r w:rsidR="00913665" w:rsidRPr="00913665">
        <w:rPr>
          <w:noProof/>
        </w:rPr>
        <w:t>roz</w:t>
      </w:r>
      <w:r w:rsidRPr="00913665">
        <w:rPr>
          <w:noProof/>
        </w:rPr>
        <w:t>porządzeniu</w:t>
      </w:r>
      <w:r w:rsidR="00913665" w:rsidRPr="00913665">
        <w:rPr>
          <w:noProof/>
        </w:rPr>
        <w:t xml:space="preserve"> w</w:t>
      </w:r>
      <w:r w:rsidR="00913665">
        <w:rPr>
          <w:noProof/>
        </w:rPr>
        <w:t> </w:t>
      </w:r>
      <w:r w:rsidR="00913665" w:rsidRPr="00913665">
        <w:rPr>
          <w:noProof/>
        </w:rPr>
        <w:t>spr</w:t>
      </w:r>
      <w:r w:rsidRPr="00913665">
        <w:rPr>
          <w:noProof/>
        </w:rPr>
        <w:t>awie poważnych transgranicznych zagrożeń zdrowia</w:t>
      </w:r>
      <w:r w:rsidRPr="00913665">
        <w:rPr>
          <w:noProof/>
          <w:sz w:val="18"/>
        </w:rPr>
        <w:t xml:space="preserve">. </w:t>
      </w:r>
      <w:r w:rsidRPr="00913665">
        <w:rPr>
          <w:noProof/>
        </w:rPr>
        <w:t>Agencja ta wzmacnia zintegrowane systemy nadzoru</w:t>
      </w:r>
      <w:r w:rsidR="00913665" w:rsidRPr="00913665">
        <w:rPr>
          <w:noProof/>
        </w:rPr>
        <w:t xml:space="preserve"> i</w:t>
      </w:r>
      <w:r w:rsidR="00913665">
        <w:rPr>
          <w:noProof/>
        </w:rPr>
        <w:t> </w:t>
      </w:r>
      <w:r w:rsidR="00913665" w:rsidRPr="00913665">
        <w:rPr>
          <w:noProof/>
        </w:rPr>
        <w:t>koo</w:t>
      </w:r>
      <w:r w:rsidRPr="00913665">
        <w:rPr>
          <w:noProof/>
        </w:rPr>
        <w:t>rdynuje nową sieć laboratoriów referencyjnych UE (EURL). ECDC ustanawia Grupę Zadaniową UE ds. Zdrowia, która zajmie się szybkimi interwencjami</w:t>
      </w:r>
      <w:r w:rsidR="00913665" w:rsidRPr="00913665">
        <w:rPr>
          <w:noProof/>
        </w:rPr>
        <w:t xml:space="preserve"> w</w:t>
      </w:r>
      <w:r w:rsidR="00913665">
        <w:rPr>
          <w:noProof/>
        </w:rPr>
        <w:t> </w:t>
      </w:r>
      <w:r w:rsidR="00913665" w:rsidRPr="00913665">
        <w:rPr>
          <w:noProof/>
        </w:rPr>
        <w:t>zak</w:t>
      </w:r>
      <w:r w:rsidRPr="00913665">
        <w:rPr>
          <w:noProof/>
        </w:rPr>
        <w:t>resie zdrowia</w:t>
      </w:r>
      <w:r w:rsidR="00913665" w:rsidRPr="00913665">
        <w:rPr>
          <w:noProof/>
        </w:rPr>
        <w:t xml:space="preserve"> w</w:t>
      </w:r>
      <w:r w:rsidR="00913665">
        <w:rPr>
          <w:noProof/>
        </w:rPr>
        <w:t> </w:t>
      </w:r>
      <w:r w:rsidR="00913665" w:rsidRPr="00913665">
        <w:rPr>
          <w:noProof/>
        </w:rPr>
        <w:t>prz</w:t>
      </w:r>
      <w:r w:rsidRPr="00913665">
        <w:rPr>
          <w:noProof/>
        </w:rPr>
        <w:t>ypadku poważnej epidemii,</w:t>
      </w:r>
      <w:r w:rsidR="00913665" w:rsidRPr="00913665">
        <w:rPr>
          <w:noProof/>
        </w:rPr>
        <w:t xml:space="preserve"> w</w:t>
      </w:r>
      <w:r w:rsidR="00913665">
        <w:rPr>
          <w:noProof/>
        </w:rPr>
        <w:t> </w:t>
      </w:r>
      <w:r w:rsidR="00913665" w:rsidRPr="00913665">
        <w:rPr>
          <w:noProof/>
        </w:rPr>
        <w:t>uzu</w:t>
      </w:r>
      <w:r w:rsidRPr="00913665">
        <w:rPr>
          <w:noProof/>
        </w:rPr>
        <w:t>pełnieniu Unijnego Mechanizmu Ochrony Ludności.</w:t>
      </w:r>
    </w:p>
    <w:p w14:paraId="19E469F6" w14:textId="14733E5E" w:rsidR="00C8464D" w:rsidRPr="00913665" w:rsidRDefault="00C8464D" w:rsidP="00597730">
      <w:pPr>
        <w:pStyle w:val="Heading1"/>
        <w:numPr>
          <w:ilvl w:val="0"/>
          <w:numId w:val="6"/>
        </w:numPr>
        <w:tabs>
          <w:tab w:val="left" w:pos="1289"/>
        </w:tabs>
        <w:kinsoku w:val="0"/>
        <w:overflowPunct w:val="0"/>
        <w:spacing w:before="240" w:line="276" w:lineRule="auto"/>
        <w:ind w:left="0" w:firstLine="0"/>
        <w:jc w:val="both"/>
        <w:rPr>
          <w:noProof/>
          <w:color w:val="2E5395"/>
        </w:rPr>
      </w:pPr>
      <w:bookmarkStart w:id="7" w:name="3._Improving_the_safety,_availability_an"/>
      <w:bookmarkEnd w:id="7"/>
      <w:r w:rsidRPr="00913665">
        <w:rPr>
          <w:noProof/>
          <w:color w:val="2E5395"/>
        </w:rPr>
        <w:t>Poprawa bezpieczeństwa, dostępności</w:t>
      </w:r>
      <w:r w:rsidR="00913665" w:rsidRPr="00913665">
        <w:rPr>
          <w:noProof/>
          <w:color w:val="2E5395"/>
        </w:rPr>
        <w:t xml:space="preserve"> i</w:t>
      </w:r>
      <w:r w:rsidR="00913665">
        <w:rPr>
          <w:noProof/>
          <w:color w:val="2E5395"/>
        </w:rPr>
        <w:t> </w:t>
      </w:r>
      <w:r w:rsidR="00913665" w:rsidRPr="00913665">
        <w:rPr>
          <w:noProof/>
          <w:color w:val="2E5395"/>
        </w:rPr>
        <w:t>dos</w:t>
      </w:r>
      <w:r w:rsidRPr="00913665">
        <w:rPr>
          <w:noProof/>
          <w:color w:val="2E5395"/>
        </w:rPr>
        <w:t>tępu do leków, wyrobów medycznych</w:t>
      </w:r>
      <w:r w:rsidR="00913665" w:rsidRPr="00913665">
        <w:rPr>
          <w:noProof/>
          <w:color w:val="2E5395"/>
        </w:rPr>
        <w:t xml:space="preserve"> i</w:t>
      </w:r>
      <w:r w:rsidR="00913665">
        <w:rPr>
          <w:noProof/>
          <w:color w:val="2E5395"/>
        </w:rPr>
        <w:t> </w:t>
      </w:r>
      <w:r w:rsidR="00913665" w:rsidRPr="00913665">
        <w:rPr>
          <w:noProof/>
          <w:color w:val="2E5395"/>
        </w:rPr>
        <w:t>sub</w:t>
      </w:r>
      <w:r w:rsidRPr="00913665">
        <w:rPr>
          <w:noProof/>
          <w:color w:val="2E5395"/>
        </w:rPr>
        <w:t>stancji pochodzenia ludzkiego</w:t>
      </w:r>
    </w:p>
    <w:p w14:paraId="6AC1C25B" w14:textId="545C9A75" w:rsidR="00C8464D" w:rsidRPr="00913665" w:rsidRDefault="00C8464D" w:rsidP="00597730">
      <w:pPr>
        <w:pStyle w:val="Heading2"/>
        <w:numPr>
          <w:ilvl w:val="1"/>
          <w:numId w:val="2"/>
        </w:numPr>
        <w:tabs>
          <w:tab w:val="left" w:pos="1428"/>
        </w:tabs>
        <w:kinsoku w:val="0"/>
        <w:overflowPunct w:val="0"/>
        <w:spacing w:before="240" w:line="276" w:lineRule="auto"/>
        <w:ind w:left="0" w:firstLine="0"/>
        <w:rPr>
          <w:noProof/>
          <w:color w:val="2E5395"/>
          <w:spacing w:val="-2"/>
        </w:rPr>
      </w:pPr>
      <w:bookmarkStart w:id="8" w:name="3.1._Access_for_all_to_safe,_affordable,"/>
      <w:bookmarkEnd w:id="8"/>
      <w:r w:rsidRPr="00913665">
        <w:rPr>
          <w:noProof/>
          <w:color w:val="2E5395"/>
        </w:rPr>
        <w:t>Powszechny dostęp do bezpiecznych, przystępnych cenowo</w:t>
      </w:r>
      <w:r w:rsidR="00913665" w:rsidRPr="00913665">
        <w:rPr>
          <w:noProof/>
          <w:color w:val="2E5395"/>
        </w:rPr>
        <w:t xml:space="preserve"> i</w:t>
      </w:r>
      <w:r w:rsidR="00913665">
        <w:rPr>
          <w:noProof/>
          <w:color w:val="2E5395"/>
        </w:rPr>
        <w:t> </w:t>
      </w:r>
      <w:r w:rsidR="00913665" w:rsidRPr="00913665">
        <w:rPr>
          <w:noProof/>
          <w:color w:val="2E5395"/>
        </w:rPr>
        <w:t>inn</w:t>
      </w:r>
      <w:r w:rsidRPr="00913665">
        <w:rPr>
          <w:noProof/>
          <w:color w:val="2E5395"/>
        </w:rPr>
        <w:t>owacyjnych leków</w:t>
      </w:r>
    </w:p>
    <w:p w14:paraId="43FC944C" w14:textId="735E3BD7" w:rsidR="00166940" w:rsidRPr="00913665" w:rsidRDefault="00C8464D" w:rsidP="00597730">
      <w:pPr>
        <w:pStyle w:val="BodyText"/>
        <w:kinsoku w:val="0"/>
        <w:overflowPunct w:val="0"/>
        <w:spacing w:before="240" w:line="276" w:lineRule="auto"/>
        <w:jc w:val="both"/>
        <w:rPr>
          <w:noProof/>
          <w:spacing w:val="-4"/>
        </w:rPr>
      </w:pPr>
      <w:r w:rsidRPr="00913665">
        <w:rPr>
          <w:noProof/>
        </w:rPr>
        <w:t>Pacjenci</w:t>
      </w:r>
      <w:r w:rsidR="00913665" w:rsidRPr="00913665">
        <w:rPr>
          <w:noProof/>
        </w:rPr>
        <w:t xml:space="preserve"> i</w:t>
      </w:r>
      <w:r w:rsidR="00913665">
        <w:rPr>
          <w:noProof/>
        </w:rPr>
        <w:t> </w:t>
      </w:r>
      <w:r w:rsidR="00913665" w:rsidRPr="00913665">
        <w:rPr>
          <w:noProof/>
        </w:rPr>
        <w:t>sys</w:t>
      </w:r>
      <w:r w:rsidRPr="00913665">
        <w:rPr>
          <w:noProof/>
        </w:rPr>
        <w:t>temy opieki zdrowotnej</w:t>
      </w:r>
      <w:r w:rsidR="00913665" w:rsidRPr="00913665">
        <w:rPr>
          <w:noProof/>
        </w:rPr>
        <w:t xml:space="preserve"> w</w:t>
      </w:r>
      <w:r w:rsidR="00913665">
        <w:rPr>
          <w:noProof/>
        </w:rPr>
        <w:t> </w:t>
      </w:r>
      <w:r w:rsidR="00913665" w:rsidRPr="00913665">
        <w:rPr>
          <w:noProof/>
        </w:rPr>
        <w:t>cał</w:t>
      </w:r>
      <w:r w:rsidRPr="00913665">
        <w:rPr>
          <w:noProof/>
        </w:rPr>
        <w:t>ej Europie borykają się</w:t>
      </w:r>
      <w:r w:rsidR="00913665" w:rsidRPr="00913665">
        <w:rPr>
          <w:noProof/>
        </w:rPr>
        <w:t xml:space="preserve"> z</w:t>
      </w:r>
      <w:r w:rsidR="00913665">
        <w:rPr>
          <w:noProof/>
        </w:rPr>
        <w:t> </w:t>
      </w:r>
      <w:r w:rsidR="00913665" w:rsidRPr="00913665">
        <w:rPr>
          <w:noProof/>
        </w:rPr>
        <w:t>nie</w:t>
      </w:r>
      <w:r w:rsidRPr="00913665">
        <w:rPr>
          <w:noProof/>
        </w:rPr>
        <w:t>równym dostępem do leków, niedoborami leków,</w:t>
      </w:r>
      <w:r w:rsidR="00913665" w:rsidRPr="00913665">
        <w:rPr>
          <w:noProof/>
        </w:rPr>
        <w:t xml:space="preserve"> a</w:t>
      </w:r>
      <w:r w:rsidR="00913665">
        <w:rPr>
          <w:noProof/>
        </w:rPr>
        <w:t> </w:t>
      </w:r>
      <w:r w:rsidR="00913665" w:rsidRPr="00913665">
        <w:rPr>
          <w:noProof/>
        </w:rPr>
        <w:t>naw</w:t>
      </w:r>
      <w:r w:rsidRPr="00913665">
        <w:rPr>
          <w:noProof/>
        </w:rPr>
        <w:t>et brakiem leków na niektóre choroby. Aby stawić czoła tym wyzwaniom,</w:t>
      </w:r>
      <w:r w:rsidR="00913665" w:rsidRPr="00913665">
        <w:rPr>
          <w:noProof/>
        </w:rPr>
        <w:t xml:space="preserve"> w</w:t>
      </w:r>
      <w:r w:rsidR="00913665">
        <w:rPr>
          <w:noProof/>
        </w:rPr>
        <w:t> </w:t>
      </w:r>
      <w:r w:rsidR="00913665" w:rsidRPr="00913665">
        <w:rPr>
          <w:noProof/>
        </w:rPr>
        <w:t>lis</w:t>
      </w:r>
      <w:r w:rsidRPr="00913665">
        <w:rPr>
          <w:noProof/>
        </w:rPr>
        <w:t xml:space="preserve">topadzie 2020 r. Komisja przedstawiła nową </w:t>
      </w:r>
      <w:r w:rsidRPr="00913665">
        <w:rPr>
          <w:b/>
          <w:noProof/>
        </w:rPr>
        <w:t>strategię farmaceutyczną dla Europy</w:t>
      </w:r>
      <w:r w:rsidR="00844985" w:rsidRPr="00913665">
        <w:rPr>
          <w:rStyle w:val="FootnoteReference"/>
          <w:b/>
          <w:bCs/>
          <w:noProof/>
          <w:spacing w:val="-6"/>
        </w:rPr>
        <w:footnoteReference w:id="13"/>
      </w:r>
      <w:r w:rsidRPr="00913665">
        <w:rPr>
          <w:noProof/>
        </w:rPr>
        <w:t>,</w:t>
      </w:r>
      <w:r w:rsidR="00913665" w:rsidRPr="00913665">
        <w:rPr>
          <w:noProof/>
        </w:rPr>
        <w:t xml:space="preserve"> a</w:t>
      </w:r>
      <w:r w:rsidR="00913665">
        <w:rPr>
          <w:noProof/>
        </w:rPr>
        <w:t> </w:t>
      </w:r>
      <w:r w:rsidR="00913665" w:rsidRPr="00913665">
        <w:rPr>
          <w:noProof/>
        </w:rPr>
        <w:t>w</w:t>
      </w:r>
      <w:r w:rsidR="00913665">
        <w:rPr>
          <w:noProof/>
        </w:rPr>
        <w:t> </w:t>
      </w:r>
      <w:r w:rsidR="00913665" w:rsidRPr="00913665">
        <w:rPr>
          <w:noProof/>
        </w:rPr>
        <w:t>kwi</w:t>
      </w:r>
      <w:r w:rsidRPr="00913665">
        <w:rPr>
          <w:noProof/>
        </w:rPr>
        <w:t xml:space="preserve">etniu 2023 r. zaproponowała najgłębszą </w:t>
      </w:r>
      <w:r w:rsidRPr="00913665">
        <w:rPr>
          <w:b/>
          <w:noProof/>
        </w:rPr>
        <w:t>reformę unijnych przepisów farmaceutycznych</w:t>
      </w:r>
      <w:r w:rsidRPr="00913665">
        <w:rPr>
          <w:noProof/>
        </w:rPr>
        <w:t xml:space="preserve"> od ponad dwóch dekad.</w:t>
      </w:r>
    </w:p>
    <w:p w14:paraId="75506192" w14:textId="3E728B58" w:rsidR="008E1767" w:rsidRPr="00913665" w:rsidRDefault="00405124" w:rsidP="00597730">
      <w:pPr>
        <w:pStyle w:val="BodyText"/>
        <w:kinsoku w:val="0"/>
        <w:overflowPunct w:val="0"/>
        <w:spacing w:before="240" w:line="276" w:lineRule="auto"/>
        <w:jc w:val="both"/>
        <w:rPr>
          <w:noProof/>
          <w:spacing w:val="-4"/>
        </w:rPr>
      </w:pPr>
      <w:r>
        <w:rPr>
          <w:noProof/>
        </w:rPr>
        <w:pict w14:anchorId="20BB23DC">
          <v:shape id="_x0000_i1028" type="#_x0000_t75" style="width:452.25pt;height:139.5pt;visibility:visible;mso-wrap-style:square">
            <v:imagedata r:id="rId17" o:title=""/>
          </v:shape>
        </w:pict>
      </w:r>
    </w:p>
    <w:p w14:paraId="69D6DAAE" w14:textId="03FC4287" w:rsidR="00C8464D" w:rsidRPr="00913665" w:rsidRDefault="00C8464D" w:rsidP="00597730">
      <w:pPr>
        <w:pStyle w:val="BodyText"/>
        <w:kinsoku w:val="0"/>
        <w:overflowPunct w:val="0"/>
        <w:spacing w:before="240" w:line="276" w:lineRule="auto"/>
        <w:jc w:val="both"/>
        <w:rPr>
          <w:noProof/>
          <w:sz w:val="14"/>
          <w:szCs w:val="14"/>
        </w:rPr>
      </w:pPr>
      <w:r w:rsidRPr="00913665">
        <w:rPr>
          <w:noProof/>
        </w:rPr>
        <w:t>Proponowana reforma obejmuje zmieniony system zachęt, które mają skłonić przedsiębiorstwa do realizacji celów</w:t>
      </w:r>
      <w:r w:rsidR="00913665" w:rsidRPr="00913665">
        <w:rPr>
          <w:noProof/>
        </w:rPr>
        <w:t xml:space="preserve"> w</w:t>
      </w:r>
      <w:r w:rsidR="00913665">
        <w:rPr>
          <w:noProof/>
        </w:rPr>
        <w:t> </w:t>
      </w:r>
      <w:r w:rsidR="00913665" w:rsidRPr="00913665">
        <w:rPr>
          <w:noProof/>
        </w:rPr>
        <w:t>zak</w:t>
      </w:r>
      <w:r w:rsidRPr="00913665">
        <w:rPr>
          <w:noProof/>
        </w:rPr>
        <w:t>resie zdrowia publicznego</w:t>
      </w:r>
      <w:r w:rsidR="00913665" w:rsidRPr="00913665">
        <w:rPr>
          <w:noProof/>
        </w:rPr>
        <w:t xml:space="preserve"> w</w:t>
      </w:r>
      <w:r w:rsidR="00913665">
        <w:rPr>
          <w:noProof/>
        </w:rPr>
        <w:t> </w:t>
      </w:r>
      <w:r w:rsidR="00913665" w:rsidRPr="00913665">
        <w:rPr>
          <w:noProof/>
        </w:rPr>
        <w:t>pos</w:t>
      </w:r>
      <w:r w:rsidRPr="00913665">
        <w:rPr>
          <w:noProof/>
        </w:rPr>
        <w:t>taci bardziej terminowego</w:t>
      </w:r>
      <w:r w:rsidR="00913665" w:rsidRPr="00913665">
        <w:rPr>
          <w:noProof/>
        </w:rPr>
        <w:t xml:space="preserve"> i</w:t>
      </w:r>
      <w:r w:rsidR="00913665">
        <w:rPr>
          <w:noProof/>
        </w:rPr>
        <w:t> </w:t>
      </w:r>
      <w:r w:rsidR="00913665" w:rsidRPr="00913665">
        <w:rPr>
          <w:noProof/>
        </w:rPr>
        <w:t>rów</w:t>
      </w:r>
      <w:r w:rsidRPr="00913665">
        <w:rPr>
          <w:noProof/>
        </w:rPr>
        <w:t>nego dostępu do leków we wszystkich 27 państwach członkowskich oraz realizacji niezaspokojonych potrzeb medycznych pacjentów w UE, szczególnie tych najbardziej narażonych, takich jak dzieci, osoby starsze</w:t>
      </w:r>
      <w:r w:rsidR="00913665" w:rsidRPr="00913665">
        <w:rPr>
          <w:noProof/>
        </w:rPr>
        <w:t xml:space="preserve"> i</w:t>
      </w:r>
      <w:r w:rsidR="00913665">
        <w:rPr>
          <w:noProof/>
        </w:rPr>
        <w:t> </w:t>
      </w:r>
      <w:r w:rsidR="00913665" w:rsidRPr="00913665">
        <w:rPr>
          <w:noProof/>
        </w:rPr>
        <w:t>oso</w:t>
      </w:r>
      <w:r w:rsidRPr="00913665">
        <w:rPr>
          <w:noProof/>
        </w:rPr>
        <w:t>by niepełnosprawne. Dlatego też</w:t>
      </w:r>
      <w:r w:rsidR="00913665" w:rsidRPr="00913665">
        <w:rPr>
          <w:noProof/>
        </w:rPr>
        <w:t xml:space="preserve"> w</w:t>
      </w:r>
      <w:r w:rsidR="00913665">
        <w:rPr>
          <w:noProof/>
        </w:rPr>
        <w:t> </w:t>
      </w:r>
      <w:r w:rsidR="00913665" w:rsidRPr="00913665">
        <w:rPr>
          <w:noProof/>
        </w:rPr>
        <w:t>ref</w:t>
      </w:r>
      <w:r w:rsidRPr="00913665">
        <w:rPr>
          <w:noProof/>
        </w:rPr>
        <w:t>ormie proponuje się szereg środków mających na celu ułatwienie dostępu,</w:t>
      </w:r>
      <w:r w:rsidR="00913665" w:rsidRPr="00913665">
        <w:rPr>
          <w:noProof/>
        </w:rPr>
        <w:t xml:space="preserve"> w</w:t>
      </w:r>
      <w:r w:rsidR="00913665">
        <w:rPr>
          <w:noProof/>
        </w:rPr>
        <w:t> </w:t>
      </w:r>
      <w:r w:rsidR="00913665" w:rsidRPr="00913665">
        <w:rPr>
          <w:noProof/>
        </w:rPr>
        <w:t>szc</w:t>
      </w:r>
      <w:r w:rsidRPr="00913665">
        <w:rPr>
          <w:noProof/>
        </w:rPr>
        <w:t>zególności</w:t>
      </w:r>
      <w:r w:rsidR="00913665" w:rsidRPr="00913665">
        <w:rPr>
          <w:noProof/>
        </w:rPr>
        <w:t xml:space="preserve"> w</w:t>
      </w:r>
      <w:r w:rsidR="00913665">
        <w:rPr>
          <w:noProof/>
        </w:rPr>
        <w:t> </w:t>
      </w:r>
      <w:r w:rsidR="00913665" w:rsidRPr="00913665">
        <w:rPr>
          <w:noProof/>
        </w:rPr>
        <w:t>mni</w:t>
      </w:r>
      <w:r w:rsidRPr="00913665">
        <w:rPr>
          <w:noProof/>
        </w:rPr>
        <w:t>ejszych państwach członkowskich, które są często zaniedbywane przez przedsiębiorstwa ze względu na ich niewielki, nieatrakcyjny</w:t>
      </w:r>
      <w:r w:rsidR="00913665" w:rsidRPr="00913665">
        <w:rPr>
          <w:noProof/>
        </w:rPr>
        <w:t xml:space="preserve"> z</w:t>
      </w:r>
      <w:r w:rsidR="00913665">
        <w:rPr>
          <w:noProof/>
        </w:rPr>
        <w:t> </w:t>
      </w:r>
      <w:r w:rsidR="00913665" w:rsidRPr="00913665">
        <w:rPr>
          <w:noProof/>
        </w:rPr>
        <w:t>kom</w:t>
      </w:r>
      <w:r w:rsidRPr="00913665">
        <w:rPr>
          <w:noProof/>
        </w:rPr>
        <w:t>ercyjnego punktu widzenia rynek. Co równie istotne, proponowane lepiej ukierunkowane zachęty</w:t>
      </w:r>
      <w:r w:rsidR="00913665" w:rsidRPr="00913665">
        <w:rPr>
          <w:noProof/>
        </w:rPr>
        <w:t xml:space="preserve"> i</w:t>
      </w:r>
      <w:r w:rsidR="00913665">
        <w:rPr>
          <w:noProof/>
        </w:rPr>
        <w:t> </w:t>
      </w:r>
      <w:r w:rsidR="00913665" w:rsidRPr="00913665">
        <w:rPr>
          <w:noProof/>
        </w:rPr>
        <w:t>sze</w:t>
      </w:r>
      <w:r w:rsidRPr="00913665">
        <w:rPr>
          <w:noProof/>
        </w:rPr>
        <w:t>rszy zakres uproszczeń pomogą europejskiemu przemysłowi farmaceutycznemu utrzymać pozycję innowatora</w:t>
      </w:r>
      <w:r w:rsidR="00913665" w:rsidRPr="00913665">
        <w:rPr>
          <w:noProof/>
        </w:rPr>
        <w:t xml:space="preserve"> i</w:t>
      </w:r>
      <w:r w:rsidR="00913665">
        <w:rPr>
          <w:noProof/>
        </w:rPr>
        <w:t> </w:t>
      </w:r>
      <w:r w:rsidR="00913665" w:rsidRPr="00913665">
        <w:rPr>
          <w:noProof/>
        </w:rPr>
        <w:t>świ</w:t>
      </w:r>
      <w:r w:rsidRPr="00913665">
        <w:rPr>
          <w:noProof/>
        </w:rPr>
        <w:t>atowego lidera.</w:t>
      </w:r>
    </w:p>
    <w:p w14:paraId="72902ABC" w14:textId="280C49E2" w:rsidR="00C8464D" w:rsidRPr="00913665" w:rsidRDefault="00C8464D" w:rsidP="00597730">
      <w:pPr>
        <w:pStyle w:val="BodyText"/>
        <w:kinsoku w:val="0"/>
        <w:overflowPunct w:val="0"/>
        <w:spacing w:before="240" w:line="276" w:lineRule="auto"/>
        <w:jc w:val="both"/>
        <w:rPr>
          <w:noProof/>
          <w:spacing w:val="-12"/>
        </w:rPr>
      </w:pPr>
      <w:r w:rsidRPr="00913665">
        <w:rPr>
          <w:noProof/>
        </w:rPr>
        <w:t>Proponowana reforma,</w:t>
      </w:r>
      <w:r w:rsidR="00913665" w:rsidRPr="00913665">
        <w:rPr>
          <w:noProof/>
        </w:rPr>
        <w:t xml:space="preserve"> z</w:t>
      </w:r>
      <w:r w:rsidR="00913665">
        <w:rPr>
          <w:noProof/>
        </w:rPr>
        <w:t> </w:t>
      </w:r>
      <w:r w:rsidR="00913665" w:rsidRPr="00913665">
        <w:rPr>
          <w:noProof/>
        </w:rPr>
        <w:t>chw</w:t>
      </w:r>
      <w:r w:rsidRPr="00913665">
        <w:rPr>
          <w:noProof/>
        </w:rPr>
        <w:t>ilą jej przyjęcia przez współprawodawców, zapewni pacjentom europejskim,</w:t>
      </w:r>
      <w:r w:rsidR="00913665" w:rsidRPr="00913665">
        <w:rPr>
          <w:noProof/>
        </w:rPr>
        <w:t xml:space="preserve"> w</w:t>
      </w:r>
      <w:r w:rsidR="00913665">
        <w:rPr>
          <w:noProof/>
        </w:rPr>
        <w:t> </w:t>
      </w:r>
      <w:r w:rsidR="00913665" w:rsidRPr="00913665">
        <w:rPr>
          <w:noProof/>
        </w:rPr>
        <w:t>szc</w:t>
      </w:r>
      <w:r w:rsidRPr="00913665">
        <w:rPr>
          <w:noProof/>
        </w:rPr>
        <w:t>zególności mieszkającym</w:t>
      </w:r>
      <w:r w:rsidR="00913665" w:rsidRPr="00913665">
        <w:rPr>
          <w:noProof/>
        </w:rPr>
        <w:t xml:space="preserve"> w</w:t>
      </w:r>
      <w:r w:rsidR="00913665">
        <w:rPr>
          <w:noProof/>
        </w:rPr>
        <w:t> </w:t>
      </w:r>
      <w:r w:rsidR="00913665" w:rsidRPr="00913665">
        <w:rPr>
          <w:noProof/>
        </w:rPr>
        <w:t>mni</w:t>
      </w:r>
      <w:r w:rsidRPr="00913665">
        <w:rPr>
          <w:noProof/>
        </w:rPr>
        <w:t>ejszych krajach, szybszy dostęp do leków. Podmioty opracowujące leki otrzymają większe wsparcie naukowe</w:t>
      </w:r>
      <w:r w:rsidR="00913665" w:rsidRPr="00913665">
        <w:rPr>
          <w:noProof/>
        </w:rPr>
        <w:t xml:space="preserve"> i</w:t>
      </w:r>
      <w:r w:rsidR="00913665">
        <w:rPr>
          <w:noProof/>
        </w:rPr>
        <w:t> </w:t>
      </w:r>
      <w:r w:rsidR="00913665" w:rsidRPr="00913665">
        <w:rPr>
          <w:noProof/>
        </w:rPr>
        <w:t>reg</w:t>
      </w:r>
      <w:r w:rsidRPr="00913665">
        <w:rPr>
          <w:noProof/>
        </w:rPr>
        <w:t>ulacyjne ze strony EMA, natomiast MŚP</w:t>
      </w:r>
      <w:r w:rsidR="00913665" w:rsidRPr="00913665">
        <w:rPr>
          <w:noProof/>
        </w:rPr>
        <w:t xml:space="preserve"> i</w:t>
      </w:r>
      <w:r w:rsidR="00913665">
        <w:rPr>
          <w:noProof/>
        </w:rPr>
        <w:t> </w:t>
      </w:r>
      <w:r w:rsidR="00913665" w:rsidRPr="00913665">
        <w:rPr>
          <w:noProof/>
        </w:rPr>
        <w:t>pod</w:t>
      </w:r>
      <w:r w:rsidRPr="00913665">
        <w:rPr>
          <w:noProof/>
        </w:rPr>
        <w:t>mioty nienastawione na zysk będą mogły skorzystać</w:t>
      </w:r>
      <w:r w:rsidR="00913665" w:rsidRPr="00913665">
        <w:rPr>
          <w:noProof/>
        </w:rPr>
        <w:t xml:space="preserve"> z</w:t>
      </w:r>
      <w:r w:rsidR="00913665">
        <w:rPr>
          <w:noProof/>
        </w:rPr>
        <w:t> </w:t>
      </w:r>
      <w:r w:rsidR="00913665" w:rsidRPr="00913665">
        <w:rPr>
          <w:noProof/>
        </w:rPr>
        <w:t>dod</w:t>
      </w:r>
      <w:r w:rsidRPr="00913665">
        <w:rPr>
          <w:noProof/>
        </w:rPr>
        <w:t>atkowych ułatwień. Przedsiębiorstwa odniosą korzyści</w:t>
      </w:r>
      <w:r w:rsidR="00913665" w:rsidRPr="00913665">
        <w:rPr>
          <w:noProof/>
        </w:rPr>
        <w:t xml:space="preserve"> z</w:t>
      </w:r>
      <w:r w:rsidR="00913665">
        <w:rPr>
          <w:noProof/>
        </w:rPr>
        <w:t> </w:t>
      </w:r>
      <w:r w:rsidR="00913665" w:rsidRPr="00913665">
        <w:rPr>
          <w:noProof/>
        </w:rPr>
        <w:t>prz</w:t>
      </w:r>
      <w:r w:rsidRPr="00913665">
        <w:rPr>
          <w:noProof/>
        </w:rPr>
        <w:t>yspieszonych</w:t>
      </w:r>
      <w:r w:rsidR="00913665" w:rsidRPr="00913665">
        <w:rPr>
          <w:noProof/>
        </w:rPr>
        <w:t xml:space="preserve"> i</w:t>
      </w:r>
      <w:r w:rsidR="00913665">
        <w:rPr>
          <w:noProof/>
        </w:rPr>
        <w:t> </w:t>
      </w:r>
      <w:r w:rsidR="00913665" w:rsidRPr="00913665">
        <w:rPr>
          <w:noProof/>
        </w:rPr>
        <w:t>upr</w:t>
      </w:r>
      <w:r w:rsidRPr="00913665">
        <w:rPr>
          <w:noProof/>
        </w:rPr>
        <w:t>oszczonych procedur oceny</w:t>
      </w:r>
      <w:r w:rsidR="00913665" w:rsidRPr="00913665">
        <w:rPr>
          <w:noProof/>
        </w:rPr>
        <w:t xml:space="preserve"> i</w:t>
      </w:r>
      <w:r w:rsidR="00913665">
        <w:rPr>
          <w:noProof/>
        </w:rPr>
        <w:t> </w:t>
      </w:r>
      <w:r w:rsidR="00913665" w:rsidRPr="00913665">
        <w:rPr>
          <w:noProof/>
        </w:rPr>
        <w:t>dop</w:t>
      </w:r>
      <w:r w:rsidRPr="00913665">
        <w:rPr>
          <w:noProof/>
        </w:rPr>
        <w:t>uszczania leków do obrotu,</w:t>
      </w:r>
      <w:r w:rsidR="00913665" w:rsidRPr="00913665">
        <w:rPr>
          <w:noProof/>
        </w:rPr>
        <w:t xml:space="preserve"> a</w:t>
      </w:r>
      <w:r w:rsidR="00913665">
        <w:rPr>
          <w:noProof/>
        </w:rPr>
        <w:t> </w:t>
      </w:r>
      <w:r w:rsidR="00913665" w:rsidRPr="00913665">
        <w:rPr>
          <w:noProof/>
        </w:rPr>
        <w:t>cyf</w:t>
      </w:r>
      <w:r w:rsidRPr="00913665">
        <w:rPr>
          <w:noProof/>
        </w:rPr>
        <w:t>ryzacja zmniejszy ciążące na nich obciążenie administracyjne. Wykorzystanie piaskownic regulacyjnych będzie sprzyjać innowacjom</w:t>
      </w:r>
      <w:r w:rsidR="00913665" w:rsidRPr="00913665">
        <w:rPr>
          <w:noProof/>
        </w:rPr>
        <w:t xml:space="preserve"> w</w:t>
      </w:r>
      <w:r w:rsidR="00913665">
        <w:rPr>
          <w:noProof/>
        </w:rPr>
        <w:t> </w:t>
      </w:r>
      <w:r w:rsidR="00913665" w:rsidRPr="00913665">
        <w:rPr>
          <w:noProof/>
        </w:rPr>
        <w:t>zak</w:t>
      </w:r>
      <w:r w:rsidRPr="00913665">
        <w:rPr>
          <w:noProof/>
        </w:rPr>
        <w:t>resie najnowocześniejszych technologii,</w:t>
      </w:r>
      <w:r w:rsidR="00913665" w:rsidRPr="00913665">
        <w:rPr>
          <w:noProof/>
        </w:rPr>
        <w:t xml:space="preserve"> w</w:t>
      </w:r>
      <w:r w:rsidR="00913665">
        <w:rPr>
          <w:noProof/>
        </w:rPr>
        <w:t> </w:t>
      </w:r>
      <w:r w:rsidR="00913665" w:rsidRPr="00913665">
        <w:rPr>
          <w:noProof/>
        </w:rPr>
        <w:t>tym</w:t>
      </w:r>
      <w:r w:rsidRPr="00913665">
        <w:rPr>
          <w:noProof/>
        </w:rPr>
        <w:t xml:space="preserve"> biotechnologii zdrowotnej, oraz zapewni dostosowanie systemu legislacyjnego do przyszłych wyzwań przy jednoczesnym utrzymaniu najwyższych standardów jakości</w:t>
      </w:r>
      <w:r w:rsidR="00913665" w:rsidRPr="00913665">
        <w:rPr>
          <w:noProof/>
        </w:rPr>
        <w:t xml:space="preserve"> i</w:t>
      </w:r>
      <w:r w:rsidR="00913665">
        <w:rPr>
          <w:noProof/>
        </w:rPr>
        <w:t> </w:t>
      </w:r>
      <w:r w:rsidR="00913665" w:rsidRPr="00913665">
        <w:rPr>
          <w:noProof/>
        </w:rPr>
        <w:t>bez</w:t>
      </w:r>
      <w:r w:rsidRPr="00913665">
        <w:rPr>
          <w:noProof/>
        </w:rPr>
        <w:t>pieczeństwa. Reforma ma również na celu zapewnienie pacjentom szybszego dostępu do produktów, które są tańsze, ale odznaczają się wyższą jakością, gdyż umożliwi szybsze wejście na rynek leków generycznych</w:t>
      </w:r>
      <w:r w:rsidR="00913665" w:rsidRPr="00913665">
        <w:rPr>
          <w:noProof/>
        </w:rPr>
        <w:t xml:space="preserve"> i</w:t>
      </w:r>
      <w:r w:rsidR="00913665">
        <w:rPr>
          <w:noProof/>
        </w:rPr>
        <w:t> </w:t>
      </w:r>
      <w:r w:rsidR="00913665" w:rsidRPr="00913665">
        <w:rPr>
          <w:noProof/>
        </w:rPr>
        <w:t>bio</w:t>
      </w:r>
      <w:r w:rsidRPr="00913665">
        <w:rPr>
          <w:noProof/>
        </w:rPr>
        <w:t>podobnych oraz uprości procedury wydawania pozwoleń na dopuszczenie do obrotu.</w:t>
      </w:r>
    </w:p>
    <w:p w14:paraId="2B2BF4A8" w14:textId="03A6774C" w:rsidR="00C8464D" w:rsidRPr="00913665" w:rsidRDefault="00C8464D" w:rsidP="00597730">
      <w:pPr>
        <w:pStyle w:val="BodyText"/>
        <w:kinsoku w:val="0"/>
        <w:overflowPunct w:val="0"/>
        <w:spacing w:before="240" w:line="276" w:lineRule="auto"/>
        <w:jc w:val="both"/>
        <w:rPr>
          <w:noProof/>
          <w:sz w:val="20"/>
          <w:szCs w:val="20"/>
        </w:rPr>
      </w:pPr>
      <w:r w:rsidRPr="00913665">
        <w:rPr>
          <w:noProof/>
        </w:rPr>
        <w:t>W uzupełnieniu tych środków ustawodawczych Komisja Europejska wspiera projekty współpracy</w:t>
      </w:r>
      <w:r w:rsidR="00844985" w:rsidRPr="00913665">
        <w:rPr>
          <w:rStyle w:val="FootnoteReference"/>
          <w:noProof/>
          <w:spacing w:val="-2"/>
        </w:rPr>
        <w:footnoteReference w:id="14"/>
      </w:r>
      <w:r w:rsidRPr="00913665">
        <w:rPr>
          <w:noProof/>
        </w:rPr>
        <w:t xml:space="preserve"> ukierunkowane na wymianę informacji na temat polityki cenowej, płatności</w:t>
      </w:r>
      <w:r w:rsidR="00913665" w:rsidRPr="00913665">
        <w:rPr>
          <w:noProof/>
        </w:rPr>
        <w:t xml:space="preserve"> i</w:t>
      </w:r>
      <w:r w:rsidR="00913665">
        <w:rPr>
          <w:noProof/>
        </w:rPr>
        <w:t> </w:t>
      </w:r>
      <w:r w:rsidR="00913665" w:rsidRPr="00913665">
        <w:rPr>
          <w:noProof/>
        </w:rPr>
        <w:t>zam</w:t>
      </w:r>
      <w:r w:rsidRPr="00913665">
        <w:rPr>
          <w:noProof/>
        </w:rPr>
        <w:t>ówień publicznych, aby poprawić przystępność cenową</w:t>
      </w:r>
      <w:r w:rsidR="00913665" w:rsidRPr="00913665">
        <w:rPr>
          <w:noProof/>
        </w:rPr>
        <w:t xml:space="preserve"> i</w:t>
      </w:r>
      <w:r w:rsidR="00913665">
        <w:rPr>
          <w:noProof/>
        </w:rPr>
        <w:t> </w:t>
      </w:r>
      <w:r w:rsidR="00913665" w:rsidRPr="00913665">
        <w:rPr>
          <w:noProof/>
        </w:rPr>
        <w:t>opł</w:t>
      </w:r>
      <w:r w:rsidRPr="00913665">
        <w:rPr>
          <w:noProof/>
        </w:rPr>
        <w:t>acalność leków oraz uczynić system opieki zdrowotnej bardziej zrównoważonym. Aktualnie Komisja ocenia złożone przez kilka państw członkowskich wnioski dotyczące finansowania publicznego na rzecz wspierania przełomowych innowacji</w:t>
      </w:r>
      <w:r w:rsidR="00913665" w:rsidRPr="00913665">
        <w:rPr>
          <w:noProof/>
        </w:rPr>
        <w:t xml:space="preserve"> w</w:t>
      </w:r>
      <w:r w:rsidR="00913665">
        <w:rPr>
          <w:noProof/>
        </w:rPr>
        <w:t> </w:t>
      </w:r>
      <w:r w:rsidR="00913665" w:rsidRPr="00913665">
        <w:rPr>
          <w:noProof/>
        </w:rPr>
        <w:t>sek</w:t>
      </w:r>
      <w:r w:rsidRPr="00913665">
        <w:rPr>
          <w:noProof/>
        </w:rPr>
        <w:t>torze farmaceutycznym</w:t>
      </w:r>
      <w:r w:rsidR="00913665" w:rsidRPr="00913665">
        <w:rPr>
          <w:noProof/>
        </w:rPr>
        <w:t xml:space="preserve"> w</w:t>
      </w:r>
      <w:r w:rsidR="00913665">
        <w:rPr>
          <w:noProof/>
        </w:rPr>
        <w:t> </w:t>
      </w:r>
      <w:r w:rsidR="00913665" w:rsidRPr="00913665">
        <w:rPr>
          <w:noProof/>
        </w:rPr>
        <w:t>ram</w:t>
      </w:r>
      <w:r w:rsidRPr="00913665">
        <w:rPr>
          <w:noProof/>
        </w:rPr>
        <w:t>ach pierwszego ważnego projektu stanowiącego przedmiot wspólnego europejskiego zainteresowania</w:t>
      </w:r>
      <w:r w:rsidR="00913665" w:rsidRPr="00913665">
        <w:rPr>
          <w:noProof/>
        </w:rPr>
        <w:t xml:space="preserve"> w</w:t>
      </w:r>
      <w:r w:rsidR="00913665">
        <w:rPr>
          <w:noProof/>
        </w:rPr>
        <w:t> </w:t>
      </w:r>
      <w:r w:rsidR="00913665" w:rsidRPr="00913665">
        <w:rPr>
          <w:noProof/>
        </w:rPr>
        <w:t>zak</w:t>
      </w:r>
      <w:r w:rsidRPr="00913665">
        <w:rPr>
          <w:noProof/>
        </w:rPr>
        <w:t>resie ochrony zdrowia (Med4Cure). Projekt ten ma na celu wspieranie rozwoju</w:t>
      </w:r>
      <w:r w:rsidR="00913665" w:rsidRPr="00913665">
        <w:rPr>
          <w:noProof/>
        </w:rPr>
        <w:t xml:space="preserve"> i</w:t>
      </w:r>
      <w:r w:rsidR="00913665">
        <w:rPr>
          <w:noProof/>
        </w:rPr>
        <w:t> </w:t>
      </w:r>
      <w:r w:rsidR="00913665" w:rsidRPr="00913665">
        <w:rPr>
          <w:noProof/>
        </w:rPr>
        <w:t>pie</w:t>
      </w:r>
      <w:r w:rsidRPr="00913665">
        <w:rPr>
          <w:noProof/>
        </w:rPr>
        <w:t>rwsze przemysłowe wdrożenie innowacyjnych metod leczenia</w:t>
      </w:r>
      <w:r w:rsidR="00913665" w:rsidRPr="00913665">
        <w:rPr>
          <w:noProof/>
        </w:rPr>
        <w:t xml:space="preserve"> i</w:t>
      </w:r>
      <w:r w:rsidR="00913665">
        <w:rPr>
          <w:noProof/>
        </w:rPr>
        <w:t> </w:t>
      </w:r>
      <w:r w:rsidR="00913665" w:rsidRPr="00913665">
        <w:rPr>
          <w:noProof/>
        </w:rPr>
        <w:t>now</w:t>
      </w:r>
      <w:r w:rsidRPr="00913665">
        <w:rPr>
          <w:noProof/>
        </w:rPr>
        <w:t>ych technologii, takich jak platformy mRNA,</w:t>
      </w:r>
      <w:r w:rsidR="00913665" w:rsidRPr="00913665">
        <w:rPr>
          <w:noProof/>
        </w:rPr>
        <w:t xml:space="preserve"> w</w:t>
      </w:r>
      <w:r w:rsidR="00913665">
        <w:rPr>
          <w:noProof/>
        </w:rPr>
        <w:t> </w:t>
      </w:r>
      <w:r w:rsidR="00913665" w:rsidRPr="00913665">
        <w:rPr>
          <w:noProof/>
        </w:rPr>
        <w:t>cel</w:t>
      </w:r>
      <w:r w:rsidRPr="00913665">
        <w:rPr>
          <w:noProof/>
        </w:rPr>
        <w:t>u zwalczania oporności na środki przeciwdrobnoustrojowe, chorób rzadkich</w:t>
      </w:r>
      <w:r w:rsidR="00913665" w:rsidRPr="00913665">
        <w:rPr>
          <w:noProof/>
        </w:rPr>
        <w:t xml:space="preserve"> i</w:t>
      </w:r>
      <w:r w:rsidR="00913665">
        <w:rPr>
          <w:noProof/>
        </w:rPr>
        <w:t> </w:t>
      </w:r>
      <w:r w:rsidR="00913665" w:rsidRPr="00913665">
        <w:rPr>
          <w:noProof/>
        </w:rPr>
        <w:t>now</w:t>
      </w:r>
      <w:r w:rsidRPr="00913665">
        <w:rPr>
          <w:noProof/>
        </w:rPr>
        <w:t>otworów.</w:t>
      </w:r>
    </w:p>
    <w:p w14:paraId="77AEA2D5" w14:textId="43410A90" w:rsidR="00C8464D" w:rsidRPr="00913665" w:rsidRDefault="00C8464D" w:rsidP="00597730">
      <w:pPr>
        <w:pStyle w:val="Heading2"/>
        <w:numPr>
          <w:ilvl w:val="1"/>
          <w:numId w:val="2"/>
        </w:numPr>
        <w:tabs>
          <w:tab w:val="left" w:pos="1428"/>
        </w:tabs>
        <w:kinsoku w:val="0"/>
        <w:overflowPunct w:val="0"/>
        <w:spacing w:before="240" w:line="276" w:lineRule="auto"/>
        <w:ind w:left="0" w:firstLine="0"/>
        <w:rPr>
          <w:noProof/>
          <w:color w:val="2E5395"/>
          <w:spacing w:val="-2"/>
        </w:rPr>
      </w:pPr>
      <w:bookmarkStart w:id="9" w:name="3.2._Ensuring_the_availability_of_critic"/>
      <w:bookmarkEnd w:id="9"/>
      <w:r w:rsidRPr="00913665">
        <w:rPr>
          <w:noProof/>
          <w:color w:val="2E5395"/>
        </w:rPr>
        <w:t>Zapewnienie dostępności leków</w:t>
      </w:r>
      <w:r w:rsidR="00913665" w:rsidRPr="00913665">
        <w:rPr>
          <w:noProof/>
          <w:color w:val="2E5395"/>
        </w:rPr>
        <w:t xml:space="preserve"> i</w:t>
      </w:r>
      <w:r w:rsidR="00913665">
        <w:rPr>
          <w:noProof/>
          <w:color w:val="2E5395"/>
        </w:rPr>
        <w:t> </w:t>
      </w:r>
      <w:r w:rsidR="00913665" w:rsidRPr="00913665">
        <w:rPr>
          <w:noProof/>
          <w:color w:val="2E5395"/>
        </w:rPr>
        <w:t>wyr</w:t>
      </w:r>
      <w:r w:rsidRPr="00913665">
        <w:rPr>
          <w:noProof/>
          <w:color w:val="2E5395"/>
        </w:rPr>
        <w:t>obów medycznych</w:t>
      </w:r>
      <w:r w:rsidR="00913665" w:rsidRPr="00913665">
        <w:rPr>
          <w:noProof/>
          <w:color w:val="2E5395"/>
        </w:rPr>
        <w:t xml:space="preserve"> o</w:t>
      </w:r>
      <w:r w:rsidR="00913665">
        <w:rPr>
          <w:noProof/>
          <w:color w:val="2E5395"/>
        </w:rPr>
        <w:t> </w:t>
      </w:r>
      <w:r w:rsidR="00913665" w:rsidRPr="00913665">
        <w:rPr>
          <w:noProof/>
          <w:color w:val="2E5395"/>
        </w:rPr>
        <w:t>kry</w:t>
      </w:r>
      <w:r w:rsidRPr="00913665">
        <w:rPr>
          <w:noProof/>
          <w:color w:val="2E5395"/>
        </w:rPr>
        <w:t>tycznym znaczeniu</w:t>
      </w:r>
    </w:p>
    <w:p w14:paraId="01A9ABF6" w14:textId="699079D6" w:rsidR="00C8464D" w:rsidRPr="00913665" w:rsidRDefault="00C8464D" w:rsidP="00597730">
      <w:pPr>
        <w:pStyle w:val="BodyText"/>
        <w:kinsoku w:val="0"/>
        <w:overflowPunct w:val="0"/>
        <w:spacing w:before="240" w:line="276" w:lineRule="auto"/>
        <w:jc w:val="both"/>
        <w:rPr>
          <w:noProof/>
        </w:rPr>
      </w:pPr>
      <w:r w:rsidRPr="00913665">
        <w:rPr>
          <w:noProof/>
        </w:rPr>
        <w:t>Ryzyko niedoborów leków jest poważnym problemem opieki zdrowotnej w UE</w:t>
      </w:r>
      <w:r w:rsidR="00913665" w:rsidRPr="00913665">
        <w:rPr>
          <w:noProof/>
        </w:rPr>
        <w:t xml:space="preserve"> i</w:t>
      </w:r>
      <w:r w:rsidR="00913665">
        <w:rPr>
          <w:noProof/>
        </w:rPr>
        <w:t> </w:t>
      </w:r>
      <w:r w:rsidR="00913665" w:rsidRPr="00913665">
        <w:rPr>
          <w:noProof/>
        </w:rPr>
        <w:t>w</w:t>
      </w:r>
      <w:r w:rsidR="00913665">
        <w:rPr>
          <w:noProof/>
        </w:rPr>
        <w:t> </w:t>
      </w:r>
      <w:r w:rsidR="00913665" w:rsidRPr="00913665">
        <w:rPr>
          <w:noProof/>
        </w:rPr>
        <w:t>wym</w:t>
      </w:r>
      <w:r w:rsidRPr="00913665">
        <w:rPr>
          <w:noProof/>
        </w:rPr>
        <w:t>iarze globalnym. Europejska Unia Zdrowotna walczy</w:t>
      </w:r>
      <w:r w:rsidR="00913665" w:rsidRPr="00913665">
        <w:rPr>
          <w:noProof/>
        </w:rPr>
        <w:t xml:space="preserve"> z</w:t>
      </w:r>
      <w:r w:rsidR="00913665">
        <w:rPr>
          <w:noProof/>
        </w:rPr>
        <w:t> </w:t>
      </w:r>
      <w:r w:rsidR="00913665" w:rsidRPr="00913665">
        <w:rPr>
          <w:noProof/>
        </w:rPr>
        <w:t>tym</w:t>
      </w:r>
      <w:r w:rsidRPr="00913665">
        <w:rPr>
          <w:noProof/>
        </w:rPr>
        <w:t xml:space="preserve"> problemem, stosując środki regulacyjne</w:t>
      </w:r>
      <w:r w:rsidR="00913665" w:rsidRPr="00913665">
        <w:rPr>
          <w:noProof/>
        </w:rPr>
        <w:t xml:space="preserve"> i</w:t>
      </w:r>
      <w:r w:rsidR="00913665">
        <w:rPr>
          <w:noProof/>
        </w:rPr>
        <w:t> </w:t>
      </w:r>
      <w:r w:rsidR="00913665" w:rsidRPr="00913665">
        <w:rPr>
          <w:noProof/>
        </w:rPr>
        <w:t>prz</w:t>
      </w:r>
      <w:r w:rsidRPr="00913665">
        <w:rPr>
          <w:noProof/>
        </w:rPr>
        <w:t>emysłowe.</w:t>
      </w:r>
    </w:p>
    <w:p w14:paraId="6536A31A" w14:textId="1B2A6CFF" w:rsidR="00C8464D" w:rsidRPr="00913665" w:rsidRDefault="00C8464D" w:rsidP="00597730">
      <w:pPr>
        <w:pStyle w:val="BodyText"/>
        <w:kinsoku w:val="0"/>
        <w:overflowPunct w:val="0"/>
        <w:spacing w:before="240" w:line="276" w:lineRule="auto"/>
        <w:jc w:val="both"/>
        <w:rPr>
          <w:noProof/>
        </w:rPr>
      </w:pPr>
      <w:r w:rsidRPr="00913665">
        <w:rPr>
          <w:noProof/>
        </w:rPr>
        <w:t>W proponowanej reformie przepisów farmaceutycznych wnioskuje się</w:t>
      </w:r>
      <w:r w:rsidR="00913665" w:rsidRPr="00913665">
        <w:rPr>
          <w:noProof/>
        </w:rPr>
        <w:t xml:space="preserve"> o</w:t>
      </w:r>
      <w:r w:rsidR="00913665">
        <w:rPr>
          <w:noProof/>
        </w:rPr>
        <w:t> </w:t>
      </w:r>
      <w:r w:rsidR="00913665" w:rsidRPr="00913665">
        <w:rPr>
          <w:noProof/>
        </w:rPr>
        <w:t>dzi</w:t>
      </w:r>
      <w:r w:rsidRPr="00913665">
        <w:rPr>
          <w:noProof/>
        </w:rPr>
        <w:t>ałania mające na celu zwiększenie bezpieczeństwa dostaw produktów leczniczych</w:t>
      </w:r>
      <w:r w:rsidR="00913665" w:rsidRPr="00913665">
        <w:rPr>
          <w:noProof/>
        </w:rPr>
        <w:t xml:space="preserve"> o</w:t>
      </w:r>
      <w:r w:rsidR="00913665">
        <w:rPr>
          <w:noProof/>
        </w:rPr>
        <w:t> </w:t>
      </w:r>
      <w:r w:rsidR="00913665" w:rsidRPr="00913665">
        <w:rPr>
          <w:noProof/>
        </w:rPr>
        <w:t>naj</w:t>
      </w:r>
      <w:r w:rsidRPr="00913665">
        <w:rPr>
          <w:noProof/>
        </w:rPr>
        <w:t>bardziej krytycznym znaczeniu</w:t>
      </w:r>
      <w:r w:rsidR="00913665" w:rsidRPr="00913665">
        <w:rPr>
          <w:noProof/>
        </w:rPr>
        <w:t xml:space="preserve"> i</w:t>
      </w:r>
      <w:r w:rsidR="00913665">
        <w:rPr>
          <w:noProof/>
        </w:rPr>
        <w:t> </w:t>
      </w:r>
      <w:r w:rsidR="00913665" w:rsidRPr="00913665">
        <w:rPr>
          <w:noProof/>
        </w:rPr>
        <w:t>nad</w:t>
      </w:r>
      <w:r w:rsidRPr="00913665">
        <w:rPr>
          <w:noProof/>
        </w:rPr>
        <w:t>aje się EMA większe uprawnienia</w:t>
      </w:r>
      <w:r w:rsidR="00913665" w:rsidRPr="00913665">
        <w:rPr>
          <w:noProof/>
        </w:rPr>
        <w:t xml:space="preserve"> w</w:t>
      </w:r>
      <w:r w:rsidR="00913665">
        <w:rPr>
          <w:noProof/>
        </w:rPr>
        <w:t> </w:t>
      </w:r>
      <w:r w:rsidR="00913665" w:rsidRPr="00913665">
        <w:rPr>
          <w:noProof/>
        </w:rPr>
        <w:t>koo</w:t>
      </w:r>
      <w:r w:rsidRPr="00913665">
        <w:rPr>
          <w:noProof/>
        </w:rPr>
        <w:t>rdynowaniu środków mających na celu łagodzenie niedoborów</w:t>
      </w:r>
      <w:r w:rsidR="00913665" w:rsidRPr="00913665">
        <w:rPr>
          <w:noProof/>
        </w:rPr>
        <w:t>. W</w:t>
      </w:r>
      <w:r w:rsidR="00913665">
        <w:rPr>
          <w:noProof/>
        </w:rPr>
        <w:t> </w:t>
      </w:r>
      <w:r w:rsidR="00913665" w:rsidRPr="00913665">
        <w:rPr>
          <w:noProof/>
        </w:rPr>
        <w:t>paź</w:t>
      </w:r>
      <w:r w:rsidRPr="00913665">
        <w:rPr>
          <w:noProof/>
        </w:rPr>
        <w:t>dzierniku 2023</w:t>
      </w:r>
      <w:r w:rsidR="00913665" w:rsidRPr="00913665">
        <w:rPr>
          <w:noProof/>
        </w:rPr>
        <w:t> </w:t>
      </w:r>
      <w:r w:rsidRPr="00913665">
        <w:rPr>
          <w:noProof/>
        </w:rPr>
        <w:t>r.</w:t>
      </w:r>
      <w:r w:rsidR="008821EA" w:rsidRPr="00913665">
        <w:rPr>
          <w:rStyle w:val="FootnoteReference"/>
          <w:noProof/>
        </w:rPr>
        <w:footnoteReference w:id="15"/>
      </w:r>
      <w:r w:rsidRPr="00913665">
        <w:rPr>
          <w:noProof/>
        </w:rPr>
        <w:t xml:space="preserve"> Komisja zaproponowała dodatkowe środki krótko-</w:t>
      </w:r>
      <w:r w:rsidR="00913665" w:rsidRPr="00913665">
        <w:rPr>
          <w:noProof/>
        </w:rPr>
        <w:t xml:space="preserve"> i</w:t>
      </w:r>
      <w:r w:rsidR="00913665">
        <w:rPr>
          <w:noProof/>
        </w:rPr>
        <w:t> </w:t>
      </w:r>
      <w:r w:rsidR="00913665" w:rsidRPr="00913665">
        <w:rPr>
          <w:noProof/>
        </w:rPr>
        <w:t>śre</w:t>
      </w:r>
      <w:r w:rsidRPr="00913665">
        <w:rPr>
          <w:noProof/>
        </w:rPr>
        <w:t>dnioterminowe</w:t>
      </w:r>
      <w:r w:rsidR="00913665" w:rsidRPr="00913665">
        <w:rPr>
          <w:noProof/>
        </w:rPr>
        <w:t xml:space="preserve"> w</w:t>
      </w:r>
      <w:r w:rsidR="00913665">
        <w:rPr>
          <w:noProof/>
        </w:rPr>
        <w:t> </w:t>
      </w:r>
      <w:r w:rsidR="00913665" w:rsidRPr="00913665">
        <w:rPr>
          <w:noProof/>
        </w:rPr>
        <w:t>cel</w:t>
      </w:r>
      <w:r w:rsidRPr="00913665">
        <w:rPr>
          <w:noProof/>
        </w:rPr>
        <w:t>u zapewnienia bardziej systemowych</w:t>
      </w:r>
      <w:r w:rsidR="00913665" w:rsidRPr="00913665">
        <w:rPr>
          <w:noProof/>
        </w:rPr>
        <w:t xml:space="preserve"> i</w:t>
      </w:r>
      <w:r w:rsidR="00913665">
        <w:rPr>
          <w:noProof/>
        </w:rPr>
        <w:t> </w:t>
      </w:r>
      <w:r w:rsidR="00913665" w:rsidRPr="00913665">
        <w:rPr>
          <w:noProof/>
        </w:rPr>
        <w:t>sko</w:t>
      </w:r>
      <w:r w:rsidRPr="00913665">
        <w:rPr>
          <w:noProof/>
        </w:rPr>
        <w:t>ordynowanych działań</w:t>
      </w:r>
      <w:r w:rsidR="00913665" w:rsidRPr="00913665">
        <w:rPr>
          <w:noProof/>
        </w:rPr>
        <w:t xml:space="preserve"> w</w:t>
      </w:r>
      <w:r w:rsidR="00913665">
        <w:rPr>
          <w:noProof/>
        </w:rPr>
        <w:t> </w:t>
      </w:r>
      <w:r w:rsidR="00913665" w:rsidRPr="00913665">
        <w:rPr>
          <w:noProof/>
        </w:rPr>
        <w:t>prz</w:t>
      </w:r>
      <w:r w:rsidRPr="00913665">
        <w:rPr>
          <w:noProof/>
        </w:rPr>
        <w:t>ypadku niedoborów leków</w:t>
      </w:r>
      <w:r w:rsidR="00913665" w:rsidRPr="00913665">
        <w:rPr>
          <w:noProof/>
        </w:rPr>
        <w:t>. W</w:t>
      </w:r>
      <w:r w:rsidR="00913665">
        <w:rPr>
          <w:noProof/>
        </w:rPr>
        <w:t> </w:t>
      </w:r>
      <w:r w:rsidR="00913665" w:rsidRPr="00913665">
        <w:rPr>
          <w:noProof/>
        </w:rPr>
        <w:t>gru</w:t>
      </w:r>
      <w:r w:rsidRPr="00913665">
        <w:rPr>
          <w:noProof/>
        </w:rPr>
        <w:t>dniu 2023 r. opublikowano pierwszą wersję unijnego wykazu produktów leczniczych</w:t>
      </w:r>
      <w:r w:rsidR="00913665" w:rsidRPr="00913665">
        <w:rPr>
          <w:noProof/>
        </w:rPr>
        <w:t xml:space="preserve"> o</w:t>
      </w:r>
      <w:r w:rsidR="00913665">
        <w:rPr>
          <w:noProof/>
        </w:rPr>
        <w:t> </w:t>
      </w:r>
      <w:r w:rsidR="00913665" w:rsidRPr="00913665">
        <w:rPr>
          <w:noProof/>
        </w:rPr>
        <w:t>kry</w:t>
      </w:r>
      <w:r w:rsidRPr="00913665">
        <w:rPr>
          <w:noProof/>
        </w:rPr>
        <w:t>tycznym znaczeniu</w:t>
      </w:r>
      <w:r w:rsidR="008821EA" w:rsidRPr="00913665">
        <w:rPr>
          <w:rStyle w:val="FootnoteReference"/>
          <w:noProof/>
        </w:rPr>
        <w:footnoteReference w:id="16"/>
      </w:r>
      <w:r w:rsidRPr="00913665">
        <w:rPr>
          <w:noProof/>
        </w:rPr>
        <w:t>, zawierającego ponad 200 substancji czynnych, których ciągłość dostaw uznaje się za kwestię priorytetową. Ponadto celem Platformy na rzecz technologii strategicznych dla Europy (STEP) będzie wykorzystanie funduszy UE</w:t>
      </w:r>
      <w:r w:rsidR="00913665" w:rsidRPr="00913665">
        <w:rPr>
          <w:noProof/>
        </w:rPr>
        <w:t xml:space="preserve"> w</w:t>
      </w:r>
      <w:r w:rsidR="00913665">
        <w:rPr>
          <w:noProof/>
        </w:rPr>
        <w:t> </w:t>
      </w:r>
      <w:r w:rsidR="00913665" w:rsidRPr="00913665">
        <w:rPr>
          <w:noProof/>
        </w:rPr>
        <w:t>cel</w:t>
      </w:r>
      <w:r w:rsidRPr="00913665">
        <w:rPr>
          <w:noProof/>
        </w:rPr>
        <w:t>u dalszego wspierania rozwoju</w:t>
      </w:r>
      <w:r w:rsidR="00913665" w:rsidRPr="00913665">
        <w:rPr>
          <w:noProof/>
        </w:rPr>
        <w:t xml:space="preserve"> i</w:t>
      </w:r>
      <w:r w:rsidR="00913665">
        <w:rPr>
          <w:noProof/>
        </w:rPr>
        <w:t> </w:t>
      </w:r>
      <w:r w:rsidR="00913665" w:rsidRPr="00913665">
        <w:rPr>
          <w:noProof/>
        </w:rPr>
        <w:t>pro</w:t>
      </w:r>
      <w:r w:rsidRPr="00913665">
        <w:rPr>
          <w:noProof/>
        </w:rPr>
        <w:t>dukcji biotechnologii</w:t>
      </w:r>
      <w:r w:rsidR="00913665" w:rsidRPr="00913665">
        <w:rPr>
          <w:noProof/>
        </w:rPr>
        <w:t xml:space="preserve"> i</w:t>
      </w:r>
      <w:r w:rsidR="00913665">
        <w:rPr>
          <w:noProof/>
        </w:rPr>
        <w:t> </w:t>
      </w:r>
      <w:r w:rsidR="00913665" w:rsidRPr="00913665">
        <w:rPr>
          <w:noProof/>
        </w:rPr>
        <w:t>lek</w:t>
      </w:r>
      <w:r w:rsidRPr="00913665">
        <w:rPr>
          <w:noProof/>
        </w:rPr>
        <w:t>ów</w:t>
      </w:r>
      <w:r w:rsidR="00913665" w:rsidRPr="00913665">
        <w:rPr>
          <w:noProof/>
        </w:rPr>
        <w:t xml:space="preserve"> o</w:t>
      </w:r>
      <w:r w:rsidR="00913665">
        <w:rPr>
          <w:noProof/>
        </w:rPr>
        <w:t> </w:t>
      </w:r>
      <w:r w:rsidR="00913665" w:rsidRPr="00913665">
        <w:rPr>
          <w:noProof/>
        </w:rPr>
        <w:t>kry</w:t>
      </w:r>
      <w:r w:rsidRPr="00913665">
        <w:rPr>
          <w:noProof/>
        </w:rPr>
        <w:t>tycznym znaczeniu.</w:t>
      </w:r>
    </w:p>
    <w:p w14:paraId="7C1C1920" w14:textId="2379612E" w:rsidR="00C8464D" w:rsidRPr="00913665" w:rsidRDefault="00C8464D" w:rsidP="00597730">
      <w:pPr>
        <w:pStyle w:val="BodyText"/>
        <w:kinsoku w:val="0"/>
        <w:overflowPunct w:val="0"/>
        <w:spacing w:before="240" w:line="276" w:lineRule="auto"/>
        <w:jc w:val="both"/>
        <w:rPr>
          <w:noProof/>
        </w:rPr>
      </w:pPr>
      <w:r w:rsidRPr="00913665">
        <w:rPr>
          <w:noProof/>
        </w:rPr>
        <w:t>W kwietniu 2024</w:t>
      </w:r>
      <w:r w:rsidR="00913665" w:rsidRPr="00913665">
        <w:rPr>
          <w:noProof/>
        </w:rPr>
        <w:t> </w:t>
      </w:r>
      <w:r w:rsidRPr="00913665">
        <w:rPr>
          <w:noProof/>
        </w:rPr>
        <w:t xml:space="preserve">r. Komisja uruchomiła </w:t>
      </w:r>
      <w:r w:rsidRPr="00913665">
        <w:rPr>
          <w:b/>
          <w:noProof/>
        </w:rPr>
        <w:t>Sojusz na rzecz Leków</w:t>
      </w:r>
      <w:r w:rsidR="00913665" w:rsidRPr="00913665">
        <w:rPr>
          <w:b/>
          <w:noProof/>
        </w:rPr>
        <w:t xml:space="preserve"> o</w:t>
      </w:r>
      <w:r w:rsidR="00913665">
        <w:rPr>
          <w:b/>
          <w:noProof/>
        </w:rPr>
        <w:t> </w:t>
      </w:r>
      <w:r w:rsidR="00913665" w:rsidRPr="00913665">
        <w:rPr>
          <w:b/>
          <w:noProof/>
        </w:rPr>
        <w:t>Kry</w:t>
      </w:r>
      <w:r w:rsidRPr="00913665">
        <w:rPr>
          <w:b/>
          <w:noProof/>
        </w:rPr>
        <w:t>tycznym Znaczeniu</w:t>
      </w:r>
      <w:r w:rsidR="008821EA" w:rsidRPr="00913665">
        <w:rPr>
          <w:rStyle w:val="FootnoteReference"/>
          <w:b/>
          <w:bCs/>
          <w:noProof/>
          <w:spacing w:val="-4"/>
        </w:rPr>
        <w:footnoteReference w:id="17"/>
      </w:r>
      <w:r w:rsidRPr="00913665">
        <w:rPr>
          <w:noProof/>
        </w:rPr>
        <w:t xml:space="preserve"> stanowiący platformę współpracy, której celem jest rozwiązanie problemu niedoborów</w:t>
      </w:r>
      <w:r w:rsidR="00913665" w:rsidRPr="00913665">
        <w:rPr>
          <w:noProof/>
        </w:rPr>
        <w:t xml:space="preserve"> w</w:t>
      </w:r>
      <w:r w:rsidR="00913665">
        <w:rPr>
          <w:noProof/>
        </w:rPr>
        <w:t> </w:t>
      </w:r>
      <w:r w:rsidR="00913665" w:rsidRPr="00913665">
        <w:rPr>
          <w:noProof/>
        </w:rPr>
        <w:t>wym</w:t>
      </w:r>
      <w:r w:rsidRPr="00913665">
        <w:rPr>
          <w:noProof/>
        </w:rPr>
        <w:t>iarze przemysłowym. Sojusz zrzesza podmioty publiczne</w:t>
      </w:r>
      <w:r w:rsidR="00913665" w:rsidRPr="00913665">
        <w:rPr>
          <w:noProof/>
        </w:rPr>
        <w:t xml:space="preserve"> i</w:t>
      </w:r>
      <w:r w:rsidR="00913665">
        <w:rPr>
          <w:noProof/>
        </w:rPr>
        <w:t> </w:t>
      </w:r>
      <w:r w:rsidR="00913665" w:rsidRPr="00913665">
        <w:rPr>
          <w:noProof/>
        </w:rPr>
        <w:t>pry</w:t>
      </w:r>
      <w:r w:rsidRPr="00913665">
        <w:rPr>
          <w:noProof/>
        </w:rPr>
        <w:t>watne</w:t>
      </w:r>
      <w:r w:rsidR="00913665" w:rsidRPr="00913665">
        <w:rPr>
          <w:noProof/>
        </w:rPr>
        <w:t xml:space="preserve"> z</w:t>
      </w:r>
      <w:r w:rsidR="00913665">
        <w:rPr>
          <w:noProof/>
        </w:rPr>
        <w:t> </w:t>
      </w:r>
      <w:r w:rsidR="00913665" w:rsidRPr="00913665">
        <w:rPr>
          <w:noProof/>
        </w:rPr>
        <w:t>eur</w:t>
      </w:r>
      <w:r w:rsidRPr="00913665">
        <w:rPr>
          <w:noProof/>
        </w:rPr>
        <w:t>opejskiego ekosystemu zdrowotnego</w:t>
      </w:r>
      <w:r w:rsidR="00913665" w:rsidRPr="00913665">
        <w:rPr>
          <w:noProof/>
        </w:rPr>
        <w:t xml:space="preserve"> i</w:t>
      </w:r>
      <w:r w:rsidR="00913665">
        <w:rPr>
          <w:noProof/>
        </w:rPr>
        <w:t> </w:t>
      </w:r>
      <w:r w:rsidR="00913665" w:rsidRPr="00913665">
        <w:rPr>
          <w:noProof/>
        </w:rPr>
        <w:t>prz</w:t>
      </w:r>
      <w:r w:rsidRPr="00913665">
        <w:rPr>
          <w:noProof/>
        </w:rPr>
        <w:t>emysłowego</w:t>
      </w:r>
      <w:r w:rsidR="00913665" w:rsidRPr="00913665">
        <w:rPr>
          <w:noProof/>
        </w:rPr>
        <w:t xml:space="preserve"> w</w:t>
      </w:r>
      <w:r w:rsidR="00913665">
        <w:rPr>
          <w:noProof/>
        </w:rPr>
        <w:t> </w:t>
      </w:r>
      <w:r w:rsidR="00913665" w:rsidRPr="00913665">
        <w:rPr>
          <w:noProof/>
        </w:rPr>
        <w:t>cel</w:t>
      </w:r>
      <w:r w:rsidRPr="00913665">
        <w:rPr>
          <w:noProof/>
        </w:rPr>
        <w:t>u pracowania zaleceń ukierunkowanych na zwiększenie bezpieczeństwa dostaw</w:t>
      </w:r>
      <w:r w:rsidR="00913665" w:rsidRPr="00913665">
        <w:rPr>
          <w:noProof/>
        </w:rPr>
        <w:t xml:space="preserve"> i</w:t>
      </w:r>
      <w:r w:rsidR="00913665">
        <w:rPr>
          <w:noProof/>
        </w:rPr>
        <w:t> </w:t>
      </w:r>
      <w:r w:rsidR="00913665" w:rsidRPr="00913665">
        <w:rPr>
          <w:noProof/>
        </w:rPr>
        <w:t>wzm</w:t>
      </w:r>
      <w:r w:rsidRPr="00913665">
        <w:rPr>
          <w:noProof/>
        </w:rPr>
        <w:t>ocnienie globalnych łańcuchów dostaw leków</w:t>
      </w:r>
      <w:r w:rsidR="00913665" w:rsidRPr="00913665">
        <w:rPr>
          <w:noProof/>
        </w:rPr>
        <w:t xml:space="preserve"> o</w:t>
      </w:r>
      <w:r w:rsidR="00913665">
        <w:rPr>
          <w:noProof/>
        </w:rPr>
        <w:t> </w:t>
      </w:r>
      <w:r w:rsidR="00913665" w:rsidRPr="00913665">
        <w:rPr>
          <w:noProof/>
        </w:rPr>
        <w:t>kry</w:t>
      </w:r>
      <w:r w:rsidRPr="00913665">
        <w:rPr>
          <w:noProof/>
        </w:rPr>
        <w:t>tycznym znaczeniu</w:t>
      </w:r>
      <w:r w:rsidR="00913665" w:rsidRPr="00913665">
        <w:rPr>
          <w:noProof/>
        </w:rPr>
        <w:t>. W</w:t>
      </w:r>
      <w:r w:rsidR="00913665">
        <w:rPr>
          <w:noProof/>
        </w:rPr>
        <w:t> </w:t>
      </w:r>
      <w:r w:rsidR="00913665" w:rsidRPr="00913665">
        <w:rPr>
          <w:noProof/>
        </w:rPr>
        <w:t>opa</w:t>
      </w:r>
      <w:r w:rsidRPr="00913665">
        <w:rPr>
          <w:noProof/>
        </w:rPr>
        <w:t>rciu</w:t>
      </w:r>
      <w:r w:rsidR="00913665" w:rsidRPr="00913665">
        <w:rPr>
          <w:noProof/>
        </w:rPr>
        <w:t xml:space="preserve"> o</w:t>
      </w:r>
      <w:r w:rsidR="00913665">
        <w:rPr>
          <w:noProof/>
        </w:rPr>
        <w:t> </w:t>
      </w:r>
      <w:r w:rsidR="00913665" w:rsidRPr="00913665">
        <w:rPr>
          <w:noProof/>
        </w:rPr>
        <w:t>oce</w:t>
      </w:r>
      <w:r w:rsidRPr="00913665">
        <w:rPr>
          <w:noProof/>
        </w:rPr>
        <w:t>nę narażenia leków</w:t>
      </w:r>
      <w:r w:rsidR="00913665" w:rsidRPr="00913665">
        <w:rPr>
          <w:noProof/>
        </w:rPr>
        <w:t xml:space="preserve"> o</w:t>
      </w:r>
      <w:r w:rsidR="00913665">
        <w:rPr>
          <w:noProof/>
        </w:rPr>
        <w:t> </w:t>
      </w:r>
      <w:r w:rsidR="00913665" w:rsidRPr="00913665">
        <w:rPr>
          <w:noProof/>
        </w:rPr>
        <w:t>kry</w:t>
      </w:r>
      <w:r w:rsidRPr="00913665">
        <w:rPr>
          <w:noProof/>
        </w:rPr>
        <w:t>tycznym znaczeniu Sojusz przeanalizuje możliwe sposoby ograniczenia ryzyka strukturalnego, wzmocnienia dostaw poprzez zachęty do dywersyfikacji,</w:t>
      </w:r>
      <w:r w:rsidR="00913665" w:rsidRPr="00913665">
        <w:rPr>
          <w:noProof/>
        </w:rPr>
        <w:t xml:space="preserve"> a</w:t>
      </w:r>
      <w:r w:rsidR="00913665">
        <w:rPr>
          <w:noProof/>
        </w:rPr>
        <w:t> </w:t>
      </w:r>
      <w:r w:rsidR="00913665" w:rsidRPr="00913665">
        <w:rPr>
          <w:noProof/>
        </w:rPr>
        <w:t>tak</w:t>
      </w:r>
      <w:r w:rsidRPr="00913665">
        <w:rPr>
          <w:noProof/>
        </w:rPr>
        <w:t>że modernizację</w:t>
      </w:r>
      <w:r w:rsidR="00913665" w:rsidRPr="00913665">
        <w:rPr>
          <w:noProof/>
        </w:rPr>
        <w:t xml:space="preserve"> i</w:t>
      </w:r>
      <w:r w:rsidR="00913665">
        <w:rPr>
          <w:noProof/>
        </w:rPr>
        <w:t> </w:t>
      </w:r>
      <w:r w:rsidR="00913665" w:rsidRPr="00913665">
        <w:rPr>
          <w:noProof/>
        </w:rPr>
        <w:t>zwi</w:t>
      </w:r>
      <w:r w:rsidRPr="00913665">
        <w:rPr>
          <w:noProof/>
        </w:rPr>
        <w:t>ększenie zdolności produkcyjnych na szczeblu UE tam, gdzie jest to wymagane. Prace Sojuszu zostaną również uwzględnione</w:t>
      </w:r>
      <w:r w:rsidR="00913665" w:rsidRPr="00913665">
        <w:rPr>
          <w:noProof/>
        </w:rPr>
        <w:t xml:space="preserve"> w</w:t>
      </w:r>
      <w:r w:rsidR="00913665">
        <w:rPr>
          <w:noProof/>
        </w:rPr>
        <w:t> </w:t>
      </w:r>
      <w:r w:rsidR="00913665" w:rsidRPr="00913665">
        <w:rPr>
          <w:noProof/>
        </w:rPr>
        <w:t>ewe</w:t>
      </w:r>
      <w:r w:rsidRPr="00913665">
        <w:rPr>
          <w:noProof/>
        </w:rPr>
        <w:t>ntualnej przyszłej inicjatywie ustawodawczej dotyczącej unijnego aktu prawnego</w:t>
      </w:r>
      <w:r w:rsidR="00913665" w:rsidRPr="00913665">
        <w:rPr>
          <w:noProof/>
        </w:rPr>
        <w:t xml:space="preserve"> w</w:t>
      </w:r>
      <w:r w:rsidR="00913665">
        <w:rPr>
          <w:noProof/>
        </w:rPr>
        <w:t> </w:t>
      </w:r>
      <w:r w:rsidR="00913665" w:rsidRPr="00913665">
        <w:rPr>
          <w:noProof/>
        </w:rPr>
        <w:t>spr</w:t>
      </w:r>
      <w:r w:rsidRPr="00913665">
        <w:rPr>
          <w:noProof/>
        </w:rPr>
        <w:t>awie produktów leczniczych</w:t>
      </w:r>
      <w:r w:rsidR="00913665" w:rsidRPr="00913665">
        <w:rPr>
          <w:noProof/>
        </w:rPr>
        <w:t xml:space="preserve"> o</w:t>
      </w:r>
      <w:r w:rsidR="00913665">
        <w:rPr>
          <w:noProof/>
        </w:rPr>
        <w:t> </w:t>
      </w:r>
      <w:r w:rsidR="00913665" w:rsidRPr="00913665">
        <w:rPr>
          <w:noProof/>
        </w:rPr>
        <w:t>kry</w:t>
      </w:r>
      <w:r w:rsidRPr="00913665">
        <w:rPr>
          <w:noProof/>
        </w:rPr>
        <w:t>tycznym znaczeniu.</w:t>
      </w:r>
    </w:p>
    <w:p w14:paraId="5CFCCF84" w14:textId="73DEE515" w:rsidR="00C8464D" w:rsidRPr="00913665" w:rsidRDefault="00C8464D" w:rsidP="00597730">
      <w:pPr>
        <w:pStyle w:val="BodyText"/>
        <w:kinsoku w:val="0"/>
        <w:overflowPunct w:val="0"/>
        <w:spacing w:before="240" w:line="276" w:lineRule="auto"/>
        <w:jc w:val="both"/>
        <w:rPr>
          <w:noProof/>
        </w:rPr>
      </w:pPr>
      <w:r w:rsidRPr="00913665">
        <w:rPr>
          <w:noProof/>
        </w:rPr>
        <w:t>W 2017</w:t>
      </w:r>
      <w:r w:rsidR="00913665" w:rsidRPr="00913665">
        <w:rPr>
          <w:noProof/>
        </w:rPr>
        <w:t> </w:t>
      </w:r>
      <w:r w:rsidRPr="00913665">
        <w:rPr>
          <w:noProof/>
        </w:rPr>
        <w:t>r. rozporządzeniem</w:t>
      </w:r>
      <w:r w:rsidR="00913665" w:rsidRPr="00913665">
        <w:rPr>
          <w:noProof/>
        </w:rPr>
        <w:t xml:space="preserve"> w</w:t>
      </w:r>
      <w:r w:rsidR="00913665">
        <w:rPr>
          <w:noProof/>
        </w:rPr>
        <w:t> </w:t>
      </w:r>
      <w:r w:rsidR="00913665" w:rsidRPr="00913665">
        <w:rPr>
          <w:noProof/>
        </w:rPr>
        <w:t>spr</w:t>
      </w:r>
      <w:r w:rsidRPr="00913665">
        <w:rPr>
          <w:noProof/>
        </w:rPr>
        <w:t>awie wyrobów medycznych (MDR)</w:t>
      </w:r>
      <w:r w:rsidR="00913665" w:rsidRPr="00913665">
        <w:rPr>
          <w:noProof/>
        </w:rPr>
        <w:t xml:space="preserve"> i</w:t>
      </w:r>
      <w:r w:rsidR="00913665">
        <w:rPr>
          <w:noProof/>
        </w:rPr>
        <w:t> </w:t>
      </w:r>
      <w:r w:rsidR="00913665" w:rsidRPr="00913665">
        <w:rPr>
          <w:noProof/>
        </w:rPr>
        <w:t>roz</w:t>
      </w:r>
      <w:r w:rsidRPr="00913665">
        <w:rPr>
          <w:noProof/>
        </w:rPr>
        <w:t>porządzeniem</w:t>
      </w:r>
      <w:r w:rsidR="00913665" w:rsidRPr="00913665">
        <w:rPr>
          <w:noProof/>
        </w:rPr>
        <w:t xml:space="preserve"> w</w:t>
      </w:r>
      <w:r w:rsidR="00913665">
        <w:rPr>
          <w:noProof/>
        </w:rPr>
        <w:t> </w:t>
      </w:r>
      <w:r w:rsidR="00913665" w:rsidRPr="00913665">
        <w:rPr>
          <w:noProof/>
        </w:rPr>
        <w:t>spr</w:t>
      </w:r>
      <w:r w:rsidRPr="00913665">
        <w:rPr>
          <w:noProof/>
        </w:rPr>
        <w:t>awie wyrobów medycznych do diagnostyki</w:t>
      </w:r>
      <w:r w:rsidRPr="00913665">
        <w:rPr>
          <w:i/>
          <w:iCs/>
          <w:noProof/>
        </w:rPr>
        <w:t xml:space="preserve"> in vitro</w:t>
      </w:r>
      <w:r w:rsidRPr="00913665">
        <w:rPr>
          <w:noProof/>
        </w:rPr>
        <w:t xml:space="preserve"> (IVDR) ustanowiono nowe, bardziej rygorystyczne ramy prawne UE, aby zapewnić lepszą ochronę zdrowia publicznego</w:t>
      </w:r>
      <w:r w:rsidR="00913665" w:rsidRPr="00913665">
        <w:rPr>
          <w:noProof/>
        </w:rPr>
        <w:t xml:space="preserve"> i</w:t>
      </w:r>
      <w:r w:rsidR="00913665">
        <w:rPr>
          <w:noProof/>
        </w:rPr>
        <w:t> </w:t>
      </w:r>
      <w:r w:rsidR="00913665" w:rsidRPr="00913665">
        <w:rPr>
          <w:noProof/>
        </w:rPr>
        <w:t>bez</w:t>
      </w:r>
      <w:r w:rsidRPr="00913665">
        <w:rPr>
          <w:noProof/>
        </w:rPr>
        <w:t>pieczeństwa pacjentów</w:t>
      </w:r>
      <w:r w:rsidR="00913665" w:rsidRPr="00913665">
        <w:rPr>
          <w:noProof/>
        </w:rPr>
        <w:t xml:space="preserve"> w</w:t>
      </w:r>
      <w:r w:rsidR="00913665">
        <w:rPr>
          <w:noProof/>
        </w:rPr>
        <w:t> </w:t>
      </w:r>
      <w:r w:rsidR="00913665" w:rsidRPr="00913665">
        <w:rPr>
          <w:noProof/>
        </w:rPr>
        <w:t>odp</w:t>
      </w:r>
      <w:r w:rsidRPr="00913665">
        <w:rPr>
          <w:noProof/>
        </w:rPr>
        <w:t>owiedzi na obawy dotyczące bezpieczeństwa, szczególnie</w:t>
      </w:r>
      <w:r w:rsidR="00913665" w:rsidRPr="00913665">
        <w:rPr>
          <w:noProof/>
        </w:rPr>
        <w:t xml:space="preserve"> w</w:t>
      </w:r>
      <w:r w:rsidR="00913665">
        <w:rPr>
          <w:noProof/>
        </w:rPr>
        <w:t> </w:t>
      </w:r>
      <w:r w:rsidR="00913665" w:rsidRPr="00913665">
        <w:rPr>
          <w:noProof/>
        </w:rPr>
        <w:t>odn</w:t>
      </w:r>
      <w:r w:rsidRPr="00913665">
        <w:rPr>
          <w:noProof/>
        </w:rPr>
        <w:t>iesieniu do protez piersi</w:t>
      </w:r>
      <w:r w:rsidR="00913665" w:rsidRPr="00913665">
        <w:rPr>
          <w:noProof/>
        </w:rPr>
        <w:t xml:space="preserve"> i</w:t>
      </w:r>
      <w:r w:rsidR="00913665">
        <w:rPr>
          <w:noProof/>
        </w:rPr>
        <w:t> </w:t>
      </w:r>
      <w:r w:rsidR="00913665" w:rsidRPr="00913665">
        <w:rPr>
          <w:noProof/>
        </w:rPr>
        <w:t>pro</w:t>
      </w:r>
      <w:r w:rsidRPr="00913665">
        <w:rPr>
          <w:noProof/>
        </w:rPr>
        <w:t>tez stawów biodrowych. Zgodnie</w:t>
      </w:r>
      <w:r w:rsidR="00913665" w:rsidRPr="00913665">
        <w:rPr>
          <w:noProof/>
        </w:rPr>
        <w:t xml:space="preserve"> z</w:t>
      </w:r>
      <w:r w:rsidR="00913665">
        <w:rPr>
          <w:noProof/>
        </w:rPr>
        <w:t> </w:t>
      </w:r>
      <w:r w:rsidR="00913665" w:rsidRPr="00913665">
        <w:rPr>
          <w:noProof/>
        </w:rPr>
        <w:t>now</w:t>
      </w:r>
      <w:r w:rsidRPr="00913665">
        <w:rPr>
          <w:noProof/>
        </w:rPr>
        <w:t>ymi przepisami od końca 2025</w:t>
      </w:r>
      <w:r w:rsidR="00913665" w:rsidRPr="00913665">
        <w:rPr>
          <w:noProof/>
        </w:rPr>
        <w:t> </w:t>
      </w:r>
      <w:r w:rsidRPr="00913665">
        <w:rPr>
          <w:noProof/>
        </w:rPr>
        <w:t>r. będzie stopniowo powstawać baza danych EUDAMED, która umożliwi ogólnounijny przegląd cyklu życia wszystkich produktów na rynku wyrobów medycznych, co zwiększy przejrzystość całego systemu</w:t>
      </w:r>
      <w:r w:rsidR="00913665" w:rsidRPr="00913665">
        <w:rPr>
          <w:noProof/>
        </w:rPr>
        <w:t xml:space="preserve"> i</w:t>
      </w:r>
      <w:r w:rsidR="00913665">
        <w:rPr>
          <w:noProof/>
        </w:rPr>
        <w:t> </w:t>
      </w:r>
      <w:r w:rsidR="00913665" w:rsidRPr="00913665">
        <w:rPr>
          <w:noProof/>
        </w:rPr>
        <w:t>zdo</w:t>
      </w:r>
      <w:r w:rsidRPr="00913665">
        <w:rPr>
          <w:noProof/>
        </w:rPr>
        <w:t>lność organów nadzoru do odpowiedniego monitorowania rynku. Zmiany</w:t>
      </w:r>
      <w:r w:rsidR="00913665" w:rsidRPr="00913665">
        <w:rPr>
          <w:noProof/>
        </w:rPr>
        <w:t xml:space="preserve"> w</w:t>
      </w:r>
      <w:r w:rsidR="00913665">
        <w:rPr>
          <w:noProof/>
        </w:rPr>
        <w:t> </w:t>
      </w:r>
      <w:r w:rsidR="00913665" w:rsidRPr="00913665">
        <w:rPr>
          <w:noProof/>
        </w:rPr>
        <w:t>roz</w:t>
      </w:r>
      <w:r w:rsidRPr="00913665">
        <w:rPr>
          <w:noProof/>
        </w:rPr>
        <w:t>porządzeniach MDR i IVDR</w:t>
      </w:r>
      <w:r w:rsidR="00913665" w:rsidRPr="00913665">
        <w:rPr>
          <w:noProof/>
        </w:rPr>
        <w:t xml:space="preserve"> w</w:t>
      </w:r>
      <w:r w:rsidR="00913665">
        <w:rPr>
          <w:noProof/>
        </w:rPr>
        <w:t> </w:t>
      </w:r>
      <w:r w:rsidR="00913665" w:rsidRPr="00913665">
        <w:rPr>
          <w:noProof/>
        </w:rPr>
        <w:t>2</w:t>
      </w:r>
      <w:r w:rsidRPr="00913665">
        <w:rPr>
          <w:noProof/>
        </w:rPr>
        <w:t>023</w:t>
      </w:r>
      <w:r w:rsidR="00913665" w:rsidRPr="00913665">
        <w:rPr>
          <w:noProof/>
        </w:rPr>
        <w:t xml:space="preserve"> i</w:t>
      </w:r>
      <w:r w:rsidR="00913665">
        <w:rPr>
          <w:noProof/>
        </w:rPr>
        <w:t> </w:t>
      </w:r>
      <w:r w:rsidR="00913665" w:rsidRPr="00913665">
        <w:rPr>
          <w:noProof/>
        </w:rPr>
        <w:t>2</w:t>
      </w:r>
      <w:r w:rsidRPr="00913665">
        <w:rPr>
          <w:noProof/>
        </w:rPr>
        <w:t>024</w:t>
      </w:r>
      <w:r w:rsidR="00913665" w:rsidRPr="00913665">
        <w:rPr>
          <w:noProof/>
        </w:rPr>
        <w:t> </w:t>
      </w:r>
      <w:r w:rsidRPr="00913665">
        <w:rPr>
          <w:noProof/>
        </w:rPr>
        <w:t>r. wydłużają okresy przejściowe</w:t>
      </w:r>
      <w:r w:rsidR="00913665" w:rsidRPr="00913665">
        <w:rPr>
          <w:noProof/>
        </w:rPr>
        <w:t xml:space="preserve"> i</w:t>
      </w:r>
      <w:r w:rsidR="00913665">
        <w:rPr>
          <w:noProof/>
        </w:rPr>
        <w:t> </w:t>
      </w:r>
      <w:r w:rsidR="00913665" w:rsidRPr="00913665">
        <w:rPr>
          <w:noProof/>
        </w:rPr>
        <w:t>gwa</w:t>
      </w:r>
      <w:r w:rsidRPr="00913665">
        <w:rPr>
          <w:noProof/>
        </w:rPr>
        <w:t>rantują ciągłość dostaw wyrobów</w:t>
      </w:r>
      <w:r w:rsidR="00913665" w:rsidRPr="00913665">
        <w:rPr>
          <w:noProof/>
        </w:rPr>
        <w:t xml:space="preserve"> o</w:t>
      </w:r>
      <w:r w:rsidR="00913665">
        <w:rPr>
          <w:noProof/>
        </w:rPr>
        <w:t> </w:t>
      </w:r>
      <w:r w:rsidR="00913665" w:rsidRPr="00913665">
        <w:rPr>
          <w:noProof/>
        </w:rPr>
        <w:t>kry</w:t>
      </w:r>
      <w:r w:rsidRPr="00913665">
        <w:rPr>
          <w:noProof/>
        </w:rPr>
        <w:t>tycznym znaczeniu. Ponadto Komisja podjęła działania</w:t>
      </w:r>
      <w:r w:rsidR="00913665" w:rsidRPr="00913665">
        <w:rPr>
          <w:noProof/>
        </w:rPr>
        <w:t xml:space="preserve"> o</w:t>
      </w:r>
      <w:r w:rsidR="00913665">
        <w:rPr>
          <w:noProof/>
        </w:rPr>
        <w:t> </w:t>
      </w:r>
      <w:r w:rsidR="00913665" w:rsidRPr="00913665">
        <w:rPr>
          <w:noProof/>
        </w:rPr>
        <w:t>cha</w:t>
      </w:r>
      <w:r w:rsidRPr="00913665">
        <w:rPr>
          <w:noProof/>
        </w:rPr>
        <w:t>rakterze nieustawodawczym</w:t>
      </w:r>
      <w:r w:rsidR="00913665" w:rsidRPr="00913665">
        <w:rPr>
          <w:noProof/>
        </w:rPr>
        <w:t xml:space="preserve"> w</w:t>
      </w:r>
      <w:r w:rsidR="00913665">
        <w:rPr>
          <w:noProof/>
        </w:rPr>
        <w:t> </w:t>
      </w:r>
      <w:r w:rsidR="00913665" w:rsidRPr="00913665">
        <w:rPr>
          <w:noProof/>
        </w:rPr>
        <w:t>cel</w:t>
      </w:r>
      <w:r w:rsidRPr="00913665">
        <w:rPr>
          <w:noProof/>
        </w:rPr>
        <w:t>u wsparcia sektora</w:t>
      </w:r>
      <w:r w:rsidR="00913665" w:rsidRPr="00913665">
        <w:rPr>
          <w:noProof/>
        </w:rPr>
        <w:t xml:space="preserve"> i</w:t>
      </w:r>
      <w:r w:rsidR="00913665">
        <w:rPr>
          <w:noProof/>
        </w:rPr>
        <w:t> </w:t>
      </w:r>
      <w:r w:rsidR="00913665" w:rsidRPr="00913665">
        <w:rPr>
          <w:noProof/>
        </w:rPr>
        <w:t>zmn</w:t>
      </w:r>
      <w:r w:rsidRPr="00913665">
        <w:rPr>
          <w:noProof/>
        </w:rPr>
        <w:t>iejszenia ryzyka niedoborów. Jeszcze</w:t>
      </w:r>
      <w:r w:rsidR="00913665" w:rsidRPr="00913665">
        <w:rPr>
          <w:noProof/>
        </w:rPr>
        <w:t xml:space="preserve"> w</w:t>
      </w:r>
      <w:r w:rsidR="00913665">
        <w:rPr>
          <w:noProof/>
        </w:rPr>
        <w:t> </w:t>
      </w:r>
      <w:r w:rsidR="00913665" w:rsidRPr="00913665">
        <w:rPr>
          <w:noProof/>
        </w:rPr>
        <w:t>tym</w:t>
      </w:r>
      <w:r w:rsidRPr="00913665">
        <w:rPr>
          <w:noProof/>
        </w:rPr>
        <w:t xml:space="preserve"> roku Komisja rozpocznie ukierunkowaną ocenę prawodawstwa UE</w:t>
      </w:r>
      <w:r w:rsidR="00913665" w:rsidRPr="00913665">
        <w:rPr>
          <w:noProof/>
        </w:rPr>
        <w:t xml:space="preserve"> w</w:t>
      </w:r>
      <w:r w:rsidR="00913665">
        <w:rPr>
          <w:noProof/>
        </w:rPr>
        <w:t> </w:t>
      </w:r>
      <w:r w:rsidR="00913665" w:rsidRPr="00913665">
        <w:rPr>
          <w:noProof/>
        </w:rPr>
        <w:t>zak</w:t>
      </w:r>
      <w:r w:rsidRPr="00913665">
        <w:rPr>
          <w:noProof/>
        </w:rPr>
        <w:t>resie wyrobów medycznych,</w:t>
      </w:r>
      <w:r w:rsidR="00913665" w:rsidRPr="00913665">
        <w:rPr>
          <w:noProof/>
        </w:rPr>
        <w:t xml:space="preserve"> w</w:t>
      </w:r>
      <w:r w:rsidR="00913665">
        <w:rPr>
          <w:noProof/>
        </w:rPr>
        <w:t> </w:t>
      </w:r>
      <w:r w:rsidR="00913665" w:rsidRPr="00913665">
        <w:rPr>
          <w:noProof/>
        </w:rPr>
        <w:t>tym</w:t>
      </w:r>
      <w:r w:rsidRPr="00913665">
        <w:rPr>
          <w:noProof/>
        </w:rPr>
        <w:t xml:space="preserve"> strukturalną ocenę wpływu na dostępność wyrobów medycznych oraz na innowacje</w:t>
      </w:r>
      <w:r w:rsidR="00913665" w:rsidRPr="00913665">
        <w:rPr>
          <w:noProof/>
        </w:rPr>
        <w:t xml:space="preserve"> i</w:t>
      </w:r>
      <w:r w:rsidR="00913665">
        <w:rPr>
          <w:noProof/>
        </w:rPr>
        <w:t> </w:t>
      </w:r>
      <w:r w:rsidR="00913665" w:rsidRPr="00913665">
        <w:rPr>
          <w:noProof/>
        </w:rPr>
        <w:t>kon</w:t>
      </w:r>
      <w:r w:rsidRPr="00913665">
        <w:rPr>
          <w:noProof/>
        </w:rPr>
        <w:t>kurencyjność systemu wyrobów medycznych w UE, co będzie stanowić pierwszy krok</w:t>
      </w:r>
      <w:r w:rsidR="00913665" w:rsidRPr="00913665">
        <w:rPr>
          <w:noProof/>
        </w:rPr>
        <w:t xml:space="preserve"> w</w:t>
      </w:r>
      <w:r w:rsidR="00913665">
        <w:rPr>
          <w:noProof/>
        </w:rPr>
        <w:t> </w:t>
      </w:r>
      <w:r w:rsidR="00913665" w:rsidRPr="00913665">
        <w:rPr>
          <w:noProof/>
        </w:rPr>
        <w:t>kie</w:t>
      </w:r>
      <w:r w:rsidRPr="00913665">
        <w:rPr>
          <w:noProof/>
        </w:rPr>
        <w:t>runku wypracowania zrównoważonych rozwiązań na przyszłość.</w:t>
      </w:r>
    </w:p>
    <w:p w14:paraId="69B1F48F" w14:textId="77777777" w:rsidR="00C8464D" w:rsidRPr="00913665" w:rsidRDefault="00C8464D" w:rsidP="00597730">
      <w:pPr>
        <w:pStyle w:val="Heading2"/>
        <w:numPr>
          <w:ilvl w:val="1"/>
          <w:numId w:val="2"/>
        </w:numPr>
        <w:tabs>
          <w:tab w:val="left" w:pos="1428"/>
        </w:tabs>
        <w:kinsoku w:val="0"/>
        <w:overflowPunct w:val="0"/>
        <w:spacing w:before="240" w:line="276" w:lineRule="auto"/>
        <w:ind w:left="0" w:firstLine="0"/>
        <w:rPr>
          <w:noProof/>
          <w:color w:val="2E5395"/>
          <w:spacing w:val="-2"/>
        </w:rPr>
      </w:pPr>
      <w:r w:rsidRPr="00913665">
        <w:rPr>
          <w:noProof/>
          <w:color w:val="2E5395"/>
        </w:rPr>
        <w:t>Zwalczanie oporności na środki przeciwdrobnoustrojowe</w:t>
      </w:r>
    </w:p>
    <w:p w14:paraId="2863D46F" w14:textId="60D7F5C9" w:rsidR="001C4338" w:rsidRPr="00913665" w:rsidRDefault="00C8464D" w:rsidP="00597730">
      <w:pPr>
        <w:pStyle w:val="BodyText"/>
        <w:kinsoku w:val="0"/>
        <w:overflowPunct w:val="0"/>
        <w:spacing w:before="240" w:line="276" w:lineRule="auto"/>
        <w:jc w:val="both"/>
        <w:rPr>
          <w:noProof/>
        </w:rPr>
      </w:pPr>
      <w:r w:rsidRPr="00913665">
        <w:rPr>
          <w:noProof/>
        </w:rPr>
        <w:t>Oporność na środki przeciwdrobnoustrojowe jest jednym</w:t>
      </w:r>
      <w:r w:rsidR="00913665" w:rsidRPr="00913665">
        <w:rPr>
          <w:noProof/>
        </w:rPr>
        <w:t xml:space="preserve"> z</w:t>
      </w:r>
      <w:r w:rsidR="00913665">
        <w:rPr>
          <w:noProof/>
        </w:rPr>
        <w:t> </w:t>
      </w:r>
      <w:r w:rsidR="00913665" w:rsidRPr="00913665">
        <w:rPr>
          <w:noProof/>
        </w:rPr>
        <w:t>naj</w:t>
      </w:r>
      <w:r w:rsidRPr="00913665">
        <w:rPr>
          <w:noProof/>
        </w:rPr>
        <w:t>większych współczesnych zagrożeń dla zdrowia. Obecnie każdego roku w UE</w:t>
      </w:r>
      <w:r w:rsidR="00913665" w:rsidRPr="00913665">
        <w:rPr>
          <w:noProof/>
        </w:rPr>
        <w:t xml:space="preserve"> z</w:t>
      </w:r>
      <w:r w:rsidR="00913665">
        <w:rPr>
          <w:noProof/>
        </w:rPr>
        <w:t> </w:t>
      </w:r>
      <w:r w:rsidR="00913665" w:rsidRPr="00913665">
        <w:rPr>
          <w:noProof/>
        </w:rPr>
        <w:t>pow</w:t>
      </w:r>
      <w:r w:rsidRPr="00913665">
        <w:rPr>
          <w:noProof/>
        </w:rPr>
        <w:t>odu zakażeń lekoopornych umiera ponad 35 000 osób,</w:t>
      </w:r>
      <w:r w:rsidR="00913665" w:rsidRPr="00913665">
        <w:rPr>
          <w:noProof/>
        </w:rPr>
        <w:t xml:space="preserve"> a</w:t>
      </w:r>
      <w:r w:rsidR="00913665">
        <w:rPr>
          <w:noProof/>
        </w:rPr>
        <w:t> </w:t>
      </w:r>
      <w:r w:rsidR="00913665" w:rsidRPr="00913665">
        <w:rPr>
          <w:noProof/>
        </w:rPr>
        <w:t>bez</w:t>
      </w:r>
      <w:r w:rsidRPr="00913665">
        <w:rPr>
          <w:noProof/>
        </w:rPr>
        <w:t xml:space="preserve"> zdecydowanych działań liczba ta wzrośnie jeszcze bardziej</w:t>
      </w:r>
      <w:r w:rsidR="00913665" w:rsidRPr="00913665">
        <w:rPr>
          <w:noProof/>
        </w:rPr>
        <w:t xml:space="preserve"> w</w:t>
      </w:r>
      <w:r w:rsidR="00913665">
        <w:rPr>
          <w:noProof/>
        </w:rPr>
        <w:t> </w:t>
      </w:r>
      <w:r w:rsidR="00913665" w:rsidRPr="00913665">
        <w:rPr>
          <w:noProof/>
        </w:rPr>
        <w:t>cią</w:t>
      </w:r>
      <w:r w:rsidRPr="00913665">
        <w:rPr>
          <w:noProof/>
        </w:rPr>
        <w:t>gu zaledwie jednego pokolenia. Oporność na środki przeciwdrobnoustrojowe ma ogromny wpływ na gospodarkę</w:t>
      </w:r>
      <w:r w:rsidR="00913665" w:rsidRPr="00913665">
        <w:rPr>
          <w:noProof/>
        </w:rPr>
        <w:t xml:space="preserve"> i</w:t>
      </w:r>
      <w:r w:rsidR="00913665">
        <w:rPr>
          <w:noProof/>
        </w:rPr>
        <w:t> </w:t>
      </w:r>
      <w:r w:rsidR="00913665" w:rsidRPr="00913665">
        <w:rPr>
          <w:noProof/>
        </w:rPr>
        <w:t>sys</w:t>
      </w:r>
      <w:r w:rsidRPr="00913665">
        <w:rPr>
          <w:noProof/>
        </w:rPr>
        <w:t>temy opieki zdrowotnej, generując około 1,5 mld EUR kosztów opieki zdrowotnej</w:t>
      </w:r>
      <w:r w:rsidR="00913665" w:rsidRPr="00913665">
        <w:rPr>
          <w:noProof/>
        </w:rPr>
        <w:t xml:space="preserve"> i</w:t>
      </w:r>
      <w:r w:rsidR="00913665">
        <w:rPr>
          <w:noProof/>
        </w:rPr>
        <w:t> </w:t>
      </w:r>
      <w:r w:rsidR="00913665" w:rsidRPr="00913665">
        <w:rPr>
          <w:noProof/>
        </w:rPr>
        <w:t>str</w:t>
      </w:r>
      <w:r w:rsidRPr="00913665">
        <w:rPr>
          <w:noProof/>
        </w:rPr>
        <w:t>at wynikających</w:t>
      </w:r>
      <w:r w:rsidR="00913665" w:rsidRPr="00913665">
        <w:rPr>
          <w:noProof/>
        </w:rPr>
        <w:t xml:space="preserve"> z</w:t>
      </w:r>
      <w:r w:rsidR="00913665">
        <w:rPr>
          <w:noProof/>
        </w:rPr>
        <w:t> </w:t>
      </w:r>
      <w:r w:rsidR="00913665" w:rsidRPr="00913665">
        <w:rPr>
          <w:noProof/>
        </w:rPr>
        <w:t>obn</w:t>
      </w:r>
      <w:r w:rsidRPr="00913665">
        <w:rPr>
          <w:noProof/>
        </w:rPr>
        <w:t>iżenia wydajności pracy rocznie.</w:t>
      </w:r>
      <w:bookmarkStart w:id="10" w:name="_Hlk165987290"/>
    </w:p>
    <w:p w14:paraId="77CA706E" w14:textId="030F020B" w:rsidR="00C8464D" w:rsidRPr="00913665" w:rsidRDefault="000F75F2" w:rsidP="00597730">
      <w:pPr>
        <w:pStyle w:val="BodyText"/>
        <w:kinsoku w:val="0"/>
        <w:overflowPunct w:val="0"/>
        <w:spacing w:before="240" w:line="276" w:lineRule="auto"/>
        <w:jc w:val="both"/>
        <w:rPr>
          <w:noProof/>
        </w:rPr>
      </w:pPr>
      <w:r w:rsidRPr="00913665">
        <w:rPr>
          <w:noProof/>
        </w:rPr>
        <w:t>Jak stwierdzono</w:t>
      </w:r>
      <w:r w:rsidR="00913665" w:rsidRPr="00913665">
        <w:rPr>
          <w:noProof/>
        </w:rPr>
        <w:t xml:space="preserve"> w</w:t>
      </w:r>
      <w:r w:rsidR="00913665">
        <w:rPr>
          <w:noProof/>
        </w:rPr>
        <w:t> </w:t>
      </w:r>
      <w:r w:rsidR="00913665" w:rsidRPr="00913665">
        <w:rPr>
          <w:noProof/>
        </w:rPr>
        <w:t>str</w:t>
      </w:r>
      <w:r w:rsidRPr="00913665">
        <w:rPr>
          <w:noProof/>
        </w:rPr>
        <w:t>ategicznym podejściu UE do substancji farmaceutycznych</w:t>
      </w:r>
      <w:r w:rsidR="00913665" w:rsidRPr="00913665">
        <w:rPr>
          <w:noProof/>
        </w:rPr>
        <w:t xml:space="preserve"> w</w:t>
      </w:r>
      <w:r w:rsidR="00913665">
        <w:rPr>
          <w:noProof/>
        </w:rPr>
        <w:t> </w:t>
      </w:r>
      <w:r w:rsidR="00913665" w:rsidRPr="00913665">
        <w:rPr>
          <w:noProof/>
        </w:rPr>
        <w:t>śro</w:t>
      </w:r>
      <w:r w:rsidRPr="00913665">
        <w:rPr>
          <w:noProof/>
        </w:rPr>
        <w:t>dowisku</w:t>
      </w:r>
      <w:r w:rsidR="003A5C20" w:rsidRPr="00913665">
        <w:rPr>
          <w:rStyle w:val="FootnoteReference"/>
          <w:noProof/>
        </w:rPr>
        <w:footnoteReference w:id="18"/>
      </w:r>
      <w:r w:rsidRPr="00913665">
        <w:rPr>
          <w:noProof/>
        </w:rPr>
        <w:t>, środowisko jest rezerwuarem oporności na środki przeciwdrobnoustrojowe, który wymaga dalszego zrozumienia</w:t>
      </w:r>
      <w:r w:rsidR="00913665" w:rsidRPr="00913665">
        <w:rPr>
          <w:noProof/>
        </w:rPr>
        <w:t xml:space="preserve"> i</w:t>
      </w:r>
      <w:r w:rsidR="00913665">
        <w:rPr>
          <w:noProof/>
        </w:rPr>
        <w:t> </w:t>
      </w:r>
      <w:r w:rsidR="00913665" w:rsidRPr="00913665">
        <w:rPr>
          <w:noProof/>
        </w:rPr>
        <w:t>pod</w:t>
      </w:r>
      <w:r w:rsidRPr="00913665">
        <w:rPr>
          <w:noProof/>
        </w:rPr>
        <w:t xml:space="preserve">jęcia działań, ponieważ pozostałości różnych produktów farmaceutycznych (takich jak antybiotyki lub środki przeciwgrzybicze) </w:t>
      </w:r>
      <w:r w:rsidRPr="00913665">
        <w:rPr>
          <w:noProof/>
          <w:shd w:val="clear" w:color="auto" w:fill="FFFFFF"/>
        </w:rPr>
        <w:t>mogą przedostawać się do środowiska podczas ich stosowania</w:t>
      </w:r>
      <w:r w:rsidR="00913665" w:rsidRPr="00913665">
        <w:rPr>
          <w:noProof/>
          <w:shd w:val="clear" w:color="auto" w:fill="FFFFFF"/>
        </w:rPr>
        <w:t xml:space="preserve"> u</w:t>
      </w:r>
      <w:r w:rsidR="00913665">
        <w:rPr>
          <w:noProof/>
          <w:shd w:val="clear" w:color="auto" w:fill="FFFFFF"/>
        </w:rPr>
        <w:t> </w:t>
      </w:r>
      <w:r w:rsidR="00913665" w:rsidRPr="00913665">
        <w:rPr>
          <w:noProof/>
        </w:rPr>
        <w:t>lud</w:t>
      </w:r>
      <w:r w:rsidRPr="00913665">
        <w:rPr>
          <w:noProof/>
        </w:rPr>
        <w:t>zi</w:t>
      </w:r>
      <w:r w:rsidR="00913665" w:rsidRPr="00913665">
        <w:rPr>
          <w:noProof/>
        </w:rPr>
        <w:t xml:space="preserve"> i</w:t>
      </w:r>
      <w:r w:rsidR="00913665">
        <w:rPr>
          <w:noProof/>
        </w:rPr>
        <w:t> </w:t>
      </w:r>
      <w:r w:rsidR="00913665" w:rsidRPr="00913665">
        <w:rPr>
          <w:noProof/>
        </w:rPr>
        <w:t>zwi</w:t>
      </w:r>
      <w:r w:rsidRPr="00913665">
        <w:rPr>
          <w:noProof/>
        </w:rPr>
        <w:t xml:space="preserve">erząt. </w:t>
      </w:r>
      <w:bookmarkEnd w:id="10"/>
      <w:r w:rsidRPr="00913665">
        <w:rPr>
          <w:noProof/>
        </w:rPr>
        <w:t>Aby sprostać tym wyzwaniom,</w:t>
      </w:r>
      <w:r w:rsidR="00913665" w:rsidRPr="00913665">
        <w:rPr>
          <w:noProof/>
        </w:rPr>
        <w:t xml:space="preserve"> w</w:t>
      </w:r>
      <w:r w:rsidR="00913665">
        <w:rPr>
          <w:noProof/>
        </w:rPr>
        <w:t> </w:t>
      </w:r>
      <w:r w:rsidR="00913665" w:rsidRPr="00913665">
        <w:rPr>
          <w:noProof/>
        </w:rPr>
        <w:t>2</w:t>
      </w:r>
      <w:r w:rsidRPr="00913665">
        <w:rPr>
          <w:noProof/>
        </w:rPr>
        <w:t>023</w:t>
      </w:r>
      <w:r w:rsidR="00913665" w:rsidRPr="00913665">
        <w:rPr>
          <w:noProof/>
        </w:rPr>
        <w:t> </w:t>
      </w:r>
      <w:r w:rsidRPr="00913665">
        <w:rPr>
          <w:noProof/>
        </w:rPr>
        <w:t>r. Komisja zaproponowała najbardziej ambitne dotychczas działania UE przeciwko oporności na środki przeciwdrobnoustrojowe</w:t>
      </w:r>
      <w:r w:rsidR="00913665" w:rsidRPr="00913665">
        <w:rPr>
          <w:noProof/>
        </w:rPr>
        <w:t xml:space="preserve"> w</w:t>
      </w:r>
      <w:r w:rsidR="00913665">
        <w:rPr>
          <w:noProof/>
        </w:rPr>
        <w:t> </w:t>
      </w:r>
      <w:r w:rsidR="00913665" w:rsidRPr="00913665">
        <w:rPr>
          <w:noProof/>
        </w:rPr>
        <w:t>zal</w:t>
      </w:r>
      <w:r w:rsidRPr="00913665">
        <w:rPr>
          <w:noProof/>
        </w:rPr>
        <w:t>eceniu określającym cele, które mają zostać osiągnięte do</w:t>
      </w:r>
      <w:r w:rsidR="00913665" w:rsidRPr="00913665">
        <w:rPr>
          <w:noProof/>
        </w:rPr>
        <w:t> </w:t>
      </w:r>
      <w:r w:rsidRPr="00913665">
        <w:rPr>
          <w:noProof/>
        </w:rPr>
        <w:t>2030</w:t>
      </w:r>
      <w:r w:rsidR="00913665" w:rsidRPr="00913665">
        <w:rPr>
          <w:noProof/>
        </w:rPr>
        <w:t> </w:t>
      </w:r>
      <w:r w:rsidRPr="00913665">
        <w:rPr>
          <w:noProof/>
        </w:rPr>
        <w:t>r. –</w:t>
      </w:r>
      <w:r w:rsidR="00913665" w:rsidRPr="00913665">
        <w:rPr>
          <w:noProof/>
        </w:rPr>
        <w:t xml:space="preserve"> w</w:t>
      </w:r>
      <w:r w:rsidR="00913665">
        <w:rPr>
          <w:noProof/>
        </w:rPr>
        <w:t> </w:t>
      </w:r>
      <w:r w:rsidR="00913665" w:rsidRPr="00913665">
        <w:rPr>
          <w:noProof/>
        </w:rPr>
        <w:t>tym</w:t>
      </w:r>
      <w:r w:rsidRPr="00913665">
        <w:rPr>
          <w:noProof/>
        </w:rPr>
        <w:t xml:space="preserve"> ograniczenie spożycia antybiotyków</w:t>
      </w:r>
      <w:r w:rsidR="00913665" w:rsidRPr="00913665">
        <w:rPr>
          <w:noProof/>
        </w:rPr>
        <w:t xml:space="preserve"> u</w:t>
      </w:r>
      <w:r w:rsidR="00913665">
        <w:rPr>
          <w:noProof/>
        </w:rPr>
        <w:t> </w:t>
      </w:r>
      <w:r w:rsidR="00913665" w:rsidRPr="00913665">
        <w:rPr>
          <w:noProof/>
        </w:rPr>
        <w:t>lud</w:t>
      </w:r>
      <w:r w:rsidRPr="00913665">
        <w:rPr>
          <w:noProof/>
        </w:rPr>
        <w:t>zi</w:t>
      </w:r>
      <w:r w:rsidR="00913665" w:rsidRPr="00913665">
        <w:rPr>
          <w:noProof/>
        </w:rPr>
        <w:t xml:space="preserve"> o</w:t>
      </w:r>
      <w:r w:rsidR="00913665">
        <w:rPr>
          <w:noProof/>
        </w:rPr>
        <w:t> </w:t>
      </w:r>
      <w:r w:rsidR="00913665" w:rsidRPr="00913665">
        <w:rPr>
          <w:noProof/>
        </w:rPr>
        <w:t>2</w:t>
      </w:r>
      <w:r w:rsidRPr="00913665">
        <w:rPr>
          <w:noProof/>
        </w:rPr>
        <w:t>0</w:t>
      </w:r>
      <w:r w:rsidR="00913665" w:rsidRPr="00913665">
        <w:rPr>
          <w:noProof/>
        </w:rPr>
        <w:t> </w:t>
      </w:r>
      <w:r w:rsidRPr="00913665">
        <w:rPr>
          <w:noProof/>
        </w:rPr>
        <w:t>% do</w:t>
      </w:r>
      <w:r w:rsidR="00913665" w:rsidRPr="00913665">
        <w:rPr>
          <w:noProof/>
        </w:rPr>
        <w:t> </w:t>
      </w:r>
      <w:r w:rsidRPr="00913665">
        <w:rPr>
          <w:noProof/>
        </w:rPr>
        <w:t>2030</w:t>
      </w:r>
      <w:r w:rsidR="00913665" w:rsidRPr="00913665">
        <w:rPr>
          <w:noProof/>
        </w:rPr>
        <w:t> </w:t>
      </w:r>
      <w:r w:rsidRPr="00913665">
        <w:rPr>
          <w:noProof/>
        </w:rPr>
        <w:t>r. w UE, opowiadając się za silniejszymi globalnymi zobowiązaniami</w:t>
      </w:r>
      <w:r w:rsidR="00913665" w:rsidRPr="00913665">
        <w:rPr>
          <w:noProof/>
        </w:rPr>
        <w:t xml:space="preserve"> w</w:t>
      </w:r>
      <w:r w:rsidR="00913665">
        <w:rPr>
          <w:noProof/>
        </w:rPr>
        <w:t> </w:t>
      </w:r>
      <w:r w:rsidR="00913665" w:rsidRPr="00913665">
        <w:rPr>
          <w:noProof/>
        </w:rPr>
        <w:t>zak</w:t>
      </w:r>
      <w:r w:rsidRPr="00913665">
        <w:rPr>
          <w:noProof/>
        </w:rPr>
        <w:t>resie oporności na środki przeciwdrobnoustrojowe.</w:t>
      </w:r>
    </w:p>
    <w:p w14:paraId="2C481AC8" w14:textId="1F0E9BDD" w:rsidR="00C8464D" w:rsidRPr="00913665" w:rsidRDefault="00C8464D" w:rsidP="00597730">
      <w:pPr>
        <w:pStyle w:val="BodyText"/>
        <w:kinsoku w:val="0"/>
        <w:overflowPunct w:val="0"/>
        <w:spacing w:before="240" w:line="276" w:lineRule="auto"/>
        <w:jc w:val="both"/>
        <w:rPr>
          <w:noProof/>
        </w:rPr>
      </w:pPr>
      <w:r w:rsidRPr="00913665">
        <w:rPr>
          <w:noProof/>
        </w:rPr>
        <w:t>Przegląd prawodawstwa farmaceutycznego obejmuje dodatkowe</w:t>
      </w:r>
      <w:r w:rsidR="00913665" w:rsidRPr="00913665">
        <w:rPr>
          <w:noProof/>
        </w:rPr>
        <w:t xml:space="preserve"> i</w:t>
      </w:r>
      <w:r w:rsidR="00913665">
        <w:rPr>
          <w:noProof/>
        </w:rPr>
        <w:t> </w:t>
      </w:r>
      <w:r w:rsidR="00913665" w:rsidRPr="00913665">
        <w:rPr>
          <w:noProof/>
        </w:rPr>
        <w:t>inn</w:t>
      </w:r>
      <w:r w:rsidRPr="00913665">
        <w:rPr>
          <w:noProof/>
        </w:rPr>
        <w:t>owacyjne zachęty dla firm farmaceutycznych do opracowywania nowych środków przeciwdrobnoustrojowych.</w:t>
      </w:r>
    </w:p>
    <w:p w14:paraId="65383702" w14:textId="0C9C0AF5" w:rsidR="00C8464D" w:rsidRPr="00913665" w:rsidRDefault="00C8464D" w:rsidP="00597730">
      <w:pPr>
        <w:pStyle w:val="BodyText"/>
        <w:kinsoku w:val="0"/>
        <w:overflowPunct w:val="0"/>
        <w:spacing w:before="240" w:line="276" w:lineRule="auto"/>
        <w:jc w:val="both"/>
        <w:rPr>
          <w:noProof/>
        </w:rPr>
      </w:pPr>
      <w:r w:rsidRPr="00913665">
        <w:rPr>
          <w:noProof/>
        </w:rPr>
        <w:t>Nowe wspólne działanie, przy wsparciu finansowym UE</w:t>
      </w:r>
      <w:r w:rsidR="00913665" w:rsidRPr="00913665">
        <w:rPr>
          <w:noProof/>
        </w:rPr>
        <w:t xml:space="preserve"> w</w:t>
      </w:r>
      <w:r w:rsidR="00913665">
        <w:rPr>
          <w:noProof/>
        </w:rPr>
        <w:t> </w:t>
      </w:r>
      <w:r w:rsidR="00913665" w:rsidRPr="00913665">
        <w:rPr>
          <w:noProof/>
        </w:rPr>
        <w:t>wys</w:t>
      </w:r>
      <w:r w:rsidRPr="00913665">
        <w:rPr>
          <w:noProof/>
        </w:rPr>
        <w:t>okości 50 mln EUR, ułatwia państwom członkowskim UE,</w:t>
      </w:r>
      <w:r w:rsidR="00913665" w:rsidRPr="00913665">
        <w:rPr>
          <w:noProof/>
        </w:rPr>
        <w:t xml:space="preserve"> a</w:t>
      </w:r>
      <w:r w:rsidR="00913665">
        <w:rPr>
          <w:noProof/>
        </w:rPr>
        <w:t> </w:t>
      </w:r>
      <w:r w:rsidR="00913665" w:rsidRPr="00913665">
        <w:rPr>
          <w:noProof/>
        </w:rPr>
        <w:t>tak</w:t>
      </w:r>
      <w:r w:rsidRPr="00913665">
        <w:rPr>
          <w:noProof/>
        </w:rPr>
        <w:t>że Norwegii, Islandii</w:t>
      </w:r>
      <w:r w:rsidR="00913665" w:rsidRPr="00913665">
        <w:rPr>
          <w:noProof/>
        </w:rPr>
        <w:t xml:space="preserve"> i</w:t>
      </w:r>
      <w:r w:rsidR="00913665">
        <w:rPr>
          <w:noProof/>
        </w:rPr>
        <w:t> </w:t>
      </w:r>
      <w:r w:rsidR="00913665" w:rsidRPr="00913665">
        <w:rPr>
          <w:noProof/>
        </w:rPr>
        <w:t>Ukr</w:t>
      </w:r>
      <w:r w:rsidRPr="00913665">
        <w:rPr>
          <w:noProof/>
        </w:rPr>
        <w:t>ainie realizację zalecanych działań. Komisja wspiera badania</w:t>
      </w:r>
      <w:r w:rsidR="00913665" w:rsidRPr="00913665">
        <w:rPr>
          <w:noProof/>
        </w:rPr>
        <w:t xml:space="preserve"> i</w:t>
      </w:r>
      <w:r w:rsidR="00913665">
        <w:rPr>
          <w:noProof/>
        </w:rPr>
        <w:t> </w:t>
      </w:r>
      <w:r w:rsidR="00913665" w:rsidRPr="00913665">
        <w:rPr>
          <w:noProof/>
        </w:rPr>
        <w:t>opr</w:t>
      </w:r>
      <w:r w:rsidRPr="00913665">
        <w:rPr>
          <w:noProof/>
        </w:rPr>
        <w:t>acowywanie nowych antybiotyków</w:t>
      </w:r>
      <w:r w:rsidR="00913665" w:rsidRPr="00913665">
        <w:rPr>
          <w:noProof/>
        </w:rPr>
        <w:t xml:space="preserve"> i</w:t>
      </w:r>
      <w:r w:rsidR="00913665">
        <w:rPr>
          <w:noProof/>
        </w:rPr>
        <w:t> </w:t>
      </w:r>
      <w:r w:rsidR="00913665" w:rsidRPr="00913665">
        <w:rPr>
          <w:noProof/>
        </w:rPr>
        <w:t>alt</w:t>
      </w:r>
      <w:r w:rsidRPr="00913665">
        <w:rPr>
          <w:noProof/>
        </w:rPr>
        <w:t>ernatywnych metod leczenia, by rozwiązać problem oporności na środki przeciwdrobnoustrojowe</w:t>
      </w:r>
      <w:r w:rsidR="00913665" w:rsidRPr="00913665">
        <w:rPr>
          <w:noProof/>
        </w:rPr>
        <w:t>. W</w:t>
      </w:r>
      <w:r w:rsidR="00913665">
        <w:rPr>
          <w:noProof/>
        </w:rPr>
        <w:t> </w:t>
      </w:r>
      <w:r w:rsidR="00913665" w:rsidRPr="00913665">
        <w:rPr>
          <w:noProof/>
        </w:rPr>
        <w:t>tym</w:t>
      </w:r>
      <w:r w:rsidRPr="00913665">
        <w:rPr>
          <w:noProof/>
        </w:rPr>
        <w:t xml:space="preserve"> kontekście zasadniczą rolę odegra przyszłe partnerstwo europejskie na rzecz oporności na środki przeciwdrobnoustrojowe „Jedno zdrowie”</w:t>
      </w:r>
      <w:r w:rsidR="000726BF" w:rsidRPr="00913665">
        <w:rPr>
          <w:rStyle w:val="FootnoteReference"/>
          <w:noProof/>
        </w:rPr>
        <w:footnoteReference w:id="19"/>
      </w:r>
      <w:r w:rsidRPr="00913665">
        <w:rPr>
          <w:noProof/>
        </w:rPr>
        <w:t>. Inicjatywa ta zwiększa również dostęp do nowo opracowanych środków przeciwdrobnoustrojowych, m.in. poprzez przyszłe wspólne zamówienia na środki przeciwdrobnoustrojowe,</w:t>
      </w:r>
      <w:r w:rsidR="00913665" w:rsidRPr="00913665">
        <w:rPr>
          <w:noProof/>
        </w:rPr>
        <w:t xml:space="preserve"> i</w:t>
      </w:r>
      <w:r w:rsidR="00913665">
        <w:rPr>
          <w:noProof/>
        </w:rPr>
        <w:t> </w:t>
      </w:r>
      <w:r w:rsidR="00913665" w:rsidRPr="00913665">
        <w:rPr>
          <w:noProof/>
        </w:rPr>
        <w:t>uru</w:t>
      </w:r>
      <w:r w:rsidRPr="00913665">
        <w:rPr>
          <w:noProof/>
        </w:rPr>
        <w:t>chamia pilotażowy projekt zachęt typu „pull”</w:t>
      </w:r>
      <w:r w:rsidR="00913665" w:rsidRPr="00913665">
        <w:rPr>
          <w:noProof/>
        </w:rPr>
        <w:t xml:space="preserve"> w</w:t>
      </w:r>
      <w:r w:rsidR="00913665">
        <w:rPr>
          <w:noProof/>
        </w:rPr>
        <w:t> </w:t>
      </w:r>
      <w:r w:rsidR="00913665" w:rsidRPr="00913665">
        <w:rPr>
          <w:noProof/>
        </w:rPr>
        <w:t>for</w:t>
      </w:r>
      <w:r w:rsidRPr="00913665">
        <w:rPr>
          <w:noProof/>
        </w:rPr>
        <w:t>mie gwarancji przychodów.</w:t>
      </w:r>
    </w:p>
    <w:p w14:paraId="38A32517" w14:textId="30FF3DC0" w:rsidR="00C8464D" w:rsidRPr="00913665" w:rsidRDefault="00C8464D" w:rsidP="00597730">
      <w:pPr>
        <w:pStyle w:val="BodyText"/>
        <w:kinsoku w:val="0"/>
        <w:overflowPunct w:val="0"/>
        <w:spacing w:before="240" w:line="276" w:lineRule="auto"/>
        <w:jc w:val="both"/>
        <w:rPr>
          <w:noProof/>
        </w:rPr>
      </w:pPr>
      <w:r w:rsidRPr="00913665">
        <w:rPr>
          <w:noProof/>
        </w:rPr>
        <w:t>W wymiarze globalnym Komisja łączy siły z WHO</w:t>
      </w:r>
      <w:r w:rsidR="00913665" w:rsidRPr="00913665">
        <w:rPr>
          <w:noProof/>
        </w:rPr>
        <w:t xml:space="preserve"> w</w:t>
      </w:r>
      <w:r w:rsidR="00913665">
        <w:rPr>
          <w:noProof/>
        </w:rPr>
        <w:t> </w:t>
      </w:r>
      <w:r w:rsidR="00913665" w:rsidRPr="00913665">
        <w:rPr>
          <w:noProof/>
        </w:rPr>
        <w:t>cel</w:t>
      </w:r>
      <w:r w:rsidRPr="00913665">
        <w:rPr>
          <w:noProof/>
        </w:rPr>
        <w:t>u aktualizacji listy priorytetowych patogenów bakteryjnych</w:t>
      </w:r>
      <w:r w:rsidR="00913665" w:rsidRPr="00913665">
        <w:rPr>
          <w:noProof/>
        </w:rPr>
        <w:t xml:space="preserve"> i</w:t>
      </w:r>
      <w:r w:rsidR="00913665">
        <w:rPr>
          <w:noProof/>
        </w:rPr>
        <w:t> </w:t>
      </w:r>
      <w:r w:rsidR="00913665" w:rsidRPr="00913665">
        <w:rPr>
          <w:noProof/>
        </w:rPr>
        <w:t>grz</w:t>
      </w:r>
      <w:r w:rsidRPr="00913665">
        <w:rPr>
          <w:noProof/>
        </w:rPr>
        <w:t>ybiczych, prowadzenia badań ścieków na obecność środków przeciwdrobnoustrojowych oraz diagnostyki</w:t>
      </w:r>
      <w:r w:rsidR="00913665" w:rsidRPr="00913665">
        <w:rPr>
          <w:noProof/>
        </w:rPr>
        <w:t xml:space="preserve"> i</w:t>
      </w:r>
      <w:r w:rsidR="00913665">
        <w:rPr>
          <w:noProof/>
        </w:rPr>
        <w:t> </w:t>
      </w:r>
      <w:r w:rsidR="00913665" w:rsidRPr="00913665">
        <w:rPr>
          <w:noProof/>
        </w:rPr>
        <w:t>opr</w:t>
      </w:r>
      <w:r w:rsidRPr="00913665">
        <w:rPr>
          <w:noProof/>
        </w:rPr>
        <w:t>acowania docelowych profili produktów. Konferencja wysokiego szczebla</w:t>
      </w:r>
      <w:r w:rsidR="00913665" w:rsidRPr="00913665">
        <w:rPr>
          <w:noProof/>
        </w:rPr>
        <w:t xml:space="preserve"> w</w:t>
      </w:r>
      <w:r w:rsidR="00913665">
        <w:rPr>
          <w:noProof/>
        </w:rPr>
        <w:t> </w:t>
      </w:r>
      <w:r w:rsidR="00913665" w:rsidRPr="00913665">
        <w:rPr>
          <w:noProof/>
        </w:rPr>
        <w:t>spr</w:t>
      </w:r>
      <w:r w:rsidRPr="00913665">
        <w:rPr>
          <w:noProof/>
        </w:rPr>
        <w:t>awie oporności na środki przeciwdrobnoustrojowe we wrześniu 2024</w:t>
      </w:r>
      <w:r w:rsidR="00913665" w:rsidRPr="00913665">
        <w:rPr>
          <w:noProof/>
        </w:rPr>
        <w:t> </w:t>
      </w:r>
      <w:r w:rsidRPr="00913665">
        <w:rPr>
          <w:noProof/>
        </w:rPr>
        <w:t>r. jest ważnym krokiem do osiągnięcia konkretnych rezultatów na szczeblu globalnym.</w:t>
      </w:r>
    </w:p>
    <w:p w14:paraId="65D2A344" w14:textId="4DCF6ADA" w:rsidR="00C8464D" w:rsidRPr="00913665" w:rsidRDefault="00C8464D" w:rsidP="00597730">
      <w:pPr>
        <w:pStyle w:val="Heading2"/>
        <w:numPr>
          <w:ilvl w:val="1"/>
          <w:numId w:val="2"/>
        </w:numPr>
        <w:tabs>
          <w:tab w:val="left" w:pos="1428"/>
        </w:tabs>
        <w:kinsoku w:val="0"/>
        <w:overflowPunct w:val="0"/>
        <w:spacing w:before="240" w:line="276" w:lineRule="auto"/>
        <w:ind w:left="0" w:firstLine="0"/>
        <w:rPr>
          <w:noProof/>
          <w:color w:val="2E5395"/>
          <w:spacing w:val="-2"/>
        </w:rPr>
      </w:pPr>
      <w:bookmarkStart w:id="11" w:name="3.4._Safe_and_widely_accessible_Substanc"/>
      <w:bookmarkEnd w:id="11"/>
      <w:r w:rsidRPr="00913665">
        <w:rPr>
          <w:noProof/>
          <w:color w:val="2E5395"/>
        </w:rPr>
        <w:t>Bezpieczne</w:t>
      </w:r>
      <w:r w:rsidR="00913665" w:rsidRPr="00913665">
        <w:rPr>
          <w:noProof/>
          <w:color w:val="2E5395"/>
        </w:rPr>
        <w:t xml:space="preserve"> i</w:t>
      </w:r>
      <w:r w:rsidR="00913665">
        <w:rPr>
          <w:noProof/>
          <w:color w:val="2E5395"/>
        </w:rPr>
        <w:t> </w:t>
      </w:r>
      <w:r w:rsidR="00913665" w:rsidRPr="00913665">
        <w:rPr>
          <w:noProof/>
          <w:color w:val="2E5395"/>
        </w:rPr>
        <w:t>pow</w:t>
      </w:r>
      <w:r w:rsidRPr="00913665">
        <w:rPr>
          <w:noProof/>
          <w:color w:val="2E5395"/>
        </w:rPr>
        <w:t>szechnie dostępne substancje pochodzenia ludzkiego</w:t>
      </w:r>
    </w:p>
    <w:p w14:paraId="5CCE6595" w14:textId="3E49B127" w:rsidR="00C8464D" w:rsidRPr="00913665" w:rsidRDefault="00C8464D" w:rsidP="00597730">
      <w:pPr>
        <w:pStyle w:val="BodyText"/>
        <w:kinsoku w:val="0"/>
        <w:overflowPunct w:val="0"/>
        <w:spacing w:before="240" w:line="276" w:lineRule="auto"/>
        <w:jc w:val="both"/>
        <w:rPr>
          <w:noProof/>
        </w:rPr>
      </w:pPr>
      <w:r w:rsidRPr="00913665">
        <w:rPr>
          <w:noProof/>
        </w:rPr>
        <w:t>W lipcu 2022</w:t>
      </w:r>
      <w:r w:rsidR="00913665" w:rsidRPr="00913665">
        <w:rPr>
          <w:noProof/>
        </w:rPr>
        <w:t> </w:t>
      </w:r>
      <w:r w:rsidRPr="00913665">
        <w:rPr>
          <w:noProof/>
        </w:rPr>
        <w:t>r. Komisja zaproponowała nowe przepisy, których celem jest zapewnienie najwyższego możliwego poziomu ochrony osobom oddającym lub przyjmującym substancje takie jak krew, tkanki</w:t>
      </w:r>
      <w:r w:rsidR="00913665" w:rsidRPr="00913665">
        <w:rPr>
          <w:noProof/>
        </w:rPr>
        <w:t xml:space="preserve"> i</w:t>
      </w:r>
      <w:r w:rsidR="00913665">
        <w:rPr>
          <w:noProof/>
        </w:rPr>
        <w:t> </w:t>
      </w:r>
      <w:r w:rsidR="00913665" w:rsidRPr="00913665">
        <w:rPr>
          <w:noProof/>
        </w:rPr>
        <w:t>kom</w:t>
      </w:r>
      <w:r w:rsidRPr="00913665">
        <w:rPr>
          <w:noProof/>
        </w:rPr>
        <w:t>órki</w:t>
      </w:r>
      <w:r w:rsidR="00913665" w:rsidRPr="00913665">
        <w:rPr>
          <w:noProof/>
        </w:rPr>
        <w:t>. W</w:t>
      </w:r>
      <w:r w:rsidR="00913665">
        <w:rPr>
          <w:noProof/>
        </w:rPr>
        <w:t> </w:t>
      </w:r>
      <w:r w:rsidR="00913665" w:rsidRPr="00913665">
        <w:rPr>
          <w:noProof/>
        </w:rPr>
        <w:t>nad</w:t>
      </w:r>
      <w:r w:rsidRPr="00913665">
        <w:rPr>
          <w:noProof/>
        </w:rPr>
        <w:t>chodzących miesiącach zostanie formalnie przyjęte nowe rozporządzenie aktualizujące zasady dotyczące bezpieczeństwa</w:t>
      </w:r>
      <w:r w:rsidR="00913665" w:rsidRPr="00913665">
        <w:rPr>
          <w:noProof/>
        </w:rPr>
        <w:t xml:space="preserve"> i</w:t>
      </w:r>
      <w:r w:rsidR="00913665">
        <w:rPr>
          <w:noProof/>
        </w:rPr>
        <w:t> </w:t>
      </w:r>
      <w:r w:rsidR="00913665" w:rsidRPr="00913665">
        <w:rPr>
          <w:noProof/>
        </w:rPr>
        <w:t>jak</w:t>
      </w:r>
      <w:r w:rsidRPr="00913665">
        <w:rPr>
          <w:noProof/>
        </w:rPr>
        <w:t>ości substancji pochodzenia ludzkiego (SoHO)</w:t>
      </w:r>
      <w:r w:rsidR="000726BF" w:rsidRPr="00913665">
        <w:rPr>
          <w:rStyle w:val="FootnoteReference"/>
          <w:noProof/>
        </w:rPr>
        <w:footnoteReference w:id="20"/>
      </w:r>
      <w:r w:rsidRPr="00913665">
        <w:rPr>
          <w:noProof/>
        </w:rPr>
        <w:t>, aby wzmocnić ochronę wszystkich pacjentów poddawanych transfuzji, przeszczepieniu lub medycznie wspomaganej prokreacji. Poprawi to dostęp do bezpiecznych</w:t>
      </w:r>
      <w:r w:rsidR="00913665" w:rsidRPr="00913665">
        <w:rPr>
          <w:noProof/>
        </w:rPr>
        <w:t xml:space="preserve"> i</w:t>
      </w:r>
      <w:r w:rsidR="00913665">
        <w:rPr>
          <w:noProof/>
        </w:rPr>
        <w:t> </w:t>
      </w:r>
      <w:r w:rsidR="00913665" w:rsidRPr="00913665">
        <w:rPr>
          <w:noProof/>
        </w:rPr>
        <w:t>spr</w:t>
      </w:r>
      <w:r w:rsidRPr="00913665">
        <w:rPr>
          <w:noProof/>
        </w:rPr>
        <w:t>awdzonych terapii opartych na SoHO oraz zaoferuje pacjentom</w:t>
      </w:r>
      <w:r w:rsidR="00913665" w:rsidRPr="00913665">
        <w:rPr>
          <w:noProof/>
        </w:rPr>
        <w:t xml:space="preserve"> w</w:t>
      </w:r>
      <w:r w:rsidR="00913665">
        <w:rPr>
          <w:noProof/>
        </w:rPr>
        <w:t> </w:t>
      </w:r>
      <w:r w:rsidR="00913665" w:rsidRPr="00913665">
        <w:rPr>
          <w:noProof/>
        </w:rPr>
        <w:t>cał</w:t>
      </w:r>
      <w:r w:rsidRPr="00913665">
        <w:rPr>
          <w:noProof/>
        </w:rPr>
        <w:t>ej UE, niezależnie od ich miejsca zamieszkania, więcej możliwości</w:t>
      </w:r>
      <w:r w:rsidR="00913665" w:rsidRPr="00913665">
        <w:rPr>
          <w:noProof/>
        </w:rPr>
        <w:t xml:space="preserve"> w</w:t>
      </w:r>
      <w:r w:rsidR="00913665">
        <w:rPr>
          <w:noProof/>
        </w:rPr>
        <w:t> </w:t>
      </w:r>
      <w:r w:rsidR="00913665" w:rsidRPr="00913665">
        <w:rPr>
          <w:noProof/>
        </w:rPr>
        <w:t>zak</w:t>
      </w:r>
      <w:r w:rsidRPr="00913665">
        <w:rPr>
          <w:noProof/>
        </w:rPr>
        <w:t>resie dostępu do niezbędnego leczenia. Nowe przepisy dotyczące SoHO będą też wspierać innowacje.</w:t>
      </w:r>
    </w:p>
    <w:p w14:paraId="70AEF433" w14:textId="1C2A5548" w:rsidR="000626A1" w:rsidRPr="00913665" w:rsidRDefault="00405124" w:rsidP="00597730">
      <w:pPr>
        <w:pStyle w:val="BodyText"/>
        <w:kinsoku w:val="0"/>
        <w:overflowPunct w:val="0"/>
        <w:spacing w:before="240" w:line="276" w:lineRule="auto"/>
        <w:jc w:val="both"/>
        <w:rPr>
          <w:noProof/>
        </w:rPr>
      </w:pPr>
      <w:r>
        <w:rPr>
          <w:noProof/>
        </w:rPr>
        <w:pict w14:anchorId="01DE964E">
          <v:shape id="_x0000_i1029" type="#_x0000_t75" style="width:385.5pt;height:136.5pt;visibility:visible;mso-wrap-style:square">
            <v:imagedata r:id="rId18" o:title=""/>
          </v:shape>
        </w:pict>
      </w:r>
    </w:p>
    <w:p w14:paraId="1A7CFAA5" w14:textId="788F8D0E" w:rsidR="00C8464D" w:rsidRPr="00913665" w:rsidRDefault="00C8464D" w:rsidP="00597730">
      <w:pPr>
        <w:pStyle w:val="Heading1"/>
        <w:numPr>
          <w:ilvl w:val="0"/>
          <w:numId w:val="6"/>
        </w:numPr>
        <w:tabs>
          <w:tab w:val="left" w:pos="1276"/>
        </w:tabs>
        <w:kinsoku w:val="0"/>
        <w:overflowPunct w:val="0"/>
        <w:spacing w:before="240" w:line="276" w:lineRule="auto"/>
        <w:ind w:left="0" w:firstLine="0"/>
        <w:jc w:val="both"/>
        <w:rPr>
          <w:noProof/>
          <w:color w:val="2E5395"/>
          <w:spacing w:val="-2"/>
        </w:rPr>
      </w:pPr>
      <w:r w:rsidRPr="00913665">
        <w:rPr>
          <w:noProof/>
          <w:color w:val="2E5395"/>
        </w:rPr>
        <w:t>Odporne, dostępne</w:t>
      </w:r>
      <w:r w:rsidR="00913665" w:rsidRPr="00913665">
        <w:rPr>
          <w:noProof/>
          <w:color w:val="2E5395"/>
        </w:rPr>
        <w:t xml:space="preserve"> i</w:t>
      </w:r>
      <w:r w:rsidR="00913665">
        <w:rPr>
          <w:noProof/>
          <w:color w:val="2E5395"/>
        </w:rPr>
        <w:t> </w:t>
      </w:r>
      <w:r w:rsidR="00913665" w:rsidRPr="00913665">
        <w:rPr>
          <w:noProof/>
          <w:color w:val="2E5395"/>
        </w:rPr>
        <w:t>spr</w:t>
      </w:r>
      <w:r w:rsidRPr="00913665">
        <w:rPr>
          <w:noProof/>
          <w:color w:val="2E5395"/>
        </w:rPr>
        <w:t>zyjające włączeniu społecznemu systemy opieki zdrowotnej</w:t>
      </w:r>
    </w:p>
    <w:p w14:paraId="47A84F01" w14:textId="77777777" w:rsidR="00C8464D" w:rsidRPr="00913665" w:rsidRDefault="00C8464D" w:rsidP="00597730">
      <w:pPr>
        <w:pStyle w:val="Heading2"/>
        <w:numPr>
          <w:ilvl w:val="1"/>
          <w:numId w:val="6"/>
        </w:numPr>
        <w:tabs>
          <w:tab w:val="left" w:pos="1351"/>
        </w:tabs>
        <w:kinsoku w:val="0"/>
        <w:overflowPunct w:val="0"/>
        <w:spacing w:before="240" w:line="276" w:lineRule="auto"/>
        <w:ind w:left="0" w:firstLine="0"/>
        <w:rPr>
          <w:noProof/>
          <w:color w:val="2E5395"/>
          <w:spacing w:val="-2"/>
        </w:rPr>
      </w:pPr>
      <w:r w:rsidRPr="00913665">
        <w:rPr>
          <w:noProof/>
          <w:color w:val="2E5395"/>
        </w:rPr>
        <w:t>Zwiększenie odporności systemów opieki zdrowotnej</w:t>
      </w:r>
    </w:p>
    <w:p w14:paraId="1EEBA2A5" w14:textId="624F0CC3" w:rsidR="00C8464D" w:rsidRPr="00913665" w:rsidRDefault="00C8464D" w:rsidP="00597730">
      <w:pPr>
        <w:pStyle w:val="BodyText"/>
        <w:kinsoku w:val="0"/>
        <w:overflowPunct w:val="0"/>
        <w:spacing w:before="240" w:line="276" w:lineRule="auto"/>
        <w:jc w:val="both"/>
        <w:rPr>
          <w:noProof/>
          <w:spacing w:val="-2"/>
        </w:rPr>
      </w:pPr>
      <w:r w:rsidRPr="00913665">
        <w:rPr>
          <w:noProof/>
        </w:rPr>
        <w:t>Wzmocnienie europejskich systemów opieki zdrowotnej jest konieczne, aby sprostać obecnym</w:t>
      </w:r>
      <w:r w:rsidR="00913665" w:rsidRPr="00913665">
        <w:rPr>
          <w:noProof/>
        </w:rPr>
        <w:t xml:space="preserve"> i</w:t>
      </w:r>
      <w:r w:rsidR="00913665">
        <w:rPr>
          <w:noProof/>
        </w:rPr>
        <w:t> </w:t>
      </w:r>
      <w:r w:rsidR="00913665" w:rsidRPr="00913665">
        <w:rPr>
          <w:noProof/>
        </w:rPr>
        <w:t>prz</w:t>
      </w:r>
      <w:r w:rsidRPr="00913665">
        <w:rPr>
          <w:noProof/>
        </w:rPr>
        <w:t>yszłym wyzwaniom, takim jak starzenie się społeczeństwa, rosnąca częstość występowania chorób niezakaźnych, zmiana klimatu</w:t>
      </w:r>
      <w:r w:rsidR="00913665" w:rsidRPr="00913665">
        <w:rPr>
          <w:noProof/>
        </w:rPr>
        <w:t xml:space="preserve"> i</w:t>
      </w:r>
      <w:r w:rsidR="00913665">
        <w:rPr>
          <w:noProof/>
        </w:rPr>
        <w:t> </w:t>
      </w:r>
      <w:r w:rsidR="00913665" w:rsidRPr="00913665">
        <w:rPr>
          <w:noProof/>
        </w:rPr>
        <w:t>zwi</w:t>
      </w:r>
      <w:r w:rsidRPr="00913665">
        <w:rPr>
          <w:noProof/>
        </w:rPr>
        <w:t>ększone ryzyko chorób zakaźnych. Odporne systemy opieki zdrowotnej wymagają zrównoważonych inwestycji</w:t>
      </w:r>
      <w:r w:rsidR="00913665" w:rsidRPr="00913665">
        <w:rPr>
          <w:noProof/>
        </w:rPr>
        <w:t xml:space="preserve"> i</w:t>
      </w:r>
      <w:r w:rsidR="00913665">
        <w:rPr>
          <w:noProof/>
        </w:rPr>
        <w:t> </w:t>
      </w:r>
      <w:r w:rsidR="00913665" w:rsidRPr="00913665">
        <w:rPr>
          <w:noProof/>
        </w:rPr>
        <w:t>wyk</w:t>
      </w:r>
      <w:r w:rsidRPr="00913665">
        <w:rPr>
          <w:noProof/>
        </w:rPr>
        <w:t>walifikowanej siły roboczej,</w:t>
      </w:r>
      <w:r w:rsidR="00913665" w:rsidRPr="00913665">
        <w:rPr>
          <w:noProof/>
        </w:rPr>
        <w:t xml:space="preserve"> a</w:t>
      </w:r>
      <w:r w:rsidR="00913665">
        <w:rPr>
          <w:noProof/>
        </w:rPr>
        <w:t> </w:t>
      </w:r>
      <w:r w:rsidR="00913665" w:rsidRPr="00913665">
        <w:rPr>
          <w:noProof/>
        </w:rPr>
        <w:t>Eur</w:t>
      </w:r>
      <w:r w:rsidRPr="00913665">
        <w:rPr>
          <w:noProof/>
        </w:rPr>
        <w:t>opejska Unia Zdrowotna wspiera państwa członkowskie</w:t>
      </w:r>
      <w:r w:rsidR="00913665" w:rsidRPr="00913665">
        <w:rPr>
          <w:noProof/>
        </w:rPr>
        <w:t xml:space="preserve"> w</w:t>
      </w:r>
      <w:r w:rsidR="00913665">
        <w:rPr>
          <w:noProof/>
        </w:rPr>
        <w:t> </w:t>
      </w:r>
      <w:r w:rsidR="00913665" w:rsidRPr="00913665">
        <w:rPr>
          <w:noProof/>
        </w:rPr>
        <w:t>ich</w:t>
      </w:r>
      <w:r w:rsidRPr="00913665">
        <w:rPr>
          <w:noProof/>
        </w:rPr>
        <w:t xml:space="preserve"> wysiłkach krajowych.</w:t>
      </w:r>
    </w:p>
    <w:p w14:paraId="50CB6025" w14:textId="52C9CB0C" w:rsidR="00C8464D" w:rsidRPr="00913665" w:rsidRDefault="00C8464D" w:rsidP="00597730">
      <w:pPr>
        <w:pStyle w:val="BodyText"/>
        <w:kinsoku w:val="0"/>
        <w:overflowPunct w:val="0"/>
        <w:spacing w:before="240" w:line="276" w:lineRule="auto"/>
        <w:jc w:val="both"/>
        <w:rPr>
          <w:noProof/>
        </w:rPr>
      </w:pPr>
      <w:r w:rsidRPr="00913665">
        <w:rPr>
          <w:noProof/>
        </w:rPr>
        <w:t xml:space="preserve">W maju 2020 r. Komisja zaproponowała </w:t>
      </w:r>
      <w:r w:rsidRPr="00913665">
        <w:rPr>
          <w:b/>
          <w:noProof/>
        </w:rPr>
        <w:t>Program UE dla zdrowia</w:t>
      </w:r>
      <w:r w:rsidRPr="00913665">
        <w:rPr>
          <w:noProof/>
        </w:rPr>
        <w:t>, którego budżet wynosi 4,7 mld EUR (po śródokresowej rewizji WRF)</w:t>
      </w:r>
      <w:r w:rsidR="00913665" w:rsidRPr="00913665">
        <w:rPr>
          <w:noProof/>
        </w:rPr>
        <w:t xml:space="preserve"> w</w:t>
      </w:r>
      <w:r w:rsidR="00913665">
        <w:rPr>
          <w:noProof/>
        </w:rPr>
        <w:t> </w:t>
      </w:r>
      <w:r w:rsidR="00913665" w:rsidRPr="00913665">
        <w:rPr>
          <w:noProof/>
        </w:rPr>
        <w:t>okr</w:t>
      </w:r>
      <w:r w:rsidRPr="00913665">
        <w:rPr>
          <w:noProof/>
        </w:rPr>
        <w:t>esie finansowania 2021–2027, co stanowi najwyższą</w:t>
      </w:r>
      <w:r w:rsidR="00913665" w:rsidRPr="00913665">
        <w:rPr>
          <w:noProof/>
        </w:rPr>
        <w:t xml:space="preserve"> w</w:t>
      </w:r>
      <w:r w:rsidR="00913665">
        <w:rPr>
          <w:noProof/>
        </w:rPr>
        <w:t> </w:t>
      </w:r>
      <w:r w:rsidR="00913665" w:rsidRPr="00913665">
        <w:rPr>
          <w:noProof/>
        </w:rPr>
        <w:t>his</w:t>
      </w:r>
      <w:r w:rsidRPr="00913665">
        <w:rPr>
          <w:noProof/>
        </w:rPr>
        <w:t>torii kwotę przeznaczoną na politykę zdrowotną na szczeblu UE.</w:t>
      </w:r>
    </w:p>
    <w:p w14:paraId="25343ADE" w14:textId="1536338A" w:rsidR="00C8464D" w:rsidRPr="00913665" w:rsidRDefault="00C8464D" w:rsidP="00597730">
      <w:pPr>
        <w:pStyle w:val="BodyText"/>
        <w:kinsoku w:val="0"/>
        <w:overflowPunct w:val="0"/>
        <w:spacing w:before="240" w:line="276" w:lineRule="auto"/>
        <w:jc w:val="both"/>
        <w:rPr>
          <w:noProof/>
          <w:spacing w:val="-2"/>
        </w:rPr>
      </w:pPr>
      <w:r w:rsidRPr="00913665">
        <w:rPr>
          <w:noProof/>
        </w:rPr>
        <w:t>W ramach Programu UE dla zdrowia finansuje się inicjatywy mające na celu poprawę dostępu do opieki zdrowotnej, wspieranie pracowników sektora zdrowia oraz integrację krajowych systemów opieki zdrowotnej, aby stworzyć podwaliny pod odporne systemy opieki zdrowotnej ukierunkowane na pacjenta. Pozwala to również szybko reagować na sytuacje kryzysowe dotyczące zdrowia, takie jak pandemia COVID-19</w:t>
      </w:r>
      <w:r w:rsidR="00913665" w:rsidRPr="00913665">
        <w:rPr>
          <w:noProof/>
        </w:rPr>
        <w:t xml:space="preserve"> i</w:t>
      </w:r>
      <w:r w:rsidR="00913665">
        <w:rPr>
          <w:noProof/>
        </w:rPr>
        <w:t> </w:t>
      </w:r>
      <w:r w:rsidR="00913665" w:rsidRPr="00913665">
        <w:rPr>
          <w:noProof/>
        </w:rPr>
        <w:t>prz</w:t>
      </w:r>
      <w:r w:rsidRPr="00913665">
        <w:rPr>
          <w:noProof/>
        </w:rPr>
        <w:t>ypadki zakażenia wirusem ospy małpiej</w:t>
      </w:r>
      <w:r w:rsidR="00913665" w:rsidRPr="00913665">
        <w:rPr>
          <w:noProof/>
        </w:rPr>
        <w:t xml:space="preserve"> w</w:t>
      </w:r>
      <w:r w:rsidR="00913665">
        <w:rPr>
          <w:noProof/>
        </w:rPr>
        <w:t> </w:t>
      </w:r>
      <w:r w:rsidR="00913665" w:rsidRPr="00913665">
        <w:rPr>
          <w:noProof/>
        </w:rPr>
        <w:t>2</w:t>
      </w:r>
      <w:r w:rsidRPr="00913665">
        <w:rPr>
          <w:noProof/>
        </w:rPr>
        <w:t>022</w:t>
      </w:r>
      <w:r w:rsidR="00913665" w:rsidRPr="00913665">
        <w:rPr>
          <w:noProof/>
        </w:rPr>
        <w:t> </w:t>
      </w:r>
      <w:r w:rsidRPr="00913665">
        <w:rPr>
          <w:noProof/>
        </w:rPr>
        <w:t>r. Komisja jest gotowa wspierać działania</w:t>
      </w:r>
      <w:r w:rsidR="00913665" w:rsidRPr="00913665">
        <w:rPr>
          <w:noProof/>
        </w:rPr>
        <w:t xml:space="preserve"> w</w:t>
      </w:r>
      <w:r w:rsidR="00913665">
        <w:rPr>
          <w:noProof/>
        </w:rPr>
        <w:t> </w:t>
      </w:r>
      <w:r w:rsidR="00913665" w:rsidRPr="00913665">
        <w:rPr>
          <w:noProof/>
        </w:rPr>
        <w:t>ram</w:t>
      </w:r>
      <w:r w:rsidRPr="00913665">
        <w:rPr>
          <w:noProof/>
        </w:rPr>
        <w:t>ach europejskiej przestrzeni danych dotyczących zdrowia</w:t>
      </w:r>
      <w:r w:rsidR="00913665" w:rsidRPr="00913665">
        <w:rPr>
          <w:noProof/>
        </w:rPr>
        <w:t xml:space="preserve"> i</w:t>
      </w:r>
      <w:r w:rsidR="00913665">
        <w:rPr>
          <w:noProof/>
        </w:rPr>
        <w:t> </w:t>
      </w:r>
      <w:r w:rsidR="00913665" w:rsidRPr="00913665">
        <w:rPr>
          <w:noProof/>
        </w:rPr>
        <w:t>zin</w:t>
      </w:r>
      <w:r w:rsidRPr="00913665">
        <w:rPr>
          <w:noProof/>
        </w:rPr>
        <w:t>tensyfikować walkę</w:t>
      </w:r>
      <w:r w:rsidR="00913665" w:rsidRPr="00913665">
        <w:rPr>
          <w:noProof/>
        </w:rPr>
        <w:t xml:space="preserve"> z</w:t>
      </w:r>
      <w:r w:rsidR="00913665">
        <w:rPr>
          <w:noProof/>
        </w:rPr>
        <w:t> </w:t>
      </w:r>
      <w:r w:rsidR="00913665" w:rsidRPr="00913665">
        <w:rPr>
          <w:noProof/>
        </w:rPr>
        <w:t>now</w:t>
      </w:r>
      <w:r w:rsidRPr="00913665">
        <w:rPr>
          <w:noProof/>
        </w:rPr>
        <w:t>otworami</w:t>
      </w:r>
      <w:r w:rsidR="00913665" w:rsidRPr="00913665">
        <w:rPr>
          <w:noProof/>
        </w:rPr>
        <w:t xml:space="preserve"> i</w:t>
      </w:r>
      <w:r w:rsidR="00913665">
        <w:rPr>
          <w:noProof/>
        </w:rPr>
        <w:t> </w:t>
      </w:r>
      <w:r w:rsidR="00913665" w:rsidRPr="00913665">
        <w:rPr>
          <w:noProof/>
        </w:rPr>
        <w:t>cho</w:t>
      </w:r>
      <w:r w:rsidRPr="00913665">
        <w:rPr>
          <w:noProof/>
        </w:rPr>
        <w:t>robami rzadkimi. Synergia</w:t>
      </w:r>
      <w:r w:rsidR="00913665" w:rsidRPr="00913665">
        <w:rPr>
          <w:noProof/>
        </w:rPr>
        <w:t xml:space="preserve"> z</w:t>
      </w:r>
      <w:r w:rsidR="00913665">
        <w:rPr>
          <w:noProof/>
        </w:rPr>
        <w:t> </w:t>
      </w:r>
      <w:r w:rsidR="00913665" w:rsidRPr="00913665">
        <w:rPr>
          <w:noProof/>
        </w:rPr>
        <w:t>uni</w:t>
      </w:r>
      <w:r w:rsidRPr="00913665">
        <w:rPr>
          <w:noProof/>
        </w:rPr>
        <w:t>jnym programem ramowym „Horyzont Europa” pobudziła badania naukowe</w:t>
      </w:r>
      <w:r w:rsidR="00913665" w:rsidRPr="00913665">
        <w:rPr>
          <w:noProof/>
        </w:rPr>
        <w:t xml:space="preserve"> i</w:t>
      </w:r>
      <w:r w:rsidR="00913665">
        <w:rPr>
          <w:noProof/>
        </w:rPr>
        <w:t> </w:t>
      </w:r>
      <w:r w:rsidR="00913665" w:rsidRPr="00913665">
        <w:rPr>
          <w:noProof/>
        </w:rPr>
        <w:t>inn</w:t>
      </w:r>
      <w:r w:rsidRPr="00913665">
        <w:rPr>
          <w:noProof/>
        </w:rPr>
        <w:t>owacje</w:t>
      </w:r>
      <w:r w:rsidR="00913665" w:rsidRPr="00913665">
        <w:rPr>
          <w:noProof/>
        </w:rPr>
        <w:t xml:space="preserve"> w</w:t>
      </w:r>
      <w:r w:rsidR="00913665">
        <w:rPr>
          <w:noProof/>
        </w:rPr>
        <w:t> </w:t>
      </w:r>
      <w:r w:rsidR="00913665" w:rsidRPr="00913665">
        <w:rPr>
          <w:noProof/>
        </w:rPr>
        <w:t>wie</w:t>
      </w:r>
      <w:r w:rsidRPr="00913665">
        <w:rPr>
          <w:noProof/>
        </w:rPr>
        <w:t>lu różnych obszarach zdrowia. Przykładowo</w:t>
      </w:r>
      <w:r w:rsidR="00913665" w:rsidRPr="00913665">
        <w:rPr>
          <w:noProof/>
        </w:rPr>
        <w:t xml:space="preserve"> w</w:t>
      </w:r>
      <w:r w:rsidR="00913665">
        <w:rPr>
          <w:noProof/>
        </w:rPr>
        <w:t> </w:t>
      </w:r>
      <w:r w:rsidR="00913665" w:rsidRPr="00913665">
        <w:rPr>
          <w:noProof/>
        </w:rPr>
        <w:t>2</w:t>
      </w:r>
      <w:r w:rsidRPr="00913665">
        <w:rPr>
          <w:noProof/>
        </w:rPr>
        <w:t>023</w:t>
      </w:r>
      <w:r w:rsidR="00913665" w:rsidRPr="00913665">
        <w:rPr>
          <w:noProof/>
        </w:rPr>
        <w:t> </w:t>
      </w:r>
      <w:r w:rsidRPr="00913665">
        <w:rPr>
          <w:noProof/>
        </w:rPr>
        <w:t>r. uruchomiono europejskie partnerstwo na rzecz transformacji systemów ochrony zdrowia</w:t>
      </w:r>
      <w:r w:rsidR="00913665" w:rsidRPr="00913665">
        <w:rPr>
          <w:noProof/>
        </w:rPr>
        <w:t xml:space="preserve"> i</w:t>
      </w:r>
      <w:r w:rsidR="00913665">
        <w:rPr>
          <w:noProof/>
        </w:rPr>
        <w:t> </w:t>
      </w:r>
      <w:r w:rsidR="00913665" w:rsidRPr="00913665">
        <w:rPr>
          <w:noProof/>
        </w:rPr>
        <w:t>opi</w:t>
      </w:r>
      <w:r w:rsidRPr="00913665">
        <w:rPr>
          <w:noProof/>
        </w:rPr>
        <w:t>eki</w:t>
      </w:r>
      <w:r w:rsidR="009E609E" w:rsidRPr="00913665">
        <w:rPr>
          <w:rStyle w:val="FootnoteReference"/>
          <w:rFonts w:eastAsia="Calibri"/>
          <w:noProof/>
        </w:rPr>
        <w:footnoteReference w:id="21"/>
      </w:r>
      <w:r w:rsidRPr="00913665">
        <w:rPr>
          <w:noProof/>
        </w:rPr>
        <w:t>.</w:t>
      </w:r>
    </w:p>
    <w:p w14:paraId="5B819B9A" w14:textId="46B47701" w:rsidR="00C8464D" w:rsidRPr="00913665" w:rsidRDefault="00A82C80" w:rsidP="00597730">
      <w:pPr>
        <w:pStyle w:val="BodyText"/>
        <w:kinsoku w:val="0"/>
        <w:overflowPunct w:val="0"/>
        <w:spacing w:before="240" w:line="276" w:lineRule="auto"/>
        <w:jc w:val="both"/>
        <w:rPr>
          <w:noProof/>
        </w:rPr>
      </w:pPr>
      <w:bookmarkStart w:id="12" w:name="4._Resilient,_accessible,_and_inclusive_"/>
      <w:bookmarkEnd w:id="12"/>
      <w:r w:rsidRPr="00913665">
        <w:rPr>
          <w:noProof/>
        </w:rPr>
        <w:t xml:space="preserve">W ramach </w:t>
      </w:r>
      <w:r w:rsidRPr="00913665">
        <w:rPr>
          <w:b/>
          <w:noProof/>
        </w:rPr>
        <w:t>Instrumentu na rzecz Odbudowy</w:t>
      </w:r>
      <w:r w:rsidR="00913665" w:rsidRPr="00913665">
        <w:rPr>
          <w:b/>
          <w:noProof/>
        </w:rPr>
        <w:t xml:space="preserve"> i</w:t>
      </w:r>
      <w:r w:rsidR="00913665">
        <w:rPr>
          <w:b/>
          <w:noProof/>
        </w:rPr>
        <w:t> </w:t>
      </w:r>
      <w:r w:rsidR="00913665" w:rsidRPr="00913665">
        <w:rPr>
          <w:b/>
          <w:noProof/>
        </w:rPr>
        <w:t>Zwi</w:t>
      </w:r>
      <w:r w:rsidRPr="00913665">
        <w:rPr>
          <w:b/>
          <w:noProof/>
        </w:rPr>
        <w:t xml:space="preserve">ększania Odporności </w:t>
      </w:r>
      <w:r w:rsidRPr="00913665">
        <w:rPr>
          <w:noProof/>
        </w:rPr>
        <w:t>państwa członkowskie</w:t>
      </w:r>
      <w:bookmarkStart w:id="13" w:name="4.1_Making_health_systems_more_resilient"/>
      <w:r w:rsidRPr="00913665">
        <w:rPr>
          <w:noProof/>
        </w:rPr>
        <w:t xml:space="preserve"> </w:t>
      </w:r>
      <w:bookmarkEnd w:id="13"/>
      <w:r w:rsidRPr="00913665">
        <w:rPr>
          <w:noProof/>
        </w:rPr>
        <w:t>przeznaczyły 43 mld EUR</w:t>
      </w:r>
      <w:r w:rsidR="000626A1" w:rsidRPr="00913665">
        <w:rPr>
          <w:rStyle w:val="FootnoteReference"/>
          <w:noProof/>
          <w:spacing w:val="-6"/>
        </w:rPr>
        <w:footnoteReference w:id="22"/>
      </w:r>
      <w:r w:rsidRPr="00913665">
        <w:rPr>
          <w:b/>
          <w:noProof/>
        </w:rPr>
        <w:t xml:space="preserve"> </w:t>
      </w:r>
      <w:r w:rsidRPr="00913665">
        <w:rPr>
          <w:noProof/>
        </w:rPr>
        <w:t>na działania związane</w:t>
      </w:r>
      <w:r w:rsidR="00913665" w:rsidRPr="00913665">
        <w:rPr>
          <w:noProof/>
        </w:rPr>
        <w:t xml:space="preserve"> z</w:t>
      </w:r>
      <w:r w:rsidR="00913665">
        <w:rPr>
          <w:noProof/>
        </w:rPr>
        <w:t> </w:t>
      </w:r>
      <w:r w:rsidR="00913665" w:rsidRPr="00913665">
        <w:rPr>
          <w:noProof/>
        </w:rPr>
        <w:t>opi</w:t>
      </w:r>
      <w:r w:rsidRPr="00913665">
        <w:rPr>
          <w:noProof/>
        </w:rPr>
        <w:t>eką zdrowotną</w:t>
      </w:r>
      <w:r w:rsidR="00913665" w:rsidRPr="00913665">
        <w:rPr>
          <w:noProof/>
        </w:rPr>
        <w:t xml:space="preserve"> w</w:t>
      </w:r>
      <w:r w:rsidR="00913665">
        <w:rPr>
          <w:noProof/>
        </w:rPr>
        <w:t> </w:t>
      </w:r>
      <w:r w:rsidR="00913665" w:rsidRPr="00913665">
        <w:rPr>
          <w:noProof/>
        </w:rPr>
        <w:t>ram</w:t>
      </w:r>
      <w:r w:rsidRPr="00913665">
        <w:rPr>
          <w:noProof/>
        </w:rPr>
        <w:t>ach krajowych planów odbudowy</w:t>
      </w:r>
      <w:r w:rsidR="00913665" w:rsidRPr="00913665">
        <w:rPr>
          <w:noProof/>
        </w:rPr>
        <w:t xml:space="preserve"> i</w:t>
      </w:r>
      <w:r w:rsidR="00913665">
        <w:rPr>
          <w:noProof/>
        </w:rPr>
        <w:t> </w:t>
      </w:r>
      <w:r w:rsidR="00913665" w:rsidRPr="00913665">
        <w:rPr>
          <w:noProof/>
        </w:rPr>
        <w:t>zwi</w:t>
      </w:r>
      <w:r w:rsidRPr="00913665">
        <w:rPr>
          <w:noProof/>
        </w:rPr>
        <w:t>ększania odporności. Środki te mają m.in. zniwelować braki</w:t>
      </w:r>
      <w:r w:rsidR="00913665" w:rsidRPr="00913665">
        <w:rPr>
          <w:noProof/>
        </w:rPr>
        <w:t xml:space="preserve"> w</w:t>
      </w:r>
      <w:r w:rsidR="00913665">
        <w:rPr>
          <w:noProof/>
        </w:rPr>
        <w:t> </w:t>
      </w:r>
      <w:r w:rsidR="00913665" w:rsidRPr="00913665">
        <w:rPr>
          <w:noProof/>
        </w:rPr>
        <w:t>inf</w:t>
      </w:r>
      <w:r w:rsidRPr="00913665">
        <w:rPr>
          <w:noProof/>
        </w:rPr>
        <w:t>rastrukturze, niedobory siły roboczej oraz zaspokoić potrzeby</w:t>
      </w:r>
      <w:r w:rsidR="00913665" w:rsidRPr="00913665">
        <w:rPr>
          <w:noProof/>
        </w:rPr>
        <w:t xml:space="preserve"> w</w:t>
      </w:r>
      <w:r w:rsidR="00913665">
        <w:rPr>
          <w:noProof/>
        </w:rPr>
        <w:t> </w:t>
      </w:r>
      <w:r w:rsidR="00913665" w:rsidRPr="00913665">
        <w:rPr>
          <w:noProof/>
        </w:rPr>
        <w:t>zak</w:t>
      </w:r>
      <w:r w:rsidRPr="00913665">
        <w:rPr>
          <w:noProof/>
        </w:rPr>
        <w:t>resie cyfryzacji</w:t>
      </w:r>
      <w:r w:rsidR="00913665" w:rsidRPr="00913665">
        <w:rPr>
          <w:noProof/>
        </w:rPr>
        <w:t xml:space="preserve"> i</w:t>
      </w:r>
      <w:r w:rsidR="00913665">
        <w:rPr>
          <w:noProof/>
        </w:rPr>
        <w:t> </w:t>
      </w:r>
      <w:r w:rsidR="00913665" w:rsidRPr="00913665">
        <w:rPr>
          <w:noProof/>
        </w:rPr>
        <w:t>pod</w:t>
      </w:r>
      <w:r w:rsidRPr="00913665">
        <w:rPr>
          <w:noProof/>
        </w:rPr>
        <w:t>stawowej opieki zdrowotnej</w:t>
      </w:r>
      <w:r w:rsidR="00913665" w:rsidRPr="00913665">
        <w:rPr>
          <w:noProof/>
        </w:rPr>
        <w:t>. W</w:t>
      </w:r>
      <w:r w:rsidR="00913665">
        <w:rPr>
          <w:noProof/>
        </w:rPr>
        <w:t> </w:t>
      </w:r>
      <w:r w:rsidR="00913665" w:rsidRPr="00913665">
        <w:rPr>
          <w:noProof/>
        </w:rPr>
        <w:t>ram</w:t>
      </w:r>
      <w:r w:rsidRPr="00913665">
        <w:rPr>
          <w:noProof/>
        </w:rPr>
        <w:t>ach europejskiego semestru Komisja przedstawia państwom członkowskim wytyczne polityczne</w:t>
      </w:r>
      <w:r w:rsidR="00913665" w:rsidRPr="00913665">
        <w:rPr>
          <w:noProof/>
        </w:rPr>
        <w:t xml:space="preserve"> i</w:t>
      </w:r>
      <w:r w:rsidR="00913665">
        <w:rPr>
          <w:noProof/>
        </w:rPr>
        <w:t> </w:t>
      </w:r>
      <w:r w:rsidR="00913665" w:rsidRPr="00913665">
        <w:rPr>
          <w:noProof/>
        </w:rPr>
        <w:t>zal</w:t>
      </w:r>
      <w:r w:rsidRPr="00913665">
        <w:rPr>
          <w:noProof/>
        </w:rPr>
        <w:t>ecenia dotyczące zdrowia. Fundusze polityki spójności,</w:t>
      </w:r>
      <w:r w:rsidR="00913665" w:rsidRPr="00913665">
        <w:rPr>
          <w:noProof/>
        </w:rPr>
        <w:t xml:space="preserve"> w</w:t>
      </w:r>
      <w:r w:rsidR="00913665">
        <w:rPr>
          <w:noProof/>
        </w:rPr>
        <w:t> </w:t>
      </w:r>
      <w:r w:rsidR="00913665" w:rsidRPr="00913665">
        <w:rPr>
          <w:noProof/>
        </w:rPr>
        <w:t>tym</w:t>
      </w:r>
      <w:r w:rsidRPr="00913665">
        <w:rPr>
          <w:noProof/>
        </w:rPr>
        <w:t xml:space="preserve"> Europejski Fundusz Rozwoju Regionalnego</w:t>
      </w:r>
      <w:r w:rsidR="00913665" w:rsidRPr="00913665">
        <w:rPr>
          <w:noProof/>
        </w:rPr>
        <w:t xml:space="preserve"> i</w:t>
      </w:r>
      <w:r w:rsidR="00913665">
        <w:rPr>
          <w:noProof/>
        </w:rPr>
        <w:t> </w:t>
      </w:r>
      <w:r w:rsidR="00913665" w:rsidRPr="00913665">
        <w:rPr>
          <w:noProof/>
        </w:rPr>
        <w:t>Eur</w:t>
      </w:r>
      <w:r w:rsidRPr="00913665">
        <w:rPr>
          <w:noProof/>
        </w:rPr>
        <w:t>opejski Fundusz Społeczny Plus, pomagają państwom członkowskim wzmacniać odporność oraz poprawiać dostępność</w:t>
      </w:r>
      <w:r w:rsidR="00913665" w:rsidRPr="00913665">
        <w:rPr>
          <w:noProof/>
        </w:rPr>
        <w:t xml:space="preserve"> i</w:t>
      </w:r>
      <w:r w:rsidR="00913665">
        <w:rPr>
          <w:noProof/>
        </w:rPr>
        <w:t> </w:t>
      </w:r>
      <w:r w:rsidR="00913665" w:rsidRPr="00913665">
        <w:rPr>
          <w:noProof/>
        </w:rPr>
        <w:t>efe</w:t>
      </w:r>
      <w:r w:rsidRPr="00913665">
        <w:rPr>
          <w:noProof/>
        </w:rPr>
        <w:t>ktywność krajowych systemów opieki zdrowotnej. Dzięki inicjatywom inwestycyjnym</w:t>
      </w:r>
      <w:r w:rsidR="00913665" w:rsidRPr="00913665">
        <w:rPr>
          <w:noProof/>
        </w:rPr>
        <w:t xml:space="preserve"> w</w:t>
      </w:r>
      <w:r w:rsidR="00913665">
        <w:rPr>
          <w:noProof/>
        </w:rPr>
        <w:t> </w:t>
      </w:r>
      <w:r w:rsidR="00913665" w:rsidRPr="00913665">
        <w:rPr>
          <w:noProof/>
        </w:rPr>
        <w:t>odp</w:t>
      </w:r>
      <w:r w:rsidRPr="00913665">
        <w:rPr>
          <w:noProof/>
        </w:rPr>
        <w:t>owiedzi na koronawirusa (CRII i CRII+) oraz wsparciu na rzecz odbudowy służącej spójności oraz terytoriom Europy (REACT-EU), przyjętym</w:t>
      </w:r>
      <w:r w:rsidR="00913665" w:rsidRPr="00913665">
        <w:rPr>
          <w:noProof/>
        </w:rPr>
        <w:t xml:space="preserve"> w</w:t>
      </w:r>
      <w:r w:rsidR="00913665">
        <w:rPr>
          <w:noProof/>
        </w:rPr>
        <w:t> </w:t>
      </w:r>
      <w:r w:rsidR="00913665" w:rsidRPr="00913665">
        <w:rPr>
          <w:noProof/>
        </w:rPr>
        <w:t>2</w:t>
      </w:r>
      <w:r w:rsidRPr="00913665">
        <w:rPr>
          <w:noProof/>
        </w:rPr>
        <w:t>020</w:t>
      </w:r>
      <w:r w:rsidR="00913665" w:rsidRPr="00913665">
        <w:rPr>
          <w:noProof/>
        </w:rPr>
        <w:t> </w:t>
      </w:r>
      <w:r w:rsidRPr="00913665">
        <w:rPr>
          <w:noProof/>
        </w:rPr>
        <w:t>r., unijne wsparcie dla systemów opieki zdrowotnej</w:t>
      </w:r>
      <w:r w:rsidR="00913665" w:rsidRPr="00913665">
        <w:rPr>
          <w:noProof/>
        </w:rPr>
        <w:t xml:space="preserve"> w</w:t>
      </w:r>
      <w:r w:rsidR="00913665">
        <w:rPr>
          <w:noProof/>
        </w:rPr>
        <w:t> </w:t>
      </w:r>
      <w:r w:rsidR="00913665" w:rsidRPr="00913665">
        <w:rPr>
          <w:noProof/>
        </w:rPr>
        <w:t>ram</w:t>
      </w:r>
      <w:r w:rsidRPr="00913665">
        <w:rPr>
          <w:noProof/>
        </w:rPr>
        <w:t>ach programów polityki spójności na lata 2014–2020 zwiększono</w:t>
      </w:r>
      <w:r w:rsidR="00913665" w:rsidRPr="00913665">
        <w:rPr>
          <w:noProof/>
        </w:rPr>
        <w:t xml:space="preserve"> o</w:t>
      </w:r>
      <w:r w:rsidR="00913665">
        <w:rPr>
          <w:noProof/>
        </w:rPr>
        <w:t> </w:t>
      </w:r>
      <w:r w:rsidR="00913665" w:rsidRPr="00913665">
        <w:rPr>
          <w:noProof/>
        </w:rPr>
        <w:t>1</w:t>
      </w:r>
      <w:r w:rsidRPr="00913665">
        <w:rPr>
          <w:noProof/>
        </w:rPr>
        <w:t>6,7 mld EUR do łącznej kwoty ponad 32 mld EUR. Na okres programowania 2021–2027</w:t>
      </w:r>
      <w:r w:rsidR="00913665" w:rsidRPr="00913665">
        <w:rPr>
          <w:noProof/>
        </w:rPr>
        <w:t xml:space="preserve"> w</w:t>
      </w:r>
      <w:r w:rsidR="00913665">
        <w:rPr>
          <w:noProof/>
        </w:rPr>
        <w:t> </w:t>
      </w:r>
      <w:r w:rsidR="00913665" w:rsidRPr="00913665">
        <w:rPr>
          <w:noProof/>
        </w:rPr>
        <w:t>ram</w:t>
      </w:r>
      <w:r w:rsidRPr="00913665">
        <w:rPr>
          <w:noProof/>
        </w:rPr>
        <w:t>ach funduszy polityki spójności na opiekę zdrowotną wyasygnowano kwotę około 12,6 mld EUR,</w:t>
      </w:r>
      <w:r w:rsidR="00913665" w:rsidRPr="00913665">
        <w:rPr>
          <w:noProof/>
        </w:rPr>
        <w:t xml:space="preserve"> z</w:t>
      </w:r>
      <w:r w:rsidR="00913665">
        <w:rPr>
          <w:noProof/>
        </w:rPr>
        <w:t> </w:t>
      </w:r>
      <w:r w:rsidR="00913665" w:rsidRPr="00913665">
        <w:rPr>
          <w:noProof/>
        </w:rPr>
        <w:t>cze</w:t>
      </w:r>
      <w:r w:rsidRPr="00913665">
        <w:rPr>
          <w:noProof/>
        </w:rPr>
        <w:t>go około 1,3 mld EUR przeznaczono na cyfryzację opieki zdrowotnej i e-zdrowie.</w:t>
      </w:r>
    </w:p>
    <w:p w14:paraId="2CE8D8D6" w14:textId="4B39DDFA" w:rsidR="0049613D" w:rsidRPr="00913665" w:rsidRDefault="0049613D" w:rsidP="00597730">
      <w:pPr>
        <w:pStyle w:val="BodyText"/>
        <w:kinsoku w:val="0"/>
        <w:overflowPunct w:val="0"/>
        <w:spacing w:before="240" w:line="276" w:lineRule="auto"/>
        <w:jc w:val="both"/>
        <w:rPr>
          <w:rFonts w:eastAsia="Calibri"/>
          <w:noProof/>
        </w:rPr>
      </w:pPr>
      <w:r w:rsidRPr="00913665">
        <w:rPr>
          <w:noProof/>
        </w:rPr>
        <w:t>Instrument Wsparcia Technicznego uzupełnia te unijne instrumenty finansowania, zapewniając państwom członkowskim, na ich wniosek, wiedzę fachową</w:t>
      </w:r>
      <w:r w:rsidR="00913665" w:rsidRPr="00913665">
        <w:rPr>
          <w:noProof/>
        </w:rPr>
        <w:t xml:space="preserve"> w</w:t>
      </w:r>
      <w:r w:rsidR="00913665">
        <w:rPr>
          <w:noProof/>
        </w:rPr>
        <w:t> </w:t>
      </w:r>
      <w:r w:rsidR="00913665" w:rsidRPr="00913665">
        <w:rPr>
          <w:noProof/>
        </w:rPr>
        <w:t>cel</w:t>
      </w:r>
      <w:r w:rsidRPr="00913665">
        <w:rPr>
          <w:noProof/>
        </w:rPr>
        <w:t>u wdrożenia reform mających na celu poprawę odporności, dostępności</w:t>
      </w:r>
      <w:r w:rsidR="00913665" w:rsidRPr="00913665">
        <w:rPr>
          <w:noProof/>
        </w:rPr>
        <w:t xml:space="preserve"> i</w:t>
      </w:r>
      <w:r w:rsidR="00913665">
        <w:rPr>
          <w:noProof/>
        </w:rPr>
        <w:t> </w:t>
      </w:r>
      <w:r w:rsidR="00913665" w:rsidRPr="00913665">
        <w:rPr>
          <w:noProof/>
        </w:rPr>
        <w:t>ink</w:t>
      </w:r>
      <w:r w:rsidRPr="00913665">
        <w:rPr>
          <w:noProof/>
        </w:rPr>
        <w:t>luzywności ich systemów opieki zdrowotnej.</w:t>
      </w:r>
    </w:p>
    <w:p w14:paraId="6D531A7A" w14:textId="4F476ED6" w:rsidR="00BE1EDF" w:rsidRPr="00913665" w:rsidRDefault="00BE1EDF" w:rsidP="00597730">
      <w:pPr>
        <w:pStyle w:val="BodyText"/>
        <w:kinsoku w:val="0"/>
        <w:overflowPunct w:val="0"/>
        <w:spacing w:before="240" w:line="276" w:lineRule="auto"/>
        <w:jc w:val="both"/>
        <w:rPr>
          <w:noProof/>
        </w:rPr>
      </w:pPr>
      <w:r w:rsidRPr="00913665">
        <w:rPr>
          <w:noProof/>
        </w:rPr>
        <w:t>W obliczu pandemii europejski instrument tymczasowego wsparcia</w:t>
      </w:r>
      <w:r w:rsidR="00913665" w:rsidRPr="00913665">
        <w:rPr>
          <w:noProof/>
        </w:rPr>
        <w:t xml:space="preserve"> w</w:t>
      </w:r>
      <w:r w:rsidR="00913665">
        <w:rPr>
          <w:noProof/>
        </w:rPr>
        <w:t> </w:t>
      </w:r>
      <w:r w:rsidR="00913665" w:rsidRPr="00913665">
        <w:rPr>
          <w:noProof/>
        </w:rPr>
        <w:t>cel</w:t>
      </w:r>
      <w:r w:rsidRPr="00913665">
        <w:rPr>
          <w:noProof/>
        </w:rPr>
        <w:t>u zmniejszenia zagrożeń związanych</w:t>
      </w:r>
      <w:r w:rsidR="00913665" w:rsidRPr="00913665">
        <w:rPr>
          <w:noProof/>
        </w:rPr>
        <w:t xml:space="preserve"> z</w:t>
      </w:r>
      <w:r w:rsidR="00913665">
        <w:rPr>
          <w:noProof/>
        </w:rPr>
        <w:t> </w:t>
      </w:r>
      <w:r w:rsidR="00913665" w:rsidRPr="00913665">
        <w:rPr>
          <w:noProof/>
        </w:rPr>
        <w:t>bez</w:t>
      </w:r>
      <w:r w:rsidRPr="00913665">
        <w:rPr>
          <w:noProof/>
        </w:rPr>
        <w:t>robociem</w:t>
      </w:r>
      <w:r w:rsidR="00913665" w:rsidRPr="00913665">
        <w:rPr>
          <w:noProof/>
        </w:rPr>
        <w:t xml:space="preserve"> w</w:t>
      </w:r>
      <w:r w:rsidR="00913665">
        <w:rPr>
          <w:noProof/>
        </w:rPr>
        <w:t> </w:t>
      </w:r>
      <w:r w:rsidR="00913665" w:rsidRPr="00913665">
        <w:rPr>
          <w:noProof/>
        </w:rPr>
        <w:t>syt</w:t>
      </w:r>
      <w:r w:rsidRPr="00913665">
        <w:rPr>
          <w:noProof/>
        </w:rPr>
        <w:t>uacji nadzwyczajnej (SURE) również wspierał państwa członkowskie</w:t>
      </w:r>
      <w:r w:rsidR="00913665" w:rsidRPr="00913665">
        <w:rPr>
          <w:noProof/>
        </w:rPr>
        <w:t xml:space="preserve"> w</w:t>
      </w:r>
      <w:r w:rsidR="00913665">
        <w:rPr>
          <w:noProof/>
        </w:rPr>
        <w:t> </w:t>
      </w:r>
      <w:r w:rsidR="00913665" w:rsidRPr="00913665">
        <w:rPr>
          <w:noProof/>
        </w:rPr>
        <w:t>fin</w:t>
      </w:r>
      <w:r w:rsidRPr="00913665">
        <w:rPr>
          <w:noProof/>
        </w:rPr>
        <w:t>ansowaniu środków związanych ze zdrowiem</w:t>
      </w:r>
      <w:r w:rsidR="00913665" w:rsidRPr="00913665">
        <w:rPr>
          <w:noProof/>
        </w:rPr>
        <w:t xml:space="preserve"> w</w:t>
      </w:r>
      <w:r w:rsidR="00913665">
        <w:rPr>
          <w:noProof/>
        </w:rPr>
        <w:t> </w:t>
      </w:r>
      <w:r w:rsidR="00913665" w:rsidRPr="00913665">
        <w:rPr>
          <w:noProof/>
        </w:rPr>
        <w:t>wys</w:t>
      </w:r>
      <w:r w:rsidRPr="00913665">
        <w:rPr>
          <w:noProof/>
        </w:rPr>
        <w:t>okości sięgającej prawie 5 mld EUR. 22 % tej kwoty dotyczyło środków wdrażanych</w:t>
      </w:r>
      <w:r w:rsidR="00913665" w:rsidRPr="00913665">
        <w:rPr>
          <w:noProof/>
        </w:rPr>
        <w:t xml:space="preserve"> w</w:t>
      </w:r>
      <w:r w:rsidR="00913665">
        <w:rPr>
          <w:noProof/>
        </w:rPr>
        <w:t> </w:t>
      </w:r>
      <w:r w:rsidR="00913665" w:rsidRPr="00913665">
        <w:rPr>
          <w:noProof/>
        </w:rPr>
        <w:t>mie</w:t>
      </w:r>
      <w:r w:rsidRPr="00913665">
        <w:rPr>
          <w:noProof/>
        </w:rPr>
        <w:t>jscu pracy</w:t>
      </w:r>
      <w:r w:rsidR="00913665" w:rsidRPr="00913665">
        <w:rPr>
          <w:noProof/>
        </w:rPr>
        <w:t xml:space="preserve"> w</w:t>
      </w:r>
      <w:r w:rsidR="00913665">
        <w:rPr>
          <w:noProof/>
        </w:rPr>
        <w:t> </w:t>
      </w:r>
      <w:r w:rsidR="00913665" w:rsidRPr="00913665">
        <w:rPr>
          <w:noProof/>
        </w:rPr>
        <w:t>cel</w:t>
      </w:r>
      <w:r w:rsidRPr="00913665">
        <w:rPr>
          <w:noProof/>
        </w:rPr>
        <w:t>u zapewnienia bezpiecznego powrotu do pracy.</w:t>
      </w:r>
    </w:p>
    <w:p w14:paraId="1FF4C757" w14:textId="53DDDF0B" w:rsidR="00457F48" w:rsidRPr="00913665" w:rsidRDefault="00C8464D" w:rsidP="00597730">
      <w:pPr>
        <w:pStyle w:val="BodyText"/>
        <w:kinsoku w:val="0"/>
        <w:overflowPunct w:val="0"/>
        <w:spacing w:before="240" w:line="276" w:lineRule="auto"/>
        <w:jc w:val="both"/>
        <w:rPr>
          <w:noProof/>
        </w:rPr>
      </w:pPr>
      <w:r w:rsidRPr="00913665">
        <w:rPr>
          <w:noProof/>
        </w:rPr>
        <w:t>Podstawą odpornych systemów opieki zdrowotnej jest stabilny personel sektora zdrowia. UE boryka się jednak obecnie ze znacznym niedoborem pracowników służby zdrowia spowodowanym dużym obciążeniem pracą oraz nieodpowiednimi warunkami</w:t>
      </w:r>
      <w:r w:rsidR="00913665" w:rsidRPr="00913665">
        <w:rPr>
          <w:noProof/>
        </w:rPr>
        <w:t xml:space="preserve"> w</w:t>
      </w:r>
      <w:r w:rsidR="00913665">
        <w:rPr>
          <w:noProof/>
        </w:rPr>
        <w:t> </w:t>
      </w:r>
      <w:r w:rsidR="00913665" w:rsidRPr="00913665">
        <w:rPr>
          <w:noProof/>
        </w:rPr>
        <w:t>zak</w:t>
      </w:r>
      <w:r w:rsidRPr="00913665">
        <w:rPr>
          <w:noProof/>
        </w:rPr>
        <w:t>resie bezpieczeństwa</w:t>
      </w:r>
      <w:r w:rsidR="00913665" w:rsidRPr="00913665">
        <w:rPr>
          <w:noProof/>
        </w:rPr>
        <w:t xml:space="preserve"> i</w:t>
      </w:r>
      <w:r w:rsidR="00913665">
        <w:rPr>
          <w:noProof/>
        </w:rPr>
        <w:t> </w:t>
      </w:r>
      <w:r w:rsidR="00913665" w:rsidRPr="00913665">
        <w:rPr>
          <w:noProof/>
        </w:rPr>
        <w:t>hig</w:t>
      </w:r>
      <w:r w:rsidRPr="00913665">
        <w:rPr>
          <w:noProof/>
        </w:rPr>
        <w:t>ieny pracy. Ponadto pracownicy sektora zdrowia się starzeją. Aby pomóc</w:t>
      </w:r>
      <w:r w:rsidR="00913665" w:rsidRPr="00913665">
        <w:rPr>
          <w:noProof/>
        </w:rPr>
        <w:t xml:space="preserve"> w</w:t>
      </w:r>
      <w:r w:rsidR="00913665">
        <w:rPr>
          <w:noProof/>
        </w:rPr>
        <w:t> </w:t>
      </w:r>
      <w:r w:rsidR="00913665" w:rsidRPr="00913665">
        <w:rPr>
          <w:noProof/>
        </w:rPr>
        <w:t>roz</w:t>
      </w:r>
      <w:r w:rsidRPr="00913665">
        <w:rPr>
          <w:noProof/>
        </w:rPr>
        <w:t>wiązaniu problemu niedoboru siły roboczej</w:t>
      </w:r>
      <w:r w:rsidR="00913665" w:rsidRPr="00913665">
        <w:rPr>
          <w:noProof/>
        </w:rPr>
        <w:t xml:space="preserve"> i</w:t>
      </w:r>
      <w:r w:rsidR="00913665">
        <w:rPr>
          <w:noProof/>
        </w:rPr>
        <w:t> </w:t>
      </w:r>
      <w:r w:rsidR="00913665" w:rsidRPr="00913665">
        <w:rPr>
          <w:noProof/>
        </w:rPr>
        <w:t>wyk</w:t>
      </w:r>
      <w:r w:rsidRPr="00913665">
        <w:rPr>
          <w:noProof/>
        </w:rPr>
        <w:t>walifikowanej kadry, Komisja przyjęła plan działania</w:t>
      </w:r>
      <w:r w:rsidR="00457F48" w:rsidRPr="00913665">
        <w:rPr>
          <w:rStyle w:val="FootnoteReference"/>
          <w:noProof/>
        </w:rPr>
        <w:footnoteReference w:id="23"/>
      </w:r>
      <w:r w:rsidRPr="00913665">
        <w:rPr>
          <w:noProof/>
        </w:rPr>
        <w:t xml:space="preserve"> zawierający ukierunkowane zobowiązania mające na celu poprawę warunków pracy pracowników opieki zdrowotnej.</w:t>
      </w:r>
    </w:p>
    <w:p w14:paraId="75DD57D7" w14:textId="185253C5" w:rsidR="00C8464D" w:rsidRPr="00913665" w:rsidRDefault="00C8464D" w:rsidP="00597730">
      <w:pPr>
        <w:pStyle w:val="BodyText"/>
        <w:kinsoku w:val="0"/>
        <w:overflowPunct w:val="0"/>
        <w:spacing w:before="240" w:line="276" w:lineRule="auto"/>
        <w:jc w:val="both"/>
        <w:rPr>
          <w:noProof/>
          <w:sz w:val="20"/>
          <w:szCs w:val="20"/>
        </w:rPr>
      </w:pPr>
      <w:r w:rsidRPr="00913665">
        <w:rPr>
          <w:noProof/>
        </w:rPr>
        <w:t>Ponadto zmieniający się krajobraz ochrony zdrowia wymaga zapewnienia dodatkowych szkoleń pracowników sektora zdrowia</w:t>
      </w:r>
      <w:r w:rsidR="00913665" w:rsidRPr="00913665">
        <w:rPr>
          <w:noProof/>
        </w:rPr>
        <w:t xml:space="preserve"> i</w:t>
      </w:r>
      <w:r w:rsidR="00913665">
        <w:rPr>
          <w:noProof/>
        </w:rPr>
        <w:t> </w:t>
      </w:r>
      <w:r w:rsidR="00913665" w:rsidRPr="00913665">
        <w:rPr>
          <w:noProof/>
        </w:rPr>
        <w:t>moż</w:t>
      </w:r>
      <w:r w:rsidRPr="00913665">
        <w:rPr>
          <w:noProof/>
        </w:rPr>
        <w:t>liwości rozwoju</w:t>
      </w:r>
      <w:r w:rsidR="00913665" w:rsidRPr="00913665">
        <w:rPr>
          <w:noProof/>
        </w:rPr>
        <w:t xml:space="preserve"> w</w:t>
      </w:r>
      <w:r w:rsidR="00913665">
        <w:rPr>
          <w:noProof/>
        </w:rPr>
        <w:t> </w:t>
      </w:r>
      <w:r w:rsidR="00913665" w:rsidRPr="00913665">
        <w:rPr>
          <w:noProof/>
        </w:rPr>
        <w:t>zak</w:t>
      </w:r>
      <w:r w:rsidRPr="00913665">
        <w:rPr>
          <w:noProof/>
        </w:rPr>
        <w:t>resie wykorzystania potencjału sztucznej inteligencji</w:t>
      </w:r>
      <w:r w:rsidR="00913665" w:rsidRPr="00913665">
        <w:rPr>
          <w:noProof/>
        </w:rPr>
        <w:t xml:space="preserve"> i</w:t>
      </w:r>
      <w:r w:rsidR="00913665">
        <w:rPr>
          <w:noProof/>
        </w:rPr>
        <w:t> </w:t>
      </w:r>
      <w:r w:rsidR="00913665" w:rsidRPr="00913665">
        <w:rPr>
          <w:noProof/>
        </w:rPr>
        <w:t>nar</w:t>
      </w:r>
      <w:r w:rsidRPr="00913665">
        <w:rPr>
          <w:noProof/>
        </w:rPr>
        <w:t>zędzi cyfrowych oraz radzenia sobie</w:t>
      </w:r>
      <w:r w:rsidR="00913665" w:rsidRPr="00913665">
        <w:rPr>
          <w:noProof/>
        </w:rPr>
        <w:t xml:space="preserve"> z</w:t>
      </w:r>
      <w:r w:rsidR="00913665">
        <w:rPr>
          <w:noProof/>
        </w:rPr>
        <w:t> </w:t>
      </w:r>
      <w:r w:rsidR="00913665" w:rsidRPr="00913665">
        <w:rPr>
          <w:noProof/>
        </w:rPr>
        <w:t>kon</w:t>
      </w:r>
      <w:r w:rsidRPr="00913665">
        <w:rPr>
          <w:noProof/>
        </w:rPr>
        <w:t>kretnymi wyzwaniami związanymi m.in.</w:t>
      </w:r>
      <w:r w:rsidR="00913665" w:rsidRPr="00913665">
        <w:rPr>
          <w:noProof/>
        </w:rPr>
        <w:t xml:space="preserve"> z</w:t>
      </w:r>
      <w:r w:rsidR="00913665">
        <w:rPr>
          <w:noProof/>
        </w:rPr>
        <w:t> </w:t>
      </w:r>
      <w:r w:rsidR="00913665" w:rsidRPr="00913665">
        <w:rPr>
          <w:noProof/>
        </w:rPr>
        <w:t>wie</w:t>
      </w:r>
      <w:r w:rsidRPr="00913665">
        <w:rPr>
          <w:noProof/>
        </w:rPr>
        <w:t>lodyscyplinarną opieką geriatryczną</w:t>
      </w:r>
      <w:r w:rsidR="00913665" w:rsidRPr="00913665">
        <w:rPr>
          <w:noProof/>
        </w:rPr>
        <w:t xml:space="preserve"> i</w:t>
      </w:r>
      <w:r w:rsidR="00913665">
        <w:rPr>
          <w:noProof/>
        </w:rPr>
        <w:t> </w:t>
      </w:r>
      <w:r w:rsidR="00913665" w:rsidRPr="00913665">
        <w:rPr>
          <w:noProof/>
        </w:rPr>
        <w:t>sku</w:t>
      </w:r>
      <w:r w:rsidRPr="00913665">
        <w:rPr>
          <w:noProof/>
        </w:rPr>
        <w:t>tkami zdrowotnymi wynikającymi ze zmiany klimatu. Komisja wspiera państwa członkowskie</w:t>
      </w:r>
      <w:r w:rsidR="00913665" w:rsidRPr="00913665">
        <w:rPr>
          <w:noProof/>
        </w:rPr>
        <w:t xml:space="preserve"> w</w:t>
      </w:r>
      <w:r w:rsidR="00913665">
        <w:rPr>
          <w:noProof/>
        </w:rPr>
        <w:t> </w:t>
      </w:r>
      <w:r w:rsidR="00913665" w:rsidRPr="00913665">
        <w:rPr>
          <w:noProof/>
        </w:rPr>
        <w:t>pla</w:t>
      </w:r>
      <w:r w:rsidRPr="00913665">
        <w:rPr>
          <w:noProof/>
        </w:rPr>
        <w:t>nowaniu zatrudnienia</w:t>
      </w:r>
      <w:r w:rsidR="00913665" w:rsidRPr="00913665">
        <w:rPr>
          <w:noProof/>
        </w:rPr>
        <w:t xml:space="preserve"> w</w:t>
      </w:r>
      <w:r w:rsidR="00913665">
        <w:rPr>
          <w:noProof/>
        </w:rPr>
        <w:t> </w:t>
      </w:r>
      <w:r w:rsidR="00913665" w:rsidRPr="00913665">
        <w:rPr>
          <w:noProof/>
        </w:rPr>
        <w:t>sek</w:t>
      </w:r>
      <w:r w:rsidRPr="00913665">
        <w:rPr>
          <w:noProof/>
        </w:rPr>
        <w:t>torze opieki zdrowotnej</w:t>
      </w:r>
      <w:r w:rsidR="00E15069" w:rsidRPr="00913665">
        <w:rPr>
          <w:rStyle w:val="FootnoteReference"/>
          <w:noProof/>
        </w:rPr>
        <w:footnoteReference w:id="24"/>
      </w:r>
      <w:r w:rsidRPr="00913665">
        <w:rPr>
          <w:noProof/>
        </w:rPr>
        <w:t>, zatrzymywaniu pracowników sektora zdrowia oraz przekwalifikowaniu</w:t>
      </w:r>
      <w:r w:rsidR="00913665" w:rsidRPr="00913665">
        <w:rPr>
          <w:noProof/>
        </w:rPr>
        <w:t xml:space="preserve"> i</w:t>
      </w:r>
      <w:r w:rsidR="00913665">
        <w:rPr>
          <w:noProof/>
        </w:rPr>
        <w:t> </w:t>
      </w:r>
      <w:r w:rsidR="00913665" w:rsidRPr="00913665">
        <w:rPr>
          <w:noProof/>
        </w:rPr>
        <w:t>pod</w:t>
      </w:r>
      <w:r w:rsidRPr="00913665">
        <w:rPr>
          <w:noProof/>
        </w:rPr>
        <w:t>noszeniu kwalifikacji pracowników sektora zdrowia</w:t>
      </w:r>
      <w:r w:rsidR="00913665" w:rsidRPr="00913665">
        <w:rPr>
          <w:noProof/>
        </w:rPr>
        <w:t xml:space="preserve"> w</w:t>
      </w:r>
      <w:r w:rsidR="00913665">
        <w:rPr>
          <w:noProof/>
        </w:rPr>
        <w:t> </w:t>
      </w:r>
      <w:r w:rsidR="00913665" w:rsidRPr="00913665">
        <w:rPr>
          <w:noProof/>
        </w:rPr>
        <w:t>Eur</w:t>
      </w:r>
      <w:r w:rsidRPr="00913665">
        <w:rPr>
          <w:noProof/>
        </w:rPr>
        <w:t>opie</w:t>
      </w:r>
      <w:r w:rsidR="00E15069" w:rsidRPr="00913665">
        <w:rPr>
          <w:rStyle w:val="FootnoteReference"/>
          <w:noProof/>
        </w:rPr>
        <w:footnoteReference w:id="25"/>
      </w:r>
      <w:r w:rsidR="00913665" w:rsidRPr="00913665">
        <w:rPr>
          <w:noProof/>
        </w:rPr>
        <w:t>. W</w:t>
      </w:r>
      <w:r w:rsidR="00913665">
        <w:rPr>
          <w:noProof/>
        </w:rPr>
        <w:t> </w:t>
      </w:r>
      <w:r w:rsidR="00913665" w:rsidRPr="00913665">
        <w:rPr>
          <w:noProof/>
        </w:rPr>
        <w:t>ram</w:t>
      </w:r>
      <w:r w:rsidRPr="00913665">
        <w:rPr>
          <w:noProof/>
        </w:rPr>
        <w:t>ach paktu na rzecz umiejętności Komisja zainicjowała partnerstwo na rzecz umiejętności</w:t>
      </w:r>
      <w:r w:rsidR="00913665" w:rsidRPr="00913665">
        <w:rPr>
          <w:noProof/>
        </w:rPr>
        <w:t xml:space="preserve"> w</w:t>
      </w:r>
      <w:r w:rsidR="00913665">
        <w:rPr>
          <w:noProof/>
        </w:rPr>
        <w:t> </w:t>
      </w:r>
      <w:r w:rsidR="00913665" w:rsidRPr="00913665">
        <w:rPr>
          <w:noProof/>
        </w:rPr>
        <w:t>eko</w:t>
      </w:r>
      <w:r w:rsidRPr="00913665">
        <w:rPr>
          <w:noProof/>
        </w:rPr>
        <w:t>systemie zdrowia</w:t>
      </w:r>
      <w:r w:rsidR="00E15069" w:rsidRPr="00913665">
        <w:rPr>
          <w:rStyle w:val="FootnoteReference"/>
          <w:noProof/>
        </w:rPr>
        <w:footnoteReference w:id="26"/>
      </w:r>
      <w:r w:rsidRPr="00913665">
        <w:rPr>
          <w:noProof/>
        </w:rPr>
        <w:t>,</w:t>
      </w:r>
      <w:r w:rsidR="00913665" w:rsidRPr="00913665">
        <w:rPr>
          <w:noProof/>
        </w:rPr>
        <w:t xml:space="preserve"> a</w:t>
      </w:r>
      <w:r w:rsidR="00913665">
        <w:rPr>
          <w:noProof/>
        </w:rPr>
        <w:t> </w:t>
      </w:r>
      <w:r w:rsidR="00913665" w:rsidRPr="00913665">
        <w:rPr>
          <w:noProof/>
        </w:rPr>
        <w:t>tak</w:t>
      </w:r>
      <w:r w:rsidRPr="00913665">
        <w:rPr>
          <w:noProof/>
        </w:rPr>
        <w:t>że partnerstwo na rzecz umiejętności na dużą skalę dla europejskiego sektora opieki zdrowotnej.</w:t>
      </w:r>
    </w:p>
    <w:p w14:paraId="50A29192" w14:textId="1413C4E2" w:rsidR="00C8464D" w:rsidRPr="00913665" w:rsidRDefault="0072335B" w:rsidP="00597730">
      <w:pPr>
        <w:pStyle w:val="Heading2"/>
        <w:numPr>
          <w:ilvl w:val="1"/>
          <w:numId w:val="6"/>
        </w:numPr>
        <w:tabs>
          <w:tab w:val="left" w:pos="1365"/>
        </w:tabs>
        <w:kinsoku w:val="0"/>
        <w:overflowPunct w:val="0"/>
        <w:spacing w:before="240" w:line="276" w:lineRule="auto"/>
        <w:ind w:left="0" w:firstLine="0"/>
        <w:rPr>
          <w:noProof/>
          <w:color w:val="2E5395"/>
          <w:spacing w:val="-2"/>
        </w:rPr>
      </w:pPr>
      <w:r w:rsidRPr="00913665">
        <w:rPr>
          <w:noProof/>
          <w:color w:val="2E5395"/>
        </w:rPr>
        <w:t>Zapobieganie chorobom niezakaźnym</w:t>
      </w:r>
    </w:p>
    <w:p w14:paraId="07B78135" w14:textId="02420A1C" w:rsidR="00C8464D" w:rsidRPr="00913665" w:rsidRDefault="00C8464D" w:rsidP="00597730">
      <w:pPr>
        <w:pStyle w:val="BodyText"/>
        <w:kinsoku w:val="0"/>
        <w:overflowPunct w:val="0"/>
        <w:spacing w:before="240" w:line="276" w:lineRule="auto"/>
        <w:jc w:val="both"/>
        <w:rPr>
          <w:noProof/>
        </w:rPr>
      </w:pPr>
      <w:r w:rsidRPr="00913665">
        <w:rPr>
          <w:noProof/>
        </w:rPr>
        <w:t>Choroby niezakaźne stanowią 80</w:t>
      </w:r>
      <w:r w:rsidR="00913665" w:rsidRPr="00913665">
        <w:rPr>
          <w:noProof/>
        </w:rPr>
        <w:t> </w:t>
      </w:r>
      <w:r w:rsidRPr="00913665">
        <w:rPr>
          <w:noProof/>
        </w:rPr>
        <w:t>% wszystkich chorób dotykających obywateli UE. Należą do nich choroby układu krążenia, nowotwory, cukrzyca</w:t>
      </w:r>
      <w:r w:rsidR="00913665" w:rsidRPr="00913665">
        <w:rPr>
          <w:noProof/>
        </w:rPr>
        <w:t xml:space="preserve"> i</w:t>
      </w:r>
      <w:r w:rsidR="00913665">
        <w:rPr>
          <w:noProof/>
        </w:rPr>
        <w:t> </w:t>
      </w:r>
      <w:r w:rsidR="00913665" w:rsidRPr="00913665">
        <w:rPr>
          <w:noProof/>
        </w:rPr>
        <w:t>cho</w:t>
      </w:r>
      <w:r w:rsidRPr="00913665">
        <w:rPr>
          <w:noProof/>
        </w:rPr>
        <w:t>roby neurologiczne,</w:t>
      </w:r>
      <w:r w:rsidR="00913665" w:rsidRPr="00913665">
        <w:rPr>
          <w:noProof/>
        </w:rPr>
        <w:t xml:space="preserve"> w</w:t>
      </w:r>
      <w:r w:rsidR="00913665">
        <w:rPr>
          <w:noProof/>
        </w:rPr>
        <w:t> </w:t>
      </w:r>
      <w:r w:rsidR="00913665" w:rsidRPr="00913665">
        <w:rPr>
          <w:noProof/>
        </w:rPr>
        <w:t>tym</w:t>
      </w:r>
      <w:r w:rsidRPr="00913665">
        <w:rPr>
          <w:noProof/>
        </w:rPr>
        <w:t xml:space="preserve"> problemy ze zdrowiem psychicznym. Obecnie choroby te odpowiadają za ponad 90 % zgonów w UE</w:t>
      </w:r>
      <w:r w:rsidR="00913665" w:rsidRPr="00913665">
        <w:rPr>
          <w:noProof/>
        </w:rPr>
        <w:t>. W</w:t>
      </w:r>
      <w:r w:rsidR="00913665">
        <w:rPr>
          <w:noProof/>
        </w:rPr>
        <w:t> </w:t>
      </w:r>
      <w:r w:rsidR="00913665" w:rsidRPr="00913665">
        <w:rPr>
          <w:noProof/>
        </w:rPr>
        <w:t>cze</w:t>
      </w:r>
      <w:r w:rsidRPr="00913665">
        <w:rPr>
          <w:noProof/>
        </w:rPr>
        <w:t>rwcu 2022</w:t>
      </w:r>
      <w:r w:rsidR="00913665" w:rsidRPr="00913665">
        <w:rPr>
          <w:noProof/>
        </w:rPr>
        <w:t> </w:t>
      </w:r>
      <w:r w:rsidRPr="00913665">
        <w:rPr>
          <w:noProof/>
        </w:rPr>
        <w:t xml:space="preserve">r. Komisja przedstawiła </w:t>
      </w:r>
      <w:r w:rsidRPr="00913665">
        <w:rPr>
          <w:b/>
          <w:noProof/>
        </w:rPr>
        <w:t>unijną inicjatywę „Zdrowsi razem” dotyczącą chorób niezakaźnych</w:t>
      </w:r>
      <w:r w:rsidRPr="00913665">
        <w:rPr>
          <w:noProof/>
        </w:rPr>
        <w:t>, którą utworzono wraz</w:t>
      </w:r>
      <w:r w:rsidR="00913665" w:rsidRPr="00913665">
        <w:rPr>
          <w:noProof/>
        </w:rPr>
        <w:t xml:space="preserve"> z</w:t>
      </w:r>
      <w:r w:rsidR="00913665">
        <w:rPr>
          <w:noProof/>
        </w:rPr>
        <w:t> </w:t>
      </w:r>
      <w:r w:rsidR="00913665" w:rsidRPr="00913665">
        <w:rPr>
          <w:noProof/>
        </w:rPr>
        <w:t>zai</w:t>
      </w:r>
      <w:r w:rsidRPr="00913665">
        <w:rPr>
          <w:noProof/>
        </w:rPr>
        <w:t>nteresowanymi stronami</w:t>
      </w:r>
      <w:r w:rsidR="00913665" w:rsidRPr="00913665">
        <w:rPr>
          <w:noProof/>
        </w:rPr>
        <w:t xml:space="preserve"> i</w:t>
      </w:r>
      <w:r w:rsidR="00913665">
        <w:rPr>
          <w:noProof/>
        </w:rPr>
        <w:t> </w:t>
      </w:r>
      <w:r w:rsidR="00913665" w:rsidRPr="00913665">
        <w:rPr>
          <w:noProof/>
        </w:rPr>
        <w:t>pań</w:t>
      </w:r>
      <w:r w:rsidRPr="00913665">
        <w:rPr>
          <w:noProof/>
        </w:rPr>
        <w:t>stwami członkowskimi</w:t>
      </w:r>
      <w:r w:rsidR="00913665" w:rsidRPr="00913665">
        <w:rPr>
          <w:noProof/>
        </w:rPr>
        <w:t xml:space="preserve"> w</w:t>
      </w:r>
      <w:r w:rsidR="00913665">
        <w:rPr>
          <w:noProof/>
        </w:rPr>
        <w:t> </w:t>
      </w:r>
      <w:r w:rsidR="00913665" w:rsidRPr="00913665">
        <w:rPr>
          <w:noProof/>
        </w:rPr>
        <w:t>cel</w:t>
      </w:r>
      <w:r w:rsidRPr="00913665">
        <w:rPr>
          <w:noProof/>
        </w:rPr>
        <w:t>u zmniejszenia obciążenia</w:t>
      </w:r>
      <w:r w:rsidR="00E15069" w:rsidRPr="00913665">
        <w:rPr>
          <w:rStyle w:val="FootnoteReference"/>
          <w:noProof/>
        </w:rPr>
        <w:footnoteReference w:id="27"/>
      </w:r>
      <w:r w:rsidRPr="00913665">
        <w:rPr>
          <w:noProof/>
        </w:rPr>
        <w:t xml:space="preserve"> poważnymi chorobami niezakaźnymi. Inicjatywa ta obejmuje pięć obszarów: choroby układu krążenia, cukrzycę, przewlekłe choroby układu oddechowego, zdrowie psychiczne</w:t>
      </w:r>
      <w:r w:rsidR="00913665" w:rsidRPr="00913665">
        <w:rPr>
          <w:noProof/>
        </w:rPr>
        <w:t xml:space="preserve"> i</w:t>
      </w:r>
      <w:r w:rsidR="00913665">
        <w:rPr>
          <w:noProof/>
        </w:rPr>
        <w:t> </w:t>
      </w:r>
      <w:r w:rsidR="00913665" w:rsidRPr="00913665">
        <w:rPr>
          <w:noProof/>
        </w:rPr>
        <w:t>zab</w:t>
      </w:r>
      <w:r w:rsidRPr="00913665">
        <w:rPr>
          <w:noProof/>
        </w:rPr>
        <w:t>urzenia neurologiczne oraz przekrojowe uwarunkowania zdrowia,</w:t>
      </w:r>
      <w:r w:rsidR="00913665" w:rsidRPr="00913665">
        <w:rPr>
          <w:noProof/>
        </w:rPr>
        <w:t xml:space="preserve"> w</w:t>
      </w:r>
      <w:r w:rsidR="00913665">
        <w:rPr>
          <w:noProof/>
        </w:rPr>
        <w:t> </w:t>
      </w:r>
      <w:r w:rsidR="00913665" w:rsidRPr="00913665">
        <w:rPr>
          <w:noProof/>
        </w:rPr>
        <w:t>tym</w:t>
      </w:r>
      <w:r w:rsidRPr="00913665">
        <w:rPr>
          <w:noProof/>
        </w:rPr>
        <w:t xml:space="preserve"> czynniki ryzyka środowiskowe, ekonomiczne</w:t>
      </w:r>
      <w:r w:rsidR="00913665" w:rsidRPr="00913665">
        <w:rPr>
          <w:noProof/>
        </w:rPr>
        <w:t xml:space="preserve"> i</w:t>
      </w:r>
      <w:r w:rsidR="00913665">
        <w:rPr>
          <w:noProof/>
        </w:rPr>
        <w:t> </w:t>
      </w:r>
      <w:r w:rsidR="00913665" w:rsidRPr="00913665">
        <w:rPr>
          <w:noProof/>
        </w:rPr>
        <w:t>zwi</w:t>
      </w:r>
      <w:r w:rsidRPr="00913665">
        <w:rPr>
          <w:noProof/>
        </w:rPr>
        <w:t>ązane ze stylem życia. Określono priorytety, najlepsze praktyki</w:t>
      </w:r>
      <w:r w:rsidR="00913665" w:rsidRPr="00913665">
        <w:rPr>
          <w:noProof/>
        </w:rPr>
        <w:t xml:space="preserve"> i</w:t>
      </w:r>
      <w:r w:rsidR="00913665">
        <w:rPr>
          <w:noProof/>
        </w:rPr>
        <w:t> </w:t>
      </w:r>
      <w:r w:rsidR="00913665" w:rsidRPr="00913665">
        <w:rPr>
          <w:noProof/>
        </w:rPr>
        <w:t>obs</w:t>
      </w:r>
      <w:r w:rsidRPr="00913665">
        <w:rPr>
          <w:noProof/>
        </w:rPr>
        <w:t>zary,</w:t>
      </w:r>
      <w:r w:rsidR="00913665" w:rsidRPr="00913665">
        <w:rPr>
          <w:noProof/>
        </w:rPr>
        <w:t xml:space="preserve"> w</w:t>
      </w:r>
      <w:r w:rsidR="00913665">
        <w:rPr>
          <w:noProof/>
        </w:rPr>
        <w:t> </w:t>
      </w:r>
      <w:r w:rsidR="00913665" w:rsidRPr="00913665">
        <w:rPr>
          <w:noProof/>
        </w:rPr>
        <w:t>któ</w:t>
      </w:r>
      <w:r w:rsidRPr="00913665">
        <w:rPr>
          <w:noProof/>
        </w:rPr>
        <w:t>rych trzeba podjąć działania.</w:t>
      </w:r>
    </w:p>
    <w:p w14:paraId="0F275882" w14:textId="638D5A1B" w:rsidR="000F75F2" w:rsidRPr="00913665" w:rsidRDefault="000F75F2" w:rsidP="00597730">
      <w:pPr>
        <w:pStyle w:val="BodyText"/>
        <w:kinsoku w:val="0"/>
        <w:overflowPunct w:val="0"/>
        <w:spacing w:before="240" w:line="276" w:lineRule="auto"/>
        <w:jc w:val="both"/>
        <w:rPr>
          <w:noProof/>
          <w:szCs w:val="24"/>
        </w:rPr>
      </w:pPr>
      <w:r w:rsidRPr="00913665">
        <w:rPr>
          <w:noProof/>
        </w:rPr>
        <w:t>Zanieczyszczenie środowiska</w:t>
      </w:r>
      <w:r w:rsidR="00913665" w:rsidRPr="00913665">
        <w:rPr>
          <w:noProof/>
        </w:rPr>
        <w:t xml:space="preserve"> i</w:t>
      </w:r>
      <w:r w:rsidR="00913665">
        <w:rPr>
          <w:noProof/>
        </w:rPr>
        <w:t> </w:t>
      </w:r>
      <w:r w:rsidR="00913665" w:rsidRPr="00913665">
        <w:rPr>
          <w:noProof/>
        </w:rPr>
        <w:t>zmi</w:t>
      </w:r>
      <w:r w:rsidRPr="00913665">
        <w:rPr>
          <w:noProof/>
        </w:rPr>
        <w:t>ana klimatu niekorzystnie wpływają na wszystkie choroby niezakaźne. Za pośrednictwem inicjatyw</w:t>
      </w:r>
      <w:r w:rsidR="00913665" w:rsidRPr="00913665">
        <w:rPr>
          <w:noProof/>
        </w:rPr>
        <w:t xml:space="preserve"> w</w:t>
      </w:r>
      <w:r w:rsidR="00913665">
        <w:rPr>
          <w:noProof/>
        </w:rPr>
        <w:t> </w:t>
      </w:r>
      <w:r w:rsidR="00913665" w:rsidRPr="00913665">
        <w:rPr>
          <w:noProof/>
        </w:rPr>
        <w:t>ram</w:t>
      </w:r>
      <w:r w:rsidRPr="00913665">
        <w:rPr>
          <w:noProof/>
        </w:rPr>
        <w:t>ach Europejskiego Zielonego Ładu</w:t>
      </w:r>
      <w:r w:rsidRPr="00913665">
        <w:rPr>
          <w:noProof/>
          <w:vertAlign w:val="superscript"/>
        </w:rPr>
        <w:footnoteReference w:id="28"/>
      </w:r>
      <w:r w:rsidRPr="00913665">
        <w:rPr>
          <w:noProof/>
        </w:rPr>
        <w:t>,</w:t>
      </w:r>
      <w:r w:rsidR="00913665" w:rsidRPr="00913665">
        <w:rPr>
          <w:noProof/>
        </w:rPr>
        <w:t xml:space="preserve"> a</w:t>
      </w:r>
      <w:r w:rsidR="00913665">
        <w:rPr>
          <w:noProof/>
        </w:rPr>
        <w:t> </w:t>
      </w:r>
      <w:r w:rsidR="00913665" w:rsidRPr="00913665">
        <w:rPr>
          <w:noProof/>
        </w:rPr>
        <w:t>w</w:t>
      </w:r>
      <w:r w:rsidR="00913665">
        <w:rPr>
          <w:noProof/>
        </w:rPr>
        <w:t> </w:t>
      </w:r>
      <w:r w:rsidR="00913665" w:rsidRPr="00913665">
        <w:rPr>
          <w:noProof/>
        </w:rPr>
        <w:t>szc</w:t>
      </w:r>
      <w:r w:rsidRPr="00913665">
        <w:rPr>
          <w:noProof/>
        </w:rPr>
        <w:t>zególności planu działania na rzecz eliminacji zanieczyszczeń</w:t>
      </w:r>
      <w:r w:rsidRPr="00913665">
        <w:rPr>
          <w:b/>
          <w:bCs/>
          <w:noProof/>
          <w:szCs w:val="24"/>
          <w:vertAlign w:val="superscript"/>
        </w:rPr>
        <w:footnoteReference w:id="29"/>
      </w:r>
      <w:r w:rsidRPr="00913665">
        <w:rPr>
          <w:noProof/>
        </w:rPr>
        <w:t>, Komisja podjęła dalsze kroki</w:t>
      </w:r>
      <w:r w:rsidR="00913665" w:rsidRPr="00913665">
        <w:rPr>
          <w:noProof/>
        </w:rPr>
        <w:t xml:space="preserve"> w</w:t>
      </w:r>
      <w:r w:rsidR="00913665">
        <w:rPr>
          <w:noProof/>
        </w:rPr>
        <w:t> </w:t>
      </w:r>
      <w:r w:rsidR="00913665" w:rsidRPr="00913665">
        <w:rPr>
          <w:noProof/>
        </w:rPr>
        <w:t>cel</w:t>
      </w:r>
      <w:r w:rsidRPr="00913665">
        <w:rPr>
          <w:noProof/>
        </w:rPr>
        <w:t>u rozwiązania problemu zanieczyszczenia powietrza, wody</w:t>
      </w:r>
      <w:r w:rsidR="00913665" w:rsidRPr="00913665">
        <w:rPr>
          <w:noProof/>
        </w:rPr>
        <w:t xml:space="preserve"> i</w:t>
      </w:r>
      <w:r w:rsidR="00913665">
        <w:rPr>
          <w:noProof/>
        </w:rPr>
        <w:t> </w:t>
      </w:r>
      <w:r w:rsidR="00913665" w:rsidRPr="00913665">
        <w:rPr>
          <w:noProof/>
        </w:rPr>
        <w:t>gle</w:t>
      </w:r>
      <w:r w:rsidRPr="00913665">
        <w:rPr>
          <w:noProof/>
        </w:rPr>
        <w:t>by. Pomimo znacznej poprawy jakości powietrza</w:t>
      </w:r>
      <w:r w:rsidR="00913665" w:rsidRPr="00913665">
        <w:rPr>
          <w:noProof/>
        </w:rPr>
        <w:t xml:space="preserve"> w</w:t>
      </w:r>
      <w:r w:rsidR="00913665">
        <w:rPr>
          <w:noProof/>
        </w:rPr>
        <w:t> </w:t>
      </w:r>
      <w:r w:rsidR="00913665" w:rsidRPr="00913665">
        <w:rPr>
          <w:noProof/>
        </w:rPr>
        <w:t>ost</w:t>
      </w:r>
      <w:r w:rsidRPr="00913665">
        <w:rPr>
          <w:noProof/>
        </w:rPr>
        <w:t>atnich dziesięcioleciach zanieczyszczenie powietrza nadal stanowi największe zagrożenie dla zdrowia związane ze środowiskiem, przy czym wiąże się</w:t>
      </w:r>
      <w:r w:rsidR="00913665" w:rsidRPr="00913665">
        <w:rPr>
          <w:noProof/>
        </w:rPr>
        <w:t xml:space="preserve"> z</w:t>
      </w:r>
      <w:r w:rsidR="00913665">
        <w:rPr>
          <w:noProof/>
        </w:rPr>
        <w:t> </w:t>
      </w:r>
      <w:r w:rsidR="00913665" w:rsidRPr="00913665">
        <w:rPr>
          <w:noProof/>
        </w:rPr>
        <w:t>tym</w:t>
      </w:r>
      <w:r w:rsidRPr="00913665">
        <w:rPr>
          <w:noProof/>
        </w:rPr>
        <w:t xml:space="preserve"> znaczna umieralność (szacunkowo ponad 250 000 przedwczesnych zgonów</w:t>
      </w:r>
      <w:r w:rsidR="00913665" w:rsidRPr="00913665">
        <w:rPr>
          <w:noProof/>
        </w:rPr>
        <w:t xml:space="preserve"> w</w:t>
      </w:r>
      <w:r w:rsidR="00913665">
        <w:rPr>
          <w:noProof/>
        </w:rPr>
        <w:t> </w:t>
      </w:r>
      <w:r w:rsidR="00913665" w:rsidRPr="00913665">
        <w:rPr>
          <w:noProof/>
        </w:rPr>
        <w:t>Uni</w:t>
      </w:r>
      <w:r w:rsidRPr="00913665">
        <w:rPr>
          <w:noProof/>
        </w:rPr>
        <w:t>i Europejskiej rocznie)</w:t>
      </w:r>
      <w:r w:rsidR="00913665" w:rsidRPr="00913665">
        <w:rPr>
          <w:noProof/>
        </w:rPr>
        <w:t xml:space="preserve"> i</w:t>
      </w:r>
      <w:r w:rsidR="00913665">
        <w:rPr>
          <w:noProof/>
        </w:rPr>
        <w:t> </w:t>
      </w:r>
      <w:r w:rsidR="00913665" w:rsidRPr="00913665">
        <w:rPr>
          <w:noProof/>
        </w:rPr>
        <w:t>zac</w:t>
      </w:r>
      <w:r w:rsidRPr="00913665">
        <w:rPr>
          <w:noProof/>
        </w:rPr>
        <w:t>horowalność.</w:t>
      </w:r>
      <w:r w:rsidRPr="00913665">
        <w:rPr>
          <w:rStyle w:val="FootnoteReference"/>
          <w:noProof/>
          <w:szCs w:val="24"/>
        </w:rPr>
        <w:footnoteReference w:id="30"/>
      </w:r>
      <w:r w:rsidRPr="00913665">
        <w:rPr>
          <w:noProof/>
        </w:rPr>
        <w:t xml:space="preserve"> W planie działania na rzecz eliminacji zanieczyszczeń określono również cel, zgodnie</w:t>
      </w:r>
      <w:r w:rsidR="00913665" w:rsidRPr="00913665">
        <w:rPr>
          <w:noProof/>
        </w:rPr>
        <w:t xml:space="preserve"> z</w:t>
      </w:r>
      <w:r w:rsidR="00913665">
        <w:rPr>
          <w:noProof/>
        </w:rPr>
        <w:t> </w:t>
      </w:r>
      <w:r w:rsidR="00913665" w:rsidRPr="00913665">
        <w:rPr>
          <w:noProof/>
        </w:rPr>
        <w:t>któ</w:t>
      </w:r>
      <w:r w:rsidRPr="00913665">
        <w:rPr>
          <w:noProof/>
        </w:rPr>
        <w:t>rym do</w:t>
      </w:r>
      <w:r w:rsidR="00913665" w:rsidRPr="00913665">
        <w:rPr>
          <w:noProof/>
        </w:rPr>
        <w:t> </w:t>
      </w:r>
      <w:r w:rsidRPr="00913665">
        <w:rPr>
          <w:noProof/>
        </w:rPr>
        <w:t>2030 r. UE powinna zmniejszyć</w:t>
      </w:r>
      <w:r w:rsidR="00913665" w:rsidRPr="00913665">
        <w:rPr>
          <w:noProof/>
        </w:rPr>
        <w:t xml:space="preserve"> o</w:t>
      </w:r>
      <w:r w:rsidR="00913665">
        <w:rPr>
          <w:noProof/>
        </w:rPr>
        <w:t> </w:t>
      </w:r>
      <w:r w:rsidR="00913665" w:rsidRPr="00913665">
        <w:rPr>
          <w:noProof/>
        </w:rPr>
        <w:t>pon</w:t>
      </w:r>
      <w:r w:rsidRPr="00913665">
        <w:rPr>
          <w:noProof/>
        </w:rPr>
        <w:t>ad 55</w:t>
      </w:r>
      <w:r w:rsidR="00913665" w:rsidRPr="00913665">
        <w:rPr>
          <w:noProof/>
        </w:rPr>
        <w:t> </w:t>
      </w:r>
      <w:r w:rsidRPr="00913665">
        <w:rPr>
          <w:noProof/>
        </w:rPr>
        <w:t>% wpływ zanieczyszczenia powietrza na zdrowie (przedwczesne zgony) (w porównaniu</w:t>
      </w:r>
      <w:r w:rsidR="00913665" w:rsidRPr="00913665">
        <w:rPr>
          <w:noProof/>
        </w:rPr>
        <w:t xml:space="preserve"> z</w:t>
      </w:r>
      <w:r w:rsidR="00913665">
        <w:rPr>
          <w:noProof/>
        </w:rPr>
        <w:t> </w:t>
      </w:r>
      <w:r w:rsidR="00913665" w:rsidRPr="00913665">
        <w:rPr>
          <w:noProof/>
        </w:rPr>
        <w:t>2</w:t>
      </w:r>
      <w:r w:rsidRPr="00913665">
        <w:rPr>
          <w:noProof/>
        </w:rPr>
        <w:t>005 r.).</w:t>
      </w:r>
    </w:p>
    <w:p w14:paraId="25E488B3" w14:textId="66EAD0F3" w:rsidR="00C8464D" w:rsidRPr="00913665" w:rsidRDefault="00C8464D" w:rsidP="00597730">
      <w:pPr>
        <w:pStyle w:val="BodyText"/>
        <w:kinsoku w:val="0"/>
        <w:overflowPunct w:val="0"/>
        <w:spacing w:before="240" w:line="276" w:lineRule="auto"/>
        <w:jc w:val="both"/>
        <w:rPr>
          <w:noProof/>
        </w:rPr>
      </w:pPr>
      <w:r w:rsidRPr="00913665">
        <w:rPr>
          <w:noProof/>
        </w:rPr>
        <w:t>Powstałe</w:t>
      </w:r>
      <w:r w:rsidR="00913665" w:rsidRPr="00913665">
        <w:rPr>
          <w:noProof/>
        </w:rPr>
        <w:t xml:space="preserve"> w</w:t>
      </w:r>
      <w:r w:rsidR="00913665">
        <w:rPr>
          <w:noProof/>
        </w:rPr>
        <w:t> </w:t>
      </w:r>
      <w:r w:rsidR="00913665" w:rsidRPr="00913665">
        <w:rPr>
          <w:noProof/>
        </w:rPr>
        <w:t>2</w:t>
      </w:r>
      <w:r w:rsidRPr="00913665">
        <w:rPr>
          <w:noProof/>
        </w:rPr>
        <w:t>021</w:t>
      </w:r>
      <w:r w:rsidR="00913665" w:rsidRPr="00913665">
        <w:rPr>
          <w:noProof/>
        </w:rPr>
        <w:t> </w:t>
      </w:r>
      <w:r w:rsidRPr="00913665">
        <w:rPr>
          <w:noProof/>
        </w:rPr>
        <w:t>r.</w:t>
      </w:r>
      <w:r w:rsidR="00913665" w:rsidRPr="00913665">
        <w:rPr>
          <w:noProof/>
        </w:rPr>
        <w:t xml:space="preserve"> w</w:t>
      </w:r>
      <w:r w:rsidR="00913665">
        <w:rPr>
          <w:noProof/>
        </w:rPr>
        <w:t> </w:t>
      </w:r>
      <w:r w:rsidR="00913665" w:rsidRPr="00913665">
        <w:rPr>
          <w:noProof/>
        </w:rPr>
        <w:t>ram</w:t>
      </w:r>
      <w:r w:rsidRPr="00913665">
        <w:rPr>
          <w:noProof/>
        </w:rPr>
        <w:t>ach strategii UE</w:t>
      </w:r>
      <w:r w:rsidR="00913665" w:rsidRPr="00913665">
        <w:rPr>
          <w:noProof/>
        </w:rPr>
        <w:t xml:space="preserve"> </w:t>
      </w:r>
      <w:bookmarkStart w:id="14" w:name="4.2_Preventing_non-communicable_diseases"/>
      <w:bookmarkEnd w:id="14"/>
      <w:r w:rsidR="00913665" w:rsidRPr="00913665">
        <w:rPr>
          <w:noProof/>
        </w:rPr>
        <w:t>w</w:t>
      </w:r>
      <w:r w:rsidR="00913665">
        <w:rPr>
          <w:noProof/>
        </w:rPr>
        <w:t> </w:t>
      </w:r>
      <w:r w:rsidR="00913665" w:rsidRPr="00913665">
        <w:rPr>
          <w:noProof/>
        </w:rPr>
        <w:t>zak</w:t>
      </w:r>
      <w:r w:rsidRPr="00913665">
        <w:rPr>
          <w:noProof/>
        </w:rPr>
        <w:t>resie przystosowania się do zmiany klimatu Europejskie Obserwatorium ds. Klimatu</w:t>
      </w:r>
      <w:r w:rsidR="00913665" w:rsidRPr="00913665">
        <w:rPr>
          <w:noProof/>
        </w:rPr>
        <w:t xml:space="preserve"> i</w:t>
      </w:r>
      <w:r w:rsidR="00913665">
        <w:rPr>
          <w:noProof/>
        </w:rPr>
        <w:t> </w:t>
      </w:r>
      <w:r w:rsidR="00913665" w:rsidRPr="00913665">
        <w:rPr>
          <w:noProof/>
        </w:rPr>
        <w:t>Zdr</w:t>
      </w:r>
      <w:r w:rsidRPr="00913665">
        <w:rPr>
          <w:noProof/>
        </w:rPr>
        <w:t>owia gromadzi dane</w:t>
      </w:r>
      <w:r w:rsidR="00913665" w:rsidRPr="00913665">
        <w:rPr>
          <w:noProof/>
        </w:rPr>
        <w:t xml:space="preserve"> i</w:t>
      </w:r>
      <w:r w:rsidR="00913665">
        <w:rPr>
          <w:noProof/>
        </w:rPr>
        <w:t> </w:t>
      </w:r>
      <w:r w:rsidR="00913665" w:rsidRPr="00913665">
        <w:rPr>
          <w:noProof/>
        </w:rPr>
        <w:t>wie</w:t>
      </w:r>
      <w:r w:rsidRPr="00913665">
        <w:rPr>
          <w:noProof/>
        </w:rPr>
        <w:t>dzę specjalistyczną, aby ukierunkować kształtowanie polityki</w:t>
      </w:r>
      <w:r w:rsidR="00913665" w:rsidRPr="00913665">
        <w:rPr>
          <w:noProof/>
        </w:rPr>
        <w:t xml:space="preserve"> w</w:t>
      </w:r>
      <w:r w:rsidR="00913665">
        <w:rPr>
          <w:noProof/>
        </w:rPr>
        <w:t> </w:t>
      </w:r>
      <w:r w:rsidR="00913665" w:rsidRPr="00913665">
        <w:rPr>
          <w:noProof/>
        </w:rPr>
        <w:t>zak</w:t>
      </w:r>
      <w:r w:rsidRPr="00913665">
        <w:rPr>
          <w:noProof/>
        </w:rPr>
        <w:t>resie wpływu zmiany klimatu na zdrowie. Podczas 28. konferencji ONZ</w:t>
      </w:r>
      <w:r w:rsidR="00913665" w:rsidRPr="00913665">
        <w:rPr>
          <w:noProof/>
        </w:rPr>
        <w:t xml:space="preserve"> w</w:t>
      </w:r>
      <w:r w:rsidR="00913665">
        <w:rPr>
          <w:noProof/>
        </w:rPr>
        <w:t> </w:t>
      </w:r>
      <w:r w:rsidR="00913665" w:rsidRPr="00913665">
        <w:rPr>
          <w:noProof/>
        </w:rPr>
        <w:t>spr</w:t>
      </w:r>
      <w:r w:rsidRPr="00913665">
        <w:rPr>
          <w:noProof/>
        </w:rPr>
        <w:t>awie zmiany klimatu (COP 28), która miała miejsce</w:t>
      </w:r>
      <w:r w:rsidR="00913665" w:rsidRPr="00913665">
        <w:rPr>
          <w:noProof/>
        </w:rPr>
        <w:t xml:space="preserve"> w</w:t>
      </w:r>
      <w:r w:rsidR="00913665">
        <w:rPr>
          <w:noProof/>
        </w:rPr>
        <w:t> </w:t>
      </w:r>
      <w:r w:rsidR="00913665" w:rsidRPr="00913665">
        <w:rPr>
          <w:noProof/>
        </w:rPr>
        <w:t>lis</w:t>
      </w:r>
      <w:r w:rsidRPr="00913665">
        <w:rPr>
          <w:noProof/>
        </w:rPr>
        <w:t>topadzie 2023 r., Komisja zatwierdziła pierwszą</w:t>
      </w:r>
      <w:r w:rsidR="00913665" w:rsidRPr="00913665">
        <w:rPr>
          <w:noProof/>
        </w:rPr>
        <w:t xml:space="preserve"> w</w:t>
      </w:r>
      <w:r w:rsidR="00913665">
        <w:rPr>
          <w:noProof/>
        </w:rPr>
        <w:t> </w:t>
      </w:r>
      <w:r w:rsidR="00913665" w:rsidRPr="00913665">
        <w:rPr>
          <w:noProof/>
        </w:rPr>
        <w:t>his</w:t>
      </w:r>
      <w:r w:rsidRPr="00913665">
        <w:rPr>
          <w:noProof/>
        </w:rPr>
        <w:t>torii deklarację</w:t>
      </w:r>
      <w:r w:rsidR="00913665" w:rsidRPr="00913665">
        <w:rPr>
          <w:noProof/>
        </w:rPr>
        <w:t xml:space="preserve"> w</w:t>
      </w:r>
      <w:r w:rsidR="00913665">
        <w:rPr>
          <w:noProof/>
        </w:rPr>
        <w:t> </w:t>
      </w:r>
      <w:r w:rsidR="00913665" w:rsidRPr="00913665">
        <w:rPr>
          <w:noProof/>
        </w:rPr>
        <w:t>spr</w:t>
      </w:r>
      <w:r w:rsidRPr="00913665">
        <w:rPr>
          <w:noProof/>
        </w:rPr>
        <w:t>awie klimatu</w:t>
      </w:r>
      <w:r w:rsidR="00913665" w:rsidRPr="00913665">
        <w:rPr>
          <w:noProof/>
        </w:rPr>
        <w:t xml:space="preserve"> i</w:t>
      </w:r>
      <w:r w:rsidR="00913665">
        <w:rPr>
          <w:noProof/>
        </w:rPr>
        <w:t> </w:t>
      </w:r>
      <w:r w:rsidR="00913665" w:rsidRPr="00913665">
        <w:rPr>
          <w:noProof/>
        </w:rPr>
        <w:t>zdr</w:t>
      </w:r>
      <w:r w:rsidRPr="00913665">
        <w:rPr>
          <w:noProof/>
        </w:rPr>
        <w:t>owia państw członkowskich UE</w:t>
      </w:r>
      <w:r w:rsidR="00913665" w:rsidRPr="00913665">
        <w:rPr>
          <w:noProof/>
        </w:rPr>
        <w:t>. W</w:t>
      </w:r>
      <w:r w:rsidR="00913665">
        <w:rPr>
          <w:noProof/>
        </w:rPr>
        <w:t> </w:t>
      </w:r>
      <w:r w:rsidR="00913665" w:rsidRPr="00913665">
        <w:rPr>
          <w:noProof/>
        </w:rPr>
        <w:t>dek</w:t>
      </w:r>
      <w:r w:rsidRPr="00913665">
        <w:rPr>
          <w:noProof/>
        </w:rPr>
        <w:t>laracji tej nakreślono kluczowe działania mające na celu wzmocnienie systemów opieki zdrowotnej, promowanie badań naukowych</w:t>
      </w:r>
      <w:r w:rsidR="00913665" w:rsidRPr="00913665">
        <w:rPr>
          <w:noProof/>
        </w:rPr>
        <w:t xml:space="preserve"> i</w:t>
      </w:r>
      <w:r w:rsidR="00913665">
        <w:rPr>
          <w:noProof/>
        </w:rPr>
        <w:t> </w:t>
      </w:r>
      <w:r w:rsidR="00913665" w:rsidRPr="00913665">
        <w:rPr>
          <w:noProof/>
        </w:rPr>
        <w:t>dos</w:t>
      </w:r>
      <w:r w:rsidRPr="00913665">
        <w:rPr>
          <w:noProof/>
        </w:rPr>
        <w:t>tosowanie zachowań</w:t>
      </w:r>
      <w:r w:rsidR="00913665" w:rsidRPr="00913665">
        <w:rPr>
          <w:noProof/>
        </w:rPr>
        <w:t xml:space="preserve"> w</w:t>
      </w:r>
      <w:r w:rsidR="00913665">
        <w:rPr>
          <w:noProof/>
        </w:rPr>
        <w:t> </w:t>
      </w:r>
      <w:r w:rsidR="00913665" w:rsidRPr="00913665">
        <w:rPr>
          <w:noProof/>
        </w:rPr>
        <w:t>cel</w:t>
      </w:r>
      <w:r w:rsidRPr="00913665">
        <w:rPr>
          <w:noProof/>
        </w:rPr>
        <w:t>u łagodzenia zagrożeń dla zdrowia związanych</w:t>
      </w:r>
      <w:r w:rsidR="00913665" w:rsidRPr="00913665">
        <w:rPr>
          <w:noProof/>
        </w:rPr>
        <w:t xml:space="preserve"> z</w:t>
      </w:r>
      <w:r w:rsidR="00913665">
        <w:rPr>
          <w:noProof/>
        </w:rPr>
        <w:t> </w:t>
      </w:r>
      <w:r w:rsidR="00913665" w:rsidRPr="00913665">
        <w:rPr>
          <w:noProof/>
        </w:rPr>
        <w:t>kli</w:t>
      </w:r>
      <w:r w:rsidRPr="00913665">
        <w:rPr>
          <w:noProof/>
        </w:rPr>
        <w:t>matem.</w:t>
      </w:r>
    </w:p>
    <w:p w14:paraId="4B5D0894" w14:textId="142CCB3E" w:rsidR="00C8464D" w:rsidRPr="00913665" w:rsidRDefault="00C8464D" w:rsidP="00597730">
      <w:pPr>
        <w:pStyle w:val="Heading2"/>
        <w:numPr>
          <w:ilvl w:val="1"/>
          <w:numId w:val="6"/>
        </w:numPr>
        <w:tabs>
          <w:tab w:val="left" w:pos="1356"/>
        </w:tabs>
        <w:kinsoku w:val="0"/>
        <w:overflowPunct w:val="0"/>
        <w:spacing w:before="240" w:line="276" w:lineRule="auto"/>
        <w:ind w:left="0" w:firstLine="0"/>
        <w:rPr>
          <w:noProof/>
          <w:color w:val="2E5395"/>
          <w:spacing w:val="-4"/>
        </w:rPr>
      </w:pPr>
      <w:r w:rsidRPr="00913665">
        <w:rPr>
          <w:noProof/>
          <w:color w:val="2E5395"/>
        </w:rPr>
        <w:t>Europejski plan walki</w:t>
      </w:r>
      <w:r w:rsidR="00913665" w:rsidRPr="00913665">
        <w:rPr>
          <w:noProof/>
          <w:color w:val="2E5395"/>
        </w:rPr>
        <w:t xml:space="preserve"> z</w:t>
      </w:r>
      <w:r w:rsidR="00913665">
        <w:rPr>
          <w:noProof/>
          <w:color w:val="2E5395"/>
        </w:rPr>
        <w:t> </w:t>
      </w:r>
      <w:r w:rsidR="00913665" w:rsidRPr="00913665">
        <w:rPr>
          <w:noProof/>
          <w:color w:val="2E5395"/>
        </w:rPr>
        <w:t>rak</w:t>
      </w:r>
      <w:r w:rsidRPr="00913665">
        <w:rPr>
          <w:noProof/>
          <w:color w:val="2E5395"/>
        </w:rPr>
        <w:t>iem</w:t>
      </w:r>
    </w:p>
    <w:p w14:paraId="7E72B5DC" w14:textId="277CAB0B" w:rsidR="003C75B8" w:rsidRPr="00913665" w:rsidRDefault="00C8464D" w:rsidP="00597730">
      <w:pPr>
        <w:pStyle w:val="BodyText"/>
        <w:kinsoku w:val="0"/>
        <w:overflowPunct w:val="0"/>
        <w:spacing w:before="240" w:line="276" w:lineRule="auto"/>
        <w:jc w:val="both"/>
        <w:rPr>
          <w:noProof/>
        </w:rPr>
      </w:pPr>
      <w:r w:rsidRPr="00913665">
        <w:rPr>
          <w:noProof/>
        </w:rPr>
        <w:t>W 2022</w:t>
      </w:r>
      <w:r w:rsidR="00913665" w:rsidRPr="00913665">
        <w:rPr>
          <w:noProof/>
        </w:rPr>
        <w:t> </w:t>
      </w:r>
      <w:r w:rsidRPr="00913665">
        <w:rPr>
          <w:noProof/>
        </w:rPr>
        <w:t xml:space="preserve">r. </w:t>
      </w:r>
      <w:r w:rsidRPr="00913665">
        <w:rPr>
          <w:b/>
          <w:bCs/>
          <w:noProof/>
        </w:rPr>
        <w:t>raka</w:t>
      </w:r>
      <w:r w:rsidRPr="00913665">
        <w:rPr>
          <w:noProof/>
        </w:rPr>
        <w:t xml:space="preserve"> zdiagnozowano</w:t>
      </w:r>
      <w:r w:rsidR="00913665" w:rsidRPr="00913665">
        <w:rPr>
          <w:noProof/>
        </w:rPr>
        <w:t xml:space="preserve"> u</w:t>
      </w:r>
      <w:r w:rsidR="00913665">
        <w:rPr>
          <w:noProof/>
        </w:rPr>
        <w:t> </w:t>
      </w:r>
      <w:r w:rsidR="00913665" w:rsidRPr="00913665">
        <w:rPr>
          <w:noProof/>
        </w:rPr>
        <w:t>2</w:t>
      </w:r>
      <w:r w:rsidRPr="00913665">
        <w:rPr>
          <w:noProof/>
        </w:rPr>
        <w:t>,7 mln osób w UE. Rak stanowi jedno</w:t>
      </w:r>
      <w:r w:rsidR="00913665" w:rsidRPr="00913665">
        <w:rPr>
          <w:noProof/>
        </w:rPr>
        <w:t xml:space="preserve"> z</w:t>
      </w:r>
      <w:r w:rsidR="00913665">
        <w:rPr>
          <w:noProof/>
        </w:rPr>
        <w:t> </w:t>
      </w:r>
      <w:r w:rsidR="00913665" w:rsidRPr="00913665">
        <w:rPr>
          <w:noProof/>
        </w:rPr>
        <w:t>naj</w:t>
      </w:r>
      <w:r w:rsidRPr="00913665">
        <w:rPr>
          <w:noProof/>
        </w:rPr>
        <w:t>większych wyzwań zdrowotnych naszych czasów, gdyż coraz więcej obywateli UE będzie osobiście borykać się z tą chorobą, co odbije się na europejskich systemach opieki zdrowotnej</w:t>
      </w:r>
      <w:r w:rsidR="00913665" w:rsidRPr="00913665">
        <w:rPr>
          <w:noProof/>
        </w:rPr>
        <w:t xml:space="preserve"> i</w:t>
      </w:r>
      <w:r w:rsidR="00913665">
        <w:rPr>
          <w:noProof/>
        </w:rPr>
        <w:t> </w:t>
      </w:r>
      <w:r w:rsidR="00913665" w:rsidRPr="00913665">
        <w:rPr>
          <w:noProof/>
        </w:rPr>
        <w:t>gos</w:t>
      </w:r>
      <w:r w:rsidRPr="00913665">
        <w:rPr>
          <w:noProof/>
        </w:rPr>
        <w:t>podarce. Potrzebne są pilne, konkretne</w:t>
      </w:r>
      <w:r w:rsidR="00913665" w:rsidRPr="00913665">
        <w:rPr>
          <w:noProof/>
        </w:rPr>
        <w:t xml:space="preserve"> i</w:t>
      </w:r>
      <w:r w:rsidR="00913665">
        <w:rPr>
          <w:noProof/>
        </w:rPr>
        <w:t> </w:t>
      </w:r>
      <w:r w:rsidR="00913665" w:rsidRPr="00913665">
        <w:rPr>
          <w:noProof/>
        </w:rPr>
        <w:t>zbi</w:t>
      </w:r>
      <w:r w:rsidRPr="00913665">
        <w:rPr>
          <w:noProof/>
        </w:rPr>
        <w:t>orowe działania na szczeblu UE</w:t>
      </w:r>
      <w:r w:rsidR="00913665" w:rsidRPr="00913665">
        <w:rPr>
          <w:noProof/>
        </w:rPr>
        <w:t xml:space="preserve"> w</w:t>
      </w:r>
      <w:r w:rsidR="00913665">
        <w:rPr>
          <w:noProof/>
        </w:rPr>
        <w:t> </w:t>
      </w:r>
      <w:r w:rsidR="00913665" w:rsidRPr="00913665">
        <w:rPr>
          <w:noProof/>
        </w:rPr>
        <w:t>zak</w:t>
      </w:r>
      <w:r w:rsidRPr="00913665">
        <w:rPr>
          <w:noProof/>
        </w:rPr>
        <w:t>resie profilaktyki</w:t>
      </w:r>
      <w:r w:rsidR="00913665" w:rsidRPr="00913665">
        <w:rPr>
          <w:noProof/>
        </w:rPr>
        <w:t xml:space="preserve"> i</w:t>
      </w:r>
      <w:r w:rsidR="00913665">
        <w:rPr>
          <w:noProof/>
        </w:rPr>
        <w:t> </w:t>
      </w:r>
      <w:r w:rsidR="00913665" w:rsidRPr="00913665">
        <w:rPr>
          <w:noProof/>
        </w:rPr>
        <w:t>lec</w:t>
      </w:r>
      <w:r w:rsidRPr="00913665">
        <w:rPr>
          <w:noProof/>
        </w:rPr>
        <w:t>zenia chorób nowotworowych. Opracowano całościowy plan, który po raz pierwszy łączy naukowców, pacjentów</w:t>
      </w:r>
      <w:r w:rsidR="00913665" w:rsidRPr="00913665">
        <w:rPr>
          <w:noProof/>
        </w:rPr>
        <w:t xml:space="preserve"> i</w:t>
      </w:r>
      <w:r w:rsidR="00913665">
        <w:rPr>
          <w:noProof/>
        </w:rPr>
        <w:t> </w:t>
      </w:r>
      <w:r w:rsidR="00913665" w:rsidRPr="00913665">
        <w:rPr>
          <w:noProof/>
        </w:rPr>
        <w:t>bad</w:t>
      </w:r>
      <w:r w:rsidRPr="00913665">
        <w:rPr>
          <w:noProof/>
        </w:rPr>
        <w:t>aczy.</w:t>
      </w:r>
    </w:p>
    <w:p w14:paraId="46AE92B6" w14:textId="58666C76" w:rsidR="000A2D59" w:rsidRPr="00913665" w:rsidRDefault="00C8464D" w:rsidP="00597730">
      <w:pPr>
        <w:pStyle w:val="BodyText"/>
        <w:kinsoku w:val="0"/>
        <w:overflowPunct w:val="0"/>
        <w:spacing w:before="240" w:line="276" w:lineRule="auto"/>
        <w:jc w:val="both"/>
        <w:rPr>
          <w:noProof/>
        </w:rPr>
      </w:pPr>
      <w:r w:rsidRPr="00913665">
        <w:rPr>
          <w:noProof/>
        </w:rPr>
        <w:t xml:space="preserve">Komisja przedstawiła </w:t>
      </w:r>
      <w:r w:rsidRPr="00913665">
        <w:rPr>
          <w:b/>
          <w:bCs/>
          <w:noProof/>
        </w:rPr>
        <w:t>europejski plan walki</w:t>
      </w:r>
      <w:r w:rsidR="00913665" w:rsidRPr="00913665">
        <w:rPr>
          <w:b/>
          <w:bCs/>
          <w:noProof/>
        </w:rPr>
        <w:t xml:space="preserve"> z</w:t>
      </w:r>
      <w:r w:rsidR="00913665">
        <w:rPr>
          <w:b/>
          <w:bCs/>
          <w:noProof/>
        </w:rPr>
        <w:t> </w:t>
      </w:r>
      <w:r w:rsidR="00913665" w:rsidRPr="00913665">
        <w:rPr>
          <w:b/>
          <w:bCs/>
          <w:noProof/>
        </w:rPr>
        <w:t>rak</w:t>
      </w:r>
      <w:r w:rsidRPr="00913665">
        <w:rPr>
          <w:b/>
          <w:bCs/>
          <w:noProof/>
        </w:rPr>
        <w:t>iem</w:t>
      </w:r>
      <w:r w:rsidR="00913665" w:rsidRPr="00913665">
        <w:rPr>
          <w:noProof/>
        </w:rPr>
        <w:t xml:space="preserve"> w</w:t>
      </w:r>
      <w:r w:rsidR="00913665">
        <w:rPr>
          <w:noProof/>
        </w:rPr>
        <w:t> </w:t>
      </w:r>
      <w:r w:rsidR="00913665" w:rsidRPr="00913665">
        <w:rPr>
          <w:noProof/>
        </w:rPr>
        <w:t>lut</w:t>
      </w:r>
      <w:r w:rsidRPr="00913665">
        <w:rPr>
          <w:noProof/>
        </w:rPr>
        <w:t>ym 2021</w:t>
      </w:r>
      <w:r w:rsidR="00913665" w:rsidRPr="00913665">
        <w:rPr>
          <w:noProof/>
        </w:rPr>
        <w:t> </w:t>
      </w:r>
      <w:r w:rsidRPr="00913665">
        <w:rPr>
          <w:noProof/>
        </w:rPr>
        <w:t>r.,</w:t>
      </w:r>
      <w:r w:rsidR="00913665" w:rsidRPr="00913665">
        <w:rPr>
          <w:noProof/>
        </w:rPr>
        <w:t xml:space="preserve"> w</w:t>
      </w:r>
      <w:r w:rsidR="00913665">
        <w:rPr>
          <w:noProof/>
        </w:rPr>
        <w:t> </w:t>
      </w:r>
      <w:r w:rsidR="00913665" w:rsidRPr="00913665">
        <w:rPr>
          <w:noProof/>
        </w:rPr>
        <w:t>naj</w:t>
      </w:r>
      <w:r w:rsidRPr="00913665">
        <w:rPr>
          <w:noProof/>
        </w:rPr>
        <w:t>ostrzejszej fazie pandemii, wzmacniając swoje zaangażowanie polityczne, aby odmienić losy walki</w:t>
      </w:r>
      <w:r w:rsidR="00913665" w:rsidRPr="00913665">
        <w:rPr>
          <w:noProof/>
        </w:rPr>
        <w:t xml:space="preserve"> z</w:t>
      </w:r>
      <w:r w:rsidR="00913665">
        <w:rPr>
          <w:noProof/>
        </w:rPr>
        <w:t> </w:t>
      </w:r>
      <w:r w:rsidR="00913665" w:rsidRPr="00913665">
        <w:rPr>
          <w:noProof/>
        </w:rPr>
        <w:t>rak</w:t>
      </w:r>
      <w:r w:rsidRPr="00913665">
        <w:rPr>
          <w:noProof/>
        </w:rPr>
        <w:t>iem. We wrześniu 2021 r. uruchomiono misję UE</w:t>
      </w:r>
      <w:r w:rsidR="00913665" w:rsidRPr="00913665">
        <w:rPr>
          <w:noProof/>
        </w:rPr>
        <w:t xml:space="preserve"> w</w:t>
      </w:r>
      <w:r w:rsidR="00913665">
        <w:rPr>
          <w:noProof/>
        </w:rPr>
        <w:t> </w:t>
      </w:r>
      <w:r w:rsidR="00913665" w:rsidRPr="00913665">
        <w:rPr>
          <w:noProof/>
        </w:rPr>
        <w:t>zak</w:t>
      </w:r>
      <w:r w:rsidRPr="00913665">
        <w:rPr>
          <w:noProof/>
        </w:rPr>
        <w:t>resie walki</w:t>
      </w:r>
      <w:r w:rsidR="00913665" w:rsidRPr="00913665">
        <w:rPr>
          <w:noProof/>
        </w:rPr>
        <w:t xml:space="preserve"> z</w:t>
      </w:r>
      <w:r w:rsidR="00913665">
        <w:rPr>
          <w:noProof/>
        </w:rPr>
        <w:t> </w:t>
      </w:r>
      <w:r w:rsidR="00913665" w:rsidRPr="00913665">
        <w:rPr>
          <w:noProof/>
        </w:rPr>
        <w:t>rak</w:t>
      </w:r>
      <w:r w:rsidRPr="00913665">
        <w:rPr>
          <w:noProof/>
        </w:rPr>
        <w:t>iem</w:t>
      </w:r>
      <w:r w:rsidR="000A2D59" w:rsidRPr="00913665">
        <w:rPr>
          <w:rStyle w:val="FootnoteReference"/>
          <w:noProof/>
        </w:rPr>
        <w:footnoteReference w:id="31"/>
      </w:r>
      <w:r w:rsidRPr="00913665">
        <w:rPr>
          <w:noProof/>
        </w:rPr>
        <w:t>, która generuje kluczową wiedzę</w:t>
      </w:r>
      <w:r w:rsidR="00913665" w:rsidRPr="00913665">
        <w:rPr>
          <w:noProof/>
        </w:rPr>
        <w:t xml:space="preserve"> i</w:t>
      </w:r>
      <w:r w:rsidR="00913665">
        <w:rPr>
          <w:noProof/>
        </w:rPr>
        <w:t> </w:t>
      </w:r>
      <w:r w:rsidR="00913665" w:rsidRPr="00913665">
        <w:rPr>
          <w:noProof/>
        </w:rPr>
        <w:t>dow</w:t>
      </w:r>
      <w:r w:rsidRPr="00913665">
        <w:rPr>
          <w:noProof/>
        </w:rPr>
        <w:t>ody mające pomóc państwom członkowskim we wdrażaniu skutecznych strategii zwalczania nowotworów. Przy wsparciu finansowym</w:t>
      </w:r>
      <w:r w:rsidR="00913665" w:rsidRPr="00913665">
        <w:rPr>
          <w:noProof/>
        </w:rPr>
        <w:t xml:space="preserve"> w</w:t>
      </w:r>
      <w:r w:rsidR="00913665">
        <w:rPr>
          <w:noProof/>
        </w:rPr>
        <w:t> </w:t>
      </w:r>
      <w:r w:rsidR="00913665" w:rsidRPr="00913665">
        <w:rPr>
          <w:noProof/>
        </w:rPr>
        <w:t>wys</w:t>
      </w:r>
      <w:r w:rsidRPr="00913665">
        <w:rPr>
          <w:noProof/>
        </w:rPr>
        <w:t>okości 4 miliardów EUR</w:t>
      </w:r>
      <w:r w:rsidR="00913665" w:rsidRPr="00913665">
        <w:rPr>
          <w:noProof/>
        </w:rPr>
        <w:t xml:space="preserve"> w</w:t>
      </w:r>
      <w:r w:rsidR="00913665">
        <w:rPr>
          <w:noProof/>
        </w:rPr>
        <w:t> </w:t>
      </w:r>
      <w:r w:rsidR="00913665" w:rsidRPr="00913665">
        <w:rPr>
          <w:noProof/>
        </w:rPr>
        <w:t>ram</w:t>
      </w:r>
      <w:r w:rsidRPr="00913665">
        <w:rPr>
          <w:noProof/>
        </w:rPr>
        <w:t>ach europejskiego planu walki</w:t>
      </w:r>
      <w:r w:rsidR="00913665" w:rsidRPr="00913665">
        <w:rPr>
          <w:noProof/>
        </w:rPr>
        <w:t xml:space="preserve"> z</w:t>
      </w:r>
      <w:r w:rsidR="00913665">
        <w:rPr>
          <w:noProof/>
        </w:rPr>
        <w:t> </w:t>
      </w:r>
      <w:r w:rsidR="00913665" w:rsidRPr="00913665">
        <w:rPr>
          <w:noProof/>
        </w:rPr>
        <w:t>rak</w:t>
      </w:r>
      <w:r w:rsidRPr="00913665">
        <w:rPr>
          <w:noProof/>
        </w:rPr>
        <w:t>iem uruchomiono rekordową liczbę projektów, działań</w:t>
      </w:r>
      <w:r w:rsidR="00913665" w:rsidRPr="00913665">
        <w:rPr>
          <w:noProof/>
        </w:rPr>
        <w:t xml:space="preserve"> i</w:t>
      </w:r>
      <w:r w:rsidR="00913665">
        <w:rPr>
          <w:noProof/>
        </w:rPr>
        <w:t> </w:t>
      </w:r>
      <w:r w:rsidR="00913665" w:rsidRPr="00913665">
        <w:rPr>
          <w:noProof/>
        </w:rPr>
        <w:t>ini</w:t>
      </w:r>
      <w:r w:rsidRPr="00913665">
        <w:rPr>
          <w:noProof/>
        </w:rPr>
        <w:t>cjatyw,</w:t>
      </w:r>
      <w:r w:rsidR="00913665" w:rsidRPr="00913665">
        <w:rPr>
          <w:noProof/>
        </w:rPr>
        <w:t xml:space="preserve"> w</w:t>
      </w:r>
      <w:r w:rsidR="00913665">
        <w:rPr>
          <w:noProof/>
        </w:rPr>
        <w:t> </w:t>
      </w:r>
      <w:r w:rsidR="00913665" w:rsidRPr="00913665">
        <w:rPr>
          <w:noProof/>
        </w:rPr>
        <w:t>któ</w:t>
      </w:r>
      <w:r w:rsidRPr="00913665">
        <w:rPr>
          <w:noProof/>
        </w:rPr>
        <w:t>rych człowieka zawsze stawia się na pierwszym miejscu</w:t>
      </w:r>
      <w:r w:rsidR="00913665" w:rsidRPr="00913665">
        <w:rPr>
          <w:noProof/>
        </w:rPr>
        <w:t xml:space="preserve"> i</w:t>
      </w:r>
      <w:r w:rsidR="00913665">
        <w:rPr>
          <w:noProof/>
        </w:rPr>
        <w:t> </w:t>
      </w:r>
      <w:r w:rsidR="00913665" w:rsidRPr="00913665">
        <w:rPr>
          <w:noProof/>
        </w:rPr>
        <w:t>któ</w:t>
      </w:r>
      <w:r w:rsidRPr="00913665">
        <w:rPr>
          <w:noProof/>
        </w:rPr>
        <w:t>re dotyczą czterech kluczowych filarów planu walki</w:t>
      </w:r>
      <w:r w:rsidR="00913665" w:rsidRPr="00913665">
        <w:rPr>
          <w:noProof/>
        </w:rPr>
        <w:t xml:space="preserve"> z</w:t>
      </w:r>
      <w:r w:rsidR="00913665">
        <w:rPr>
          <w:noProof/>
        </w:rPr>
        <w:t> </w:t>
      </w:r>
      <w:r w:rsidR="00913665" w:rsidRPr="00913665">
        <w:rPr>
          <w:noProof/>
        </w:rPr>
        <w:t>rak</w:t>
      </w:r>
      <w:r w:rsidRPr="00913665">
        <w:rPr>
          <w:noProof/>
        </w:rPr>
        <w:t>iem: profilaktyki, wczesnego wykrywania, równego dostępu do leczenia</w:t>
      </w:r>
      <w:r w:rsidR="00913665" w:rsidRPr="00913665">
        <w:rPr>
          <w:noProof/>
        </w:rPr>
        <w:t xml:space="preserve"> i</w:t>
      </w:r>
      <w:r w:rsidR="00913665">
        <w:rPr>
          <w:noProof/>
        </w:rPr>
        <w:t> </w:t>
      </w:r>
      <w:r w:rsidR="00913665" w:rsidRPr="00913665">
        <w:rPr>
          <w:noProof/>
        </w:rPr>
        <w:t>jak</w:t>
      </w:r>
      <w:r w:rsidRPr="00913665">
        <w:rPr>
          <w:noProof/>
        </w:rPr>
        <w:t>ości życia. Europejski plan walki</w:t>
      </w:r>
      <w:r w:rsidR="00913665" w:rsidRPr="00913665">
        <w:rPr>
          <w:noProof/>
        </w:rPr>
        <w:t xml:space="preserve"> z</w:t>
      </w:r>
      <w:r w:rsidR="00913665">
        <w:rPr>
          <w:noProof/>
        </w:rPr>
        <w:t> </w:t>
      </w:r>
      <w:r w:rsidR="00913665" w:rsidRPr="00913665">
        <w:rPr>
          <w:noProof/>
        </w:rPr>
        <w:t>rak</w:t>
      </w:r>
      <w:r w:rsidRPr="00913665">
        <w:rPr>
          <w:noProof/>
        </w:rPr>
        <w:t>iem, przy uwzględnieniu wszystkich podmiotów</w:t>
      </w:r>
      <w:r w:rsidR="00913665" w:rsidRPr="00913665">
        <w:rPr>
          <w:noProof/>
        </w:rPr>
        <w:t xml:space="preserve"> i</w:t>
      </w:r>
      <w:r w:rsidR="00913665">
        <w:rPr>
          <w:noProof/>
        </w:rPr>
        <w:t> </w:t>
      </w:r>
      <w:r w:rsidR="00913665" w:rsidRPr="00913665">
        <w:rPr>
          <w:noProof/>
        </w:rPr>
        <w:t>wsp</w:t>
      </w:r>
      <w:r w:rsidRPr="00913665">
        <w:rPr>
          <w:noProof/>
        </w:rPr>
        <w:t>ólnych wysiłków na szczeblu krajowym</w:t>
      </w:r>
      <w:r w:rsidR="00913665" w:rsidRPr="00913665">
        <w:rPr>
          <w:noProof/>
        </w:rPr>
        <w:t xml:space="preserve"> i</w:t>
      </w:r>
      <w:r w:rsidR="00913665">
        <w:rPr>
          <w:noProof/>
        </w:rPr>
        <w:t> </w:t>
      </w:r>
      <w:r w:rsidR="00913665" w:rsidRPr="00913665">
        <w:rPr>
          <w:noProof/>
        </w:rPr>
        <w:t>uni</w:t>
      </w:r>
      <w:r w:rsidRPr="00913665">
        <w:rPr>
          <w:noProof/>
        </w:rPr>
        <w:t>jnym, łączy</w:t>
      </w:r>
      <w:r w:rsidR="00913665" w:rsidRPr="00913665">
        <w:rPr>
          <w:noProof/>
        </w:rPr>
        <w:t xml:space="preserve"> w</w:t>
      </w:r>
      <w:r w:rsidR="00913665">
        <w:rPr>
          <w:noProof/>
        </w:rPr>
        <w:t> </w:t>
      </w:r>
      <w:r w:rsidR="00913665" w:rsidRPr="00913665">
        <w:rPr>
          <w:noProof/>
        </w:rPr>
        <w:t>sob</w:t>
      </w:r>
      <w:r w:rsidRPr="00913665">
        <w:rPr>
          <w:noProof/>
        </w:rPr>
        <w:t>ie znaczne zasoby, umożliwia koordynację działań, ogranicza rozdrobnienie</w:t>
      </w:r>
      <w:r w:rsidR="00913665" w:rsidRPr="00913665">
        <w:rPr>
          <w:noProof/>
        </w:rPr>
        <w:t xml:space="preserve"> i</w:t>
      </w:r>
      <w:r w:rsidR="00913665">
        <w:rPr>
          <w:noProof/>
        </w:rPr>
        <w:t> </w:t>
      </w:r>
      <w:r w:rsidR="00913665" w:rsidRPr="00913665">
        <w:rPr>
          <w:noProof/>
        </w:rPr>
        <w:t>nie</w:t>
      </w:r>
      <w:r w:rsidRPr="00913665">
        <w:rPr>
          <w:noProof/>
        </w:rPr>
        <w:t>równości między państwami oraz zapewnia skuteczniejszą</w:t>
      </w:r>
      <w:r w:rsidR="00913665" w:rsidRPr="00913665">
        <w:rPr>
          <w:noProof/>
        </w:rPr>
        <w:t xml:space="preserve"> i</w:t>
      </w:r>
      <w:r w:rsidR="00913665">
        <w:rPr>
          <w:noProof/>
        </w:rPr>
        <w:t> </w:t>
      </w:r>
      <w:r w:rsidR="00913665" w:rsidRPr="00913665">
        <w:rPr>
          <w:noProof/>
        </w:rPr>
        <w:t>bar</w:t>
      </w:r>
      <w:r w:rsidRPr="00913665">
        <w:rPr>
          <w:noProof/>
        </w:rPr>
        <w:t>dziej wyrównaną odpowiedź na raka,</w:t>
      </w:r>
      <w:r w:rsidR="00913665" w:rsidRPr="00913665">
        <w:rPr>
          <w:noProof/>
        </w:rPr>
        <w:t xml:space="preserve"> w</w:t>
      </w:r>
      <w:r w:rsidR="00913665">
        <w:rPr>
          <w:noProof/>
        </w:rPr>
        <w:t> </w:t>
      </w:r>
      <w:r w:rsidR="00913665" w:rsidRPr="00913665">
        <w:rPr>
          <w:noProof/>
        </w:rPr>
        <w:t>któ</w:t>
      </w:r>
      <w:r w:rsidRPr="00913665">
        <w:rPr>
          <w:noProof/>
        </w:rPr>
        <w:t>rej to pacjent znajduje się</w:t>
      </w:r>
      <w:r w:rsidR="00913665" w:rsidRPr="00913665">
        <w:rPr>
          <w:noProof/>
        </w:rPr>
        <w:t xml:space="preserve"> w</w:t>
      </w:r>
      <w:r w:rsidR="00913665">
        <w:rPr>
          <w:noProof/>
        </w:rPr>
        <w:t> </w:t>
      </w:r>
      <w:r w:rsidR="00913665" w:rsidRPr="00913665">
        <w:rPr>
          <w:noProof/>
        </w:rPr>
        <w:t>cen</w:t>
      </w:r>
      <w:r w:rsidRPr="00913665">
        <w:rPr>
          <w:noProof/>
        </w:rPr>
        <w:t>trum uwagi.</w:t>
      </w:r>
    </w:p>
    <w:p w14:paraId="44E6570C" w14:textId="7FAC2221" w:rsidR="00124E31" w:rsidRPr="00913665" w:rsidRDefault="00C8464D" w:rsidP="00597730">
      <w:pPr>
        <w:pStyle w:val="BodyText"/>
        <w:kinsoku w:val="0"/>
        <w:overflowPunct w:val="0"/>
        <w:spacing w:before="240" w:line="276" w:lineRule="auto"/>
        <w:jc w:val="both"/>
        <w:rPr>
          <w:noProof/>
        </w:rPr>
      </w:pPr>
      <w:r w:rsidRPr="00913665">
        <w:rPr>
          <w:noProof/>
        </w:rPr>
        <w:t>Profilaktyka jest skuteczniejsza niż jakikolwiek lek. Szacuje się, że około 40 % zachorowań na raka w UE można zapobiec. Jednym</w:t>
      </w:r>
      <w:r w:rsidR="00913665" w:rsidRPr="00913665">
        <w:rPr>
          <w:noProof/>
        </w:rPr>
        <w:t xml:space="preserve"> z</w:t>
      </w:r>
      <w:r w:rsidR="00913665">
        <w:rPr>
          <w:noProof/>
        </w:rPr>
        <w:t> </w:t>
      </w:r>
      <w:r w:rsidR="00913665" w:rsidRPr="00913665">
        <w:rPr>
          <w:noProof/>
        </w:rPr>
        <w:t>cel</w:t>
      </w:r>
      <w:r w:rsidRPr="00913665">
        <w:rPr>
          <w:noProof/>
        </w:rPr>
        <w:t>ów planu walki</w:t>
      </w:r>
      <w:r w:rsidR="00913665" w:rsidRPr="00913665">
        <w:rPr>
          <w:noProof/>
        </w:rPr>
        <w:t xml:space="preserve"> z</w:t>
      </w:r>
      <w:r w:rsidR="00913665">
        <w:rPr>
          <w:noProof/>
        </w:rPr>
        <w:t> </w:t>
      </w:r>
      <w:r w:rsidR="00913665" w:rsidRPr="00913665">
        <w:rPr>
          <w:noProof/>
        </w:rPr>
        <w:t>rak</w:t>
      </w:r>
      <w:r w:rsidRPr="00913665">
        <w:rPr>
          <w:noProof/>
        </w:rPr>
        <w:t>iem jest wyeliminowanie raka szyjki macicy</w:t>
      </w:r>
      <w:r w:rsidR="00913665" w:rsidRPr="00913665">
        <w:rPr>
          <w:noProof/>
        </w:rPr>
        <w:t xml:space="preserve"> i</w:t>
      </w:r>
      <w:r w:rsidR="00913665">
        <w:rPr>
          <w:noProof/>
        </w:rPr>
        <w:t> </w:t>
      </w:r>
      <w:r w:rsidR="00913665" w:rsidRPr="00913665">
        <w:rPr>
          <w:noProof/>
        </w:rPr>
        <w:t>inn</w:t>
      </w:r>
      <w:r w:rsidRPr="00913665">
        <w:rPr>
          <w:noProof/>
        </w:rPr>
        <w:t>ych nowotworów wywoływanych przez wirusy. W 2024</w:t>
      </w:r>
      <w:r w:rsidR="00913665" w:rsidRPr="00913665">
        <w:rPr>
          <w:noProof/>
        </w:rPr>
        <w:t> </w:t>
      </w:r>
      <w:r w:rsidRPr="00913665">
        <w:rPr>
          <w:noProof/>
        </w:rPr>
        <w:t>r. Komisja przedstawiła wniosek dotyczący zalecenia Rady</w:t>
      </w:r>
      <w:r w:rsidR="00913665" w:rsidRPr="00913665">
        <w:rPr>
          <w:noProof/>
        </w:rPr>
        <w:t xml:space="preserve"> w</w:t>
      </w:r>
      <w:r w:rsidR="00913665">
        <w:rPr>
          <w:noProof/>
        </w:rPr>
        <w:t> </w:t>
      </w:r>
      <w:r w:rsidR="00913665" w:rsidRPr="00913665">
        <w:rPr>
          <w:noProof/>
        </w:rPr>
        <w:t>spr</w:t>
      </w:r>
      <w:r w:rsidRPr="00913665">
        <w:rPr>
          <w:noProof/>
        </w:rPr>
        <w:t xml:space="preserve">awie </w:t>
      </w:r>
      <w:r w:rsidRPr="00913665">
        <w:rPr>
          <w:b/>
          <w:bCs/>
          <w:noProof/>
        </w:rPr>
        <w:t>nowotworów zwalczanych drogą szczepień</w:t>
      </w:r>
      <w:r w:rsidRPr="00913665">
        <w:rPr>
          <w:noProof/>
        </w:rPr>
        <w:t>, aby pomóc państwom członkowskim UE</w:t>
      </w:r>
      <w:r w:rsidR="00913665" w:rsidRPr="00913665">
        <w:rPr>
          <w:noProof/>
        </w:rPr>
        <w:t xml:space="preserve"> w</w:t>
      </w:r>
      <w:r w:rsidR="00913665">
        <w:rPr>
          <w:noProof/>
        </w:rPr>
        <w:t> </w:t>
      </w:r>
      <w:r w:rsidR="00913665" w:rsidRPr="00913665">
        <w:rPr>
          <w:noProof/>
        </w:rPr>
        <w:t>zwi</w:t>
      </w:r>
      <w:r w:rsidRPr="00913665">
        <w:rPr>
          <w:noProof/>
        </w:rPr>
        <w:t>ększeniu liczby szczepień przeciwko wirusom brodawczaka ludzkiego (HPV)</w:t>
      </w:r>
      <w:r w:rsidR="00913665" w:rsidRPr="00913665">
        <w:rPr>
          <w:noProof/>
        </w:rPr>
        <w:t xml:space="preserve"> i</w:t>
      </w:r>
      <w:r w:rsidR="00913665">
        <w:rPr>
          <w:noProof/>
        </w:rPr>
        <w:t> </w:t>
      </w:r>
      <w:r w:rsidR="00913665" w:rsidRPr="00913665">
        <w:rPr>
          <w:noProof/>
        </w:rPr>
        <w:t>wir</w:t>
      </w:r>
      <w:r w:rsidRPr="00913665">
        <w:rPr>
          <w:noProof/>
        </w:rPr>
        <w:t>usowi zapalenia wątroby typu B (HBV).</w:t>
      </w:r>
    </w:p>
    <w:p w14:paraId="0BC08D52" w14:textId="279FAEA7" w:rsidR="00C8464D" w:rsidRPr="00913665" w:rsidRDefault="00C8464D" w:rsidP="00597730">
      <w:pPr>
        <w:pStyle w:val="BodyText"/>
        <w:kinsoku w:val="0"/>
        <w:overflowPunct w:val="0"/>
        <w:spacing w:before="240" w:line="276" w:lineRule="auto"/>
        <w:jc w:val="both"/>
        <w:rPr>
          <w:noProof/>
        </w:rPr>
      </w:pPr>
      <w:r w:rsidRPr="00913665">
        <w:rPr>
          <w:noProof/>
        </w:rPr>
        <w:t>Wiedza to potęga wszędzie tam, gdzie chodzi</w:t>
      </w:r>
      <w:r w:rsidR="00913665" w:rsidRPr="00913665">
        <w:rPr>
          <w:noProof/>
        </w:rPr>
        <w:t xml:space="preserve"> o</w:t>
      </w:r>
      <w:r w:rsidR="00913665">
        <w:rPr>
          <w:noProof/>
        </w:rPr>
        <w:t> </w:t>
      </w:r>
      <w:r w:rsidR="00913665" w:rsidRPr="00913665">
        <w:rPr>
          <w:noProof/>
        </w:rPr>
        <w:t>pro</w:t>
      </w:r>
      <w:r w:rsidRPr="00913665">
        <w:rPr>
          <w:noProof/>
        </w:rPr>
        <w:t>filaktykę, Komisja pracuje więc nad aktualizacją</w:t>
      </w:r>
      <w:r w:rsidR="00913665" w:rsidRPr="00913665">
        <w:rPr>
          <w:noProof/>
        </w:rPr>
        <w:t xml:space="preserve"> i</w:t>
      </w:r>
      <w:r w:rsidR="00913665">
        <w:rPr>
          <w:noProof/>
        </w:rPr>
        <w:t> </w:t>
      </w:r>
      <w:r w:rsidR="00913665" w:rsidRPr="00913665">
        <w:rPr>
          <w:noProof/>
        </w:rPr>
        <w:t>roz</w:t>
      </w:r>
      <w:r w:rsidRPr="00913665">
        <w:rPr>
          <w:noProof/>
        </w:rPr>
        <w:t xml:space="preserve">szerzeniem opartych na dowodach zaleceń </w:t>
      </w:r>
      <w:r w:rsidRPr="00913665">
        <w:rPr>
          <w:b/>
          <w:bCs/>
          <w:noProof/>
        </w:rPr>
        <w:t>Europejskiego kodeksu walki</w:t>
      </w:r>
      <w:r w:rsidR="00913665" w:rsidRPr="00913665">
        <w:rPr>
          <w:b/>
          <w:bCs/>
          <w:noProof/>
        </w:rPr>
        <w:t xml:space="preserve"> z</w:t>
      </w:r>
      <w:r w:rsidR="00913665">
        <w:rPr>
          <w:b/>
          <w:bCs/>
          <w:noProof/>
        </w:rPr>
        <w:t> </w:t>
      </w:r>
      <w:r w:rsidR="00913665" w:rsidRPr="00913665">
        <w:rPr>
          <w:b/>
          <w:bCs/>
          <w:noProof/>
        </w:rPr>
        <w:t>rak</w:t>
      </w:r>
      <w:r w:rsidRPr="00913665">
        <w:rPr>
          <w:b/>
          <w:bCs/>
          <w:noProof/>
        </w:rPr>
        <w:t>iem</w:t>
      </w:r>
      <w:r w:rsidRPr="00913665">
        <w:rPr>
          <w:noProof/>
        </w:rPr>
        <w:t xml:space="preserve"> oraz opracowuje unijną aplikację mobilną do profilaktyki nowotworów, która będzie źródłem jasnych</w:t>
      </w:r>
      <w:r w:rsidR="00913665" w:rsidRPr="00913665">
        <w:rPr>
          <w:noProof/>
        </w:rPr>
        <w:t xml:space="preserve"> i</w:t>
      </w:r>
      <w:r w:rsidR="00913665">
        <w:rPr>
          <w:noProof/>
        </w:rPr>
        <w:t> </w:t>
      </w:r>
      <w:r w:rsidR="00913665" w:rsidRPr="00913665">
        <w:rPr>
          <w:noProof/>
        </w:rPr>
        <w:t>prz</w:t>
      </w:r>
      <w:r w:rsidRPr="00913665">
        <w:rPr>
          <w:noProof/>
        </w:rPr>
        <w:t>ystępnych informacji na temat czynników ryzyka zachorowania na raka.</w:t>
      </w:r>
    </w:p>
    <w:p w14:paraId="74FA3836" w14:textId="69ED2C05" w:rsidR="00C8464D" w:rsidRPr="00913665" w:rsidRDefault="000726BF" w:rsidP="00597730">
      <w:pPr>
        <w:pStyle w:val="BodyText"/>
        <w:kinsoku w:val="0"/>
        <w:overflowPunct w:val="0"/>
        <w:spacing w:before="240" w:line="276" w:lineRule="auto"/>
        <w:jc w:val="both"/>
        <w:rPr>
          <w:noProof/>
        </w:rPr>
      </w:pPr>
      <w:r w:rsidRPr="00913665">
        <w:rPr>
          <w:noProof/>
        </w:rPr>
        <w:t>Tytoń nadal jest główną przyczyną nowotworów, którym można zapobiec. Komisja jest również</w:t>
      </w:r>
      <w:r w:rsidR="00913665" w:rsidRPr="00913665">
        <w:rPr>
          <w:noProof/>
        </w:rPr>
        <w:t xml:space="preserve"> w</w:t>
      </w:r>
      <w:r w:rsidR="00913665">
        <w:rPr>
          <w:noProof/>
        </w:rPr>
        <w:t> </w:t>
      </w:r>
      <w:r w:rsidR="00913665" w:rsidRPr="00913665">
        <w:rPr>
          <w:noProof/>
        </w:rPr>
        <w:t>tra</w:t>
      </w:r>
      <w:r w:rsidRPr="00913665">
        <w:rPr>
          <w:noProof/>
        </w:rPr>
        <w:t>kcie kompleksowej oceny ogólnych ram prawnych dotyczących ograniczania użycia tytoniu, które mają wspierać państwa członkowskie</w:t>
      </w:r>
      <w:r w:rsidR="00913665" w:rsidRPr="00913665">
        <w:rPr>
          <w:noProof/>
        </w:rPr>
        <w:t xml:space="preserve"> w</w:t>
      </w:r>
      <w:r w:rsidR="00913665">
        <w:rPr>
          <w:noProof/>
        </w:rPr>
        <w:t> </w:t>
      </w:r>
      <w:r w:rsidR="00913665" w:rsidRPr="00913665">
        <w:rPr>
          <w:noProof/>
        </w:rPr>
        <w:t>osi</w:t>
      </w:r>
      <w:r w:rsidRPr="00913665">
        <w:rPr>
          <w:noProof/>
        </w:rPr>
        <w:t>ągnięciu pokolenia wolnego od tytoniu. Komisja podtrzymuje także zaangażowanie</w:t>
      </w:r>
      <w:r w:rsidR="00913665" w:rsidRPr="00913665">
        <w:rPr>
          <w:noProof/>
        </w:rPr>
        <w:t xml:space="preserve"> w</w:t>
      </w:r>
      <w:r w:rsidR="00913665">
        <w:rPr>
          <w:noProof/>
        </w:rPr>
        <w:t> </w:t>
      </w:r>
      <w:r w:rsidR="00913665" w:rsidRPr="00913665">
        <w:rPr>
          <w:noProof/>
        </w:rPr>
        <w:t>rea</w:t>
      </w:r>
      <w:r w:rsidRPr="00913665">
        <w:rPr>
          <w:noProof/>
        </w:rPr>
        <w:t>lizację ambitnych celów określonych</w:t>
      </w:r>
      <w:r w:rsidR="00913665" w:rsidRPr="00913665">
        <w:rPr>
          <w:noProof/>
        </w:rPr>
        <w:t xml:space="preserve"> w</w:t>
      </w:r>
      <w:r w:rsidR="00913665">
        <w:rPr>
          <w:noProof/>
        </w:rPr>
        <w:t> </w:t>
      </w:r>
      <w:r w:rsidR="00913665" w:rsidRPr="00913665">
        <w:rPr>
          <w:noProof/>
        </w:rPr>
        <w:t>pla</w:t>
      </w:r>
      <w:r w:rsidRPr="00913665">
        <w:rPr>
          <w:noProof/>
        </w:rPr>
        <w:t>nie walki</w:t>
      </w:r>
      <w:r w:rsidR="00913665" w:rsidRPr="00913665">
        <w:rPr>
          <w:noProof/>
        </w:rPr>
        <w:t xml:space="preserve"> z</w:t>
      </w:r>
      <w:r w:rsidR="00913665">
        <w:rPr>
          <w:noProof/>
        </w:rPr>
        <w:t> </w:t>
      </w:r>
      <w:r w:rsidR="00913665" w:rsidRPr="00913665">
        <w:rPr>
          <w:noProof/>
        </w:rPr>
        <w:t>rak</w:t>
      </w:r>
      <w:r w:rsidRPr="00913665">
        <w:rPr>
          <w:noProof/>
        </w:rPr>
        <w:t>iem</w:t>
      </w:r>
      <w:r w:rsidR="00913665" w:rsidRPr="00913665">
        <w:rPr>
          <w:noProof/>
        </w:rPr>
        <w:t xml:space="preserve"> w</w:t>
      </w:r>
      <w:r w:rsidR="00913665">
        <w:rPr>
          <w:noProof/>
        </w:rPr>
        <w:t> </w:t>
      </w:r>
      <w:r w:rsidR="00913665" w:rsidRPr="00913665">
        <w:rPr>
          <w:noProof/>
        </w:rPr>
        <w:t>zak</w:t>
      </w:r>
      <w:r w:rsidRPr="00913665">
        <w:rPr>
          <w:noProof/>
        </w:rPr>
        <w:t>resie ograniczenia szkodliwego spożycia alkoholu, które jest nadal problemem zdrowia publicznego w UE. Wczesne wykrycie zwiększa szansę na wyleczenie raka</w:t>
      </w:r>
      <w:r w:rsidR="00913665" w:rsidRPr="00913665">
        <w:rPr>
          <w:noProof/>
        </w:rPr>
        <w:t xml:space="preserve"> i</w:t>
      </w:r>
      <w:r w:rsidR="00913665">
        <w:rPr>
          <w:noProof/>
        </w:rPr>
        <w:t> </w:t>
      </w:r>
      <w:r w:rsidR="00913665" w:rsidRPr="00913665">
        <w:rPr>
          <w:noProof/>
        </w:rPr>
        <w:t>ura</w:t>
      </w:r>
      <w:r w:rsidRPr="00913665">
        <w:rPr>
          <w:noProof/>
        </w:rPr>
        <w:t>towanie życia. W 2022</w:t>
      </w:r>
      <w:r w:rsidR="00913665" w:rsidRPr="00913665">
        <w:rPr>
          <w:noProof/>
        </w:rPr>
        <w:t> </w:t>
      </w:r>
      <w:r w:rsidRPr="00913665">
        <w:rPr>
          <w:noProof/>
        </w:rPr>
        <w:t xml:space="preserve">r., po raz pierwszy od niemal 20 lat, UE wprowadziła </w:t>
      </w:r>
      <w:r w:rsidRPr="00913665">
        <w:rPr>
          <w:b/>
          <w:noProof/>
        </w:rPr>
        <w:t>nowoczesne</w:t>
      </w:r>
      <w:r w:rsidR="00913665" w:rsidRPr="00913665">
        <w:rPr>
          <w:b/>
          <w:noProof/>
        </w:rPr>
        <w:t xml:space="preserve"> i</w:t>
      </w:r>
      <w:r w:rsidR="00913665">
        <w:rPr>
          <w:b/>
          <w:noProof/>
        </w:rPr>
        <w:t> </w:t>
      </w:r>
      <w:r w:rsidR="00913665" w:rsidRPr="00913665">
        <w:rPr>
          <w:b/>
          <w:noProof/>
        </w:rPr>
        <w:t>opa</w:t>
      </w:r>
      <w:r w:rsidRPr="00913665">
        <w:rPr>
          <w:b/>
          <w:noProof/>
        </w:rPr>
        <w:t>rte na podstawach naukowych wytyczne dotyczące badań przesiewowych</w:t>
      </w:r>
      <w:r w:rsidR="00913665" w:rsidRPr="00913665">
        <w:rPr>
          <w:b/>
          <w:noProof/>
        </w:rPr>
        <w:t xml:space="preserve"> w</w:t>
      </w:r>
      <w:r w:rsidR="00913665">
        <w:rPr>
          <w:b/>
          <w:noProof/>
        </w:rPr>
        <w:t> </w:t>
      </w:r>
      <w:r w:rsidR="00913665" w:rsidRPr="00913665">
        <w:rPr>
          <w:b/>
          <w:noProof/>
        </w:rPr>
        <w:t>kie</w:t>
      </w:r>
      <w:r w:rsidRPr="00913665">
        <w:rPr>
          <w:b/>
          <w:noProof/>
        </w:rPr>
        <w:t>runku raka</w:t>
      </w:r>
      <w:r w:rsidR="00EB6046" w:rsidRPr="00913665">
        <w:rPr>
          <w:rStyle w:val="FootnoteReference"/>
          <w:b/>
          <w:bCs/>
          <w:noProof/>
          <w:spacing w:val="-4"/>
        </w:rPr>
        <w:footnoteReference w:id="32"/>
      </w:r>
      <w:r w:rsidRPr="00913665">
        <w:rPr>
          <w:noProof/>
        </w:rPr>
        <w:t xml:space="preserve"> na rzecz poprawy wczesnego wykrywania, obejmujące rodzaje nowotworów, które łącznie stanowią ponad połowę wszystkich nowych przypadków diagnozowanych każdego roku. Celem jest, aby do</w:t>
      </w:r>
      <w:r w:rsidR="00913665" w:rsidRPr="00913665">
        <w:rPr>
          <w:noProof/>
        </w:rPr>
        <w:t> </w:t>
      </w:r>
      <w:r w:rsidRPr="00913665">
        <w:rPr>
          <w:noProof/>
        </w:rPr>
        <w:t>2025</w:t>
      </w:r>
      <w:r w:rsidR="00913665" w:rsidRPr="00913665">
        <w:rPr>
          <w:noProof/>
        </w:rPr>
        <w:t> </w:t>
      </w:r>
      <w:r w:rsidRPr="00913665">
        <w:rPr>
          <w:noProof/>
        </w:rPr>
        <w:t>r. objąć badaniami przesiewowymi 90 % osób, które powinny zostać poddane badaniom przesiewowym</w:t>
      </w:r>
      <w:r w:rsidR="00913665" w:rsidRPr="00913665">
        <w:rPr>
          <w:noProof/>
        </w:rPr>
        <w:t xml:space="preserve"> w</w:t>
      </w:r>
      <w:r w:rsidR="00913665">
        <w:rPr>
          <w:noProof/>
        </w:rPr>
        <w:t> </w:t>
      </w:r>
      <w:r w:rsidR="00913665" w:rsidRPr="00913665">
        <w:rPr>
          <w:noProof/>
        </w:rPr>
        <w:t>kie</w:t>
      </w:r>
      <w:r w:rsidRPr="00913665">
        <w:rPr>
          <w:noProof/>
        </w:rPr>
        <w:t>runku raka piersi, szyjki macicy</w:t>
      </w:r>
      <w:r w:rsidR="00913665" w:rsidRPr="00913665">
        <w:rPr>
          <w:noProof/>
        </w:rPr>
        <w:t xml:space="preserve"> i</w:t>
      </w:r>
      <w:r w:rsidR="00913665">
        <w:rPr>
          <w:noProof/>
        </w:rPr>
        <w:t> </w:t>
      </w:r>
      <w:r w:rsidR="00913665" w:rsidRPr="00913665">
        <w:rPr>
          <w:noProof/>
        </w:rPr>
        <w:t>jel</w:t>
      </w:r>
      <w:r w:rsidRPr="00913665">
        <w:rPr>
          <w:noProof/>
        </w:rPr>
        <w:t>ita grubego,</w:t>
      </w:r>
      <w:r w:rsidR="00913665" w:rsidRPr="00913665">
        <w:rPr>
          <w:noProof/>
        </w:rPr>
        <w:t xml:space="preserve"> a</w:t>
      </w:r>
      <w:r w:rsidR="00913665">
        <w:rPr>
          <w:noProof/>
        </w:rPr>
        <w:t> </w:t>
      </w:r>
      <w:r w:rsidR="00913665" w:rsidRPr="00913665">
        <w:rPr>
          <w:noProof/>
        </w:rPr>
        <w:t>tak</w:t>
      </w:r>
      <w:r w:rsidRPr="00913665">
        <w:rPr>
          <w:noProof/>
        </w:rPr>
        <w:t>że rozszerzenie populacyjnych badań przesiewowych</w:t>
      </w:r>
      <w:r w:rsidR="00913665" w:rsidRPr="00913665">
        <w:rPr>
          <w:noProof/>
        </w:rPr>
        <w:t xml:space="preserve"> w</w:t>
      </w:r>
      <w:r w:rsidR="00913665">
        <w:rPr>
          <w:noProof/>
        </w:rPr>
        <w:t> </w:t>
      </w:r>
      <w:r w:rsidR="00913665" w:rsidRPr="00913665">
        <w:rPr>
          <w:noProof/>
        </w:rPr>
        <w:t>kie</w:t>
      </w:r>
      <w:r w:rsidRPr="00913665">
        <w:rPr>
          <w:noProof/>
        </w:rPr>
        <w:t>runku innych nowotworów, takich jak rak płuc</w:t>
      </w:r>
      <w:r w:rsidR="00913665" w:rsidRPr="00913665">
        <w:rPr>
          <w:noProof/>
        </w:rPr>
        <w:t xml:space="preserve"> i</w:t>
      </w:r>
      <w:r w:rsidR="00913665">
        <w:rPr>
          <w:noProof/>
        </w:rPr>
        <w:t> </w:t>
      </w:r>
      <w:r w:rsidR="00913665" w:rsidRPr="00913665">
        <w:rPr>
          <w:noProof/>
        </w:rPr>
        <w:t>rak</w:t>
      </w:r>
      <w:r w:rsidRPr="00913665">
        <w:rPr>
          <w:noProof/>
        </w:rPr>
        <w:t xml:space="preserve"> stercza.</w:t>
      </w:r>
    </w:p>
    <w:p w14:paraId="180DDEFC" w14:textId="6A8F1C05" w:rsidR="009542E4" w:rsidRPr="00913665" w:rsidRDefault="009542E4" w:rsidP="00597730">
      <w:pPr>
        <w:pStyle w:val="BodyText"/>
        <w:kinsoku w:val="0"/>
        <w:overflowPunct w:val="0"/>
        <w:spacing w:before="240" w:line="276" w:lineRule="auto"/>
        <w:jc w:val="both"/>
        <w:rPr>
          <w:noProof/>
        </w:rPr>
      </w:pPr>
      <w:r w:rsidRPr="00913665">
        <w:rPr>
          <w:noProof/>
        </w:rPr>
        <w:t>Ochrona siły roboczej przed chorobami nowotworowymi ma zasadnicze znaczenie dla promowania zdrowia</w:t>
      </w:r>
      <w:r w:rsidR="00913665" w:rsidRPr="00913665">
        <w:rPr>
          <w:noProof/>
        </w:rPr>
        <w:t xml:space="preserve"> w</w:t>
      </w:r>
      <w:r w:rsidR="00913665">
        <w:rPr>
          <w:noProof/>
        </w:rPr>
        <w:t> </w:t>
      </w:r>
      <w:r w:rsidR="00913665" w:rsidRPr="00913665">
        <w:rPr>
          <w:noProof/>
        </w:rPr>
        <w:t>mie</w:t>
      </w:r>
      <w:r w:rsidRPr="00913665">
        <w:rPr>
          <w:noProof/>
        </w:rPr>
        <w:t>jscu pracy</w:t>
      </w:r>
      <w:r w:rsidR="00913665" w:rsidRPr="00913665">
        <w:rPr>
          <w:noProof/>
        </w:rPr>
        <w:t xml:space="preserve"> i</w:t>
      </w:r>
      <w:r w:rsidR="00913665">
        <w:rPr>
          <w:noProof/>
        </w:rPr>
        <w:t> </w:t>
      </w:r>
      <w:r w:rsidR="00913665" w:rsidRPr="00913665">
        <w:rPr>
          <w:noProof/>
        </w:rPr>
        <w:t>zap</w:t>
      </w:r>
      <w:r w:rsidRPr="00913665">
        <w:rPr>
          <w:noProof/>
        </w:rPr>
        <w:t>ewnienia zrównoważonej siły roboczej. Narażenie na działanie czynników rakotwórczych</w:t>
      </w:r>
      <w:r w:rsidR="00913665" w:rsidRPr="00913665">
        <w:rPr>
          <w:noProof/>
        </w:rPr>
        <w:t xml:space="preserve"> w</w:t>
      </w:r>
      <w:r w:rsidR="00913665">
        <w:rPr>
          <w:noProof/>
        </w:rPr>
        <w:t> </w:t>
      </w:r>
      <w:r w:rsidR="00913665" w:rsidRPr="00913665">
        <w:rPr>
          <w:noProof/>
        </w:rPr>
        <w:t>mie</w:t>
      </w:r>
      <w:r w:rsidRPr="00913665">
        <w:rPr>
          <w:noProof/>
        </w:rPr>
        <w:t>jscu pracy stanowi poważne zagrożenie dla zdrowia pracowników</w:t>
      </w:r>
      <w:r w:rsidR="00913665" w:rsidRPr="00913665">
        <w:rPr>
          <w:noProof/>
        </w:rPr>
        <w:t xml:space="preserve"> i</w:t>
      </w:r>
      <w:r w:rsidR="00913665">
        <w:rPr>
          <w:noProof/>
        </w:rPr>
        <w:t> </w:t>
      </w:r>
      <w:r w:rsidR="00913665" w:rsidRPr="00913665">
        <w:rPr>
          <w:noProof/>
        </w:rPr>
        <w:t>moż</w:t>
      </w:r>
      <w:r w:rsidRPr="00913665">
        <w:rPr>
          <w:noProof/>
        </w:rPr>
        <w:t>e prowadzić do długoterminowych powikłań zdrowotnych,</w:t>
      </w:r>
      <w:r w:rsidR="00913665" w:rsidRPr="00913665">
        <w:rPr>
          <w:noProof/>
        </w:rPr>
        <w:t xml:space="preserve"> w</w:t>
      </w:r>
      <w:r w:rsidR="00913665">
        <w:rPr>
          <w:noProof/>
        </w:rPr>
        <w:t> </w:t>
      </w:r>
      <w:r w:rsidR="00913665" w:rsidRPr="00913665">
        <w:rPr>
          <w:noProof/>
        </w:rPr>
        <w:t>tym</w:t>
      </w:r>
      <w:r w:rsidRPr="00913665">
        <w:rPr>
          <w:noProof/>
        </w:rPr>
        <w:t xml:space="preserve"> różnych postaci nowotworów. W UE poczyniono znaczne postępy</w:t>
      </w:r>
      <w:r w:rsidR="00913665" w:rsidRPr="00913665">
        <w:rPr>
          <w:noProof/>
        </w:rPr>
        <w:t xml:space="preserve"> w</w:t>
      </w:r>
      <w:r w:rsidR="00913665">
        <w:rPr>
          <w:noProof/>
        </w:rPr>
        <w:t> </w:t>
      </w:r>
      <w:r w:rsidR="00913665" w:rsidRPr="00913665">
        <w:rPr>
          <w:noProof/>
        </w:rPr>
        <w:t>tym</w:t>
      </w:r>
      <w:r w:rsidRPr="00913665">
        <w:rPr>
          <w:noProof/>
        </w:rPr>
        <w:t xml:space="preserve"> zakresie poprzez kompleksowe prawodawstwo</w:t>
      </w:r>
      <w:r w:rsidR="00913665" w:rsidRPr="00913665">
        <w:rPr>
          <w:noProof/>
        </w:rPr>
        <w:t xml:space="preserve"> i</w:t>
      </w:r>
      <w:r w:rsidR="00913665">
        <w:rPr>
          <w:noProof/>
        </w:rPr>
        <w:t> </w:t>
      </w:r>
      <w:r w:rsidR="00913665" w:rsidRPr="00913665">
        <w:rPr>
          <w:noProof/>
        </w:rPr>
        <w:t>śro</w:t>
      </w:r>
      <w:r w:rsidRPr="00913665">
        <w:rPr>
          <w:noProof/>
        </w:rPr>
        <w:t>dki bezpieczeństwa</w:t>
      </w:r>
      <w:r w:rsidR="00913665" w:rsidRPr="00913665">
        <w:rPr>
          <w:noProof/>
        </w:rPr>
        <w:t xml:space="preserve"> w</w:t>
      </w:r>
      <w:r w:rsidR="00913665">
        <w:rPr>
          <w:noProof/>
        </w:rPr>
        <w:t> </w:t>
      </w:r>
      <w:r w:rsidR="00913665" w:rsidRPr="00913665">
        <w:rPr>
          <w:noProof/>
        </w:rPr>
        <w:t>mie</w:t>
      </w:r>
      <w:r w:rsidRPr="00913665">
        <w:rPr>
          <w:noProof/>
        </w:rPr>
        <w:t>jscu pracy mające na celu zminimalizowanie narażenia na działanie czynników rakotwórczych</w:t>
      </w:r>
      <w:r w:rsidR="00913665" w:rsidRPr="00913665">
        <w:rPr>
          <w:noProof/>
        </w:rPr>
        <w:t>. W</w:t>
      </w:r>
      <w:r w:rsidR="00913665">
        <w:rPr>
          <w:noProof/>
        </w:rPr>
        <w:t> </w:t>
      </w:r>
      <w:r w:rsidR="00913665" w:rsidRPr="00913665">
        <w:rPr>
          <w:noProof/>
        </w:rPr>
        <w:t>tra</w:t>
      </w:r>
      <w:r w:rsidRPr="00913665">
        <w:rPr>
          <w:noProof/>
        </w:rPr>
        <w:t>kcie tego mandatu,</w:t>
      </w:r>
      <w:r w:rsidR="00913665" w:rsidRPr="00913665">
        <w:rPr>
          <w:noProof/>
        </w:rPr>
        <w:t xml:space="preserve"> w</w:t>
      </w:r>
      <w:r w:rsidR="00913665">
        <w:rPr>
          <w:noProof/>
        </w:rPr>
        <w:t> </w:t>
      </w:r>
      <w:r w:rsidR="00913665" w:rsidRPr="00913665">
        <w:rPr>
          <w:noProof/>
        </w:rPr>
        <w:t>ram</w:t>
      </w:r>
      <w:r w:rsidRPr="00913665">
        <w:rPr>
          <w:noProof/>
        </w:rPr>
        <w:t>ach unijnego planu walki</w:t>
      </w:r>
      <w:r w:rsidR="00913665" w:rsidRPr="00913665">
        <w:rPr>
          <w:noProof/>
        </w:rPr>
        <w:t xml:space="preserve"> z</w:t>
      </w:r>
      <w:r w:rsidR="00913665">
        <w:rPr>
          <w:noProof/>
        </w:rPr>
        <w:t> </w:t>
      </w:r>
      <w:r w:rsidR="00913665" w:rsidRPr="00913665">
        <w:rPr>
          <w:noProof/>
        </w:rPr>
        <w:t>rak</w:t>
      </w:r>
      <w:r w:rsidRPr="00913665">
        <w:rPr>
          <w:noProof/>
        </w:rPr>
        <w:t>iem, UE nadal ustalała limity narażenia zawodowego na substancje rakotwórcze.</w:t>
      </w:r>
    </w:p>
    <w:p w14:paraId="7B6AAE3F" w14:textId="37102E6D" w:rsidR="00C8464D" w:rsidRPr="00913665" w:rsidRDefault="00C8464D" w:rsidP="00597730">
      <w:pPr>
        <w:pStyle w:val="BodyText"/>
        <w:kinsoku w:val="0"/>
        <w:overflowPunct w:val="0"/>
        <w:spacing w:before="240" w:line="276" w:lineRule="auto"/>
        <w:jc w:val="both"/>
        <w:rPr>
          <w:noProof/>
        </w:rPr>
      </w:pPr>
      <w:r w:rsidRPr="00913665">
        <w:rPr>
          <w:noProof/>
        </w:rPr>
        <w:t>Aby poprawić dostęp do wysokiej jakości opieki, do</w:t>
      </w:r>
      <w:r w:rsidR="00913665" w:rsidRPr="00913665">
        <w:rPr>
          <w:noProof/>
        </w:rPr>
        <w:t> </w:t>
      </w:r>
      <w:r w:rsidRPr="00913665">
        <w:rPr>
          <w:noProof/>
        </w:rPr>
        <w:t>2025</w:t>
      </w:r>
      <w:r w:rsidR="00913665" w:rsidRPr="00913665">
        <w:rPr>
          <w:noProof/>
        </w:rPr>
        <w:t> </w:t>
      </w:r>
      <w:r w:rsidRPr="00913665">
        <w:rPr>
          <w:noProof/>
        </w:rPr>
        <w:t xml:space="preserve">r. utworzona zostanie pierwsza </w:t>
      </w:r>
      <w:r w:rsidRPr="00913665">
        <w:rPr>
          <w:b/>
          <w:bCs/>
          <w:noProof/>
        </w:rPr>
        <w:t>unijna sieć kompleksowych ośrodków onkologicznych</w:t>
      </w:r>
      <w:r w:rsidRPr="00913665">
        <w:rPr>
          <w:noProof/>
        </w:rPr>
        <w:t>, której celem będzie zapewnienie 90 % wszystkich kwalifikujących się pacjentów dostępu do tych ośrodków, co zmniejszy dysproporcje</w:t>
      </w:r>
      <w:r w:rsidR="00913665" w:rsidRPr="00913665">
        <w:rPr>
          <w:noProof/>
        </w:rPr>
        <w:t xml:space="preserve"> w</w:t>
      </w:r>
      <w:r w:rsidR="00913665">
        <w:rPr>
          <w:noProof/>
        </w:rPr>
        <w:t> </w:t>
      </w:r>
      <w:r w:rsidR="00913665" w:rsidRPr="00913665">
        <w:rPr>
          <w:noProof/>
        </w:rPr>
        <w:t>opi</w:t>
      </w:r>
      <w:r w:rsidRPr="00913665">
        <w:rPr>
          <w:noProof/>
        </w:rPr>
        <w:t>ece onkologicznej. Pierwszy</w:t>
      </w:r>
      <w:r w:rsidR="00913665" w:rsidRPr="00913665">
        <w:rPr>
          <w:noProof/>
        </w:rPr>
        <w:t xml:space="preserve"> w</w:t>
      </w:r>
      <w:r w:rsidR="00913665">
        <w:rPr>
          <w:noProof/>
        </w:rPr>
        <w:t> </w:t>
      </w:r>
      <w:r w:rsidR="00913665" w:rsidRPr="00913665">
        <w:rPr>
          <w:noProof/>
        </w:rPr>
        <w:t>his</w:t>
      </w:r>
      <w:r w:rsidRPr="00913665">
        <w:rPr>
          <w:noProof/>
        </w:rPr>
        <w:t xml:space="preserve">torii </w:t>
      </w:r>
      <w:r w:rsidRPr="00913665">
        <w:rPr>
          <w:b/>
          <w:bCs/>
          <w:noProof/>
        </w:rPr>
        <w:t>unijny rejestr nierówności</w:t>
      </w:r>
      <w:r w:rsidR="00913665" w:rsidRPr="00913665">
        <w:rPr>
          <w:b/>
          <w:bCs/>
          <w:noProof/>
        </w:rPr>
        <w:t xml:space="preserve"> w</w:t>
      </w:r>
      <w:r w:rsidR="00913665">
        <w:rPr>
          <w:b/>
          <w:bCs/>
          <w:noProof/>
        </w:rPr>
        <w:t> </w:t>
      </w:r>
      <w:r w:rsidR="00913665" w:rsidRPr="00913665">
        <w:rPr>
          <w:b/>
          <w:bCs/>
          <w:noProof/>
        </w:rPr>
        <w:t>prz</w:t>
      </w:r>
      <w:r w:rsidRPr="00913665">
        <w:rPr>
          <w:b/>
          <w:bCs/>
          <w:noProof/>
        </w:rPr>
        <w:t>eciwdziałaniu nowotworom</w:t>
      </w:r>
      <w:r w:rsidRPr="00913665">
        <w:rPr>
          <w:noProof/>
        </w:rPr>
        <w:t xml:space="preserve"> dostarcza istotnych informacji na temat tendencji</w:t>
      </w:r>
      <w:r w:rsidR="00913665" w:rsidRPr="00913665">
        <w:rPr>
          <w:noProof/>
        </w:rPr>
        <w:t xml:space="preserve"> i</w:t>
      </w:r>
      <w:r w:rsidR="00913665">
        <w:rPr>
          <w:noProof/>
        </w:rPr>
        <w:t> </w:t>
      </w:r>
      <w:r w:rsidR="00913665" w:rsidRPr="00913665">
        <w:rPr>
          <w:noProof/>
        </w:rPr>
        <w:t>usł</w:t>
      </w:r>
      <w:r w:rsidRPr="00913665">
        <w:rPr>
          <w:noProof/>
        </w:rPr>
        <w:t>ug związanych</w:t>
      </w:r>
      <w:r w:rsidR="00913665" w:rsidRPr="00913665">
        <w:rPr>
          <w:noProof/>
        </w:rPr>
        <w:t xml:space="preserve"> z</w:t>
      </w:r>
      <w:r w:rsidR="00913665">
        <w:rPr>
          <w:noProof/>
        </w:rPr>
        <w:t> </w:t>
      </w:r>
      <w:r w:rsidR="00913665" w:rsidRPr="00913665">
        <w:rPr>
          <w:noProof/>
        </w:rPr>
        <w:t>rak</w:t>
      </w:r>
      <w:r w:rsidRPr="00913665">
        <w:rPr>
          <w:noProof/>
        </w:rPr>
        <w:t>iem, ułatwiając decydentom lepsze zrozumienie</w:t>
      </w:r>
      <w:r w:rsidR="00913665" w:rsidRPr="00913665">
        <w:rPr>
          <w:noProof/>
        </w:rPr>
        <w:t xml:space="preserve"> i</w:t>
      </w:r>
      <w:r w:rsidR="00913665">
        <w:rPr>
          <w:noProof/>
        </w:rPr>
        <w:t> </w:t>
      </w:r>
      <w:r w:rsidR="00913665" w:rsidRPr="00913665">
        <w:rPr>
          <w:noProof/>
        </w:rPr>
        <w:t>eli</w:t>
      </w:r>
      <w:r w:rsidRPr="00913665">
        <w:rPr>
          <w:noProof/>
        </w:rPr>
        <w:t xml:space="preserve">minowanie nierówności. </w:t>
      </w:r>
      <w:r w:rsidRPr="00913665">
        <w:rPr>
          <w:noProof/>
          <w:color w:val="0D0D0D"/>
        </w:rPr>
        <w:t>Ponadto</w:t>
      </w:r>
      <w:r w:rsidR="00913665" w:rsidRPr="00913665">
        <w:rPr>
          <w:noProof/>
          <w:color w:val="0D0D0D"/>
        </w:rPr>
        <w:t xml:space="preserve"> w</w:t>
      </w:r>
      <w:r w:rsidR="00913665">
        <w:rPr>
          <w:noProof/>
          <w:color w:val="0D0D0D"/>
        </w:rPr>
        <w:t> </w:t>
      </w:r>
      <w:r w:rsidR="00913665" w:rsidRPr="00913665">
        <w:rPr>
          <w:noProof/>
          <w:color w:val="0D0D0D"/>
        </w:rPr>
        <w:t>eur</w:t>
      </w:r>
      <w:r w:rsidRPr="00913665">
        <w:rPr>
          <w:noProof/>
          <w:color w:val="0D0D0D"/>
        </w:rPr>
        <w:t>opejskim planie walki</w:t>
      </w:r>
      <w:r w:rsidR="00913665" w:rsidRPr="00913665">
        <w:rPr>
          <w:noProof/>
          <w:color w:val="0D0D0D"/>
        </w:rPr>
        <w:t xml:space="preserve"> z</w:t>
      </w:r>
      <w:r w:rsidR="00913665">
        <w:rPr>
          <w:noProof/>
          <w:color w:val="0D0D0D"/>
        </w:rPr>
        <w:t> </w:t>
      </w:r>
      <w:r w:rsidR="00913665" w:rsidRPr="00913665">
        <w:rPr>
          <w:noProof/>
          <w:color w:val="0D0D0D"/>
        </w:rPr>
        <w:t>rak</w:t>
      </w:r>
      <w:r w:rsidRPr="00913665">
        <w:rPr>
          <w:noProof/>
          <w:color w:val="0D0D0D"/>
        </w:rPr>
        <w:t>iem wzywa się do podjęcia starań na rzecz lepszego dostępu do leków</w:t>
      </w:r>
      <w:r w:rsidR="00913665" w:rsidRPr="00913665">
        <w:rPr>
          <w:noProof/>
          <w:color w:val="0D0D0D"/>
        </w:rPr>
        <w:t xml:space="preserve"> i</w:t>
      </w:r>
      <w:r w:rsidR="00913665">
        <w:rPr>
          <w:noProof/>
          <w:color w:val="0D0D0D"/>
        </w:rPr>
        <w:t> </w:t>
      </w:r>
      <w:r w:rsidR="00913665" w:rsidRPr="00913665">
        <w:rPr>
          <w:noProof/>
          <w:color w:val="0D0D0D"/>
        </w:rPr>
        <w:t>szk</w:t>
      </w:r>
      <w:r w:rsidRPr="00913665">
        <w:rPr>
          <w:noProof/>
          <w:color w:val="0D0D0D"/>
        </w:rPr>
        <w:t>oleń dla pracowników sektora zdrowia, którzy zajmują się pacjentami onkologicznymi</w:t>
      </w:r>
      <w:r w:rsidR="00913665" w:rsidRPr="00913665">
        <w:rPr>
          <w:noProof/>
          <w:color w:val="0D0D0D"/>
        </w:rPr>
        <w:t>. W</w:t>
      </w:r>
      <w:r w:rsidR="00913665">
        <w:rPr>
          <w:noProof/>
          <w:color w:val="0D0D0D"/>
        </w:rPr>
        <w:t> </w:t>
      </w:r>
      <w:r w:rsidR="00913665" w:rsidRPr="00913665">
        <w:rPr>
          <w:noProof/>
          <w:color w:val="0D0D0D"/>
        </w:rPr>
        <w:t>dzi</w:t>
      </w:r>
      <w:r w:rsidRPr="00913665">
        <w:rPr>
          <w:noProof/>
          <w:color w:val="0D0D0D"/>
        </w:rPr>
        <w:t xml:space="preserve">edzinie jakości życia </w:t>
      </w:r>
      <w:r w:rsidRPr="00913665">
        <w:rPr>
          <w:b/>
          <w:noProof/>
          <w:color w:val="0D0D0D"/>
        </w:rPr>
        <w:t>unijna sieć młodzieży żyjącej</w:t>
      </w:r>
      <w:r w:rsidR="00913665" w:rsidRPr="00913665">
        <w:rPr>
          <w:b/>
          <w:noProof/>
          <w:color w:val="0D0D0D"/>
        </w:rPr>
        <w:t xml:space="preserve"> z</w:t>
      </w:r>
      <w:r w:rsidR="00913665">
        <w:rPr>
          <w:b/>
          <w:noProof/>
          <w:color w:val="0D0D0D"/>
        </w:rPr>
        <w:t> </w:t>
      </w:r>
      <w:r w:rsidR="00913665" w:rsidRPr="00913665">
        <w:rPr>
          <w:b/>
          <w:noProof/>
          <w:color w:val="0D0D0D"/>
        </w:rPr>
        <w:t>rak</w:t>
      </w:r>
      <w:r w:rsidRPr="00913665">
        <w:rPr>
          <w:b/>
          <w:noProof/>
          <w:color w:val="0D0D0D"/>
        </w:rPr>
        <w:t>iem lub wyleczonej</w:t>
      </w:r>
      <w:r w:rsidRPr="00913665">
        <w:rPr>
          <w:noProof/>
          <w:color w:val="0D0D0D"/>
        </w:rPr>
        <w:t>, powstała</w:t>
      </w:r>
      <w:r w:rsidR="00913665" w:rsidRPr="00913665">
        <w:rPr>
          <w:noProof/>
          <w:color w:val="0D0D0D"/>
        </w:rPr>
        <w:t xml:space="preserve"> w</w:t>
      </w:r>
      <w:r w:rsidR="00913665">
        <w:rPr>
          <w:noProof/>
          <w:color w:val="0D0D0D"/>
        </w:rPr>
        <w:t> </w:t>
      </w:r>
      <w:r w:rsidR="00913665" w:rsidRPr="00913665">
        <w:rPr>
          <w:noProof/>
          <w:color w:val="0D0D0D"/>
        </w:rPr>
        <w:t>lut</w:t>
      </w:r>
      <w:r w:rsidRPr="00913665">
        <w:rPr>
          <w:noProof/>
          <w:color w:val="0D0D0D"/>
        </w:rPr>
        <w:t>ym 2022</w:t>
      </w:r>
      <w:r w:rsidR="00913665" w:rsidRPr="00913665">
        <w:rPr>
          <w:noProof/>
          <w:color w:val="0D0D0D"/>
        </w:rPr>
        <w:t> </w:t>
      </w:r>
      <w:r w:rsidRPr="00913665">
        <w:rPr>
          <w:noProof/>
          <w:color w:val="0D0D0D"/>
        </w:rPr>
        <w:t>r., oferuje pomoc młodym pacjentom</w:t>
      </w:r>
      <w:r w:rsidR="00913665" w:rsidRPr="00913665">
        <w:rPr>
          <w:noProof/>
          <w:color w:val="0D0D0D"/>
        </w:rPr>
        <w:t xml:space="preserve"> w</w:t>
      </w:r>
      <w:r w:rsidR="00913665">
        <w:rPr>
          <w:noProof/>
          <w:color w:val="0D0D0D"/>
        </w:rPr>
        <w:t> </w:t>
      </w:r>
      <w:r w:rsidR="00913665" w:rsidRPr="00913665">
        <w:rPr>
          <w:noProof/>
          <w:color w:val="0D0D0D"/>
        </w:rPr>
        <w:t>pos</w:t>
      </w:r>
      <w:r w:rsidRPr="00913665">
        <w:rPr>
          <w:noProof/>
          <w:color w:val="0D0D0D"/>
        </w:rPr>
        <w:t>taci wzajemnego wsparcia,</w:t>
      </w:r>
      <w:r w:rsidR="00913665" w:rsidRPr="00913665">
        <w:rPr>
          <w:noProof/>
          <w:color w:val="0D0D0D"/>
        </w:rPr>
        <w:t xml:space="preserve"> a</w:t>
      </w:r>
      <w:r w:rsidR="00913665">
        <w:rPr>
          <w:noProof/>
          <w:color w:val="0D0D0D"/>
        </w:rPr>
        <w:t> </w:t>
      </w:r>
      <w:r w:rsidR="00913665" w:rsidRPr="00913665">
        <w:rPr>
          <w:noProof/>
          <w:color w:val="000000"/>
        </w:rPr>
        <w:t>uni</w:t>
      </w:r>
      <w:r w:rsidRPr="00913665">
        <w:rPr>
          <w:noProof/>
          <w:color w:val="000000"/>
        </w:rPr>
        <w:t>jna misja</w:t>
      </w:r>
      <w:r w:rsidR="00913665" w:rsidRPr="00913665">
        <w:rPr>
          <w:noProof/>
          <w:color w:val="000000"/>
        </w:rPr>
        <w:t xml:space="preserve"> w</w:t>
      </w:r>
      <w:r w:rsidR="00913665">
        <w:rPr>
          <w:noProof/>
          <w:color w:val="000000"/>
        </w:rPr>
        <w:t> </w:t>
      </w:r>
      <w:r w:rsidR="00913665" w:rsidRPr="00913665">
        <w:rPr>
          <w:noProof/>
          <w:color w:val="000000"/>
        </w:rPr>
        <w:t>zak</w:t>
      </w:r>
      <w:r w:rsidRPr="00913665">
        <w:rPr>
          <w:noProof/>
          <w:color w:val="000000"/>
        </w:rPr>
        <w:t>resie walki</w:t>
      </w:r>
      <w:r w:rsidR="00913665" w:rsidRPr="00913665">
        <w:rPr>
          <w:noProof/>
          <w:color w:val="000000"/>
        </w:rPr>
        <w:t xml:space="preserve"> z</w:t>
      </w:r>
      <w:r w:rsidR="00913665">
        <w:rPr>
          <w:noProof/>
          <w:color w:val="000000"/>
        </w:rPr>
        <w:t> </w:t>
      </w:r>
      <w:r w:rsidR="00913665" w:rsidRPr="00913665">
        <w:rPr>
          <w:noProof/>
          <w:color w:val="000000"/>
        </w:rPr>
        <w:t>rak</w:t>
      </w:r>
      <w:r w:rsidRPr="00913665">
        <w:rPr>
          <w:noProof/>
          <w:color w:val="000000"/>
        </w:rPr>
        <w:t>iem nawiązała dialog</w:t>
      </w:r>
      <w:r w:rsidR="00913665" w:rsidRPr="00913665">
        <w:rPr>
          <w:noProof/>
          <w:color w:val="000000"/>
        </w:rPr>
        <w:t xml:space="preserve"> z</w:t>
      </w:r>
      <w:r w:rsidR="00913665">
        <w:rPr>
          <w:noProof/>
          <w:color w:val="000000"/>
        </w:rPr>
        <w:t> </w:t>
      </w:r>
      <w:r w:rsidR="00913665" w:rsidRPr="00913665">
        <w:rPr>
          <w:noProof/>
          <w:color w:val="000000"/>
        </w:rPr>
        <w:t>mło</w:t>
      </w:r>
      <w:r w:rsidRPr="00913665">
        <w:rPr>
          <w:noProof/>
          <w:color w:val="000000"/>
        </w:rPr>
        <w:t>dymi osobami, które przeżyły raka, co daje dodatkowe możliwości finansowania</w:t>
      </w:r>
      <w:r w:rsidR="00913665" w:rsidRPr="00913665">
        <w:rPr>
          <w:noProof/>
          <w:color w:val="000000"/>
        </w:rPr>
        <w:t xml:space="preserve"> w</w:t>
      </w:r>
      <w:r w:rsidR="00913665">
        <w:rPr>
          <w:noProof/>
          <w:color w:val="000000"/>
        </w:rPr>
        <w:t> </w:t>
      </w:r>
      <w:r w:rsidR="00913665" w:rsidRPr="00913665">
        <w:rPr>
          <w:noProof/>
          <w:color w:val="000000"/>
        </w:rPr>
        <w:t>ram</w:t>
      </w:r>
      <w:r w:rsidRPr="00913665">
        <w:rPr>
          <w:noProof/>
          <w:color w:val="000000"/>
        </w:rPr>
        <w:t>ach Programu UE dla zdrowia</w:t>
      </w:r>
      <w:r w:rsidR="00913665" w:rsidRPr="00913665">
        <w:rPr>
          <w:noProof/>
          <w:color w:val="000000"/>
        </w:rPr>
        <w:t xml:space="preserve"> i</w:t>
      </w:r>
      <w:r w:rsidR="00913665">
        <w:rPr>
          <w:noProof/>
          <w:color w:val="000000"/>
        </w:rPr>
        <w:t> </w:t>
      </w:r>
      <w:r w:rsidR="00913665" w:rsidRPr="00913665">
        <w:rPr>
          <w:noProof/>
          <w:color w:val="000000"/>
        </w:rPr>
        <w:t>pro</w:t>
      </w:r>
      <w:r w:rsidRPr="00913665">
        <w:rPr>
          <w:noProof/>
          <w:color w:val="000000"/>
        </w:rPr>
        <w:t>gramu „Horyzont Europa”</w:t>
      </w:r>
      <w:r w:rsidRPr="00913665">
        <w:rPr>
          <w:noProof/>
          <w:sz w:val="20"/>
        </w:rPr>
        <w:t xml:space="preserve">. </w:t>
      </w:r>
      <w:r w:rsidRPr="00913665">
        <w:rPr>
          <w:noProof/>
        </w:rPr>
        <w:t>Priorytetem planu jest jakość życia osób dotkniętych chorobą nowotworową,</w:t>
      </w:r>
      <w:r w:rsidR="00913665" w:rsidRPr="00913665">
        <w:rPr>
          <w:noProof/>
        </w:rPr>
        <w:t xml:space="preserve"> a</w:t>
      </w:r>
      <w:r w:rsidR="00913665">
        <w:rPr>
          <w:noProof/>
        </w:rPr>
        <w:t> </w:t>
      </w:r>
      <w:r w:rsidR="00913665" w:rsidRPr="00913665">
        <w:rPr>
          <w:noProof/>
        </w:rPr>
        <w:t>obe</w:t>
      </w:r>
      <w:r w:rsidRPr="00913665">
        <w:rPr>
          <w:noProof/>
        </w:rPr>
        <w:t>cnie trwają prace nad wyeliminowaniem dyskryminacji</w:t>
      </w:r>
      <w:r w:rsidR="00913665" w:rsidRPr="00913665">
        <w:rPr>
          <w:noProof/>
        </w:rPr>
        <w:t xml:space="preserve"> w</w:t>
      </w:r>
      <w:r w:rsidR="00913665">
        <w:rPr>
          <w:noProof/>
        </w:rPr>
        <w:t> </w:t>
      </w:r>
      <w:r w:rsidR="00913665" w:rsidRPr="00913665">
        <w:rPr>
          <w:noProof/>
        </w:rPr>
        <w:t>dos</w:t>
      </w:r>
      <w:r w:rsidRPr="00913665">
        <w:rPr>
          <w:noProof/>
        </w:rPr>
        <w:t>tępie do usług finansowych.</w:t>
      </w:r>
    </w:p>
    <w:p w14:paraId="46ABA272" w14:textId="0C26655E" w:rsidR="00C8464D" w:rsidRPr="00913665" w:rsidRDefault="00C8464D" w:rsidP="00597730">
      <w:pPr>
        <w:pStyle w:val="BodyText"/>
        <w:kinsoku w:val="0"/>
        <w:overflowPunct w:val="0"/>
        <w:spacing w:before="240" w:line="276" w:lineRule="auto"/>
        <w:jc w:val="both"/>
        <w:rPr>
          <w:noProof/>
        </w:rPr>
      </w:pPr>
      <w:r w:rsidRPr="00913665">
        <w:rPr>
          <w:noProof/>
        </w:rPr>
        <w:t>W unijnym planie walki</w:t>
      </w:r>
      <w:r w:rsidR="00913665" w:rsidRPr="00913665">
        <w:rPr>
          <w:noProof/>
        </w:rPr>
        <w:t xml:space="preserve"> z</w:t>
      </w:r>
      <w:r w:rsidR="00913665">
        <w:rPr>
          <w:noProof/>
        </w:rPr>
        <w:t> </w:t>
      </w:r>
      <w:r w:rsidR="00913665" w:rsidRPr="00913665">
        <w:rPr>
          <w:noProof/>
        </w:rPr>
        <w:t>rak</w:t>
      </w:r>
      <w:r w:rsidRPr="00913665">
        <w:rPr>
          <w:noProof/>
        </w:rPr>
        <w:t>iem ustanowiono wytyczne dotyczące profilaktyki nowotworów, badań przesiewowych, diagnostyki, leczenia</w:t>
      </w:r>
      <w:r w:rsidR="00913665" w:rsidRPr="00913665">
        <w:rPr>
          <w:noProof/>
        </w:rPr>
        <w:t xml:space="preserve"> i</w:t>
      </w:r>
      <w:r w:rsidR="00913665">
        <w:rPr>
          <w:noProof/>
        </w:rPr>
        <w:t> </w:t>
      </w:r>
      <w:r w:rsidR="00913665" w:rsidRPr="00913665">
        <w:rPr>
          <w:noProof/>
        </w:rPr>
        <w:t>opi</w:t>
      </w:r>
      <w:r w:rsidRPr="00913665">
        <w:rPr>
          <w:noProof/>
        </w:rPr>
        <w:t>eki ponowotworowej, aby zapewnić wysoki poziom opieki we wszystkich państwach członkowskich</w:t>
      </w:r>
      <w:r w:rsidR="00913665" w:rsidRPr="00913665">
        <w:rPr>
          <w:noProof/>
        </w:rPr>
        <w:t xml:space="preserve"> i</w:t>
      </w:r>
      <w:r w:rsidR="00913665">
        <w:rPr>
          <w:noProof/>
        </w:rPr>
        <w:t> </w:t>
      </w:r>
      <w:r w:rsidR="00913665" w:rsidRPr="00913665">
        <w:rPr>
          <w:noProof/>
        </w:rPr>
        <w:t>prz</w:t>
      </w:r>
      <w:r w:rsidRPr="00913665">
        <w:rPr>
          <w:noProof/>
        </w:rPr>
        <w:t>eciwdziałać różnicom</w:t>
      </w:r>
      <w:r w:rsidR="00913665" w:rsidRPr="00913665">
        <w:rPr>
          <w:noProof/>
        </w:rPr>
        <w:t xml:space="preserve"> w</w:t>
      </w:r>
      <w:r w:rsidR="00913665">
        <w:rPr>
          <w:noProof/>
        </w:rPr>
        <w:t> </w:t>
      </w:r>
      <w:r w:rsidR="00913665" w:rsidRPr="00913665">
        <w:rPr>
          <w:noProof/>
        </w:rPr>
        <w:t>dos</w:t>
      </w:r>
      <w:r w:rsidRPr="00913665">
        <w:rPr>
          <w:noProof/>
        </w:rPr>
        <w:t>tępie do wysokiej jakości leczenia, aby</w:t>
      </w:r>
      <w:r w:rsidR="00913665" w:rsidRPr="00913665">
        <w:rPr>
          <w:noProof/>
        </w:rPr>
        <w:t xml:space="preserve"> w</w:t>
      </w:r>
      <w:r w:rsidR="00913665">
        <w:rPr>
          <w:noProof/>
        </w:rPr>
        <w:t> </w:t>
      </w:r>
      <w:r w:rsidR="00913665" w:rsidRPr="00913665">
        <w:rPr>
          <w:noProof/>
        </w:rPr>
        <w:t>ten</w:t>
      </w:r>
      <w:r w:rsidRPr="00913665">
        <w:rPr>
          <w:noProof/>
        </w:rPr>
        <w:t xml:space="preserve"> sposób wypełnić luki</w:t>
      </w:r>
      <w:r w:rsidR="00913665" w:rsidRPr="00913665">
        <w:rPr>
          <w:noProof/>
        </w:rPr>
        <w:t xml:space="preserve"> i</w:t>
      </w:r>
      <w:r w:rsidR="00913665">
        <w:rPr>
          <w:noProof/>
        </w:rPr>
        <w:t> </w:t>
      </w:r>
      <w:r w:rsidR="00913665" w:rsidRPr="00913665">
        <w:rPr>
          <w:noProof/>
        </w:rPr>
        <w:t>dać</w:t>
      </w:r>
      <w:r w:rsidRPr="00913665">
        <w:rPr>
          <w:noProof/>
        </w:rPr>
        <w:t xml:space="preserve"> nadzieję wszystkim pacjentom chorym na raka</w:t>
      </w:r>
      <w:r w:rsidR="00913665" w:rsidRPr="00913665">
        <w:rPr>
          <w:noProof/>
        </w:rPr>
        <w:t xml:space="preserve"> i</w:t>
      </w:r>
      <w:r w:rsidR="00913665">
        <w:rPr>
          <w:noProof/>
        </w:rPr>
        <w:t> </w:t>
      </w:r>
      <w:r w:rsidR="00913665" w:rsidRPr="00913665">
        <w:rPr>
          <w:noProof/>
        </w:rPr>
        <w:t>ich</w:t>
      </w:r>
      <w:r w:rsidRPr="00913665">
        <w:rPr>
          <w:noProof/>
        </w:rPr>
        <w:t xml:space="preserve"> rodzinom. Plan jest dowodem na to, jak skuteczna koordynacja na szczeblu UE może przyczynić się do poprawy zdrowia</w:t>
      </w:r>
      <w:r w:rsidR="00913665" w:rsidRPr="00913665">
        <w:rPr>
          <w:noProof/>
        </w:rPr>
        <w:t xml:space="preserve"> i</w:t>
      </w:r>
      <w:r w:rsidR="00913665">
        <w:rPr>
          <w:noProof/>
        </w:rPr>
        <w:t> </w:t>
      </w:r>
      <w:r w:rsidR="00913665" w:rsidRPr="00913665">
        <w:rPr>
          <w:noProof/>
        </w:rPr>
        <w:t>dob</w:t>
      </w:r>
      <w:r w:rsidRPr="00913665">
        <w:rPr>
          <w:noProof/>
        </w:rPr>
        <w:t>rostanu obywateli UE.</w:t>
      </w:r>
    </w:p>
    <w:p w14:paraId="4183B71F" w14:textId="77777777" w:rsidR="00C8464D" w:rsidRPr="00913665" w:rsidRDefault="00C8464D" w:rsidP="00597730">
      <w:pPr>
        <w:pStyle w:val="Heading2"/>
        <w:numPr>
          <w:ilvl w:val="1"/>
          <w:numId w:val="6"/>
        </w:numPr>
        <w:tabs>
          <w:tab w:val="left" w:pos="1364"/>
        </w:tabs>
        <w:kinsoku w:val="0"/>
        <w:overflowPunct w:val="0"/>
        <w:spacing w:before="240" w:line="276" w:lineRule="auto"/>
        <w:ind w:left="0" w:firstLine="0"/>
        <w:rPr>
          <w:noProof/>
          <w:color w:val="2E5395"/>
          <w:spacing w:val="-2"/>
        </w:rPr>
      </w:pPr>
      <w:bookmarkStart w:id="15" w:name="4.4_Tackling_rare_diseases"/>
      <w:bookmarkEnd w:id="15"/>
      <w:r w:rsidRPr="00913665">
        <w:rPr>
          <w:noProof/>
          <w:color w:val="2E5395"/>
        </w:rPr>
        <w:t>Leczenie chorób rzadkich</w:t>
      </w:r>
    </w:p>
    <w:p w14:paraId="7514F394" w14:textId="2A05B113" w:rsidR="00C8464D" w:rsidRPr="00913665" w:rsidRDefault="00C8464D" w:rsidP="00597730">
      <w:pPr>
        <w:pStyle w:val="BodyText"/>
        <w:kinsoku w:val="0"/>
        <w:overflowPunct w:val="0"/>
        <w:spacing w:before="240" w:line="276" w:lineRule="auto"/>
        <w:jc w:val="both"/>
        <w:rPr>
          <w:noProof/>
        </w:rPr>
      </w:pPr>
      <w:r w:rsidRPr="00913665">
        <w:rPr>
          <w:noProof/>
        </w:rPr>
        <w:t>Choroby rzadkie, które występują</w:t>
      </w:r>
      <w:r w:rsidR="00913665" w:rsidRPr="00913665">
        <w:rPr>
          <w:noProof/>
        </w:rPr>
        <w:t xml:space="preserve"> u</w:t>
      </w:r>
      <w:r w:rsidR="00913665">
        <w:rPr>
          <w:noProof/>
        </w:rPr>
        <w:t> </w:t>
      </w:r>
      <w:r w:rsidR="00913665" w:rsidRPr="00913665">
        <w:rPr>
          <w:noProof/>
        </w:rPr>
        <w:t>8</w:t>
      </w:r>
      <w:r w:rsidRPr="00913665">
        <w:rPr>
          <w:noProof/>
        </w:rPr>
        <w:t> % ludności UE, czyli 36 mln Europejczyków, stanowią kolejny istotny problem zdrowotny, który wymaga współpracy na szczeblu UE. Istnieją tysiące rzadkich chorób,</w:t>
      </w:r>
      <w:r w:rsidR="00913665" w:rsidRPr="00913665">
        <w:rPr>
          <w:noProof/>
        </w:rPr>
        <w:t xml:space="preserve"> w</w:t>
      </w:r>
      <w:r w:rsidR="00913665">
        <w:rPr>
          <w:noProof/>
        </w:rPr>
        <w:t> </w:t>
      </w:r>
      <w:r w:rsidR="00913665" w:rsidRPr="00913665">
        <w:rPr>
          <w:noProof/>
        </w:rPr>
        <w:t>tym</w:t>
      </w:r>
      <w:r w:rsidRPr="00913665">
        <w:rPr>
          <w:noProof/>
        </w:rPr>
        <w:t xml:space="preserve"> chorób nowotworowych, ale każda</w:t>
      </w:r>
      <w:r w:rsidR="00913665" w:rsidRPr="00913665">
        <w:rPr>
          <w:noProof/>
        </w:rPr>
        <w:t xml:space="preserve"> z</w:t>
      </w:r>
      <w:r w:rsidR="00913665">
        <w:rPr>
          <w:noProof/>
        </w:rPr>
        <w:t> </w:t>
      </w:r>
      <w:r w:rsidR="00913665" w:rsidRPr="00913665">
        <w:rPr>
          <w:noProof/>
        </w:rPr>
        <w:t>nic</w:t>
      </w:r>
      <w:r w:rsidRPr="00913665">
        <w:rPr>
          <w:noProof/>
        </w:rPr>
        <w:t>h dotyka stosunkowo niewielką liczbę pacjentów. Specyfika tych chorób wymaga łączenia danych, wiedzy specjalistycznej</w:t>
      </w:r>
      <w:r w:rsidR="00913665" w:rsidRPr="00913665">
        <w:rPr>
          <w:noProof/>
        </w:rPr>
        <w:t xml:space="preserve"> i</w:t>
      </w:r>
      <w:r w:rsidR="00913665">
        <w:rPr>
          <w:noProof/>
        </w:rPr>
        <w:t> </w:t>
      </w:r>
      <w:r w:rsidR="00913665" w:rsidRPr="00913665">
        <w:rPr>
          <w:noProof/>
        </w:rPr>
        <w:t>zas</w:t>
      </w:r>
      <w:r w:rsidRPr="00913665">
        <w:rPr>
          <w:noProof/>
        </w:rPr>
        <w:t>obów na poziomie UE, na którym wspólne działanie jest najbardziej skuteczne.</w:t>
      </w:r>
    </w:p>
    <w:p w14:paraId="616A20E0" w14:textId="792A7D2D" w:rsidR="00C8464D" w:rsidRPr="00913665" w:rsidRDefault="00C8464D" w:rsidP="00597730">
      <w:pPr>
        <w:pStyle w:val="BodyText"/>
        <w:kinsoku w:val="0"/>
        <w:overflowPunct w:val="0"/>
        <w:spacing w:before="240" w:line="276" w:lineRule="auto"/>
        <w:jc w:val="both"/>
        <w:rPr>
          <w:noProof/>
        </w:rPr>
      </w:pPr>
      <w:r w:rsidRPr="00913665">
        <w:rPr>
          <w:noProof/>
        </w:rPr>
        <w:t>Europejskie sieci referencyjne (ESR) łączą wyspecjalizowanych świadczeniodawców ponad granicami oraz ułatwiają współpracę, prowadzenie badań naukowych</w:t>
      </w:r>
      <w:r w:rsidR="00913665" w:rsidRPr="00913665">
        <w:rPr>
          <w:noProof/>
        </w:rPr>
        <w:t xml:space="preserve"> i</w:t>
      </w:r>
      <w:r w:rsidR="00913665">
        <w:rPr>
          <w:noProof/>
        </w:rPr>
        <w:t> </w:t>
      </w:r>
      <w:r w:rsidR="00913665" w:rsidRPr="00913665">
        <w:rPr>
          <w:noProof/>
        </w:rPr>
        <w:t>roz</w:t>
      </w:r>
      <w:r w:rsidRPr="00913665">
        <w:rPr>
          <w:noProof/>
        </w:rPr>
        <w:t>wój leczenia. Biorąc pod uwagę fakt, że średni czas diagnozowania chorób rzadkich wynosi 5 lat, 24 europejskie sieci referencyjne ułatwiły przeprowadzenie wirtualnych konsultacji dotyczących ponad 3 800 przypadków,</w:t>
      </w:r>
      <w:r w:rsidR="00913665" w:rsidRPr="00913665">
        <w:rPr>
          <w:noProof/>
        </w:rPr>
        <w:t xml:space="preserve"> w</w:t>
      </w:r>
      <w:r w:rsidR="00913665">
        <w:rPr>
          <w:noProof/>
        </w:rPr>
        <w:t> </w:t>
      </w:r>
      <w:r w:rsidR="00913665" w:rsidRPr="00913665">
        <w:rPr>
          <w:noProof/>
        </w:rPr>
        <w:t>ram</w:t>
      </w:r>
      <w:r w:rsidRPr="00913665">
        <w:rPr>
          <w:noProof/>
        </w:rPr>
        <w:t>ach których dzielono się wiedzą specjalistyczną, stawiano diagnozy, przygotowywano plany leczenia</w:t>
      </w:r>
      <w:r w:rsidR="00913665" w:rsidRPr="00913665">
        <w:rPr>
          <w:noProof/>
        </w:rPr>
        <w:t xml:space="preserve"> i</w:t>
      </w:r>
      <w:r w:rsidR="00913665">
        <w:rPr>
          <w:noProof/>
        </w:rPr>
        <w:t> </w:t>
      </w:r>
      <w:r w:rsidR="00913665" w:rsidRPr="00913665">
        <w:rPr>
          <w:noProof/>
        </w:rPr>
        <w:t>odp</w:t>
      </w:r>
      <w:r w:rsidRPr="00913665">
        <w:rPr>
          <w:noProof/>
        </w:rPr>
        <w:t>owiedzi dla pacjentów</w:t>
      </w:r>
      <w:r w:rsidR="00913665" w:rsidRPr="00913665">
        <w:rPr>
          <w:noProof/>
        </w:rPr>
        <w:t xml:space="preserve"> i</w:t>
      </w:r>
      <w:r w:rsidR="00913665">
        <w:rPr>
          <w:noProof/>
        </w:rPr>
        <w:t> </w:t>
      </w:r>
      <w:r w:rsidR="00913665" w:rsidRPr="00913665">
        <w:rPr>
          <w:noProof/>
        </w:rPr>
        <w:t>ich</w:t>
      </w:r>
      <w:r w:rsidRPr="00913665">
        <w:rPr>
          <w:noProof/>
        </w:rPr>
        <w:t xml:space="preserve"> rodzin</w:t>
      </w:r>
      <w:r w:rsidR="00913665" w:rsidRPr="00913665">
        <w:rPr>
          <w:noProof/>
        </w:rPr>
        <w:t>. W</w:t>
      </w:r>
      <w:r w:rsidR="00913665">
        <w:rPr>
          <w:noProof/>
        </w:rPr>
        <w:t> </w:t>
      </w:r>
      <w:r w:rsidR="00913665" w:rsidRPr="00913665">
        <w:rPr>
          <w:noProof/>
        </w:rPr>
        <w:t>ram</w:t>
      </w:r>
      <w:r w:rsidRPr="00913665">
        <w:rPr>
          <w:noProof/>
        </w:rPr>
        <w:t>ach europejskich sieci referencyjnych opracowano też ponad 400 wytycznych klinicznych, utworzono rejestry pacjentów zawierające dane dotyczące ponad 50 000 pacjentów</w:t>
      </w:r>
      <w:r w:rsidR="00913665" w:rsidRPr="00913665">
        <w:rPr>
          <w:noProof/>
        </w:rPr>
        <w:t xml:space="preserve"> i</w:t>
      </w:r>
      <w:r w:rsidR="00913665">
        <w:rPr>
          <w:noProof/>
        </w:rPr>
        <w:t> </w:t>
      </w:r>
      <w:r w:rsidR="00913665" w:rsidRPr="00913665">
        <w:rPr>
          <w:noProof/>
        </w:rPr>
        <w:t>sku</w:t>
      </w:r>
      <w:r w:rsidRPr="00913665">
        <w:rPr>
          <w:noProof/>
        </w:rPr>
        <w:t>tecznie usprawniono opiekę nad pacjentami</w:t>
      </w:r>
      <w:r w:rsidR="00913665" w:rsidRPr="00913665">
        <w:rPr>
          <w:noProof/>
        </w:rPr>
        <w:t xml:space="preserve"> z</w:t>
      </w:r>
      <w:r w:rsidR="00913665">
        <w:rPr>
          <w:noProof/>
        </w:rPr>
        <w:t> </w:t>
      </w:r>
      <w:r w:rsidR="00913665" w:rsidRPr="00913665">
        <w:rPr>
          <w:noProof/>
        </w:rPr>
        <w:t>cho</w:t>
      </w:r>
      <w:r w:rsidRPr="00913665">
        <w:rPr>
          <w:noProof/>
        </w:rPr>
        <w:t>robami rzadkimi</w:t>
      </w:r>
      <w:r w:rsidR="00913665" w:rsidRPr="00913665">
        <w:rPr>
          <w:noProof/>
        </w:rPr>
        <w:t xml:space="preserve"> w</w:t>
      </w:r>
      <w:r w:rsidR="00913665">
        <w:rPr>
          <w:noProof/>
        </w:rPr>
        <w:t> </w:t>
      </w:r>
      <w:r w:rsidR="00913665" w:rsidRPr="00913665">
        <w:rPr>
          <w:noProof/>
        </w:rPr>
        <w:t>cał</w:t>
      </w:r>
      <w:r w:rsidRPr="00913665">
        <w:rPr>
          <w:noProof/>
        </w:rPr>
        <w:t>ej Europie. Trwają prace nad włączeniem europejskich sieci referencyjnych do krajowych systemów opieki zdrowotnej poprzez opracowanie ścieżek kierowania pacjentów</w:t>
      </w:r>
      <w:r w:rsidR="00913665" w:rsidRPr="00913665">
        <w:rPr>
          <w:noProof/>
        </w:rPr>
        <w:t xml:space="preserve"> z</w:t>
      </w:r>
      <w:r w:rsidR="00913665">
        <w:rPr>
          <w:noProof/>
        </w:rPr>
        <w:t> </w:t>
      </w:r>
      <w:r w:rsidR="00913665" w:rsidRPr="00913665">
        <w:rPr>
          <w:noProof/>
        </w:rPr>
        <w:t>cho</w:t>
      </w:r>
      <w:r w:rsidRPr="00913665">
        <w:rPr>
          <w:noProof/>
        </w:rPr>
        <w:t>robami rzadkimi.</w:t>
      </w:r>
    </w:p>
    <w:p w14:paraId="14F22CB7" w14:textId="369A385B" w:rsidR="00C8464D" w:rsidRPr="00913665" w:rsidRDefault="00C8464D" w:rsidP="00597730">
      <w:pPr>
        <w:pStyle w:val="BodyText"/>
        <w:kinsoku w:val="0"/>
        <w:overflowPunct w:val="0"/>
        <w:spacing w:before="240" w:line="276" w:lineRule="auto"/>
        <w:jc w:val="both"/>
        <w:rPr>
          <w:noProof/>
        </w:rPr>
      </w:pPr>
      <w:r w:rsidRPr="00913665">
        <w:rPr>
          <w:noProof/>
        </w:rPr>
        <w:t>Co więcej, najnowsze badania finansowane</w:t>
      </w:r>
      <w:r w:rsidR="00913665" w:rsidRPr="00913665">
        <w:rPr>
          <w:noProof/>
        </w:rPr>
        <w:t xml:space="preserve"> w</w:t>
      </w:r>
      <w:r w:rsidR="00913665">
        <w:rPr>
          <w:noProof/>
        </w:rPr>
        <w:t> </w:t>
      </w:r>
      <w:r w:rsidR="00913665" w:rsidRPr="00913665">
        <w:rPr>
          <w:noProof/>
        </w:rPr>
        <w:t>ram</w:t>
      </w:r>
      <w:r w:rsidRPr="00913665">
        <w:rPr>
          <w:noProof/>
        </w:rPr>
        <w:t>ach programu „Horyzont Europa” wskazują na istotny potencjał genomiki</w:t>
      </w:r>
      <w:r w:rsidR="00913665" w:rsidRPr="00913665">
        <w:rPr>
          <w:noProof/>
        </w:rPr>
        <w:t xml:space="preserve"> w</w:t>
      </w:r>
      <w:r w:rsidR="00913665">
        <w:rPr>
          <w:noProof/>
        </w:rPr>
        <w:t> </w:t>
      </w:r>
      <w:r w:rsidR="00913665" w:rsidRPr="00913665">
        <w:rPr>
          <w:noProof/>
        </w:rPr>
        <w:t>wal</w:t>
      </w:r>
      <w:r w:rsidRPr="00913665">
        <w:rPr>
          <w:noProof/>
        </w:rPr>
        <w:t>ce</w:t>
      </w:r>
      <w:r w:rsidR="00913665" w:rsidRPr="00913665">
        <w:rPr>
          <w:noProof/>
        </w:rPr>
        <w:t xml:space="preserve"> z</w:t>
      </w:r>
      <w:r w:rsidR="00913665">
        <w:rPr>
          <w:noProof/>
        </w:rPr>
        <w:t> </w:t>
      </w:r>
      <w:r w:rsidR="00913665" w:rsidRPr="00913665">
        <w:rPr>
          <w:noProof/>
        </w:rPr>
        <w:t>wie</w:t>
      </w:r>
      <w:r w:rsidRPr="00913665">
        <w:rPr>
          <w:noProof/>
        </w:rPr>
        <w:t>loma niewyjaśnionymi przypadkami chorób rzadkich</w:t>
      </w:r>
      <w:r w:rsidR="00913665" w:rsidRPr="00913665">
        <w:rPr>
          <w:noProof/>
        </w:rPr>
        <w:t>. W</w:t>
      </w:r>
      <w:r w:rsidR="00913665">
        <w:rPr>
          <w:noProof/>
        </w:rPr>
        <w:t> </w:t>
      </w:r>
      <w:r w:rsidR="00913665" w:rsidRPr="00913665">
        <w:rPr>
          <w:noProof/>
        </w:rPr>
        <w:t>zwi</w:t>
      </w:r>
      <w:r w:rsidRPr="00913665">
        <w:rPr>
          <w:noProof/>
        </w:rPr>
        <w:t>ązku</w:t>
      </w:r>
      <w:r w:rsidR="00913665" w:rsidRPr="00913665">
        <w:rPr>
          <w:noProof/>
        </w:rPr>
        <w:t xml:space="preserve"> z</w:t>
      </w:r>
      <w:r w:rsidR="00913665">
        <w:rPr>
          <w:noProof/>
        </w:rPr>
        <w:t> </w:t>
      </w:r>
      <w:r w:rsidR="00913665" w:rsidRPr="00913665">
        <w:rPr>
          <w:noProof/>
        </w:rPr>
        <w:t>tym</w:t>
      </w:r>
      <w:r w:rsidRPr="00913665">
        <w:rPr>
          <w:noProof/>
        </w:rPr>
        <w:t xml:space="preserve"> UE nadal finansuje inicjatywę na rzecz ponad 1 miliona genomów (1+ Million Genomes), aby osiągnąć niezbędną masę krytyczną danych</w:t>
      </w:r>
      <w:r w:rsidR="00913665" w:rsidRPr="00913665">
        <w:rPr>
          <w:noProof/>
        </w:rPr>
        <w:t xml:space="preserve"> w</w:t>
      </w:r>
      <w:r w:rsidR="00913665">
        <w:rPr>
          <w:noProof/>
        </w:rPr>
        <w:t> </w:t>
      </w:r>
      <w:r w:rsidR="00913665" w:rsidRPr="00913665">
        <w:rPr>
          <w:noProof/>
        </w:rPr>
        <w:t>wyn</w:t>
      </w:r>
      <w:r w:rsidRPr="00913665">
        <w:rPr>
          <w:noProof/>
        </w:rPr>
        <w:t>iku zapewnienia bezpiecznego dostępu do genomiki</w:t>
      </w:r>
      <w:r w:rsidR="00913665" w:rsidRPr="00913665">
        <w:rPr>
          <w:noProof/>
        </w:rPr>
        <w:t xml:space="preserve"> w</w:t>
      </w:r>
      <w:r w:rsidR="00913665">
        <w:rPr>
          <w:noProof/>
        </w:rPr>
        <w:t> </w:t>
      </w:r>
      <w:r w:rsidR="00913665" w:rsidRPr="00913665">
        <w:rPr>
          <w:noProof/>
        </w:rPr>
        <w:t>cał</w:t>
      </w:r>
      <w:r w:rsidRPr="00913665">
        <w:rPr>
          <w:noProof/>
        </w:rPr>
        <w:t>ej Europie bez konieczności przesyłania bardzo wrażliwych danych.</w:t>
      </w:r>
    </w:p>
    <w:p w14:paraId="002A1EB8" w14:textId="77777777" w:rsidR="00C8464D" w:rsidRPr="00913665" w:rsidRDefault="00C8464D" w:rsidP="00597730">
      <w:pPr>
        <w:pStyle w:val="Heading2"/>
        <w:numPr>
          <w:ilvl w:val="1"/>
          <w:numId w:val="6"/>
        </w:numPr>
        <w:tabs>
          <w:tab w:val="left" w:pos="1363"/>
        </w:tabs>
        <w:kinsoku w:val="0"/>
        <w:overflowPunct w:val="0"/>
        <w:spacing w:before="240" w:line="276" w:lineRule="auto"/>
        <w:ind w:left="0" w:firstLine="0"/>
        <w:rPr>
          <w:noProof/>
          <w:color w:val="2E5395"/>
          <w:spacing w:val="-2"/>
        </w:rPr>
      </w:pPr>
      <w:bookmarkStart w:id="16" w:name="4.5_Safeguarding_mental_health"/>
      <w:bookmarkEnd w:id="16"/>
      <w:r w:rsidRPr="00913665">
        <w:rPr>
          <w:noProof/>
          <w:color w:val="2E5395"/>
        </w:rPr>
        <w:t>Ochrona zdrowia psychicznego</w:t>
      </w:r>
    </w:p>
    <w:p w14:paraId="14EFDE15" w14:textId="1F53A088" w:rsidR="00124E31" w:rsidRPr="00913665" w:rsidRDefault="00C8464D" w:rsidP="00597730">
      <w:pPr>
        <w:pStyle w:val="BodyText"/>
        <w:kinsoku w:val="0"/>
        <w:overflowPunct w:val="0"/>
        <w:spacing w:before="240" w:line="276" w:lineRule="auto"/>
        <w:jc w:val="both"/>
        <w:rPr>
          <w:noProof/>
        </w:rPr>
      </w:pPr>
      <w:r w:rsidRPr="00913665">
        <w:rPr>
          <w:noProof/>
        </w:rPr>
        <w:t>W sytuacji kryzysu zwykle najbardziej cierpią najsłabsi. Nawet przed pandemią COVID-19 problemy zdrowia psychicznego dotykały około 84 mln osób w UE (jedna na sześć osób),</w:t>
      </w:r>
      <w:r w:rsidR="00913665" w:rsidRPr="00913665">
        <w:rPr>
          <w:noProof/>
        </w:rPr>
        <w:t xml:space="preserve"> a</w:t>
      </w:r>
      <w:r w:rsidR="00913665">
        <w:rPr>
          <w:noProof/>
        </w:rPr>
        <w:t> </w:t>
      </w:r>
      <w:r w:rsidR="00913665" w:rsidRPr="00913665">
        <w:rPr>
          <w:noProof/>
        </w:rPr>
        <w:t>kos</w:t>
      </w:r>
      <w:r w:rsidRPr="00913665">
        <w:rPr>
          <w:noProof/>
        </w:rPr>
        <w:t>zt tych problemów wynosił 600 mld EUR (ponad 4</w:t>
      </w:r>
      <w:r w:rsidR="00913665" w:rsidRPr="00913665">
        <w:rPr>
          <w:noProof/>
        </w:rPr>
        <w:t> </w:t>
      </w:r>
      <w:r w:rsidRPr="00913665">
        <w:rPr>
          <w:noProof/>
        </w:rPr>
        <w:t xml:space="preserve">% PKB). Przyjęcie po raz pierwszy </w:t>
      </w:r>
      <w:r w:rsidRPr="00913665">
        <w:rPr>
          <w:b/>
          <w:bCs/>
          <w:noProof/>
        </w:rPr>
        <w:t>kompleksowego podejścia do zdrowia psychicznego</w:t>
      </w:r>
      <w:r w:rsidR="00913665" w:rsidRPr="00913665">
        <w:rPr>
          <w:noProof/>
        </w:rPr>
        <w:t xml:space="preserve"> w</w:t>
      </w:r>
      <w:r w:rsidR="00913665">
        <w:rPr>
          <w:noProof/>
        </w:rPr>
        <w:t> </w:t>
      </w:r>
      <w:r w:rsidR="00913665" w:rsidRPr="00913665">
        <w:rPr>
          <w:noProof/>
        </w:rPr>
        <w:t>cze</w:t>
      </w:r>
      <w:r w:rsidRPr="00913665">
        <w:rPr>
          <w:noProof/>
        </w:rPr>
        <w:t>rwcu 2023</w:t>
      </w:r>
      <w:r w:rsidR="00913665" w:rsidRPr="00913665">
        <w:rPr>
          <w:noProof/>
        </w:rPr>
        <w:t> </w:t>
      </w:r>
      <w:r w:rsidRPr="00913665">
        <w:rPr>
          <w:noProof/>
        </w:rPr>
        <w:t>r. otworzyło nowy ambitny rozdział</w:t>
      </w:r>
      <w:r w:rsidR="00913665" w:rsidRPr="00913665">
        <w:rPr>
          <w:noProof/>
        </w:rPr>
        <w:t xml:space="preserve"> w</w:t>
      </w:r>
      <w:r w:rsidR="00913665">
        <w:rPr>
          <w:noProof/>
        </w:rPr>
        <w:t> </w:t>
      </w:r>
      <w:r w:rsidR="00913665" w:rsidRPr="00913665">
        <w:rPr>
          <w:noProof/>
        </w:rPr>
        <w:t>dzi</w:t>
      </w:r>
      <w:r w:rsidRPr="00913665">
        <w:rPr>
          <w:noProof/>
        </w:rPr>
        <w:t>ałaniach UE</w:t>
      </w:r>
      <w:r w:rsidR="00913665" w:rsidRPr="00913665">
        <w:rPr>
          <w:noProof/>
        </w:rPr>
        <w:t xml:space="preserve"> w</w:t>
      </w:r>
      <w:r w:rsidR="00913665">
        <w:rPr>
          <w:noProof/>
        </w:rPr>
        <w:t> </w:t>
      </w:r>
      <w:r w:rsidR="00913665" w:rsidRPr="00913665">
        <w:rPr>
          <w:noProof/>
        </w:rPr>
        <w:t>tym</w:t>
      </w:r>
      <w:r w:rsidRPr="00913665">
        <w:rPr>
          <w:noProof/>
        </w:rPr>
        <w:t xml:space="preserve"> obszarze. Podejście opiera się na następujących trzech zasadach przewodnich: profilaktyce, zwalczaniu stygmatyzacji, dostępie do wysokiej jakości opieki</w:t>
      </w:r>
      <w:r w:rsidR="00913665" w:rsidRPr="00913665">
        <w:rPr>
          <w:noProof/>
        </w:rPr>
        <w:t xml:space="preserve"> i</w:t>
      </w:r>
      <w:r w:rsidR="00913665">
        <w:rPr>
          <w:noProof/>
        </w:rPr>
        <w:t> </w:t>
      </w:r>
      <w:r w:rsidR="00913665" w:rsidRPr="00913665">
        <w:rPr>
          <w:noProof/>
        </w:rPr>
        <w:t>lec</w:t>
      </w:r>
      <w:r w:rsidRPr="00913665">
        <w:rPr>
          <w:noProof/>
        </w:rPr>
        <w:t>zenia oraz reintegracji, stawianiu zdrowia psychicznego na równi ze zdrowiem fizycznym, wspieraniu zdrowia psychicznego we wszystkich obszarach polityki, od edukacji po cyfryzację</w:t>
      </w:r>
      <w:r w:rsidR="00913665" w:rsidRPr="00913665">
        <w:rPr>
          <w:noProof/>
        </w:rPr>
        <w:t xml:space="preserve"> i</w:t>
      </w:r>
      <w:r w:rsidR="00913665">
        <w:rPr>
          <w:noProof/>
        </w:rPr>
        <w:t> </w:t>
      </w:r>
      <w:r w:rsidR="00913665" w:rsidRPr="00913665">
        <w:rPr>
          <w:noProof/>
        </w:rPr>
        <w:t>pla</w:t>
      </w:r>
      <w:r w:rsidRPr="00913665">
        <w:rPr>
          <w:noProof/>
        </w:rPr>
        <w:t>nowanie przestrzenne,</w:t>
      </w:r>
      <w:r w:rsidR="00913665" w:rsidRPr="00913665">
        <w:rPr>
          <w:noProof/>
        </w:rPr>
        <w:t xml:space="preserve"> a</w:t>
      </w:r>
      <w:r w:rsidR="00913665">
        <w:rPr>
          <w:noProof/>
        </w:rPr>
        <w:t> </w:t>
      </w:r>
      <w:r w:rsidR="00913665" w:rsidRPr="00913665">
        <w:rPr>
          <w:noProof/>
        </w:rPr>
        <w:t>tak</w:t>
      </w:r>
      <w:r w:rsidRPr="00913665">
        <w:rPr>
          <w:noProof/>
        </w:rPr>
        <w:t>że uznaniu pozytywnego wpływu przyrody</w:t>
      </w:r>
      <w:r w:rsidR="00913665" w:rsidRPr="00913665">
        <w:rPr>
          <w:noProof/>
        </w:rPr>
        <w:t xml:space="preserve"> i</w:t>
      </w:r>
      <w:r w:rsidR="00913665">
        <w:rPr>
          <w:noProof/>
        </w:rPr>
        <w:t> </w:t>
      </w:r>
      <w:r w:rsidR="00913665" w:rsidRPr="00913665">
        <w:rPr>
          <w:noProof/>
        </w:rPr>
        <w:t>czy</w:t>
      </w:r>
      <w:r w:rsidRPr="00913665">
        <w:rPr>
          <w:noProof/>
        </w:rPr>
        <w:t>stego środowiska zarówno dla zdrowia psychicznego, jak</w:t>
      </w:r>
      <w:r w:rsidR="00913665" w:rsidRPr="00913665">
        <w:rPr>
          <w:noProof/>
        </w:rPr>
        <w:t xml:space="preserve"> i</w:t>
      </w:r>
      <w:r w:rsidR="00913665">
        <w:rPr>
          <w:noProof/>
        </w:rPr>
        <w:t> </w:t>
      </w:r>
      <w:r w:rsidR="00913665" w:rsidRPr="00913665">
        <w:rPr>
          <w:noProof/>
        </w:rPr>
        <w:t>fiz</w:t>
      </w:r>
      <w:r w:rsidRPr="00913665">
        <w:rPr>
          <w:noProof/>
        </w:rPr>
        <w:t>ycznego.</w:t>
      </w:r>
    </w:p>
    <w:p w14:paraId="2928FACE" w14:textId="11462AFE" w:rsidR="00C8464D" w:rsidRPr="00913665" w:rsidRDefault="00C8464D" w:rsidP="00597730">
      <w:pPr>
        <w:pStyle w:val="BodyText"/>
        <w:kinsoku w:val="0"/>
        <w:overflowPunct w:val="0"/>
        <w:spacing w:before="240" w:line="276" w:lineRule="auto"/>
        <w:jc w:val="both"/>
        <w:rPr>
          <w:noProof/>
        </w:rPr>
      </w:pPr>
      <w:r w:rsidRPr="00913665">
        <w:rPr>
          <w:noProof/>
        </w:rPr>
        <w:t>Programy UE oferują możliwości finansowania</w:t>
      </w:r>
      <w:r w:rsidR="00913665" w:rsidRPr="00913665">
        <w:rPr>
          <w:noProof/>
        </w:rPr>
        <w:t xml:space="preserve"> o</w:t>
      </w:r>
      <w:r w:rsidR="00913665">
        <w:rPr>
          <w:noProof/>
        </w:rPr>
        <w:t> </w:t>
      </w:r>
      <w:r w:rsidR="00913665" w:rsidRPr="00913665">
        <w:rPr>
          <w:noProof/>
        </w:rPr>
        <w:t>war</w:t>
      </w:r>
      <w:r w:rsidRPr="00913665">
        <w:rPr>
          <w:noProof/>
        </w:rPr>
        <w:t>tości 1,23 mld EUR</w:t>
      </w:r>
      <w:r w:rsidR="00913665" w:rsidRPr="00913665">
        <w:rPr>
          <w:noProof/>
        </w:rPr>
        <w:t xml:space="preserve"> i</w:t>
      </w:r>
      <w:r w:rsidR="00913665">
        <w:rPr>
          <w:noProof/>
        </w:rPr>
        <w:t> </w:t>
      </w:r>
      <w:r w:rsidR="00913665" w:rsidRPr="00913665">
        <w:rPr>
          <w:noProof/>
        </w:rPr>
        <w:t>uwz</w:t>
      </w:r>
      <w:r w:rsidRPr="00913665">
        <w:rPr>
          <w:noProof/>
        </w:rPr>
        <w:t>ględniono</w:t>
      </w:r>
      <w:r w:rsidR="00913665" w:rsidRPr="00913665">
        <w:rPr>
          <w:noProof/>
        </w:rPr>
        <w:t xml:space="preserve"> w</w:t>
      </w:r>
      <w:r w:rsidR="00913665">
        <w:rPr>
          <w:noProof/>
        </w:rPr>
        <w:t> </w:t>
      </w:r>
      <w:r w:rsidR="00913665" w:rsidRPr="00913665">
        <w:rPr>
          <w:noProof/>
        </w:rPr>
        <w:t>nic</w:t>
      </w:r>
      <w:r w:rsidRPr="00913665">
        <w:rPr>
          <w:noProof/>
        </w:rPr>
        <w:t>h 20 inicjatyw przewodnich, których celem jest wsparcie państw członkowskich</w:t>
      </w:r>
      <w:r w:rsidR="00913665" w:rsidRPr="00913665">
        <w:rPr>
          <w:noProof/>
        </w:rPr>
        <w:t xml:space="preserve"> i</w:t>
      </w:r>
      <w:r w:rsidR="00913665">
        <w:rPr>
          <w:noProof/>
        </w:rPr>
        <w:t> </w:t>
      </w:r>
      <w:r w:rsidR="00913665" w:rsidRPr="00913665">
        <w:rPr>
          <w:noProof/>
        </w:rPr>
        <w:t>zai</w:t>
      </w:r>
      <w:r w:rsidRPr="00913665">
        <w:rPr>
          <w:noProof/>
        </w:rPr>
        <w:t>nteresowanych stron z UE. Na przykład unijny portal najlepszych praktyk prezentuje wiodące</w:t>
      </w:r>
      <w:r w:rsidR="00913665" w:rsidRPr="00913665">
        <w:rPr>
          <w:noProof/>
        </w:rPr>
        <w:t xml:space="preserve"> i</w:t>
      </w:r>
      <w:r w:rsidR="00913665">
        <w:rPr>
          <w:noProof/>
        </w:rPr>
        <w:t> </w:t>
      </w:r>
      <w:r w:rsidR="00913665" w:rsidRPr="00913665">
        <w:rPr>
          <w:noProof/>
        </w:rPr>
        <w:t>obi</w:t>
      </w:r>
      <w:r w:rsidRPr="00913665">
        <w:rPr>
          <w:noProof/>
        </w:rPr>
        <w:t>ecujące praktyki</w:t>
      </w:r>
      <w:r w:rsidR="00913665" w:rsidRPr="00913665">
        <w:rPr>
          <w:noProof/>
        </w:rPr>
        <w:t xml:space="preserve"> w</w:t>
      </w:r>
      <w:r w:rsidR="00913665">
        <w:rPr>
          <w:noProof/>
        </w:rPr>
        <w:t> </w:t>
      </w:r>
      <w:r w:rsidR="00913665" w:rsidRPr="00913665">
        <w:rPr>
          <w:noProof/>
        </w:rPr>
        <w:t>zak</w:t>
      </w:r>
      <w:r w:rsidRPr="00913665">
        <w:rPr>
          <w:noProof/>
        </w:rPr>
        <w:t>resie zdrowia psychicznego, które mogą inspirować innych do działania. Kampanie uświadamiające prowadzone przez Europejską Agencję Bezpieczeństwa</w:t>
      </w:r>
      <w:r w:rsidR="00913665" w:rsidRPr="00913665">
        <w:rPr>
          <w:noProof/>
        </w:rPr>
        <w:t xml:space="preserve"> i</w:t>
      </w:r>
      <w:r w:rsidR="00913665">
        <w:rPr>
          <w:noProof/>
        </w:rPr>
        <w:t> </w:t>
      </w:r>
      <w:r w:rsidR="00913665" w:rsidRPr="00913665">
        <w:rPr>
          <w:noProof/>
        </w:rPr>
        <w:t>Zdr</w:t>
      </w:r>
      <w:r w:rsidRPr="00913665">
        <w:rPr>
          <w:noProof/>
        </w:rPr>
        <w:t>owia</w:t>
      </w:r>
      <w:r w:rsidR="00913665" w:rsidRPr="00913665">
        <w:rPr>
          <w:noProof/>
        </w:rPr>
        <w:t xml:space="preserve"> w</w:t>
      </w:r>
      <w:r w:rsidR="00913665">
        <w:rPr>
          <w:noProof/>
        </w:rPr>
        <w:t> </w:t>
      </w:r>
      <w:r w:rsidR="00913665" w:rsidRPr="00913665">
        <w:rPr>
          <w:noProof/>
        </w:rPr>
        <w:t>Pra</w:t>
      </w:r>
      <w:r w:rsidRPr="00913665">
        <w:rPr>
          <w:noProof/>
        </w:rPr>
        <w:t>cy (EU-OSHA) pomagają rozwiązać problemy</w:t>
      </w:r>
      <w:r w:rsidR="00913665" w:rsidRPr="00913665">
        <w:rPr>
          <w:noProof/>
        </w:rPr>
        <w:t xml:space="preserve"> w</w:t>
      </w:r>
      <w:r w:rsidR="00913665">
        <w:rPr>
          <w:noProof/>
        </w:rPr>
        <w:t> </w:t>
      </w:r>
      <w:r w:rsidR="00913665" w:rsidRPr="00913665">
        <w:rPr>
          <w:noProof/>
        </w:rPr>
        <w:t>zak</w:t>
      </w:r>
      <w:r w:rsidRPr="00913665">
        <w:rPr>
          <w:noProof/>
        </w:rPr>
        <w:t>resie zdrowia psychicznego związane</w:t>
      </w:r>
      <w:r w:rsidR="00913665" w:rsidRPr="00913665">
        <w:rPr>
          <w:noProof/>
        </w:rPr>
        <w:t xml:space="preserve"> z</w:t>
      </w:r>
      <w:r w:rsidR="00913665">
        <w:rPr>
          <w:noProof/>
        </w:rPr>
        <w:t> </w:t>
      </w:r>
      <w:r w:rsidR="00913665" w:rsidRPr="00913665">
        <w:rPr>
          <w:noProof/>
        </w:rPr>
        <w:t>pra</w:t>
      </w:r>
      <w:r w:rsidRPr="00913665">
        <w:rPr>
          <w:noProof/>
        </w:rPr>
        <w:t>cą. UE współpracuje również ze Światową Organizacją Zdrowia, aby pomóc państwom członkowskim</w:t>
      </w:r>
      <w:r w:rsidR="00913665" w:rsidRPr="00913665">
        <w:rPr>
          <w:noProof/>
        </w:rPr>
        <w:t xml:space="preserve"> w</w:t>
      </w:r>
      <w:r w:rsidR="00913665">
        <w:rPr>
          <w:noProof/>
        </w:rPr>
        <w:t> </w:t>
      </w:r>
      <w:r w:rsidR="00913665" w:rsidRPr="00913665">
        <w:rPr>
          <w:noProof/>
        </w:rPr>
        <w:t>opr</w:t>
      </w:r>
      <w:r w:rsidRPr="00913665">
        <w:rPr>
          <w:noProof/>
        </w:rPr>
        <w:t>acowywaniu rozwiązań</w:t>
      </w:r>
      <w:r w:rsidR="00913665" w:rsidRPr="00913665">
        <w:rPr>
          <w:noProof/>
        </w:rPr>
        <w:t xml:space="preserve"> w</w:t>
      </w:r>
      <w:r w:rsidR="00913665">
        <w:rPr>
          <w:noProof/>
        </w:rPr>
        <w:t> </w:t>
      </w:r>
      <w:r w:rsidR="00913665" w:rsidRPr="00913665">
        <w:rPr>
          <w:noProof/>
        </w:rPr>
        <w:t>zak</w:t>
      </w:r>
      <w:r w:rsidRPr="00913665">
        <w:rPr>
          <w:noProof/>
        </w:rPr>
        <w:t>resie zdrowia psychicznego ukierunkowanych na profilaktykę</w:t>
      </w:r>
      <w:r w:rsidR="00913665" w:rsidRPr="00913665">
        <w:rPr>
          <w:noProof/>
        </w:rPr>
        <w:t>. W</w:t>
      </w:r>
      <w:r w:rsidR="00913665">
        <w:rPr>
          <w:noProof/>
        </w:rPr>
        <w:t> </w:t>
      </w:r>
      <w:r w:rsidR="00913665" w:rsidRPr="00913665">
        <w:rPr>
          <w:noProof/>
        </w:rPr>
        <w:t>ram</w:t>
      </w:r>
      <w:r w:rsidRPr="00913665">
        <w:rPr>
          <w:noProof/>
        </w:rPr>
        <w:t>ach tych działań szczególną uwagę poświęca się osobom wymagającym szczególnej troski, zwłaszcza dzieciom</w:t>
      </w:r>
      <w:r w:rsidR="00913665" w:rsidRPr="00913665">
        <w:rPr>
          <w:noProof/>
        </w:rPr>
        <w:t xml:space="preserve"> i</w:t>
      </w:r>
      <w:r w:rsidR="00913665">
        <w:rPr>
          <w:noProof/>
        </w:rPr>
        <w:t> </w:t>
      </w:r>
      <w:r w:rsidR="00913665" w:rsidRPr="00913665">
        <w:rPr>
          <w:noProof/>
        </w:rPr>
        <w:t>mło</w:t>
      </w:r>
      <w:r w:rsidRPr="00913665">
        <w:rPr>
          <w:noProof/>
        </w:rPr>
        <w:t>dzieży. Inicjatywy obejmują prowadzony wspólnie z UNICEF projekt dotyczący „promowania kompleksowego, ukierunkowanego na profilaktykę podejścia do zdrowia dzieci” oraz rozwoju sieci zdrowia psychicznego dzieci</w:t>
      </w:r>
      <w:r w:rsidR="00913665" w:rsidRPr="00913665">
        <w:rPr>
          <w:noProof/>
        </w:rPr>
        <w:t xml:space="preserve"> i</w:t>
      </w:r>
      <w:r w:rsidR="00913665">
        <w:rPr>
          <w:noProof/>
        </w:rPr>
        <w:t> </w:t>
      </w:r>
      <w:r w:rsidR="00913665" w:rsidRPr="00913665">
        <w:rPr>
          <w:noProof/>
        </w:rPr>
        <w:t>mło</w:t>
      </w:r>
      <w:r w:rsidRPr="00913665">
        <w:rPr>
          <w:noProof/>
        </w:rPr>
        <w:t>dzieży. Jednym</w:t>
      </w:r>
      <w:r w:rsidR="00913665" w:rsidRPr="00913665">
        <w:rPr>
          <w:noProof/>
        </w:rPr>
        <w:t xml:space="preserve"> z</w:t>
      </w:r>
      <w:r w:rsidR="00913665">
        <w:rPr>
          <w:noProof/>
        </w:rPr>
        <w:t> </w:t>
      </w:r>
      <w:r w:rsidR="00913665" w:rsidRPr="00913665">
        <w:rPr>
          <w:noProof/>
        </w:rPr>
        <w:t>klu</w:t>
      </w:r>
      <w:r w:rsidRPr="00913665">
        <w:rPr>
          <w:noProof/>
        </w:rPr>
        <w:t xml:space="preserve">czowych obszarów polityki </w:t>
      </w:r>
      <w:r w:rsidRPr="00913665">
        <w:rPr>
          <w:b/>
          <w:noProof/>
        </w:rPr>
        <w:t>Europejskiego Roku Młodzieży 2022</w:t>
      </w:r>
      <w:r w:rsidRPr="00913665">
        <w:rPr>
          <w:noProof/>
        </w:rPr>
        <w:t xml:space="preserve"> było wspieranie rozwoju osobistego, społecznego</w:t>
      </w:r>
      <w:r w:rsidR="00913665" w:rsidRPr="00913665">
        <w:rPr>
          <w:noProof/>
        </w:rPr>
        <w:t xml:space="preserve"> i</w:t>
      </w:r>
      <w:r w:rsidR="00913665">
        <w:rPr>
          <w:noProof/>
        </w:rPr>
        <w:t> </w:t>
      </w:r>
      <w:r w:rsidR="00913665" w:rsidRPr="00913665">
        <w:rPr>
          <w:noProof/>
        </w:rPr>
        <w:t>zaw</w:t>
      </w:r>
      <w:r w:rsidRPr="00913665">
        <w:rPr>
          <w:noProof/>
        </w:rPr>
        <w:t>odowego młodych ludzi</w:t>
      </w:r>
      <w:r w:rsidR="00913665" w:rsidRPr="00913665">
        <w:rPr>
          <w:noProof/>
        </w:rPr>
        <w:t>. W</w:t>
      </w:r>
      <w:r w:rsidR="00913665">
        <w:rPr>
          <w:noProof/>
        </w:rPr>
        <w:t> </w:t>
      </w:r>
      <w:r w:rsidR="00913665" w:rsidRPr="00913665">
        <w:rPr>
          <w:noProof/>
        </w:rPr>
        <w:t>szc</w:t>
      </w:r>
      <w:r w:rsidRPr="00913665">
        <w:rPr>
          <w:noProof/>
        </w:rPr>
        <w:t>zególności skupiono się na zdrowiu psychicznym</w:t>
      </w:r>
      <w:r w:rsidR="00913665" w:rsidRPr="00913665">
        <w:rPr>
          <w:noProof/>
        </w:rPr>
        <w:t>. W</w:t>
      </w:r>
      <w:r w:rsidR="00913665">
        <w:rPr>
          <w:noProof/>
        </w:rPr>
        <w:t> </w:t>
      </w:r>
      <w:r w:rsidR="00913665" w:rsidRPr="00913665">
        <w:rPr>
          <w:noProof/>
        </w:rPr>
        <w:t>ram</w:t>
      </w:r>
      <w:r w:rsidRPr="00913665">
        <w:rPr>
          <w:noProof/>
        </w:rPr>
        <w:t>ach Europejskiego Roku Młodzieży zainicjowano szereg inicjatyw związanych ze zdrowiem psychicznym, takich jak zalecenie Rady</w:t>
      </w:r>
      <w:r w:rsidR="00913665" w:rsidRPr="00913665">
        <w:rPr>
          <w:noProof/>
        </w:rPr>
        <w:t xml:space="preserve"> z</w:t>
      </w:r>
      <w:r w:rsidR="00913665">
        <w:rPr>
          <w:noProof/>
        </w:rPr>
        <w:t> </w:t>
      </w:r>
      <w:r w:rsidR="00913665" w:rsidRPr="00913665">
        <w:rPr>
          <w:noProof/>
        </w:rPr>
        <w:t>2</w:t>
      </w:r>
      <w:r w:rsidRPr="00913665">
        <w:rPr>
          <w:noProof/>
        </w:rPr>
        <w:t>022</w:t>
      </w:r>
      <w:r w:rsidR="00913665" w:rsidRPr="00913665">
        <w:rPr>
          <w:noProof/>
        </w:rPr>
        <w:t> </w:t>
      </w:r>
      <w:r w:rsidRPr="00913665">
        <w:rPr>
          <w:noProof/>
        </w:rPr>
        <w:t>r.</w:t>
      </w:r>
      <w:r w:rsidR="00913665" w:rsidRPr="00913665">
        <w:rPr>
          <w:noProof/>
        </w:rPr>
        <w:t xml:space="preserve"> w</w:t>
      </w:r>
      <w:r w:rsidR="00913665">
        <w:rPr>
          <w:noProof/>
        </w:rPr>
        <w:t> </w:t>
      </w:r>
      <w:r w:rsidR="00913665" w:rsidRPr="00913665">
        <w:rPr>
          <w:noProof/>
        </w:rPr>
        <w:t>spr</w:t>
      </w:r>
      <w:r w:rsidRPr="00913665">
        <w:rPr>
          <w:noProof/>
        </w:rPr>
        <w:t xml:space="preserve">awie </w:t>
      </w:r>
      <w:r w:rsidRPr="00913665">
        <w:rPr>
          <w:b/>
          <w:noProof/>
        </w:rPr>
        <w:t>Dróg do sukcesów</w:t>
      </w:r>
      <w:r w:rsidR="00913665" w:rsidRPr="00913665">
        <w:rPr>
          <w:b/>
          <w:noProof/>
        </w:rPr>
        <w:t xml:space="preserve"> w</w:t>
      </w:r>
      <w:r w:rsidR="00913665">
        <w:rPr>
          <w:b/>
          <w:noProof/>
        </w:rPr>
        <w:t> </w:t>
      </w:r>
      <w:r w:rsidR="00913665" w:rsidRPr="00913665">
        <w:rPr>
          <w:b/>
          <w:noProof/>
        </w:rPr>
        <w:t>szk</w:t>
      </w:r>
      <w:r w:rsidRPr="00913665">
        <w:rPr>
          <w:b/>
          <w:noProof/>
        </w:rPr>
        <w:t>ole</w:t>
      </w:r>
      <w:r w:rsidRPr="00913665">
        <w:rPr>
          <w:noProof/>
        </w:rPr>
        <w:t xml:space="preserve"> oraz </w:t>
      </w:r>
      <w:r w:rsidRPr="00913665">
        <w:rPr>
          <w:b/>
          <w:noProof/>
        </w:rPr>
        <w:t>grupa ekspertów ds. wspierania dobrostanu</w:t>
      </w:r>
      <w:r w:rsidR="00913665" w:rsidRPr="00913665">
        <w:rPr>
          <w:b/>
          <w:noProof/>
        </w:rPr>
        <w:t xml:space="preserve"> w</w:t>
      </w:r>
      <w:r w:rsidR="00913665">
        <w:rPr>
          <w:b/>
          <w:noProof/>
        </w:rPr>
        <w:t> </w:t>
      </w:r>
      <w:r w:rsidR="00913665" w:rsidRPr="00913665">
        <w:rPr>
          <w:b/>
          <w:noProof/>
        </w:rPr>
        <w:t>szk</w:t>
      </w:r>
      <w:r w:rsidRPr="00913665">
        <w:rPr>
          <w:b/>
          <w:noProof/>
        </w:rPr>
        <w:t>ole.</w:t>
      </w:r>
      <w:r w:rsidRPr="00913665">
        <w:rPr>
          <w:noProof/>
        </w:rPr>
        <w:t xml:space="preserve"> Ta grupa ekspertów opracowała konkretne wytyczne dla decydentów</w:t>
      </w:r>
      <w:r w:rsidR="00913665" w:rsidRPr="00913665">
        <w:rPr>
          <w:noProof/>
        </w:rPr>
        <w:t xml:space="preserve"> i</w:t>
      </w:r>
      <w:r w:rsidR="00913665">
        <w:rPr>
          <w:noProof/>
        </w:rPr>
        <w:t> </w:t>
      </w:r>
      <w:r w:rsidR="00913665" w:rsidRPr="00913665">
        <w:rPr>
          <w:noProof/>
        </w:rPr>
        <w:t>nau</w:t>
      </w:r>
      <w:r w:rsidRPr="00913665">
        <w:rPr>
          <w:noProof/>
        </w:rPr>
        <w:t>czycieli dotyczące dobrostanu</w:t>
      </w:r>
      <w:r w:rsidR="00913665" w:rsidRPr="00913665">
        <w:rPr>
          <w:noProof/>
        </w:rPr>
        <w:t xml:space="preserve"> i</w:t>
      </w:r>
      <w:r w:rsidR="00913665">
        <w:rPr>
          <w:noProof/>
        </w:rPr>
        <w:t> </w:t>
      </w:r>
      <w:r w:rsidR="00913665" w:rsidRPr="00913665">
        <w:rPr>
          <w:noProof/>
        </w:rPr>
        <w:t>zdr</w:t>
      </w:r>
      <w:r w:rsidRPr="00913665">
        <w:rPr>
          <w:noProof/>
        </w:rPr>
        <w:t>owia psychicznego</w:t>
      </w:r>
      <w:r w:rsidR="00913665" w:rsidRPr="00913665">
        <w:rPr>
          <w:noProof/>
        </w:rPr>
        <w:t xml:space="preserve"> w</w:t>
      </w:r>
      <w:r w:rsidR="00913665">
        <w:rPr>
          <w:noProof/>
        </w:rPr>
        <w:t> </w:t>
      </w:r>
      <w:r w:rsidR="00913665" w:rsidRPr="00913665">
        <w:rPr>
          <w:noProof/>
        </w:rPr>
        <w:t>szk</w:t>
      </w:r>
      <w:r w:rsidRPr="00913665">
        <w:rPr>
          <w:noProof/>
        </w:rPr>
        <w:t>ole, opublikowane</w:t>
      </w:r>
      <w:r w:rsidR="00913665" w:rsidRPr="00913665">
        <w:rPr>
          <w:noProof/>
        </w:rPr>
        <w:t xml:space="preserve"> w</w:t>
      </w:r>
      <w:r w:rsidR="00913665">
        <w:rPr>
          <w:noProof/>
        </w:rPr>
        <w:t> </w:t>
      </w:r>
      <w:r w:rsidR="00913665" w:rsidRPr="00913665">
        <w:rPr>
          <w:noProof/>
        </w:rPr>
        <w:t>maj</w:t>
      </w:r>
      <w:r w:rsidRPr="00913665">
        <w:rPr>
          <w:noProof/>
        </w:rPr>
        <w:t>u 2024</w:t>
      </w:r>
      <w:r w:rsidR="00913665" w:rsidRPr="00913665">
        <w:rPr>
          <w:noProof/>
        </w:rPr>
        <w:t> </w:t>
      </w:r>
      <w:r w:rsidRPr="00913665">
        <w:rPr>
          <w:noProof/>
        </w:rPr>
        <w:t>r. UE</w:t>
      </w:r>
      <w:r w:rsidR="00913665" w:rsidRPr="00913665">
        <w:rPr>
          <w:noProof/>
        </w:rPr>
        <w:t xml:space="preserve"> i</w:t>
      </w:r>
      <w:r w:rsidR="00913665">
        <w:rPr>
          <w:noProof/>
        </w:rPr>
        <w:t> </w:t>
      </w:r>
      <w:r w:rsidR="00913665" w:rsidRPr="00913665">
        <w:rPr>
          <w:noProof/>
        </w:rPr>
        <w:t>pań</w:t>
      </w:r>
      <w:r w:rsidRPr="00913665">
        <w:rPr>
          <w:noProof/>
        </w:rPr>
        <w:t>stwa członkowskie przygotowują również europejskie partnerstwo na rzecz zdrowia mózgu (w ramach programu „Horyzont Europa”), które obejmie m.in. badania nad zdrowiem psychicznym</w:t>
      </w:r>
      <w:r w:rsidR="00913665" w:rsidRPr="00913665">
        <w:rPr>
          <w:noProof/>
        </w:rPr>
        <w:t xml:space="preserve"> i</w:t>
      </w:r>
      <w:r w:rsidR="00913665">
        <w:rPr>
          <w:noProof/>
        </w:rPr>
        <w:t> </w:t>
      </w:r>
      <w:r w:rsidR="00913665" w:rsidRPr="00913665">
        <w:rPr>
          <w:noProof/>
        </w:rPr>
        <w:t>stw</w:t>
      </w:r>
      <w:r w:rsidRPr="00913665">
        <w:rPr>
          <w:noProof/>
        </w:rPr>
        <w:t>orzy ekosystem ułatwiający</w:t>
      </w:r>
      <w:r w:rsidR="00913665" w:rsidRPr="00913665">
        <w:rPr>
          <w:noProof/>
        </w:rPr>
        <w:t xml:space="preserve"> i</w:t>
      </w:r>
      <w:r w:rsidR="00913665">
        <w:rPr>
          <w:noProof/>
        </w:rPr>
        <w:t> </w:t>
      </w:r>
      <w:r w:rsidR="00913665" w:rsidRPr="00913665">
        <w:rPr>
          <w:noProof/>
        </w:rPr>
        <w:t>koo</w:t>
      </w:r>
      <w:r w:rsidRPr="00913665">
        <w:rPr>
          <w:noProof/>
        </w:rPr>
        <w:t>rdynujący działania</w:t>
      </w:r>
      <w:r w:rsidR="00913665" w:rsidRPr="00913665">
        <w:rPr>
          <w:noProof/>
        </w:rPr>
        <w:t xml:space="preserve"> w</w:t>
      </w:r>
      <w:r w:rsidR="00913665">
        <w:rPr>
          <w:noProof/>
        </w:rPr>
        <w:t> </w:t>
      </w:r>
      <w:r w:rsidR="00913665" w:rsidRPr="00913665">
        <w:rPr>
          <w:noProof/>
        </w:rPr>
        <w:t>zak</w:t>
      </w:r>
      <w:r w:rsidRPr="00913665">
        <w:rPr>
          <w:noProof/>
        </w:rPr>
        <w:t>resie badań naukowych</w:t>
      </w:r>
      <w:r w:rsidR="00913665" w:rsidRPr="00913665">
        <w:rPr>
          <w:noProof/>
        </w:rPr>
        <w:t xml:space="preserve"> i</w:t>
      </w:r>
      <w:r w:rsidR="00913665">
        <w:rPr>
          <w:noProof/>
        </w:rPr>
        <w:t> </w:t>
      </w:r>
      <w:r w:rsidR="00913665" w:rsidRPr="00913665">
        <w:rPr>
          <w:noProof/>
        </w:rPr>
        <w:t>inn</w:t>
      </w:r>
      <w:r w:rsidRPr="00913665">
        <w:rPr>
          <w:noProof/>
        </w:rPr>
        <w:t>owacji.</w:t>
      </w:r>
    </w:p>
    <w:p w14:paraId="242A85E2" w14:textId="22D9F5CD" w:rsidR="00C8464D" w:rsidRPr="00913665" w:rsidRDefault="00C8464D" w:rsidP="00597730">
      <w:pPr>
        <w:pStyle w:val="BodyText"/>
        <w:kinsoku w:val="0"/>
        <w:overflowPunct w:val="0"/>
        <w:spacing w:before="240" w:line="276" w:lineRule="auto"/>
        <w:jc w:val="both"/>
        <w:rPr>
          <w:noProof/>
        </w:rPr>
      </w:pPr>
      <w:r w:rsidRPr="00913665">
        <w:rPr>
          <w:noProof/>
        </w:rPr>
        <w:t>W ramach Programu UE dla zdrowia Komisja finansuje projekty wspierające poprawę zdrowia psychicznego</w:t>
      </w:r>
      <w:r w:rsidR="00913665" w:rsidRPr="00913665">
        <w:rPr>
          <w:noProof/>
        </w:rPr>
        <w:t xml:space="preserve"> i</w:t>
      </w:r>
      <w:r w:rsidR="00913665">
        <w:rPr>
          <w:noProof/>
        </w:rPr>
        <w:t> </w:t>
      </w:r>
      <w:r w:rsidR="00913665" w:rsidRPr="00913665">
        <w:rPr>
          <w:noProof/>
        </w:rPr>
        <w:t>dob</w:t>
      </w:r>
      <w:r w:rsidRPr="00913665">
        <w:rPr>
          <w:noProof/>
        </w:rPr>
        <w:t>rostanu psychospołecznego wśród migrantów</w:t>
      </w:r>
      <w:r w:rsidR="00913665" w:rsidRPr="00913665">
        <w:rPr>
          <w:noProof/>
        </w:rPr>
        <w:t xml:space="preserve"> i</w:t>
      </w:r>
      <w:r w:rsidR="00913665">
        <w:rPr>
          <w:noProof/>
        </w:rPr>
        <w:t> </w:t>
      </w:r>
      <w:r w:rsidR="00913665" w:rsidRPr="00913665">
        <w:rPr>
          <w:noProof/>
        </w:rPr>
        <w:t>uch</w:t>
      </w:r>
      <w:r w:rsidRPr="00913665">
        <w:rPr>
          <w:noProof/>
        </w:rPr>
        <w:t>odźców, ze szczególnym uwzględnieniem osób</w:t>
      </w:r>
      <w:r w:rsidR="00913665" w:rsidRPr="00913665">
        <w:rPr>
          <w:noProof/>
        </w:rPr>
        <w:t xml:space="preserve"> z</w:t>
      </w:r>
      <w:r w:rsidR="00913665">
        <w:rPr>
          <w:noProof/>
        </w:rPr>
        <w:t> </w:t>
      </w:r>
      <w:r w:rsidR="00913665" w:rsidRPr="00913665">
        <w:rPr>
          <w:noProof/>
        </w:rPr>
        <w:t>Ukr</w:t>
      </w:r>
      <w:r w:rsidRPr="00913665">
        <w:rPr>
          <w:noProof/>
        </w:rPr>
        <w:t>ainy. Ponad 34 mln EUR</w:t>
      </w:r>
      <w:r w:rsidR="00913665" w:rsidRPr="00913665">
        <w:rPr>
          <w:noProof/>
        </w:rPr>
        <w:t xml:space="preserve"> z</w:t>
      </w:r>
      <w:r w:rsidR="00913665">
        <w:rPr>
          <w:noProof/>
        </w:rPr>
        <w:t> </w:t>
      </w:r>
      <w:r w:rsidR="00913665" w:rsidRPr="00913665">
        <w:rPr>
          <w:noProof/>
        </w:rPr>
        <w:t>Pro</w:t>
      </w:r>
      <w:r w:rsidRPr="00913665">
        <w:rPr>
          <w:noProof/>
        </w:rPr>
        <w:t>gramu UE dla zdrowia przeznaczono na pomoc osobom, które uciekły</w:t>
      </w:r>
      <w:r w:rsidR="00913665" w:rsidRPr="00913665">
        <w:rPr>
          <w:noProof/>
        </w:rPr>
        <w:t xml:space="preserve"> z</w:t>
      </w:r>
      <w:r w:rsidR="00913665">
        <w:rPr>
          <w:noProof/>
        </w:rPr>
        <w:t> </w:t>
      </w:r>
      <w:r w:rsidR="00913665" w:rsidRPr="00913665">
        <w:rPr>
          <w:noProof/>
        </w:rPr>
        <w:t>Ukr</w:t>
      </w:r>
      <w:r w:rsidRPr="00913665">
        <w:rPr>
          <w:noProof/>
        </w:rPr>
        <w:t>ainy</w:t>
      </w:r>
      <w:r w:rsidR="00913665" w:rsidRPr="00913665">
        <w:rPr>
          <w:noProof/>
        </w:rPr>
        <w:t xml:space="preserve"> i</w:t>
      </w:r>
      <w:r w:rsidR="00913665">
        <w:rPr>
          <w:noProof/>
        </w:rPr>
        <w:t> </w:t>
      </w:r>
      <w:r w:rsidR="00913665" w:rsidRPr="00913665">
        <w:rPr>
          <w:noProof/>
        </w:rPr>
        <w:t>pil</w:t>
      </w:r>
      <w:r w:rsidRPr="00913665">
        <w:rPr>
          <w:noProof/>
        </w:rPr>
        <w:t>nie potrzebują wsparcia</w:t>
      </w:r>
      <w:r w:rsidR="00913665" w:rsidRPr="00913665">
        <w:rPr>
          <w:noProof/>
        </w:rPr>
        <w:t xml:space="preserve"> w</w:t>
      </w:r>
      <w:r w:rsidR="00913665">
        <w:rPr>
          <w:noProof/>
        </w:rPr>
        <w:t> </w:t>
      </w:r>
      <w:r w:rsidR="00913665" w:rsidRPr="00913665">
        <w:rPr>
          <w:noProof/>
        </w:rPr>
        <w:t>zak</w:t>
      </w:r>
      <w:r w:rsidRPr="00913665">
        <w:rPr>
          <w:noProof/>
        </w:rPr>
        <w:t>resie zdrowia psychicznego</w:t>
      </w:r>
      <w:r w:rsidR="00913665" w:rsidRPr="00913665">
        <w:rPr>
          <w:noProof/>
        </w:rPr>
        <w:t xml:space="preserve"> i</w:t>
      </w:r>
      <w:r w:rsidR="00913665">
        <w:rPr>
          <w:noProof/>
        </w:rPr>
        <w:t> </w:t>
      </w:r>
      <w:r w:rsidR="00913665" w:rsidRPr="00913665">
        <w:rPr>
          <w:noProof/>
        </w:rPr>
        <w:t>tra</w:t>
      </w:r>
      <w:r w:rsidRPr="00913665">
        <w:rPr>
          <w:noProof/>
        </w:rPr>
        <w:t>umy, m.in.</w:t>
      </w:r>
      <w:r w:rsidR="00913665" w:rsidRPr="00913665">
        <w:rPr>
          <w:noProof/>
        </w:rPr>
        <w:t xml:space="preserve"> w</w:t>
      </w:r>
      <w:r w:rsidR="00913665">
        <w:rPr>
          <w:noProof/>
        </w:rPr>
        <w:t> </w:t>
      </w:r>
      <w:r w:rsidR="00913665" w:rsidRPr="00913665">
        <w:rPr>
          <w:noProof/>
        </w:rPr>
        <w:t>ram</w:t>
      </w:r>
      <w:r w:rsidRPr="00913665">
        <w:rPr>
          <w:noProof/>
        </w:rPr>
        <w:t>ach projektu realizowanego wspólnie</w:t>
      </w:r>
      <w:r w:rsidR="00913665" w:rsidRPr="00913665">
        <w:rPr>
          <w:noProof/>
        </w:rPr>
        <w:t xml:space="preserve"> z</w:t>
      </w:r>
      <w:r w:rsidR="00913665">
        <w:rPr>
          <w:noProof/>
        </w:rPr>
        <w:t> </w:t>
      </w:r>
      <w:r w:rsidR="00913665" w:rsidRPr="00913665">
        <w:rPr>
          <w:noProof/>
        </w:rPr>
        <w:t>Mię</w:t>
      </w:r>
      <w:r w:rsidRPr="00913665">
        <w:rPr>
          <w:noProof/>
        </w:rPr>
        <w:t>dzynarodową Federacją Stowarzyszeń Czerwonego Krzyża</w:t>
      </w:r>
      <w:r w:rsidR="00913665" w:rsidRPr="00913665">
        <w:rPr>
          <w:noProof/>
        </w:rPr>
        <w:t xml:space="preserve"> i</w:t>
      </w:r>
      <w:r w:rsidR="00913665">
        <w:rPr>
          <w:noProof/>
        </w:rPr>
        <w:t> </w:t>
      </w:r>
      <w:r w:rsidR="00913665" w:rsidRPr="00913665">
        <w:rPr>
          <w:noProof/>
        </w:rPr>
        <w:t>Cze</w:t>
      </w:r>
      <w:r w:rsidRPr="00913665">
        <w:rPr>
          <w:noProof/>
        </w:rPr>
        <w:t>rwonego Półksiężyca, zapewniającej pomoc psychologiczną osobom przesiedlonym</w:t>
      </w:r>
      <w:r w:rsidR="00913665" w:rsidRPr="00913665">
        <w:rPr>
          <w:noProof/>
        </w:rPr>
        <w:t xml:space="preserve"> i</w:t>
      </w:r>
      <w:r w:rsidR="00913665">
        <w:rPr>
          <w:noProof/>
        </w:rPr>
        <w:t> </w:t>
      </w:r>
      <w:r w:rsidR="00913665" w:rsidRPr="00913665">
        <w:rPr>
          <w:noProof/>
        </w:rPr>
        <w:t>dot</w:t>
      </w:r>
      <w:r w:rsidRPr="00913665">
        <w:rPr>
          <w:noProof/>
        </w:rPr>
        <w:t>kniętym wojną. Prowadzone są również dodatkowe projekty</w:t>
      </w:r>
      <w:r w:rsidR="00913665" w:rsidRPr="00913665">
        <w:rPr>
          <w:noProof/>
        </w:rPr>
        <w:t xml:space="preserve"> z</w:t>
      </w:r>
      <w:r w:rsidR="00913665">
        <w:rPr>
          <w:noProof/>
        </w:rPr>
        <w:t> </w:t>
      </w:r>
      <w:r w:rsidR="00913665" w:rsidRPr="00913665">
        <w:rPr>
          <w:noProof/>
        </w:rPr>
        <w:t>org</w:t>
      </w:r>
      <w:r w:rsidRPr="00913665">
        <w:rPr>
          <w:noProof/>
        </w:rPr>
        <w:t>anizacjami pozarządowymi na rzecz najlepszych praktyk ukierunkowanych na poprawę zdrowia psychicznego</w:t>
      </w:r>
      <w:r w:rsidR="00913665" w:rsidRPr="00913665">
        <w:rPr>
          <w:noProof/>
        </w:rPr>
        <w:t xml:space="preserve"> i</w:t>
      </w:r>
      <w:r w:rsidR="00913665">
        <w:rPr>
          <w:noProof/>
        </w:rPr>
        <w:t> </w:t>
      </w:r>
      <w:r w:rsidR="00913665" w:rsidRPr="00913665">
        <w:rPr>
          <w:noProof/>
        </w:rPr>
        <w:t>dob</w:t>
      </w:r>
      <w:r w:rsidRPr="00913665">
        <w:rPr>
          <w:noProof/>
        </w:rPr>
        <w:t>rostanu psychicznego wśród migrantów</w:t>
      </w:r>
      <w:r w:rsidR="00913665" w:rsidRPr="00913665">
        <w:rPr>
          <w:noProof/>
        </w:rPr>
        <w:t xml:space="preserve"> i</w:t>
      </w:r>
      <w:r w:rsidR="00913665">
        <w:rPr>
          <w:noProof/>
        </w:rPr>
        <w:t> </w:t>
      </w:r>
      <w:r w:rsidR="00913665" w:rsidRPr="00913665">
        <w:rPr>
          <w:noProof/>
        </w:rPr>
        <w:t>uch</w:t>
      </w:r>
      <w:r w:rsidRPr="00913665">
        <w:rPr>
          <w:noProof/>
        </w:rPr>
        <w:t>odźców.</w:t>
      </w:r>
    </w:p>
    <w:p w14:paraId="0E5EE8CD" w14:textId="0E363626" w:rsidR="00C8464D" w:rsidRPr="00913665" w:rsidRDefault="00C8464D" w:rsidP="00597730">
      <w:pPr>
        <w:pStyle w:val="Heading2"/>
        <w:numPr>
          <w:ilvl w:val="1"/>
          <w:numId w:val="6"/>
        </w:numPr>
        <w:tabs>
          <w:tab w:val="left" w:pos="1363"/>
        </w:tabs>
        <w:kinsoku w:val="0"/>
        <w:overflowPunct w:val="0"/>
        <w:spacing w:before="240" w:line="276" w:lineRule="auto"/>
        <w:ind w:left="0" w:firstLine="0"/>
        <w:rPr>
          <w:noProof/>
          <w:color w:val="2E5395"/>
          <w:spacing w:val="-2"/>
        </w:rPr>
      </w:pPr>
      <w:bookmarkStart w:id="17" w:name="4.6_Harnessing_the_power_of_digitalisati"/>
      <w:bookmarkEnd w:id="17"/>
      <w:r w:rsidRPr="00913665">
        <w:rPr>
          <w:noProof/>
          <w:color w:val="2E5395"/>
        </w:rPr>
        <w:t>Wykorzystanie potencjału cyfryzacji</w:t>
      </w:r>
      <w:r w:rsidR="00913665" w:rsidRPr="00913665">
        <w:rPr>
          <w:noProof/>
          <w:color w:val="2E5395"/>
        </w:rPr>
        <w:t xml:space="preserve"> w</w:t>
      </w:r>
      <w:r w:rsidR="00913665">
        <w:rPr>
          <w:noProof/>
          <w:color w:val="2E5395"/>
        </w:rPr>
        <w:t> </w:t>
      </w:r>
      <w:r w:rsidR="00913665" w:rsidRPr="00913665">
        <w:rPr>
          <w:noProof/>
          <w:color w:val="2E5395"/>
        </w:rPr>
        <w:t>dzi</w:t>
      </w:r>
      <w:r w:rsidRPr="00913665">
        <w:rPr>
          <w:noProof/>
          <w:color w:val="2E5395"/>
        </w:rPr>
        <w:t>edzinie zdrowia</w:t>
      </w:r>
    </w:p>
    <w:p w14:paraId="6A15AEB4" w14:textId="5758F770" w:rsidR="00C8464D" w:rsidRPr="00913665" w:rsidRDefault="00C8464D" w:rsidP="00597730">
      <w:pPr>
        <w:pStyle w:val="BodyText"/>
        <w:kinsoku w:val="0"/>
        <w:overflowPunct w:val="0"/>
        <w:spacing w:before="240" w:line="276" w:lineRule="auto"/>
        <w:jc w:val="both"/>
        <w:rPr>
          <w:noProof/>
        </w:rPr>
      </w:pPr>
      <w:r w:rsidRPr="00913665">
        <w:rPr>
          <w:b/>
          <w:bCs/>
          <w:noProof/>
        </w:rPr>
        <w:t>Europejska przestrzeń danych dotyczących zdrowia</w:t>
      </w:r>
      <w:r w:rsidRPr="00913665">
        <w:rPr>
          <w:noProof/>
        </w:rPr>
        <w:t xml:space="preserve"> (EHDS) jest sztandarową inicjatywą Europejskiej Unii Zdrowotnej oraz stanowi przełomowe podejście, którego celem jest wykorzystanie potencjału cyfryzacji</w:t>
      </w:r>
      <w:r w:rsidR="00913665" w:rsidRPr="00913665">
        <w:rPr>
          <w:noProof/>
        </w:rPr>
        <w:t xml:space="preserve"> i</w:t>
      </w:r>
      <w:r w:rsidR="00913665">
        <w:rPr>
          <w:noProof/>
        </w:rPr>
        <w:t> </w:t>
      </w:r>
      <w:r w:rsidR="00913665" w:rsidRPr="00913665">
        <w:rPr>
          <w:noProof/>
        </w:rPr>
        <w:t>zap</w:t>
      </w:r>
      <w:r w:rsidRPr="00913665">
        <w:rPr>
          <w:noProof/>
        </w:rPr>
        <w:t>ewnienie pacjentom lepszej kontroli nad swoimi danymi dotyczącymi zdrowia</w:t>
      </w:r>
      <w:r w:rsidR="00913665" w:rsidRPr="00913665">
        <w:rPr>
          <w:noProof/>
        </w:rPr>
        <w:t xml:space="preserve"> i</w:t>
      </w:r>
      <w:r w:rsidR="00913665">
        <w:rPr>
          <w:noProof/>
        </w:rPr>
        <w:t> </w:t>
      </w:r>
      <w:r w:rsidR="00913665" w:rsidRPr="00913665">
        <w:rPr>
          <w:noProof/>
        </w:rPr>
        <w:t>ich</w:t>
      </w:r>
      <w:r w:rsidRPr="00913665">
        <w:rPr>
          <w:noProof/>
        </w:rPr>
        <w:t xml:space="preserve"> udostępniania. Komisja wyszła</w:t>
      </w:r>
      <w:r w:rsidR="00913665" w:rsidRPr="00913665">
        <w:rPr>
          <w:noProof/>
        </w:rPr>
        <w:t xml:space="preserve"> z</w:t>
      </w:r>
      <w:r w:rsidR="00913665">
        <w:rPr>
          <w:noProof/>
        </w:rPr>
        <w:t> </w:t>
      </w:r>
      <w:r w:rsidR="00913665" w:rsidRPr="00913665">
        <w:rPr>
          <w:noProof/>
        </w:rPr>
        <w:t>pro</w:t>
      </w:r>
      <w:r w:rsidRPr="00913665">
        <w:rPr>
          <w:noProof/>
        </w:rPr>
        <w:t>pozycją utworzenia EHDS</w:t>
      </w:r>
      <w:r w:rsidR="00913665" w:rsidRPr="00913665">
        <w:rPr>
          <w:noProof/>
        </w:rPr>
        <w:t xml:space="preserve"> w</w:t>
      </w:r>
      <w:r w:rsidR="00913665">
        <w:rPr>
          <w:noProof/>
        </w:rPr>
        <w:t> </w:t>
      </w:r>
      <w:r w:rsidR="00913665" w:rsidRPr="00913665">
        <w:rPr>
          <w:noProof/>
        </w:rPr>
        <w:t>maj</w:t>
      </w:r>
      <w:r w:rsidRPr="00913665">
        <w:rPr>
          <w:noProof/>
        </w:rPr>
        <w:t>u 2022</w:t>
      </w:r>
      <w:r w:rsidR="00913665" w:rsidRPr="00913665">
        <w:rPr>
          <w:noProof/>
        </w:rPr>
        <w:t> </w:t>
      </w:r>
      <w:r w:rsidRPr="00913665">
        <w:rPr>
          <w:noProof/>
        </w:rPr>
        <w:t>r.,</w:t>
      </w:r>
      <w:r w:rsidR="00913665" w:rsidRPr="00913665">
        <w:rPr>
          <w:noProof/>
        </w:rPr>
        <w:t xml:space="preserve"> w</w:t>
      </w:r>
      <w:r w:rsidR="00913665">
        <w:rPr>
          <w:noProof/>
        </w:rPr>
        <w:t> </w:t>
      </w:r>
      <w:r w:rsidR="00913665" w:rsidRPr="00913665">
        <w:rPr>
          <w:noProof/>
        </w:rPr>
        <w:t>mar</w:t>
      </w:r>
      <w:r w:rsidRPr="00913665">
        <w:rPr>
          <w:noProof/>
        </w:rPr>
        <w:t>cu 2024 r. osiągnięto porozumienie polityczne ze współprawodawcami,</w:t>
      </w:r>
      <w:r w:rsidR="00913665" w:rsidRPr="00913665">
        <w:rPr>
          <w:noProof/>
        </w:rPr>
        <w:t xml:space="preserve"> a</w:t>
      </w:r>
      <w:r w:rsidR="00913665">
        <w:rPr>
          <w:noProof/>
        </w:rPr>
        <w:t> </w:t>
      </w:r>
      <w:r w:rsidR="00913665" w:rsidRPr="00913665">
        <w:rPr>
          <w:noProof/>
        </w:rPr>
        <w:t>Par</w:t>
      </w:r>
      <w:r w:rsidRPr="00913665">
        <w:rPr>
          <w:noProof/>
        </w:rPr>
        <w:t>lament Europejski przyjął nowe przepisy</w:t>
      </w:r>
      <w:r w:rsidR="00913665" w:rsidRPr="00913665">
        <w:rPr>
          <w:noProof/>
        </w:rPr>
        <w:t xml:space="preserve"> w</w:t>
      </w:r>
      <w:r w:rsidR="00913665">
        <w:rPr>
          <w:noProof/>
        </w:rPr>
        <w:t> </w:t>
      </w:r>
      <w:r w:rsidR="00913665" w:rsidRPr="00913665">
        <w:rPr>
          <w:noProof/>
        </w:rPr>
        <w:t>kwi</w:t>
      </w:r>
      <w:r w:rsidRPr="00913665">
        <w:rPr>
          <w:noProof/>
        </w:rPr>
        <w:t>etniu 2024 r. Europejska przestrzeń danych dotyczących zdrowia ustanawia jasne zasady wykorzystywania elektronicznych danych dotyczących zdrowia</w:t>
      </w:r>
      <w:r w:rsidR="00913665" w:rsidRPr="00913665">
        <w:rPr>
          <w:noProof/>
        </w:rPr>
        <w:t xml:space="preserve"> i</w:t>
      </w:r>
      <w:r w:rsidR="00913665">
        <w:rPr>
          <w:noProof/>
        </w:rPr>
        <w:t> </w:t>
      </w:r>
      <w:r w:rsidR="00913665" w:rsidRPr="00913665">
        <w:rPr>
          <w:noProof/>
        </w:rPr>
        <w:t>będ</w:t>
      </w:r>
      <w:r w:rsidRPr="00913665">
        <w:rPr>
          <w:noProof/>
        </w:rPr>
        <w:t>zie sprzyjać świadczeniu lepszej opieki zdrowotnej, badaniom naukowym, innowacjom</w:t>
      </w:r>
      <w:r w:rsidR="00913665" w:rsidRPr="00913665">
        <w:rPr>
          <w:noProof/>
        </w:rPr>
        <w:t xml:space="preserve"> i</w:t>
      </w:r>
      <w:r w:rsidR="00913665">
        <w:rPr>
          <w:noProof/>
        </w:rPr>
        <w:t> </w:t>
      </w:r>
      <w:r w:rsidR="00913665" w:rsidRPr="00913665">
        <w:rPr>
          <w:noProof/>
        </w:rPr>
        <w:t>ksz</w:t>
      </w:r>
      <w:r w:rsidRPr="00913665">
        <w:rPr>
          <w:noProof/>
        </w:rPr>
        <w:t>tałtowaniu polityki</w:t>
      </w:r>
      <w:r w:rsidR="00913665" w:rsidRPr="00913665">
        <w:rPr>
          <w:noProof/>
        </w:rPr>
        <w:t xml:space="preserve"> w</w:t>
      </w:r>
      <w:r w:rsidR="00913665">
        <w:rPr>
          <w:noProof/>
        </w:rPr>
        <w:t> </w:t>
      </w:r>
      <w:r w:rsidR="00913665" w:rsidRPr="00913665">
        <w:rPr>
          <w:noProof/>
        </w:rPr>
        <w:t>peł</w:t>
      </w:r>
      <w:r w:rsidRPr="00913665">
        <w:rPr>
          <w:noProof/>
        </w:rPr>
        <w:t>nej zgodności</w:t>
      </w:r>
      <w:r w:rsidR="00913665" w:rsidRPr="00913665">
        <w:rPr>
          <w:noProof/>
        </w:rPr>
        <w:t xml:space="preserve"> z</w:t>
      </w:r>
      <w:r w:rsidR="00913665">
        <w:rPr>
          <w:noProof/>
        </w:rPr>
        <w:t> </w:t>
      </w:r>
      <w:r w:rsidR="00913665" w:rsidRPr="00913665">
        <w:rPr>
          <w:noProof/>
        </w:rPr>
        <w:t>uni</w:t>
      </w:r>
      <w:r w:rsidRPr="00913665">
        <w:rPr>
          <w:noProof/>
        </w:rPr>
        <w:t>jnymi standardami ochrony danych.</w:t>
      </w:r>
    </w:p>
    <w:p w14:paraId="5CDC0C00" w14:textId="00C69E8C" w:rsidR="00C8464D" w:rsidRPr="00913665" w:rsidRDefault="00C8464D" w:rsidP="00597730">
      <w:pPr>
        <w:pStyle w:val="BodyText"/>
        <w:kinsoku w:val="0"/>
        <w:overflowPunct w:val="0"/>
        <w:spacing w:before="240" w:line="276" w:lineRule="auto"/>
        <w:jc w:val="both"/>
        <w:rPr>
          <w:noProof/>
        </w:rPr>
      </w:pPr>
      <w:r w:rsidRPr="00913665">
        <w:rPr>
          <w:noProof/>
        </w:rPr>
        <w:t>Pacjenci będą mieli natychmiastowy, bezpłatny</w:t>
      </w:r>
      <w:r w:rsidR="00913665" w:rsidRPr="00913665">
        <w:rPr>
          <w:noProof/>
        </w:rPr>
        <w:t xml:space="preserve"> i</w:t>
      </w:r>
      <w:r w:rsidR="00913665">
        <w:rPr>
          <w:noProof/>
        </w:rPr>
        <w:t> </w:t>
      </w:r>
      <w:r w:rsidR="00913665" w:rsidRPr="00913665">
        <w:rPr>
          <w:noProof/>
        </w:rPr>
        <w:t>łat</w:t>
      </w:r>
      <w:r w:rsidRPr="00913665">
        <w:rPr>
          <w:noProof/>
        </w:rPr>
        <w:t>wy dostęp do swoich danych</w:t>
      </w:r>
      <w:r w:rsidR="00913665" w:rsidRPr="00913665">
        <w:rPr>
          <w:noProof/>
        </w:rPr>
        <w:t xml:space="preserve"> w</w:t>
      </w:r>
      <w:r w:rsidR="00913665">
        <w:rPr>
          <w:noProof/>
        </w:rPr>
        <w:t> </w:t>
      </w:r>
      <w:r w:rsidR="00913665" w:rsidRPr="00913665">
        <w:rPr>
          <w:noProof/>
        </w:rPr>
        <w:t>for</w:t>
      </w:r>
      <w:r w:rsidRPr="00913665">
        <w:rPr>
          <w:noProof/>
        </w:rPr>
        <w:t>mie elektronicznej</w:t>
      </w:r>
      <w:r w:rsidR="00913665" w:rsidRPr="00913665">
        <w:rPr>
          <w:noProof/>
        </w:rPr>
        <w:t xml:space="preserve"> i</w:t>
      </w:r>
      <w:r w:rsidR="00913665">
        <w:rPr>
          <w:noProof/>
        </w:rPr>
        <w:t> </w:t>
      </w:r>
      <w:r w:rsidR="00913665" w:rsidRPr="00913665">
        <w:rPr>
          <w:noProof/>
        </w:rPr>
        <w:t>będ</w:t>
      </w:r>
      <w:r w:rsidRPr="00913665">
        <w:rPr>
          <w:noProof/>
        </w:rPr>
        <w:t>ą mogli udostępniać te dane pracownikom opieki zdrowotnej we wszystkich państwach członkowskich. Dokumenty dotyczące opieki zdrowotnej, takie jak karty pacjentów, wyniki badań laboratoryjnych, e-recepty, badania obrazowe</w:t>
      </w:r>
      <w:r w:rsidR="00913665" w:rsidRPr="00913665">
        <w:rPr>
          <w:noProof/>
        </w:rPr>
        <w:t xml:space="preserve"> i</w:t>
      </w:r>
      <w:r w:rsidR="00913665">
        <w:rPr>
          <w:noProof/>
        </w:rPr>
        <w:t> </w:t>
      </w:r>
      <w:r w:rsidR="00913665" w:rsidRPr="00913665">
        <w:rPr>
          <w:noProof/>
        </w:rPr>
        <w:t>ich</w:t>
      </w:r>
      <w:r w:rsidRPr="00913665">
        <w:rPr>
          <w:noProof/>
        </w:rPr>
        <w:t xml:space="preserve"> opisy oraz karty informacyjne</w:t>
      </w:r>
      <w:r w:rsidR="00913665" w:rsidRPr="00913665">
        <w:rPr>
          <w:noProof/>
        </w:rPr>
        <w:t xml:space="preserve"> z</w:t>
      </w:r>
      <w:r w:rsidR="00913665">
        <w:rPr>
          <w:noProof/>
        </w:rPr>
        <w:t> </w:t>
      </w:r>
      <w:r w:rsidR="00913665" w:rsidRPr="00913665">
        <w:rPr>
          <w:noProof/>
        </w:rPr>
        <w:t>lec</w:t>
      </w:r>
      <w:r w:rsidRPr="00913665">
        <w:rPr>
          <w:noProof/>
        </w:rPr>
        <w:t>zenia szpitalnego będzie można przekazywać</w:t>
      </w:r>
      <w:r w:rsidR="00913665" w:rsidRPr="00913665">
        <w:rPr>
          <w:noProof/>
        </w:rPr>
        <w:t xml:space="preserve"> w</w:t>
      </w:r>
      <w:r w:rsidR="00913665">
        <w:rPr>
          <w:noProof/>
        </w:rPr>
        <w:t> </w:t>
      </w:r>
      <w:r w:rsidR="00913665" w:rsidRPr="00913665">
        <w:rPr>
          <w:noProof/>
        </w:rPr>
        <w:t>uje</w:t>
      </w:r>
      <w:r w:rsidRPr="00913665">
        <w:rPr>
          <w:noProof/>
        </w:rPr>
        <w:t>dnoliconym formacie europejskim. Usprawni to opiekę zdrowotną, którą pacjenci otrzymują, niezależnie od miejsca ich pobytu w UE. Ograniczy to również niepotrzebne</w:t>
      </w:r>
      <w:r w:rsidR="00913665" w:rsidRPr="00913665">
        <w:rPr>
          <w:noProof/>
        </w:rPr>
        <w:t xml:space="preserve"> i</w:t>
      </w:r>
      <w:r w:rsidR="00913665">
        <w:rPr>
          <w:noProof/>
        </w:rPr>
        <w:t> </w:t>
      </w:r>
      <w:r w:rsidR="00913665" w:rsidRPr="00913665">
        <w:rPr>
          <w:noProof/>
        </w:rPr>
        <w:t>kos</w:t>
      </w:r>
      <w:r w:rsidRPr="00913665">
        <w:rPr>
          <w:noProof/>
        </w:rPr>
        <w:t>ztowne powtarzanie niekiedy inwazyjnych zabiegów</w:t>
      </w:r>
      <w:r w:rsidR="00913665" w:rsidRPr="00913665">
        <w:rPr>
          <w:noProof/>
        </w:rPr>
        <w:t xml:space="preserve"> i</w:t>
      </w:r>
      <w:r w:rsidR="00913665">
        <w:rPr>
          <w:noProof/>
        </w:rPr>
        <w:t> </w:t>
      </w:r>
      <w:r w:rsidR="00913665" w:rsidRPr="00913665">
        <w:rPr>
          <w:noProof/>
        </w:rPr>
        <w:t>bad</w:t>
      </w:r>
      <w:r w:rsidRPr="00913665">
        <w:rPr>
          <w:noProof/>
        </w:rPr>
        <w:t>ań medycznych.</w:t>
      </w:r>
    </w:p>
    <w:p w14:paraId="00C54953" w14:textId="0EC50C4B" w:rsidR="00C8464D" w:rsidRPr="00913665" w:rsidRDefault="00C8464D" w:rsidP="00597730">
      <w:pPr>
        <w:pStyle w:val="BodyText"/>
        <w:kinsoku w:val="0"/>
        <w:overflowPunct w:val="0"/>
        <w:spacing w:before="240" w:line="276" w:lineRule="auto"/>
        <w:jc w:val="both"/>
        <w:rPr>
          <w:noProof/>
        </w:rPr>
      </w:pPr>
      <w:r w:rsidRPr="00913665">
        <w:rPr>
          <w:noProof/>
        </w:rPr>
        <w:t>Europejska przestrzeń danych dotyczących zdrowia umożliwi też wykorzystywanie danych dotyczących zdrowia do celów badań naukowych, innowacji, kształtowania polityki</w:t>
      </w:r>
      <w:r w:rsidR="00913665" w:rsidRPr="00913665">
        <w:rPr>
          <w:noProof/>
        </w:rPr>
        <w:t xml:space="preserve"> i</w:t>
      </w:r>
      <w:r w:rsidR="00913665">
        <w:rPr>
          <w:noProof/>
        </w:rPr>
        <w:t> </w:t>
      </w:r>
      <w:r w:rsidR="00913665" w:rsidRPr="00913665">
        <w:rPr>
          <w:noProof/>
        </w:rPr>
        <w:t>dzi</w:t>
      </w:r>
      <w:r w:rsidRPr="00913665">
        <w:rPr>
          <w:noProof/>
        </w:rPr>
        <w:t>ałań regulacyjnych, przy zachowaniu bardzo rygorystycznych zasad ochrony tych danych osobowych. Przyczyni się to do postępu</w:t>
      </w:r>
      <w:r w:rsidR="00913665" w:rsidRPr="00913665">
        <w:rPr>
          <w:noProof/>
        </w:rPr>
        <w:t xml:space="preserve"> w</w:t>
      </w:r>
      <w:r w:rsidR="00913665">
        <w:rPr>
          <w:noProof/>
        </w:rPr>
        <w:t> </w:t>
      </w:r>
      <w:r w:rsidR="00913665" w:rsidRPr="00913665">
        <w:rPr>
          <w:noProof/>
        </w:rPr>
        <w:t>bad</w:t>
      </w:r>
      <w:r w:rsidRPr="00913665">
        <w:rPr>
          <w:noProof/>
        </w:rPr>
        <w:t>aniach</w:t>
      </w:r>
      <w:r w:rsidR="00913665" w:rsidRPr="00913665">
        <w:rPr>
          <w:noProof/>
        </w:rPr>
        <w:t xml:space="preserve"> i</w:t>
      </w:r>
      <w:r w:rsidR="00913665">
        <w:rPr>
          <w:noProof/>
        </w:rPr>
        <w:t> </w:t>
      </w:r>
      <w:r w:rsidR="00913665" w:rsidRPr="00913665">
        <w:rPr>
          <w:noProof/>
        </w:rPr>
        <w:t>roz</w:t>
      </w:r>
      <w:r w:rsidRPr="00913665">
        <w:rPr>
          <w:noProof/>
        </w:rPr>
        <w:t>woju innowacji, wesprze rozwój ważnych nowych metod leczenia, ułatwi rozpoznawanie działań niepożądanych leków</w:t>
      </w:r>
      <w:r w:rsidR="00913665" w:rsidRPr="00913665">
        <w:rPr>
          <w:noProof/>
        </w:rPr>
        <w:t xml:space="preserve"> i</w:t>
      </w:r>
      <w:r w:rsidR="00913665">
        <w:rPr>
          <w:noProof/>
        </w:rPr>
        <w:t> </w:t>
      </w:r>
      <w:r w:rsidR="00913665" w:rsidRPr="00913665">
        <w:rPr>
          <w:noProof/>
        </w:rPr>
        <w:t>pom</w:t>
      </w:r>
      <w:r w:rsidRPr="00913665">
        <w:rPr>
          <w:noProof/>
        </w:rPr>
        <w:t>oże wzmocnić systemy opieki zdrowotnej.</w:t>
      </w:r>
      <w:r w:rsidR="00090E26" w:rsidRPr="00913665">
        <w:rPr>
          <w:noProof/>
        </w:rPr>
        <w:t xml:space="preserve"> </w:t>
      </w:r>
      <w:r w:rsidR="00405124">
        <w:rPr>
          <w:noProof/>
        </w:rPr>
        <w:pict w14:anchorId="46A50BDC">
          <v:shape id="_x0000_i1030" type="#_x0000_t75" style="width:451.5pt;height:207pt;visibility:visible;mso-wrap-style:square">
            <v:imagedata r:id="rId19" o:title=""/>
          </v:shape>
        </w:pict>
      </w:r>
    </w:p>
    <w:p w14:paraId="74AA57A2" w14:textId="226E49A2" w:rsidR="00A7223B" w:rsidRPr="00913665" w:rsidRDefault="00A7223B" w:rsidP="00597730">
      <w:pPr>
        <w:pStyle w:val="BodyText"/>
        <w:kinsoku w:val="0"/>
        <w:overflowPunct w:val="0"/>
        <w:spacing w:before="240" w:line="276" w:lineRule="auto"/>
        <w:jc w:val="both"/>
        <w:rPr>
          <w:noProof/>
        </w:rPr>
      </w:pPr>
      <w:r w:rsidRPr="00913665">
        <w:rPr>
          <w:noProof/>
        </w:rPr>
        <w:t>UE inwestuje</w:t>
      </w:r>
      <w:r w:rsidR="00913665" w:rsidRPr="00913665">
        <w:rPr>
          <w:noProof/>
        </w:rPr>
        <w:t xml:space="preserve"> w</w:t>
      </w:r>
      <w:r w:rsidR="00913665">
        <w:rPr>
          <w:noProof/>
        </w:rPr>
        <w:t> </w:t>
      </w:r>
      <w:r w:rsidR="00913665" w:rsidRPr="00913665">
        <w:rPr>
          <w:noProof/>
        </w:rPr>
        <w:t>now</w:t>
      </w:r>
      <w:r w:rsidRPr="00913665">
        <w:rPr>
          <w:noProof/>
        </w:rPr>
        <w:t>atorskie technologie,</w:t>
      </w:r>
      <w:r w:rsidR="00913665" w:rsidRPr="00913665">
        <w:rPr>
          <w:noProof/>
        </w:rPr>
        <w:t xml:space="preserve"> w</w:t>
      </w:r>
      <w:r w:rsidR="00913665">
        <w:rPr>
          <w:noProof/>
        </w:rPr>
        <w:t> </w:t>
      </w:r>
      <w:r w:rsidR="00913665" w:rsidRPr="00913665">
        <w:rPr>
          <w:noProof/>
        </w:rPr>
        <w:t>tym</w:t>
      </w:r>
      <w:r w:rsidRPr="00913665">
        <w:rPr>
          <w:noProof/>
        </w:rPr>
        <w:t xml:space="preserve"> sztuczną inteligencję łączącą różne rodzaje</w:t>
      </w:r>
      <w:r w:rsidR="00913665" w:rsidRPr="00913665">
        <w:rPr>
          <w:noProof/>
        </w:rPr>
        <w:t xml:space="preserve"> i</w:t>
      </w:r>
      <w:r w:rsidR="00913665">
        <w:rPr>
          <w:noProof/>
        </w:rPr>
        <w:t> </w:t>
      </w:r>
      <w:r w:rsidR="00913665" w:rsidRPr="00913665">
        <w:rPr>
          <w:noProof/>
        </w:rPr>
        <w:t>źró</w:t>
      </w:r>
      <w:r w:rsidRPr="00913665">
        <w:rPr>
          <w:noProof/>
        </w:rPr>
        <w:t>dła danych dotyczących zdrowia. Wykorzystywany</w:t>
      </w:r>
      <w:r w:rsidR="00913665" w:rsidRPr="00913665">
        <w:rPr>
          <w:noProof/>
        </w:rPr>
        <w:t xml:space="preserve"> w</w:t>
      </w:r>
      <w:r w:rsidR="00913665">
        <w:rPr>
          <w:noProof/>
        </w:rPr>
        <w:t> </w:t>
      </w:r>
      <w:r w:rsidR="00913665" w:rsidRPr="00913665">
        <w:rPr>
          <w:noProof/>
        </w:rPr>
        <w:t>tym</w:t>
      </w:r>
      <w:r w:rsidRPr="00913665">
        <w:rPr>
          <w:noProof/>
        </w:rPr>
        <w:t xml:space="preserve"> celu potencjał danych pozyskiwanych za pośrednictwem europejskiej przestrzeni danych dotyczących zdrowia</w:t>
      </w:r>
      <w:r w:rsidR="00913665" w:rsidRPr="00913665">
        <w:rPr>
          <w:noProof/>
        </w:rPr>
        <w:t xml:space="preserve"> i</w:t>
      </w:r>
      <w:r w:rsidR="00913665">
        <w:rPr>
          <w:noProof/>
        </w:rPr>
        <w:t> </w:t>
      </w:r>
      <w:r w:rsidR="00913665" w:rsidRPr="00913665">
        <w:rPr>
          <w:noProof/>
        </w:rPr>
        <w:t>wys</w:t>
      </w:r>
      <w:r w:rsidRPr="00913665">
        <w:rPr>
          <w:noProof/>
        </w:rPr>
        <w:t>pecjalizowanych infrastruktur danych (takich jak</w:t>
      </w:r>
      <w:r w:rsidR="00913665" w:rsidRPr="00913665">
        <w:rPr>
          <w:noProof/>
        </w:rPr>
        <w:t> </w:t>
      </w:r>
      <w:r w:rsidRPr="00913665">
        <w:rPr>
          <w:noProof/>
        </w:rPr>
        <w:t>1+Million Genomes, Cancer Image Europe lub EOSC-Life)</w:t>
      </w:r>
      <w:r w:rsidR="00913665" w:rsidRPr="00913665">
        <w:rPr>
          <w:noProof/>
        </w:rPr>
        <w:t xml:space="preserve"> w</w:t>
      </w:r>
      <w:r w:rsidR="00913665">
        <w:rPr>
          <w:noProof/>
        </w:rPr>
        <w:t> </w:t>
      </w:r>
      <w:r w:rsidR="00913665" w:rsidRPr="00913665">
        <w:rPr>
          <w:noProof/>
        </w:rPr>
        <w:t>poł</w:t>
      </w:r>
      <w:r w:rsidRPr="00913665">
        <w:rPr>
          <w:noProof/>
        </w:rPr>
        <w:t>ączeniu</w:t>
      </w:r>
      <w:r w:rsidR="00913665" w:rsidRPr="00913665">
        <w:rPr>
          <w:noProof/>
        </w:rPr>
        <w:t xml:space="preserve"> z</w:t>
      </w:r>
      <w:r w:rsidR="00913665">
        <w:rPr>
          <w:noProof/>
        </w:rPr>
        <w:t> </w:t>
      </w:r>
      <w:r w:rsidR="00913665" w:rsidRPr="00913665">
        <w:rPr>
          <w:noProof/>
        </w:rPr>
        <w:t>obl</w:t>
      </w:r>
      <w:r w:rsidRPr="00913665">
        <w:rPr>
          <w:noProof/>
        </w:rPr>
        <w:t>iczeniami wielkiej skali usprawni wczesne wykrywanie, prognozowanie</w:t>
      </w:r>
      <w:r w:rsidR="00913665" w:rsidRPr="00913665">
        <w:rPr>
          <w:noProof/>
        </w:rPr>
        <w:t xml:space="preserve"> i</w:t>
      </w:r>
      <w:r w:rsidR="00913665">
        <w:rPr>
          <w:noProof/>
        </w:rPr>
        <w:t> </w:t>
      </w:r>
      <w:r w:rsidR="00913665" w:rsidRPr="00913665">
        <w:rPr>
          <w:noProof/>
        </w:rPr>
        <w:t>pro</w:t>
      </w:r>
      <w:r w:rsidRPr="00913665">
        <w:rPr>
          <w:noProof/>
        </w:rPr>
        <w:t>filaktykę, co przyniesie dalszą poprawę diagnostyki</w:t>
      </w:r>
      <w:r w:rsidR="00913665" w:rsidRPr="00913665">
        <w:rPr>
          <w:noProof/>
        </w:rPr>
        <w:t xml:space="preserve"> i</w:t>
      </w:r>
      <w:r w:rsidR="00913665">
        <w:rPr>
          <w:noProof/>
        </w:rPr>
        <w:t> </w:t>
      </w:r>
      <w:r w:rsidR="00913665" w:rsidRPr="00913665">
        <w:rPr>
          <w:noProof/>
        </w:rPr>
        <w:t>lec</w:t>
      </w:r>
      <w:r w:rsidRPr="00913665">
        <w:rPr>
          <w:noProof/>
        </w:rPr>
        <w:t xml:space="preserve">zenia. </w:t>
      </w:r>
    </w:p>
    <w:p w14:paraId="7BF2F99C" w14:textId="77777777" w:rsidR="00C8464D" w:rsidRPr="00913665" w:rsidRDefault="00C8464D" w:rsidP="00597730">
      <w:pPr>
        <w:pStyle w:val="Heading1"/>
        <w:numPr>
          <w:ilvl w:val="0"/>
          <w:numId w:val="6"/>
        </w:numPr>
        <w:tabs>
          <w:tab w:val="left" w:pos="1289"/>
        </w:tabs>
        <w:kinsoku w:val="0"/>
        <w:overflowPunct w:val="0"/>
        <w:spacing w:before="240" w:line="276" w:lineRule="auto"/>
        <w:ind w:left="0" w:firstLine="0"/>
        <w:jc w:val="both"/>
        <w:rPr>
          <w:noProof/>
          <w:color w:val="2E5395"/>
          <w:spacing w:val="-2"/>
        </w:rPr>
      </w:pPr>
      <w:bookmarkStart w:id="18" w:name="5._Global_Health"/>
      <w:bookmarkEnd w:id="18"/>
      <w:r w:rsidRPr="00913665">
        <w:rPr>
          <w:noProof/>
          <w:color w:val="2E5395"/>
        </w:rPr>
        <w:t>Zdrowie na świecie</w:t>
      </w:r>
    </w:p>
    <w:p w14:paraId="335ECED5" w14:textId="0879CC9E" w:rsidR="00C8464D" w:rsidRPr="00913665" w:rsidRDefault="00C8464D" w:rsidP="00597730">
      <w:pPr>
        <w:pStyle w:val="BodyText"/>
        <w:kinsoku w:val="0"/>
        <w:overflowPunct w:val="0"/>
        <w:spacing w:before="240" w:line="276" w:lineRule="auto"/>
        <w:jc w:val="both"/>
        <w:rPr>
          <w:noProof/>
        </w:rPr>
      </w:pPr>
      <w:r w:rsidRPr="00913665">
        <w:rPr>
          <w:noProof/>
        </w:rPr>
        <w:t>Pandemia COVID-19 dowiodła, że we wzajemnie powiązanym świecie zdrowie należy do obszaru globalnej polityki i ma wyraźny wymiar geopolityczny. Pandemia uwypukliła pilną potrzebę bardziej skoordynowanego podejścia UE do zdrowia na świecie oraz ściślejszej globalnej współpracy</w:t>
      </w:r>
      <w:r w:rsidR="00913665" w:rsidRPr="00913665">
        <w:rPr>
          <w:noProof/>
        </w:rPr>
        <w:t xml:space="preserve"> w</w:t>
      </w:r>
      <w:r w:rsidR="00913665">
        <w:rPr>
          <w:noProof/>
        </w:rPr>
        <w:t> </w:t>
      </w:r>
      <w:r w:rsidR="00913665" w:rsidRPr="00913665">
        <w:rPr>
          <w:noProof/>
        </w:rPr>
        <w:t>obl</w:t>
      </w:r>
      <w:r w:rsidRPr="00913665">
        <w:rPr>
          <w:noProof/>
        </w:rPr>
        <w:t>iczu wzajemnie powiązanych zagrożeń dla zdrowia, takich jak pandemie, potrójny kryzys planety (zmiana klimatu, zanieczyszczenie środowiska</w:t>
      </w:r>
      <w:r w:rsidR="00913665" w:rsidRPr="00913665">
        <w:rPr>
          <w:noProof/>
        </w:rPr>
        <w:t xml:space="preserve"> i</w:t>
      </w:r>
      <w:r w:rsidR="00913665">
        <w:rPr>
          <w:noProof/>
        </w:rPr>
        <w:t> </w:t>
      </w:r>
      <w:r w:rsidR="00913665" w:rsidRPr="00913665">
        <w:rPr>
          <w:noProof/>
        </w:rPr>
        <w:t>utr</w:t>
      </w:r>
      <w:r w:rsidRPr="00913665">
        <w:rPr>
          <w:noProof/>
        </w:rPr>
        <w:t>ata różnorodności biologicznej) oraz oporność na środki przeciwdrobnoustrojowe. Zagrożenia te prawdopodobnie będą się nasilać, a UE –</w:t>
      </w:r>
      <w:r w:rsidR="00913665" w:rsidRPr="00913665">
        <w:rPr>
          <w:noProof/>
        </w:rPr>
        <w:t xml:space="preserve"> i</w:t>
      </w:r>
      <w:r w:rsidR="00913665">
        <w:rPr>
          <w:noProof/>
        </w:rPr>
        <w:t> </w:t>
      </w:r>
      <w:r w:rsidR="00913665" w:rsidRPr="00913665">
        <w:rPr>
          <w:noProof/>
        </w:rPr>
        <w:t>świ</w:t>
      </w:r>
      <w:r w:rsidRPr="00913665">
        <w:rPr>
          <w:noProof/>
        </w:rPr>
        <w:t>at – muszą być gotowe na to, by na nie reagować.</w:t>
      </w:r>
    </w:p>
    <w:p w14:paraId="57319047" w14:textId="25A7574D" w:rsidR="00C8464D" w:rsidRPr="00913665" w:rsidRDefault="00C8464D" w:rsidP="00597730">
      <w:pPr>
        <w:pStyle w:val="BodyText"/>
        <w:kinsoku w:val="0"/>
        <w:overflowPunct w:val="0"/>
        <w:spacing w:before="240" w:line="276" w:lineRule="auto"/>
        <w:jc w:val="both"/>
        <w:rPr>
          <w:noProof/>
        </w:rPr>
      </w:pPr>
      <w:bookmarkStart w:id="19" w:name="_Hlk165984163"/>
      <w:r w:rsidRPr="00913665">
        <w:rPr>
          <w:noProof/>
        </w:rPr>
        <w:t>UE odegrała kluczową rolę</w:t>
      </w:r>
      <w:r w:rsidR="00913665" w:rsidRPr="00913665">
        <w:rPr>
          <w:noProof/>
        </w:rPr>
        <w:t xml:space="preserve"> w</w:t>
      </w:r>
      <w:r w:rsidR="00913665">
        <w:rPr>
          <w:noProof/>
        </w:rPr>
        <w:t> </w:t>
      </w:r>
      <w:r w:rsidR="00913665" w:rsidRPr="00913665">
        <w:rPr>
          <w:noProof/>
        </w:rPr>
        <w:t>szy</w:t>
      </w:r>
      <w:r w:rsidRPr="00913665">
        <w:rPr>
          <w:noProof/>
        </w:rPr>
        <w:t>bkim opracowywaniu, zwiększaniu skali</w:t>
      </w:r>
      <w:r w:rsidR="00913665" w:rsidRPr="00913665">
        <w:rPr>
          <w:noProof/>
        </w:rPr>
        <w:t xml:space="preserve"> i</w:t>
      </w:r>
      <w:r w:rsidR="00913665">
        <w:rPr>
          <w:noProof/>
        </w:rPr>
        <w:t> </w:t>
      </w:r>
      <w:r w:rsidR="00913665" w:rsidRPr="00913665">
        <w:rPr>
          <w:noProof/>
        </w:rPr>
        <w:t>spr</w:t>
      </w:r>
      <w:r w:rsidRPr="00913665">
        <w:rPr>
          <w:noProof/>
        </w:rPr>
        <w:t>awiedliwej dystrybucji szczepionek przeciwko COVID-19,</w:t>
      </w:r>
      <w:r w:rsidR="00913665" w:rsidRPr="00913665">
        <w:rPr>
          <w:noProof/>
        </w:rPr>
        <w:t xml:space="preserve"> a</w:t>
      </w:r>
      <w:r w:rsidR="00913665">
        <w:rPr>
          <w:noProof/>
        </w:rPr>
        <w:t> </w:t>
      </w:r>
      <w:r w:rsidR="00913665" w:rsidRPr="00913665">
        <w:rPr>
          <w:noProof/>
        </w:rPr>
        <w:t>tak</w:t>
      </w:r>
      <w:r w:rsidRPr="00913665">
        <w:rPr>
          <w:noProof/>
        </w:rPr>
        <w:t>że środków do leczenia</w:t>
      </w:r>
      <w:r w:rsidR="00913665" w:rsidRPr="00913665">
        <w:rPr>
          <w:noProof/>
        </w:rPr>
        <w:t xml:space="preserve"> i</w:t>
      </w:r>
      <w:r w:rsidR="00913665">
        <w:rPr>
          <w:noProof/>
        </w:rPr>
        <w:t> </w:t>
      </w:r>
      <w:r w:rsidR="00913665" w:rsidRPr="00913665">
        <w:rPr>
          <w:noProof/>
        </w:rPr>
        <w:t>dia</w:t>
      </w:r>
      <w:r w:rsidRPr="00913665">
        <w:rPr>
          <w:noProof/>
        </w:rPr>
        <w:t>gnostyki COVID-19. Około dwóch trzecich dawek szczepionki wyprodukowanych w UE –</w:t>
      </w:r>
    </w:p>
    <w:p w14:paraId="2378D7E6" w14:textId="5039123C" w:rsidR="00C8464D" w:rsidRPr="00913665" w:rsidRDefault="00C8464D" w:rsidP="00597730">
      <w:pPr>
        <w:pStyle w:val="BodyText"/>
        <w:kinsoku w:val="0"/>
        <w:overflowPunct w:val="0"/>
        <w:spacing w:before="240" w:line="276" w:lineRule="auto"/>
        <w:jc w:val="both"/>
        <w:rPr>
          <w:noProof/>
        </w:rPr>
      </w:pPr>
      <w:r w:rsidRPr="00913665">
        <w:rPr>
          <w:noProof/>
        </w:rPr>
        <w:t>3,1 mld dawek – wyeksportowano poza UE, ratując życie milionów ludzi. UE była członkiem-założycielem</w:t>
      </w:r>
      <w:r w:rsidR="00913665" w:rsidRPr="00913665">
        <w:rPr>
          <w:noProof/>
        </w:rPr>
        <w:t xml:space="preserve"> i</w:t>
      </w:r>
      <w:r w:rsidR="00913665">
        <w:rPr>
          <w:noProof/>
        </w:rPr>
        <w:t> </w:t>
      </w:r>
      <w:r w:rsidR="00913665" w:rsidRPr="00913665">
        <w:rPr>
          <w:noProof/>
        </w:rPr>
        <w:t>zde</w:t>
      </w:r>
      <w:r w:rsidRPr="00913665">
        <w:rPr>
          <w:noProof/>
        </w:rPr>
        <w:t>cydowanym zwolennikiem akceleratora dostępu do narzędzi walki z COVID-19 (ACT-A) oraz największym darczyńcą COVAX – wielostronnej inicjatywy na rzecz sprawiedliwego dostępu do szczepionki przeciwko COVID-19 na świecie. UE jest zdecydowana nadal podążać tą drogą</w:t>
      </w:r>
      <w:r w:rsidR="00913665" w:rsidRPr="00913665">
        <w:rPr>
          <w:noProof/>
        </w:rPr>
        <w:t xml:space="preserve"> i</w:t>
      </w:r>
      <w:r w:rsidR="00913665">
        <w:rPr>
          <w:noProof/>
        </w:rPr>
        <w:t> </w:t>
      </w:r>
      <w:r w:rsidR="00913665" w:rsidRPr="00913665">
        <w:rPr>
          <w:noProof/>
        </w:rPr>
        <w:t>ang</w:t>
      </w:r>
      <w:r w:rsidRPr="00913665">
        <w:rPr>
          <w:noProof/>
        </w:rPr>
        <w:t>ażuje się</w:t>
      </w:r>
      <w:r w:rsidR="00913665" w:rsidRPr="00913665">
        <w:rPr>
          <w:noProof/>
        </w:rPr>
        <w:t xml:space="preserve"> w</w:t>
      </w:r>
      <w:r w:rsidR="00913665">
        <w:rPr>
          <w:noProof/>
        </w:rPr>
        <w:t> </w:t>
      </w:r>
      <w:r w:rsidR="00913665" w:rsidRPr="00913665">
        <w:rPr>
          <w:noProof/>
        </w:rPr>
        <w:t>zap</w:t>
      </w:r>
      <w:r w:rsidRPr="00913665">
        <w:rPr>
          <w:noProof/>
        </w:rPr>
        <w:t>obieganie zagrożeniom dla zdrowia</w:t>
      </w:r>
      <w:r w:rsidR="00913665" w:rsidRPr="00913665">
        <w:rPr>
          <w:noProof/>
        </w:rPr>
        <w:t xml:space="preserve"> i</w:t>
      </w:r>
      <w:r w:rsidR="00913665">
        <w:rPr>
          <w:noProof/>
        </w:rPr>
        <w:t> </w:t>
      </w:r>
      <w:r w:rsidR="00913665" w:rsidRPr="00913665">
        <w:rPr>
          <w:noProof/>
        </w:rPr>
        <w:t>ich</w:t>
      </w:r>
      <w:r w:rsidRPr="00913665">
        <w:rPr>
          <w:noProof/>
        </w:rPr>
        <w:t xml:space="preserve"> zwalczanie na całym świecie, stosując podejście „Jedno zdrowie”.</w:t>
      </w:r>
    </w:p>
    <w:bookmarkEnd w:id="19"/>
    <w:p w14:paraId="0768150A" w14:textId="6E7FDBAB" w:rsidR="00A136E4" w:rsidRPr="00913665" w:rsidRDefault="00A136E4" w:rsidP="00597730">
      <w:pPr>
        <w:pStyle w:val="BodyText"/>
        <w:kinsoku w:val="0"/>
        <w:overflowPunct w:val="0"/>
        <w:spacing w:before="240" w:line="276" w:lineRule="auto"/>
        <w:jc w:val="both"/>
        <w:rPr>
          <w:noProof/>
        </w:rPr>
      </w:pPr>
      <w:r w:rsidRPr="00913665">
        <w:rPr>
          <w:noProof/>
        </w:rPr>
        <w:t>UE dąży również do zmniejszenia podatności na zagrożenia</w:t>
      </w:r>
      <w:r w:rsidR="00913665" w:rsidRPr="00913665">
        <w:rPr>
          <w:noProof/>
        </w:rPr>
        <w:t xml:space="preserve"> w</w:t>
      </w:r>
      <w:r w:rsidR="00913665">
        <w:rPr>
          <w:noProof/>
        </w:rPr>
        <w:t> </w:t>
      </w:r>
      <w:r w:rsidR="00913665" w:rsidRPr="00913665">
        <w:rPr>
          <w:noProof/>
        </w:rPr>
        <w:t>łań</w:t>
      </w:r>
      <w:r w:rsidRPr="00913665">
        <w:rPr>
          <w:noProof/>
        </w:rPr>
        <w:t>cuchu dostaw wynikających</w:t>
      </w:r>
      <w:r w:rsidR="00913665" w:rsidRPr="00913665">
        <w:rPr>
          <w:noProof/>
        </w:rPr>
        <w:t xml:space="preserve"> z</w:t>
      </w:r>
      <w:r w:rsidR="00913665">
        <w:rPr>
          <w:noProof/>
        </w:rPr>
        <w:t> </w:t>
      </w:r>
      <w:r w:rsidR="00913665" w:rsidRPr="00913665">
        <w:rPr>
          <w:noProof/>
        </w:rPr>
        <w:t>zal</w:t>
      </w:r>
      <w:r w:rsidRPr="00913665">
        <w:rPr>
          <w:noProof/>
        </w:rPr>
        <w:t>eżności poprzez promowanie dywersyfikacji. Biorąc pod uwagę złożoność produktów farmaceutycznych, przemysł UE musi mieć dostęp do szerokiego zakresu podstawowych materiałów. Polityka handlowa</w:t>
      </w:r>
      <w:r w:rsidR="00913665" w:rsidRPr="00913665">
        <w:rPr>
          <w:noProof/>
        </w:rPr>
        <w:t xml:space="preserve"> i</w:t>
      </w:r>
      <w:r w:rsidR="00913665">
        <w:rPr>
          <w:noProof/>
        </w:rPr>
        <w:t> </w:t>
      </w:r>
      <w:r w:rsidR="00913665" w:rsidRPr="00913665">
        <w:rPr>
          <w:noProof/>
        </w:rPr>
        <w:t>par</w:t>
      </w:r>
      <w:r w:rsidRPr="00913665">
        <w:rPr>
          <w:noProof/>
        </w:rPr>
        <w:t>tnerstwa handlowe mają na celu otwarcie nowych rynków</w:t>
      </w:r>
      <w:r w:rsidR="00913665" w:rsidRPr="00913665">
        <w:rPr>
          <w:noProof/>
        </w:rPr>
        <w:t xml:space="preserve"> i</w:t>
      </w:r>
      <w:r w:rsidR="00913665">
        <w:rPr>
          <w:noProof/>
        </w:rPr>
        <w:t> </w:t>
      </w:r>
      <w:r w:rsidR="00913665" w:rsidRPr="00913665">
        <w:rPr>
          <w:noProof/>
        </w:rPr>
        <w:t>dyw</w:t>
      </w:r>
      <w:r w:rsidRPr="00913665">
        <w:rPr>
          <w:noProof/>
        </w:rPr>
        <w:t>ersyfikację źródeł dostaw oraz uzupełnienie wzmocnionych wysiłków na rzecz zmniejszenia nadmiernych zależności krytycznych łańcuchów dostaw poprzez dokładne wdrożenie preferencyjnych umów handlowych,</w:t>
      </w:r>
      <w:r w:rsidR="00913665" w:rsidRPr="00913665">
        <w:rPr>
          <w:noProof/>
        </w:rPr>
        <w:t xml:space="preserve"> a</w:t>
      </w:r>
      <w:r w:rsidR="00913665">
        <w:rPr>
          <w:noProof/>
        </w:rPr>
        <w:t> </w:t>
      </w:r>
      <w:r w:rsidR="00913665" w:rsidRPr="00913665">
        <w:rPr>
          <w:noProof/>
        </w:rPr>
        <w:t>tak</w:t>
      </w:r>
      <w:r w:rsidRPr="00913665">
        <w:rPr>
          <w:noProof/>
        </w:rPr>
        <w:t>że prace na forach międzynarodowych, takich jak G-20, G-7 i WTO.</w:t>
      </w:r>
    </w:p>
    <w:p w14:paraId="790B4616" w14:textId="717878A3" w:rsidR="00C8464D" w:rsidRPr="00913665" w:rsidRDefault="00C8464D" w:rsidP="00597730">
      <w:pPr>
        <w:pStyle w:val="BodyText"/>
        <w:kinsoku w:val="0"/>
        <w:overflowPunct w:val="0"/>
        <w:spacing w:before="240" w:line="276" w:lineRule="auto"/>
        <w:jc w:val="both"/>
        <w:rPr>
          <w:noProof/>
        </w:rPr>
      </w:pPr>
      <w:r w:rsidRPr="00913665">
        <w:rPr>
          <w:noProof/>
        </w:rPr>
        <w:t>Unijne cyfrowe zaświadczenie COVID wyznacza globalny standard podróży międzynarodowych</w:t>
      </w:r>
      <w:r w:rsidR="00913665" w:rsidRPr="00913665">
        <w:rPr>
          <w:noProof/>
        </w:rPr>
        <w:t xml:space="preserve"> i</w:t>
      </w:r>
      <w:r w:rsidR="00913665">
        <w:rPr>
          <w:noProof/>
        </w:rPr>
        <w:t> </w:t>
      </w:r>
      <w:r w:rsidR="00913665" w:rsidRPr="00913665">
        <w:rPr>
          <w:noProof/>
        </w:rPr>
        <w:t>jes</w:t>
      </w:r>
      <w:r w:rsidRPr="00913665">
        <w:rPr>
          <w:noProof/>
        </w:rPr>
        <w:t>t najpowszechniejszym systemem tego typu funkcjonującym na szczeblu międzynarodowym</w:t>
      </w:r>
      <w:r w:rsidR="00913665" w:rsidRPr="00913665">
        <w:rPr>
          <w:noProof/>
        </w:rPr>
        <w:t>. Z</w:t>
      </w:r>
      <w:r w:rsidR="00913665">
        <w:rPr>
          <w:noProof/>
        </w:rPr>
        <w:t> </w:t>
      </w:r>
      <w:r w:rsidR="00913665" w:rsidRPr="00913665">
        <w:rPr>
          <w:noProof/>
        </w:rPr>
        <w:t>sys</w:t>
      </w:r>
      <w:r w:rsidRPr="00913665">
        <w:rPr>
          <w:noProof/>
        </w:rPr>
        <w:t>temu tego skorzystało 51 państw</w:t>
      </w:r>
      <w:r w:rsidR="00913665" w:rsidRPr="00913665">
        <w:rPr>
          <w:noProof/>
        </w:rPr>
        <w:t xml:space="preserve"> i</w:t>
      </w:r>
      <w:r w:rsidR="00913665">
        <w:rPr>
          <w:noProof/>
        </w:rPr>
        <w:t> </w:t>
      </w:r>
      <w:r w:rsidR="00913665" w:rsidRPr="00913665">
        <w:rPr>
          <w:noProof/>
        </w:rPr>
        <w:t>ter</w:t>
      </w:r>
      <w:r w:rsidRPr="00913665">
        <w:rPr>
          <w:noProof/>
        </w:rPr>
        <w:t>ytoriów spoza UE na czterech kontynentach. Unia Europejska 1 lipca 2023</w:t>
      </w:r>
      <w:r w:rsidR="00913665" w:rsidRPr="00913665">
        <w:rPr>
          <w:noProof/>
        </w:rPr>
        <w:t> </w:t>
      </w:r>
      <w:r w:rsidRPr="00913665">
        <w:rPr>
          <w:noProof/>
        </w:rPr>
        <w:t>r. przekazała WHO system cyfrowych zaświadczeń COVID, aby opracować system globalnej weryfikacji dokumentów zdrowotnych, który ma zapewnić lepsze zdrowie</w:t>
      </w:r>
      <w:r w:rsidR="00913665" w:rsidRPr="00913665">
        <w:rPr>
          <w:noProof/>
        </w:rPr>
        <w:t xml:space="preserve"> i</w:t>
      </w:r>
      <w:r w:rsidR="00913665">
        <w:rPr>
          <w:noProof/>
        </w:rPr>
        <w:t> </w:t>
      </w:r>
      <w:r w:rsidR="00913665" w:rsidRPr="00913665">
        <w:rPr>
          <w:noProof/>
        </w:rPr>
        <w:t>chr</w:t>
      </w:r>
      <w:r w:rsidRPr="00913665">
        <w:rPr>
          <w:noProof/>
        </w:rPr>
        <w:t>onić obywateli na całym świecie przed zagrożeniami dla zdrowia.</w:t>
      </w:r>
    </w:p>
    <w:p w14:paraId="408CBBB1" w14:textId="21424402" w:rsidR="00C8464D" w:rsidRPr="00913665" w:rsidRDefault="00C8464D" w:rsidP="00597730">
      <w:pPr>
        <w:pStyle w:val="BodyText"/>
        <w:kinsoku w:val="0"/>
        <w:overflowPunct w:val="0"/>
        <w:spacing w:before="240" w:line="276" w:lineRule="auto"/>
        <w:jc w:val="both"/>
        <w:rPr>
          <w:noProof/>
        </w:rPr>
      </w:pPr>
      <w:r w:rsidRPr="00913665">
        <w:rPr>
          <w:noProof/>
        </w:rPr>
        <w:t>UE stale pracuje na szczeblu wielostronnym nad kształtowaniem nowego światowego porządku</w:t>
      </w:r>
      <w:r w:rsidR="00913665" w:rsidRPr="00913665">
        <w:rPr>
          <w:noProof/>
        </w:rPr>
        <w:t xml:space="preserve"> w</w:t>
      </w:r>
      <w:r w:rsidR="00913665">
        <w:rPr>
          <w:noProof/>
        </w:rPr>
        <w:t> </w:t>
      </w:r>
      <w:r w:rsidR="00913665" w:rsidRPr="00913665">
        <w:rPr>
          <w:noProof/>
        </w:rPr>
        <w:t>zak</w:t>
      </w:r>
      <w:r w:rsidRPr="00913665">
        <w:rPr>
          <w:noProof/>
        </w:rPr>
        <w:t>resie zdrowia</w:t>
      </w:r>
      <w:r w:rsidR="00913665" w:rsidRPr="00913665">
        <w:rPr>
          <w:noProof/>
        </w:rPr>
        <w:t xml:space="preserve"> w</w:t>
      </w:r>
      <w:r w:rsidR="00913665">
        <w:rPr>
          <w:noProof/>
        </w:rPr>
        <w:t> </w:t>
      </w:r>
      <w:r w:rsidR="00913665" w:rsidRPr="00913665">
        <w:rPr>
          <w:noProof/>
        </w:rPr>
        <w:t>dro</w:t>
      </w:r>
      <w:r w:rsidRPr="00913665">
        <w:rPr>
          <w:noProof/>
        </w:rPr>
        <w:t>dze bardziej strategicznego</w:t>
      </w:r>
      <w:r w:rsidR="00913665" w:rsidRPr="00913665">
        <w:rPr>
          <w:noProof/>
        </w:rPr>
        <w:t xml:space="preserve"> i</w:t>
      </w:r>
      <w:r w:rsidR="00913665">
        <w:rPr>
          <w:noProof/>
        </w:rPr>
        <w:t> </w:t>
      </w:r>
      <w:r w:rsidR="00913665" w:rsidRPr="00913665">
        <w:rPr>
          <w:noProof/>
        </w:rPr>
        <w:t>sku</w:t>
      </w:r>
      <w:r w:rsidRPr="00913665">
        <w:rPr>
          <w:noProof/>
        </w:rPr>
        <w:t>tecznego zaangażowania. Działania</w:t>
      </w:r>
      <w:r w:rsidR="00913665" w:rsidRPr="00913665">
        <w:rPr>
          <w:noProof/>
        </w:rPr>
        <w:t xml:space="preserve"> w</w:t>
      </w:r>
      <w:r w:rsidR="00913665">
        <w:rPr>
          <w:noProof/>
        </w:rPr>
        <w:t> </w:t>
      </w:r>
      <w:r w:rsidR="00913665" w:rsidRPr="00913665">
        <w:rPr>
          <w:noProof/>
        </w:rPr>
        <w:t>tym</w:t>
      </w:r>
      <w:r w:rsidRPr="00913665">
        <w:rPr>
          <w:noProof/>
        </w:rPr>
        <w:t xml:space="preserve"> zakresie obejmują budowanie solidnego globalnego zarządzania, priorytetowe traktowanie partnerstw międzynarodowych</w:t>
      </w:r>
      <w:r w:rsidR="00913665" w:rsidRPr="00913665">
        <w:rPr>
          <w:noProof/>
        </w:rPr>
        <w:t xml:space="preserve"> i</w:t>
      </w:r>
      <w:r w:rsidR="00913665">
        <w:rPr>
          <w:noProof/>
        </w:rPr>
        <w:t> </w:t>
      </w:r>
      <w:r w:rsidR="00913665" w:rsidRPr="00913665">
        <w:rPr>
          <w:noProof/>
        </w:rPr>
        <w:t>dia</w:t>
      </w:r>
      <w:r w:rsidRPr="00913665">
        <w:rPr>
          <w:noProof/>
        </w:rPr>
        <w:t>logu na szczeblu wielostronnym, regionalnym</w:t>
      </w:r>
      <w:r w:rsidR="00913665" w:rsidRPr="00913665">
        <w:rPr>
          <w:noProof/>
        </w:rPr>
        <w:t xml:space="preserve"> i</w:t>
      </w:r>
      <w:r w:rsidR="00913665">
        <w:rPr>
          <w:noProof/>
        </w:rPr>
        <w:t> </w:t>
      </w:r>
      <w:r w:rsidR="00913665" w:rsidRPr="00913665">
        <w:rPr>
          <w:noProof/>
        </w:rPr>
        <w:t>dwu</w:t>
      </w:r>
      <w:r w:rsidRPr="00913665">
        <w:rPr>
          <w:noProof/>
        </w:rPr>
        <w:t>stronnym, przeciwdziałanie dezinformacji</w:t>
      </w:r>
      <w:r w:rsidR="00913665" w:rsidRPr="00913665">
        <w:rPr>
          <w:noProof/>
        </w:rPr>
        <w:t xml:space="preserve"> i</w:t>
      </w:r>
      <w:r w:rsidR="00913665">
        <w:rPr>
          <w:noProof/>
        </w:rPr>
        <w:t> </w:t>
      </w:r>
      <w:r w:rsidR="00913665" w:rsidRPr="00913665">
        <w:rPr>
          <w:noProof/>
        </w:rPr>
        <w:t>zap</w:t>
      </w:r>
      <w:r w:rsidRPr="00913665">
        <w:rPr>
          <w:noProof/>
        </w:rPr>
        <w:t>ewnianie skuteczniejszego finansowania. UE zwiększa swoją aktywność na forach wielostronnych,</w:t>
      </w:r>
      <w:r w:rsidR="00913665" w:rsidRPr="00913665">
        <w:rPr>
          <w:noProof/>
        </w:rPr>
        <w:t xml:space="preserve"> w</w:t>
      </w:r>
      <w:r w:rsidR="00913665">
        <w:rPr>
          <w:noProof/>
        </w:rPr>
        <w:t> </w:t>
      </w:r>
      <w:r w:rsidR="00913665" w:rsidRPr="00913665">
        <w:rPr>
          <w:noProof/>
        </w:rPr>
        <w:t>tym w</w:t>
      </w:r>
      <w:r w:rsidR="00913665">
        <w:rPr>
          <w:noProof/>
        </w:rPr>
        <w:t> </w:t>
      </w:r>
      <w:r w:rsidR="00913665" w:rsidRPr="00913665">
        <w:rPr>
          <w:noProof/>
        </w:rPr>
        <w:t>gru</w:t>
      </w:r>
      <w:r w:rsidRPr="00913665">
        <w:rPr>
          <w:noProof/>
        </w:rPr>
        <w:t>pie G-7, G-20,</w:t>
      </w:r>
      <w:r w:rsidR="00913665" w:rsidRPr="00913665">
        <w:rPr>
          <w:noProof/>
        </w:rPr>
        <w:t xml:space="preserve"> w</w:t>
      </w:r>
      <w:r w:rsidR="00913665">
        <w:rPr>
          <w:noProof/>
        </w:rPr>
        <w:t> </w:t>
      </w:r>
      <w:r w:rsidR="00913665" w:rsidRPr="00913665">
        <w:rPr>
          <w:noProof/>
        </w:rPr>
        <w:t>Zgr</w:t>
      </w:r>
      <w:r w:rsidRPr="00913665">
        <w:rPr>
          <w:noProof/>
        </w:rPr>
        <w:t>omadzeniu Ogólnym ONZ i WHO,</w:t>
      </w:r>
      <w:r w:rsidR="00913665" w:rsidRPr="00913665">
        <w:rPr>
          <w:noProof/>
        </w:rPr>
        <w:t xml:space="preserve"> i</w:t>
      </w:r>
      <w:r w:rsidR="00913665">
        <w:rPr>
          <w:noProof/>
        </w:rPr>
        <w:t> </w:t>
      </w:r>
      <w:r w:rsidR="00913665" w:rsidRPr="00913665">
        <w:rPr>
          <w:noProof/>
        </w:rPr>
        <w:t>jes</w:t>
      </w:r>
      <w:r w:rsidRPr="00913665">
        <w:rPr>
          <w:noProof/>
        </w:rPr>
        <w:t>t głównym darczyńcą funduszy globalnych</w:t>
      </w:r>
      <w:r w:rsidR="00913665" w:rsidRPr="00913665">
        <w:rPr>
          <w:noProof/>
        </w:rPr>
        <w:t xml:space="preserve"> w</w:t>
      </w:r>
      <w:r w:rsidR="00913665">
        <w:rPr>
          <w:noProof/>
        </w:rPr>
        <w:t> </w:t>
      </w:r>
      <w:r w:rsidR="00913665" w:rsidRPr="00913665">
        <w:rPr>
          <w:noProof/>
        </w:rPr>
        <w:t>ram</w:t>
      </w:r>
      <w:r w:rsidRPr="00913665">
        <w:rPr>
          <w:noProof/>
        </w:rPr>
        <w:t>ach Instrumentu Sąsiedztwa oraz Współpracy Międzynarodowej</w:t>
      </w:r>
      <w:r w:rsidR="00913665" w:rsidRPr="00913665">
        <w:rPr>
          <w:noProof/>
        </w:rPr>
        <w:t xml:space="preserve"> i</w:t>
      </w:r>
      <w:r w:rsidR="00913665">
        <w:rPr>
          <w:noProof/>
        </w:rPr>
        <w:t> </w:t>
      </w:r>
      <w:r w:rsidR="00913665" w:rsidRPr="00913665">
        <w:rPr>
          <w:noProof/>
        </w:rPr>
        <w:t>Roz</w:t>
      </w:r>
      <w:r w:rsidRPr="00913665">
        <w:rPr>
          <w:noProof/>
        </w:rPr>
        <w:t>wojowej (np. Funduszu Pandemicznego, GAVI, Światowego Funduszu Walki z AIDS, Gruźlicą</w:t>
      </w:r>
      <w:r w:rsidR="00913665" w:rsidRPr="00913665">
        <w:rPr>
          <w:noProof/>
        </w:rPr>
        <w:t xml:space="preserve"> i</w:t>
      </w:r>
      <w:r w:rsidR="00913665">
        <w:rPr>
          <w:noProof/>
        </w:rPr>
        <w:t> </w:t>
      </w:r>
      <w:r w:rsidR="00913665" w:rsidRPr="00913665">
        <w:rPr>
          <w:noProof/>
        </w:rPr>
        <w:t>Mal</w:t>
      </w:r>
      <w:r w:rsidRPr="00913665">
        <w:rPr>
          <w:noProof/>
        </w:rPr>
        <w:t>arią).</w:t>
      </w:r>
    </w:p>
    <w:p w14:paraId="01711076" w14:textId="5ED9AD9E" w:rsidR="007B4382" w:rsidRPr="00913665" w:rsidRDefault="007B4382" w:rsidP="00597730">
      <w:pPr>
        <w:pStyle w:val="BodyText"/>
        <w:kinsoku w:val="0"/>
        <w:overflowPunct w:val="0"/>
        <w:spacing w:before="240" w:line="276" w:lineRule="auto"/>
        <w:jc w:val="both"/>
        <w:rPr>
          <w:noProof/>
        </w:rPr>
      </w:pPr>
      <w:r w:rsidRPr="00913665">
        <w:rPr>
          <w:noProof/>
        </w:rPr>
        <w:t>W obecnej sytuacji geopolitycznej,</w:t>
      </w:r>
      <w:r w:rsidR="00913665" w:rsidRPr="00913665">
        <w:rPr>
          <w:noProof/>
        </w:rPr>
        <w:t xml:space="preserve"> w</w:t>
      </w:r>
      <w:r w:rsidR="00913665">
        <w:rPr>
          <w:noProof/>
        </w:rPr>
        <w:t> </w:t>
      </w:r>
      <w:r w:rsidR="00913665" w:rsidRPr="00913665">
        <w:rPr>
          <w:noProof/>
        </w:rPr>
        <w:t>obl</w:t>
      </w:r>
      <w:r w:rsidRPr="00913665">
        <w:rPr>
          <w:noProof/>
        </w:rPr>
        <w:t>iczu trwającej rosyjskiej wojny napastniczej przeciwko Ukrainie</w:t>
      </w:r>
      <w:r w:rsidR="00913665" w:rsidRPr="00913665">
        <w:rPr>
          <w:noProof/>
        </w:rPr>
        <w:t xml:space="preserve"> i</w:t>
      </w:r>
      <w:r w:rsidR="00913665">
        <w:rPr>
          <w:noProof/>
        </w:rPr>
        <w:t> </w:t>
      </w:r>
      <w:r w:rsidR="00913665" w:rsidRPr="00913665">
        <w:rPr>
          <w:noProof/>
        </w:rPr>
        <w:t>kon</w:t>
      </w:r>
      <w:r w:rsidRPr="00913665">
        <w:rPr>
          <w:noProof/>
        </w:rPr>
        <w:t>fliktu</w:t>
      </w:r>
      <w:r w:rsidR="00913665" w:rsidRPr="00913665">
        <w:rPr>
          <w:noProof/>
        </w:rPr>
        <w:t xml:space="preserve"> w</w:t>
      </w:r>
      <w:r w:rsidR="00913665">
        <w:rPr>
          <w:noProof/>
        </w:rPr>
        <w:t> </w:t>
      </w:r>
      <w:r w:rsidR="00913665" w:rsidRPr="00913665">
        <w:rPr>
          <w:noProof/>
        </w:rPr>
        <w:t>Str</w:t>
      </w:r>
      <w:r w:rsidRPr="00913665">
        <w:rPr>
          <w:noProof/>
        </w:rPr>
        <w:t>efie Gazy, UE wspierała ewakuację medyczną (Medevac) pacjentów. Od czasu wojny Rosji przeciwko Ukrainie</w:t>
      </w:r>
      <w:r w:rsidR="00913665" w:rsidRPr="00913665">
        <w:rPr>
          <w:noProof/>
        </w:rPr>
        <w:t xml:space="preserve"> w</w:t>
      </w:r>
      <w:r w:rsidR="00913665">
        <w:rPr>
          <w:noProof/>
        </w:rPr>
        <w:t> </w:t>
      </w:r>
      <w:r w:rsidR="00913665" w:rsidRPr="00913665">
        <w:rPr>
          <w:noProof/>
        </w:rPr>
        <w:t>ram</w:t>
      </w:r>
      <w:r w:rsidRPr="00913665">
        <w:rPr>
          <w:noProof/>
        </w:rPr>
        <w:t>ach Unijnego Mechanizmu Ochrony Ludności przeprowadzono ponad 3 100 operacji ewakuacji medycznej. Komisja ściśle współpracuje z WHO,</w:t>
      </w:r>
      <w:r w:rsidR="00913665" w:rsidRPr="00913665">
        <w:rPr>
          <w:noProof/>
        </w:rPr>
        <w:t xml:space="preserve"> w</w:t>
      </w:r>
      <w:r w:rsidR="00913665">
        <w:rPr>
          <w:noProof/>
        </w:rPr>
        <w:t> </w:t>
      </w:r>
      <w:r w:rsidR="00913665" w:rsidRPr="00913665">
        <w:rPr>
          <w:noProof/>
        </w:rPr>
        <w:t>szc</w:t>
      </w:r>
      <w:r w:rsidRPr="00913665">
        <w:rPr>
          <w:noProof/>
        </w:rPr>
        <w:t>zególności</w:t>
      </w:r>
      <w:r w:rsidR="00913665" w:rsidRPr="00913665">
        <w:rPr>
          <w:noProof/>
        </w:rPr>
        <w:t xml:space="preserve"> w</w:t>
      </w:r>
      <w:r w:rsidR="00913665">
        <w:rPr>
          <w:noProof/>
        </w:rPr>
        <w:t> </w:t>
      </w:r>
      <w:r w:rsidR="00913665" w:rsidRPr="00913665">
        <w:rPr>
          <w:noProof/>
        </w:rPr>
        <w:t>zak</w:t>
      </w:r>
      <w:r w:rsidRPr="00913665">
        <w:rPr>
          <w:noProof/>
        </w:rPr>
        <w:t>resie ustanowienia unijnego centrum Medevac</w:t>
      </w:r>
      <w:r w:rsidR="00913665" w:rsidRPr="00913665">
        <w:rPr>
          <w:noProof/>
        </w:rPr>
        <w:t xml:space="preserve"> w</w:t>
      </w:r>
      <w:r w:rsidR="00913665">
        <w:rPr>
          <w:noProof/>
        </w:rPr>
        <w:t> </w:t>
      </w:r>
      <w:r w:rsidR="00913665" w:rsidRPr="00913665">
        <w:rPr>
          <w:noProof/>
        </w:rPr>
        <w:t>Pol</w:t>
      </w:r>
      <w:r w:rsidRPr="00913665">
        <w:rPr>
          <w:noProof/>
        </w:rPr>
        <w:t>sce</w:t>
      </w:r>
      <w:r w:rsidR="00913665" w:rsidRPr="00913665">
        <w:rPr>
          <w:noProof/>
        </w:rPr>
        <w:t xml:space="preserve"> w</w:t>
      </w:r>
      <w:r w:rsidR="00913665">
        <w:rPr>
          <w:noProof/>
        </w:rPr>
        <w:t> </w:t>
      </w:r>
      <w:r w:rsidR="00913665" w:rsidRPr="00913665">
        <w:rPr>
          <w:noProof/>
        </w:rPr>
        <w:t>cel</w:t>
      </w:r>
      <w:r w:rsidRPr="00913665">
        <w:rPr>
          <w:noProof/>
        </w:rPr>
        <w:t>u wsparcia Ukrainy oraz</w:t>
      </w:r>
      <w:r w:rsidR="00913665" w:rsidRPr="00913665">
        <w:rPr>
          <w:noProof/>
        </w:rPr>
        <w:t xml:space="preserve"> w</w:t>
      </w:r>
      <w:r w:rsidR="00913665">
        <w:rPr>
          <w:noProof/>
        </w:rPr>
        <w:t> </w:t>
      </w:r>
      <w:r w:rsidR="00913665" w:rsidRPr="00913665">
        <w:rPr>
          <w:noProof/>
        </w:rPr>
        <w:t>zak</w:t>
      </w:r>
      <w:r w:rsidRPr="00913665">
        <w:rPr>
          <w:noProof/>
        </w:rPr>
        <w:t>resie oddelegowania ekspertów medycznych</w:t>
      </w:r>
      <w:r w:rsidR="00913665" w:rsidRPr="00913665">
        <w:rPr>
          <w:noProof/>
        </w:rPr>
        <w:t xml:space="preserve"> z</w:t>
      </w:r>
      <w:r w:rsidR="00913665">
        <w:rPr>
          <w:noProof/>
        </w:rPr>
        <w:t> </w:t>
      </w:r>
      <w:r w:rsidR="00913665" w:rsidRPr="00913665">
        <w:rPr>
          <w:noProof/>
        </w:rPr>
        <w:t>pań</w:t>
      </w:r>
      <w:r w:rsidRPr="00913665">
        <w:rPr>
          <w:noProof/>
        </w:rPr>
        <w:t>stw członkowskich</w:t>
      </w:r>
      <w:r w:rsidR="00913665" w:rsidRPr="00913665">
        <w:rPr>
          <w:noProof/>
        </w:rPr>
        <w:t xml:space="preserve"> w</w:t>
      </w:r>
      <w:r w:rsidR="00913665">
        <w:rPr>
          <w:noProof/>
        </w:rPr>
        <w:t> </w:t>
      </w:r>
      <w:r w:rsidR="00913665" w:rsidRPr="00913665">
        <w:rPr>
          <w:noProof/>
        </w:rPr>
        <w:t>cel</w:t>
      </w:r>
      <w:r w:rsidRPr="00913665">
        <w:rPr>
          <w:noProof/>
        </w:rPr>
        <w:t>u wsparcia operacji WHO</w:t>
      </w:r>
      <w:r w:rsidR="00913665" w:rsidRPr="00913665">
        <w:rPr>
          <w:noProof/>
        </w:rPr>
        <w:t xml:space="preserve"> w</w:t>
      </w:r>
      <w:r w:rsidR="00913665">
        <w:rPr>
          <w:noProof/>
        </w:rPr>
        <w:t> </w:t>
      </w:r>
      <w:r w:rsidR="00913665" w:rsidRPr="00913665">
        <w:rPr>
          <w:noProof/>
        </w:rPr>
        <w:t>Str</w:t>
      </w:r>
      <w:r w:rsidRPr="00913665">
        <w:rPr>
          <w:noProof/>
        </w:rPr>
        <w:t>efie Gazy.</w:t>
      </w:r>
      <w:r w:rsidR="00913665" w:rsidRPr="00913665">
        <w:rPr>
          <w:noProof/>
        </w:rPr>
        <w:t xml:space="preserve"> </w:t>
      </w:r>
    </w:p>
    <w:p w14:paraId="72095F52" w14:textId="599E4440" w:rsidR="00C8464D" w:rsidRPr="00913665" w:rsidRDefault="00C8464D" w:rsidP="00597730">
      <w:pPr>
        <w:pStyle w:val="BodyText"/>
        <w:kinsoku w:val="0"/>
        <w:overflowPunct w:val="0"/>
        <w:spacing w:before="240" w:line="276" w:lineRule="auto"/>
        <w:jc w:val="both"/>
        <w:rPr>
          <w:noProof/>
        </w:rPr>
      </w:pPr>
      <w:r w:rsidRPr="00913665">
        <w:rPr>
          <w:noProof/>
        </w:rPr>
        <w:t>UE odgrywa wiodącą rolę</w:t>
      </w:r>
      <w:r w:rsidR="00913665" w:rsidRPr="00913665">
        <w:rPr>
          <w:noProof/>
        </w:rPr>
        <w:t xml:space="preserve"> w</w:t>
      </w:r>
      <w:r w:rsidR="00913665">
        <w:rPr>
          <w:noProof/>
        </w:rPr>
        <w:t> </w:t>
      </w:r>
      <w:r w:rsidR="00913665" w:rsidRPr="00913665">
        <w:rPr>
          <w:noProof/>
        </w:rPr>
        <w:t>neg</w:t>
      </w:r>
      <w:r w:rsidRPr="00913665">
        <w:rPr>
          <w:noProof/>
        </w:rPr>
        <w:t>ocjacjach dotyczących umowy</w:t>
      </w:r>
      <w:r w:rsidR="00913665" w:rsidRPr="00913665">
        <w:rPr>
          <w:noProof/>
        </w:rPr>
        <w:t xml:space="preserve"> w</w:t>
      </w:r>
      <w:r w:rsidR="00913665">
        <w:rPr>
          <w:noProof/>
        </w:rPr>
        <w:t> </w:t>
      </w:r>
      <w:r w:rsidR="00913665" w:rsidRPr="00913665">
        <w:rPr>
          <w:noProof/>
        </w:rPr>
        <w:t>spr</w:t>
      </w:r>
      <w:r w:rsidRPr="00913665">
        <w:rPr>
          <w:noProof/>
        </w:rPr>
        <w:t>awie pandemii, której celem jest wzmocnienie międzynarodowych przepisów dotyczących gotowości</w:t>
      </w:r>
      <w:r w:rsidR="00913665" w:rsidRPr="00913665">
        <w:rPr>
          <w:noProof/>
        </w:rPr>
        <w:t xml:space="preserve"> i</w:t>
      </w:r>
      <w:r w:rsidR="00913665">
        <w:rPr>
          <w:noProof/>
        </w:rPr>
        <w:t> </w:t>
      </w:r>
      <w:r w:rsidR="00913665" w:rsidRPr="00913665">
        <w:rPr>
          <w:noProof/>
        </w:rPr>
        <w:t>rea</w:t>
      </w:r>
      <w:r w:rsidRPr="00913665">
        <w:rPr>
          <w:noProof/>
        </w:rPr>
        <w:t>gowania na pandemie.</w:t>
      </w:r>
    </w:p>
    <w:p w14:paraId="3FB8276C" w14:textId="36E7A64E" w:rsidR="00C8464D" w:rsidRPr="00913665" w:rsidRDefault="00C8464D" w:rsidP="00597730">
      <w:pPr>
        <w:pStyle w:val="BodyText"/>
        <w:kinsoku w:val="0"/>
        <w:overflowPunct w:val="0"/>
        <w:spacing w:before="240" w:line="276" w:lineRule="auto"/>
        <w:jc w:val="both"/>
        <w:rPr>
          <w:noProof/>
        </w:rPr>
      </w:pPr>
      <w:r w:rsidRPr="00913665">
        <w:rPr>
          <w:noProof/>
        </w:rPr>
        <w:t xml:space="preserve">W listopadzie 2022 r. Komisja opublikowała nową </w:t>
      </w:r>
      <w:r w:rsidRPr="00913665">
        <w:rPr>
          <w:b/>
          <w:noProof/>
        </w:rPr>
        <w:t>strategię UE</w:t>
      </w:r>
      <w:r w:rsidR="00913665" w:rsidRPr="00913665">
        <w:rPr>
          <w:b/>
          <w:noProof/>
        </w:rPr>
        <w:t xml:space="preserve"> w</w:t>
      </w:r>
      <w:r w:rsidR="00913665">
        <w:rPr>
          <w:b/>
          <w:noProof/>
        </w:rPr>
        <w:t> </w:t>
      </w:r>
      <w:r w:rsidR="00913665" w:rsidRPr="00913665">
        <w:rPr>
          <w:b/>
          <w:noProof/>
        </w:rPr>
        <w:t>dzi</w:t>
      </w:r>
      <w:r w:rsidRPr="00913665">
        <w:rPr>
          <w:b/>
          <w:noProof/>
        </w:rPr>
        <w:t>edzinie zdrowia na świecie</w:t>
      </w:r>
      <w:r w:rsidRPr="00913665">
        <w:rPr>
          <w:noProof/>
        </w:rPr>
        <w:t>,</w:t>
      </w:r>
      <w:r w:rsidR="00913665" w:rsidRPr="00913665">
        <w:rPr>
          <w:noProof/>
        </w:rPr>
        <w:t xml:space="preserve"> w</w:t>
      </w:r>
      <w:r w:rsidR="00913665">
        <w:rPr>
          <w:noProof/>
        </w:rPr>
        <w:t> </w:t>
      </w:r>
      <w:r w:rsidR="00913665" w:rsidRPr="00913665">
        <w:rPr>
          <w:noProof/>
        </w:rPr>
        <w:t>któ</w:t>
      </w:r>
      <w:r w:rsidRPr="00913665">
        <w:rPr>
          <w:noProof/>
        </w:rPr>
        <w:t>rej proponuje spójne, skuteczne</w:t>
      </w:r>
      <w:r w:rsidR="00913665" w:rsidRPr="00913665">
        <w:rPr>
          <w:noProof/>
        </w:rPr>
        <w:t xml:space="preserve"> i</w:t>
      </w:r>
      <w:r w:rsidR="00913665">
        <w:rPr>
          <w:noProof/>
        </w:rPr>
        <w:t> </w:t>
      </w:r>
      <w:r w:rsidR="00913665" w:rsidRPr="00913665">
        <w:rPr>
          <w:noProof/>
        </w:rPr>
        <w:t>uki</w:t>
      </w:r>
      <w:r w:rsidRPr="00913665">
        <w:rPr>
          <w:noProof/>
        </w:rPr>
        <w:t>erunkowane podejście</w:t>
      </w:r>
      <w:r w:rsidR="00913665" w:rsidRPr="00913665">
        <w:rPr>
          <w:noProof/>
        </w:rPr>
        <w:t xml:space="preserve"> w</w:t>
      </w:r>
      <w:r w:rsidR="00913665">
        <w:rPr>
          <w:noProof/>
        </w:rPr>
        <w:t> </w:t>
      </w:r>
      <w:r w:rsidR="00913665" w:rsidRPr="00913665">
        <w:rPr>
          <w:noProof/>
        </w:rPr>
        <w:t>wym</w:t>
      </w:r>
      <w:r w:rsidRPr="00913665">
        <w:rPr>
          <w:noProof/>
        </w:rPr>
        <w:t>iarze ogólnoświatowym</w:t>
      </w:r>
      <w:r w:rsidR="006D09DB" w:rsidRPr="00913665">
        <w:rPr>
          <w:rStyle w:val="FootnoteReference"/>
          <w:noProof/>
        </w:rPr>
        <w:footnoteReference w:id="33"/>
      </w:r>
      <w:r w:rsidRPr="00913665">
        <w:rPr>
          <w:noProof/>
        </w:rPr>
        <w:t>. Strategia ta jest przede wszystkim wyrazem determinacji UE, by potwierdzić swoją odpowiedzialność</w:t>
      </w:r>
      <w:r w:rsidR="00913665" w:rsidRPr="00913665">
        <w:rPr>
          <w:noProof/>
        </w:rPr>
        <w:t xml:space="preserve"> i</w:t>
      </w:r>
      <w:r w:rsidR="00913665">
        <w:rPr>
          <w:noProof/>
        </w:rPr>
        <w:t> </w:t>
      </w:r>
      <w:r w:rsidR="00913665" w:rsidRPr="00913665">
        <w:rPr>
          <w:noProof/>
        </w:rPr>
        <w:t>wio</w:t>
      </w:r>
      <w:r w:rsidRPr="00913665">
        <w:rPr>
          <w:noProof/>
        </w:rPr>
        <w:t>dącą pozycję</w:t>
      </w:r>
      <w:r w:rsidR="00913665" w:rsidRPr="00913665">
        <w:rPr>
          <w:noProof/>
        </w:rPr>
        <w:t xml:space="preserve"> w</w:t>
      </w:r>
      <w:r w:rsidR="00913665">
        <w:rPr>
          <w:noProof/>
        </w:rPr>
        <w:t> </w:t>
      </w:r>
      <w:r w:rsidR="00913665" w:rsidRPr="00913665">
        <w:rPr>
          <w:noProof/>
        </w:rPr>
        <w:t>dzi</w:t>
      </w:r>
      <w:r w:rsidRPr="00913665">
        <w:rPr>
          <w:noProof/>
        </w:rPr>
        <w:t>edzinie zdrowia na świecie, która znajduje oparcie</w:t>
      </w:r>
      <w:r w:rsidR="00913665" w:rsidRPr="00913665">
        <w:rPr>
          <w:noProof/>
        </w:rPr>
        <w:t xml:space="preserve"> w</w:t>
      </w:r>
      <w:r w:rsidR="00913665">
        <w:rPr>
          <w:noProof/>
        </w:rPr>
        <w:t> </w:t>
      </w:r>
      <w:r w:rsidR="00913665" w:rsidRPr="00913665">
        <w:rPr>
          <w:noProof/>
        </w:rPr>
        <w:t>pod</w:t>
      </w:r>
      <w:r w:rsidRPr="00913665">
        <w:rPr>
          <w:noProof/>
        </w:rPr>
        <w:t>stawowych wartościach, takich jak solidarność, sprawiedliwość</w:t>
      </w:r>
      <w:r w:rsidR="00913665" w:rsidRPr="00913665">
        <w:rPr>
          <w:noProof/>
        </w:rPr>
        <w:t xml:space="preserve"> i</w:t>
      </w:r>
      <w:r w:rsidR="00913665">
        <w:rPr>
          <w:noProof/>
        </w:rPr>
        <w:t> </w:t>
      </w:r>
      <w:r w:rsidR="00913665" w:rsidRPr="00913665">
        <w:rPr>
          <w:noProof/>
        </w:rPr>
        <w:t>pos</w:t>
      </w:r>
      <w:r w:rsidRPr="00913665">
        <w:rPr>
          <w:noProof/>
        </w:rPr>
        <w:t>zanowanie praw człowieka. Zgodnie</w:t>
      </w:r>
      <w:r w:rsidR="00913665" w:rsidRPr="00913665">
        <w:rPr>
          <w:noProof/>
        </w:rPr>
        <w:t xml:space="preserve"> z</w:t>
      </w:r>
      <w:r w:rsidR="00913665">
        <w:rPr>
          <w:noProof/>
        </w:rPr>
        <w:t> </w:t>
      </w:r>
      <w:r w:rsidR="00913665" w:rsidRPr="00913665">
        <w:rPr>
          <w:noProof/>
        </w:rPr>
        <w:t>jej</w:t>
      </w:r>
      <w:r w:rsidRPr="00913665">
        <w:rPr>
          <w:noProof/>
        </w:rPr>
        <w:t xml:space="preserve"> założeniami zdrowie na świecie jest podstawowym filarem polityki zewnętrznej UE stanowiącym zewnętrzny wymiar Europejskiej Unii Zdrowotnej,</w:t>
      </w:r>
      <w:r w:rsidR="00913665" w:rsidRPr="00913665">
        <w:rPr>
          <w:noProof/>
        </w:rPr>
        <w:t xml:space="preserve"> a</w:t>
      </w:r>
      <w:r w:rsidR="00913665">
        <w:rPr>
          <w:noProof/>
        </w:rPr>
        <w:t> </w:t>
      </w:r>
      <w:r w:rsidR="00913665" w:rsidRPr="00913665">
        <w:rPr>
          <w:noProof/>
        </w:rPr>
        <w:t>tak</w:t>
      </w:r>
      <w:r w:rsidRPr="00913665">
        <w:rPr>
          <w:noProof/>
        </w:rPr>
        <w:t>że kluczowym elementem strategii Global Gateway, która buduje partnerstwa na równych zasadach</w:t>
      </w:r>
      <w:r w:rsidR="00913665" w:rsidRPr="00913665">
        <w:rPr>
          <w:noProof/>
        </w:rPr>
        <w:t xml:space="preserve"> z</w:t>
      </w:r>
      <w:r w:rsidR="00913665">
        <w:rPr>
          <w:noProof/>
        </w:rPr>
        <w:t> </w:t>
      </w:r>
      <w:r w:rsidR="00913665" w:rsidRPr="00913665">
        <w:rPr>
          <w:noProof/>
        </w:rPr>
        <w:t>kra</w:t>
      </w:r>
      <w:r w:rsidRPr="00913665">
        <w:rPr>
          <w:noProof/>
        </w:rPr>
        <w:t>jami partnerskimi</w:t>
      </w:r>
      <w:r w:rsidR="00913665" w:rsidRPr="00913665">
        <w:rPr>
          <w:noProof/>
        </w:rPr>
        <w:t xml:space="preserve"> w</w:t>
      </w:r>
      <w:r w:rsidR="00913665">
        <w:rPr>
          <w:noProof/>
        </w:rPr>
        <w:t> </w:t>
      </w:r>
      <w:r w:rsidR="00913665" w:rsidRPr="00913665">
        <w:rPr>
          <w:noProof/>
        </w:rPr>
        <w:t>opa</w:t>
      </w:r>
      <w:r w:rsidRPr="00913665">
        <w:rPr>
          <w:noProof/>
        </w:rPr>
        <w:t>rciu</w:t>
      </w:r>
      <w:r w:rsidR="00913665" w:rsidRPr="00913665">
        <w:rPr>
          <w:noProof/>
        </w:rPr>
        <w:t xml:space="preserve"> o</w:t>
      </w:r>
      <w:r w:rsidR="00913665">
        <w:rPr>
          <w:noProof/>
        </w:rPr>
        <w:t> </w:t>
      </w:r>
      <w:r w:rsidR="00913665" w:rsidRPr="00913665">
        <w:rPr>
          <w:noProof/>
        </w:rPr>
        <w:t>wsp</w:t>
      </w:r>
      <w:r w:rsidRPr="00913665">
        <w:rPr>
          <w:noProof/>
        </w:rPr>
        <w:t>ólną odpowiedzialność</w:t>
      </w:r>
      <w:r w:rsidR="00913665" w:rsidRPr="00913665">
        <w:rPr>
          <w:noProof/>
        </w:rPr>
        <w:t xml:space="preserve"> i</w:t>
      </w:r>
      <w:r w:rsidR="00913665">
        <w:rPr>
          <w:noProof/>
        </w:rPr>
        <w:t> </w:t>
      </w:r>
      <w:r w:rsidR="00913665" w:rsidRPr="00913665">
        <w:rPr>
          <w:noProof/>
        </w:rPr>
        <w:t>wsp</w:t>
      </w:r>
      <w:r w:rsidRPr="00913665">
        <w:rPr>
          <w:noProof/>
        </w:rPr>
        <w:t>ółwłasność</w:t>
      </w:r>
      <w:r w:rsidR="00913665" w:rsidRPr="00913665">
        <w:rPr>
          <w:noProof/>
        </w:rPr>
        <w:t>. W</w:t>
      </w:r>
      <w:r w:rsidR="00913665">
        <w:rPr>
          <w:noProof/>
        </w:rPr>
        <w:t> </w:t>
      </w:r>
      <w:r w:rsidR="00913665" w:rsidRPr="00913665">
        <w:rPr>
          <w:noProof/>
        </w:rPr>
        <w:t>ram</w:t>
      </w:r>
      <w:r w:rsidRPr="00913665">
        <w:rPr>
          <w:noProof/>
        </w:rPr>
        <w:t>ach strategii</w:t>
      </w:r>
      <w:r w:rsidRPr="00913665">
        <w:rPr>
          <w:noProof/>
          <w:sz w:val="20"/>
        </w:rPr>
        <w:t xml:space="preserve"> </w:t>
      </w:r>
      <w:r w:rsidRPr="00913665">
        <w:rPr>
          <w:noProof/>
        </w:rPr>
        <w:t>Global Gateway UE</w:t>
      </w:r>
      <w:r w:rsidR="00913665" w:rsidRPr="00913665">
        <w:rPr>
          <w:noProof/>
        </w:rPr>
        <w:t xml:space="preserve"> i</w:t>
      </w:r>
      <w:r w:rsidR="00913665">
        <w:rPr>
          <w:noProof/>
        </w:rPr>
        <w:t> </w:t>
      </w:r>
      <w:r w:rsidR="00913665" w:rsidRPr="00913665">
        <w:rPr>
          <w:noProof/>
        </w:rPr>
        <w:t>pań</w:t>
      </w:r>
      <w:r w:rsidRPr="00913665">
        <w:rPr>
          <w:noProof/>
        </w:rPr>
        <w:t>stwa członkowskie pracują nad poprawą bezpieczeństwa zdrowotnego</w:t>
      </w:r>
      <w:r w:rsidR="00913665" w:rsidRPr="00913665">
        <w:rPr>
          <w:noProof/>
        </w:rPr>
        <w:t xml:space="preserve"> i</w:t>
      </w:r>
      <w:r w:rsidR="00913665">
        <w:rPr>
          <w:noProof/>
        </w:rPr>
        <w:t> </w:t>
      </w:r>
      <w:r w:rsidR="00913665" w:rsidRPr="00913665">
        <w:rPr>
          <w:noProof/>
        </w:rPr>
        <w:t>zwi</w:t>
      </w:r>
      <w:r w:rsidRPr="00913665">
        <w:rPr>
          <w:noProof/>
        </w:rPr>
        <w:t>ększenia odporności systemów opieki zdrowotnej</w:t>
      </w:r>
      <w:r w:rsidR="00913665" w:rsidRPr="00913665">
        <w:rPr>
          <w:noProof/>
        </w:rPr>
        <w:t xml:space="preserve"> w</w:t>
      </w:r>
      <w:r w:rsidR="00913665">
        <w:rPr>
          <w:noProof/>
        </w:rPr>
        <w:t> </w:t>
      </w:r>
      <w:r w:rsidR="00913665" w:rsidRPr="00913665">
        <w:rPr>
          <w:noProof/>
        </w:rPr>
        <w:t>wym</w:t>
      </w:r>
      <w:r w:rsidRPr="00913665">
        <w:rPr>
          <w:noProof/>
        </w:rPr>
        <w:t>iarze globalnym, współpracują ze światowymi partnerami</w:t>
      </w:r>
      <w:r w:rsidR="00913665" w:rsidRPr="00913665">
        <w:rPr>
          <w:noProof/>
        </w:rPr>
        <w:t xml:space="preserve"> w</w:t>
      </w:r>
      <w:r w:rsidR="00913665">
        <w:rPr>
          <w:noProof/>
        </w:rPr>
        <w:t> </w:t>
      </w:r>
      <w:r w:rsidR="00913665" w:rsidRPr="00913665">
        <w:rPr>
          <w:noProof/>
        </w:rPr>
        <w:t>cel</w:t>
      </w:r>
      <w:r w:rsidRPr="00913665">
        <w:rPr>
          <w:noProof/>
        </w:rPr>
        <w:t>u zapewnienia na całym świecie sprawiedliwego dostępu do diagnostyki, szczepionek</w:t>
      </w:r>
      <w:r w:rsidR="00913665" w:rsidRPr="00913665">
        <w:rPr>
          <w:noProof/>
        </w:rPr>
        <w:t xml:space="preserve"> i</w:t>
      </w:r>
      <w:r w:rsidR="00913665">
        <w:rPr>
          <w:noProof/>
        </w:rPr>
        <w:t> </w:t>
      </w:r>
      <w:r w:rsidR="00913665" w:rsidRPr="00913665">
        <w:rPr>
          <w:noProof/>
        </w:rPr>
        <w:t>lec</w:t>
      </w:r>
      <w:r w:rsidRPr="00913665">
        <w:rPr>
          <w:noProof/>
        </w:rPr>
        <w:t>zenia, gotowości na wypadek pandemii oraz profilaktyki</w:t>
      </w:r>
      <w:r w:rsidR="00913665" w:rsidRPr="00913665">
        <w:rPr>
          <w:noProof/>
        </w:rPr>
        <w:t xml:space="preserve"> i</w:t>
      </w:r>
      <w:r w:rsidR="00913665">
        <w:rPr>
          <w:noProof/>
        </w:rPr>
        <w:t> </w:t>
      </w:r>
      <w:r w:rsidR="00913665" w:rsidRPr="00913665">
        <w:rPr>
          <w:noProof/>
        </w:rPr>
        <w:t>wcz</w:t>
      </w:r>
      <w:r w:rsidRPr="00913665">
        <w:rPr>
          <w:noProof/>
        </w:rPr>
        <w:t>esnego wykrywania stanów zagrożenia zdrowia</w:t>
      </w:r>
      <w:r w:rsidR="00913665" w:rsidRPr="00913665">
        <w:rPr>
          <w:noProof/>
        </w:rPr>
        <w:t>. W</w:t>
      </w:r>
      <w:r w:rsidR="00913665">
        <w:rPr>
          <w:noProof/>
        </w:rPr>
        <w:t> </w:t>
      </w:r>
      <w:r w:rsidR="00913665" w:rsidRPr="00913665">
        <w:rPr>
          <w:noProof/>
        </w:rPr>
        <w:t>zwi</w:t>
      </w:r>
      <w:r w:rsidRPr="00913665">
        <w:rPr>
          <w:noProof/>
        </w:rPr>
        <w:t>ązku</w:t>
      </w:r>
      <w:r w:rsidR="00913665" w:rsidRPr="00913665">
        <w:rPr>
          <w:noProof/>
        </w:rPr>
        <w:t xml:space="preserve"> z</w:t>
      </w:r>
      <w:r w:rsidR="00913665">
        <w:rPr>
          <w:noProof/>
        </w:rPr>
        <w:t> </w:t>
      </w:r>
      <w:r w:rsidR="00913665" w:rsidRPr="00913665">
        <w:rPr>
          <w:noProof/>
        </w:rPr>
        <w:t>ini</w:t>
      </w:r>
      <w:r w:rsidRPr="00913665">
        <w:rPr>
          <w:noProof/>
        </w:rPr>
        <w:t>cjatywą Drużyny Europy na produkcję szczepionek, leków</w:t>
      </w:r>
      <w:r w:rsidR="00913665" w:rsidRPr="00913665">
        <w:rPr>
          <w:noProof/>
        </w:rPr>
        <w:t xml:space="preserve"> i</w:t>
      </w:r>
      <w:r w:rsidR="00913665">
        <w:rPr>
          <w:noProof/>
        </w:rPr>
        <w:t> </w:t>
      </w:r>
      <w:r w:rsidR="00913665" w:rsidRPr="00913665">
        <w:rPr>
          <w:noProof/>
        </w:rPr>
        <w:t>tec</w:t>
      </w:r>
      <w:r w:rsidRPr="00913665">
        <w:rPr>
          <w:noProof/>
        </w:rPr>
        <w:t>hnologii medycznych</w:t>
      </w:r>
      <w:r w:rsidR="00913665" w:rsidRPr="00913665">
        <w:rPr>
          <w:noProof/>
        </w:rPr>
        <w:t xml:space="preserve"> w</w:t>
      </w:r>
      <w:r w:rsidR="00913665">
        <w:rPr>
          <w:noProof/>
        </w:rPr>
        <w:t> </w:t>
      </w:r>
      <w:r w:rsidR="00913665" w:rsidRPr="00913665">
        <w:rPr>
          <w:noProof/>
        </w:rPr>
        <w:t>Afr</w:t>
      </w:r>
      <w:r w:rsidRPr="00913665">
        <w:rPr>
          <w:noProof/>
        </w:rPr>
        <w:t>yce (MAV+) oraz zapewnienie dostępu do nich przyznano</w:t>
      </w:r>
      <w:r w:rsidR="00913665" w:rsidRPr="00913665">
        <w:rPr>
          <w:noProof/>
        </w:rPr>
        <w:t xml:space="preserve"> w</w:t>
      </w:r>
      <w:r w:rsidR="00913665">
        <w:rPr>
          <w:noProof/>
        </w:rPr>
        <w:t> </w:t>
      </w:r>
      <w:r w:rsidR="00913665" w:rsidRPr="00913665">
        <w:rPr>
          <w:noProof/>
        </w:rPr>
        <w:t>ram</w:t>
      </w:r>
      <w:r w:rsidRPr="00913665">
        <w:rPr>
          <w:noProof/>
        </w:rPr>
        <w:t>ach 89 projektów, prowadzonych na szczeblu kontynentalnym, regionalnym</w:t>
      </w:r>
      <w:r w:rsidR="00913665" w:rsidRPr="00913665">
        <w:rPr>
          <w:noProof/>
        </w:rPr>
        <w:t xml:space="preserve"> i</w:t>
      </w:r>
      <w:r w:rsidR="00913665">
        <w:rPr>
          <w:noProof/>
        </w:rPr>
        <w:t> </w:t>
      </w:r>
      <w:r w:rsidR="00913665" w:rsidRPr="00913665">
        <w:rPr>
          <w:noProof/>
        </w:rPr>
        <w:t>lok</w:t>
      </w:r>
      <w:r w:rsidRPr="00913665">
        <w:rPr>
          <w:noProof/>
        </w:rPr>
        <w:t>alnym, ponad 1,3 mld EUR ze środków UE, państw członkowskich</w:t>
      </w:r>
      <w:r w:rsidR="00913665" w:rsidRPr="00913665">
        <w:rPr>
          <w:noProof/>
        </w:rPr>
        <w:t xml:space="preserve"> i</w:t>
      </w:r>
      <w:r w:rsidR="00913665">
        <w:rPr>
          <w:noProof/>
        </w:rPr>
        <w:t> </w:t>
      </w:r>
      <w:r w:rsidR="00913665" w:rsidRPr="00913665">
        <w:rPr>
          <w:noProof/>
        </w:rPr>
        <w:t>eur</w:t>
      </w:r>
      <w:r w:rsidRPr="00913665">
        <w:rPr>
          <w:noProof/>
        </w:rPr>
        <w:t>opejskich instytucji finansowych. Przykładowo</w:t>
      </w:r>
      <w:r w:rsidR="00913665" w:rsidRPr="00913665">
        <w:rPr>
          <w:noProof/>
        </w:rPr>
        <w:t xml:space="preserve"> w</w:t>
      </w:r>
      <w:r w:rsidR="00913665">
        <w:rPr>
          <w:noProof/>
        </w:rPr>
        <w:t> </w:t>
      </w:r>
      <w:r w:rsidR="00913665" w:rsidRPr="00913665">
        <w:rPr>
          <w:noProof/>
        </w:rPr>
        <w:t>Rwa</w:t>
      </w:r>
      <w:r w:rsidRPr="00913665">
        <w:rPr>
          <w:noProof/>
        </w:rPr>
        <w:t>ndzie Global Gateway zapewnia wsparcie</w:t>
      </w:r>
      <w:r w:rsidR="00913665" w:rsidRPr="00913665">
        <w:rPr>
          <w:noProof/>
        </w:rPr>
        <w:t xml:space="preserve"> w</w:t>
      </w:r>
      <w:r w:rsidR="00913665">
        <w:rPr>
          <w:noProof/>
        </w:rPr>
        <w:t> </w:t>
      </w:r>
      <w:r w:rsidR="00913665" w:rsidRPr="00913665">
        <w:rPr>
          <w:noProof/>
        </w:rPr>
        <w:t>wys</w:t>
      </w:r>
      <w:r w:rsidRPr="00913665">
        <w:rPr>
          <w:noProof/>
        </w:rPr>
        <w:t>okości ponad 103 mln EUR na rzecz lokalnej produkcji szczepionek, leków</w:t>
      </w:r>
      <w:r w:rsidR="00913665" w:rsidRPr="00913665">
        <w:rPr>
          <w:noProof/>
        </w:rPr>
        <w:t xml:space="preserve"> i</w:t>
      </w:r>
      <w:r w:rsidR="00913665">
        <w:rPr>
          <w:noProof/>
        </w:rPr>
        <w:t> </w:t>
      </w:r>
      <w:r w:rsidR="00913665" w:rsidRPr="00913665">
        <w:rPr>
          <w:noProof/>
        </w:rPr>
        <w:t>tec</w:t>
      </w:r>
      <w:r w:rsidRPr="00913665">
        <w:rPr>
          <w:noProof/>
        </w:rPr>
        <w:t>hnologii medycznych oraz dostępu do nich,</w:t>
      </w:r>
      <w:r w:rsidR="00913665" w:rsidRPr="00913665">
        <w:rPr>
          <w:noProof/>
        </w:rPr>
        <w:t xml:space="preserve"> w</w:t>
      </w:r>
      <w:r w:rsidR="00913665">
        <w:rPr>
          <w:noProof/>
        </w:rPr>
        <w:t> </w:t>
      </w:r>
      <w:r w:rsidR="00913665" w:rsidRPr="00913665">
        <w:rPr>
          <w:noProof/>
        </w:rPr>
        <w:t>tym</w:t>
      </w:r>
      <w:r w:rsidRPr="00913665">
        <w:rPr>
          <w:noProof/>
        </w:rPr>
        <w:t xml:space="preserve"> na rzecz lokalnego zakładu produkcji szczepionek</w:t>
      </w:r>
      <w:r w:rsidR="00913665" w:rsidRPr="00913665">
        <w:rPr>
          <w:noProof/>
        </w:rPr>
        <w:t xml:space="preserve"> z</w:t>
      </w:r>
      <w:r w:rsidR="00913665">
        <w:rPr>
          <w:noProof/>
        </w:rPr>
        <w:t> </w:t>
      </w:r>
      <w:r w:rsidR="00913665" w:rsidRPr="00913665">
        <w:rPr>
          <w:noProof/>
        </w:rPr>
        <w:t>tec</w:t>
      </w:r>
      <w:r w:rsidRPr="00913665">
        <w:rPr>
          <w:noProof/>
        </w:rPr>
        <w:t>hnologią mRNA. UE pracuje również nad pogłębieniem współpracy</w:t>
      </w:r>
      <w:r w:rsidR="00913665" w:rsidRPr="00913665">
        <w:rPr>
          <w:noProof/>
        </w:rPr>
        <w:t xml:space="preserve"> w</w:t>
      </w:r>
      <w:r w:rsidR="00913665">
        <w:rPr>
          <w:noProof/>
        </w:rPr>
        <w:t> </w:t>
      </w:r>
      <w:r w:rsidR="00913665" w:rsidRPr="00913665">
        <w:rPr>
          <w:noProof/>
        </w:rPr>
        <w:t>zak</w:t>
      </w:r>
      <w:r w:rsidRPr="00913665">
        <w:rPr>
          <w:noProof/>
        </w:rPr>
        <w:t>resie produkcji szczepionek, leków</w:t>
      </w:r>
      <w:r w:rsidR="00913665" w:rsidRPr="00913665">
        <w:rPr>
          <w:noProof/>
        </w:rPr>
        <w:t xml:space="preserve"> i</w:t>
      </w:r>
      <w:r w:rsidR="00913665">
        <w:rPr>
          <w:noProof/>
        </w:rPr>
        <w:t> </w:t>
      </w:r>
      <w:r w:rsidR="00913665" w:rsidRPr="00913665">
        <w:rPr>
          <w:noProof/>
        </w:rPr>
        <w:t>tec</w:t>
      </w:r>
      <w:r w:rsidRPr="00913665">
        <w:rPr>
          <w:noProof/>
        </w:rPr>
        <w:t>hnologii medycznych oraz nad wzmocnieniem systemów opieki zdrowotnej</w:t>
      </w:r>
      <w:r w:rsidR="00913665" w:rsidRPr="00913665">
        <w:rPr>
          <w:noProof/>
        </w:rPr>
        <w:t xml:space="preserve"> w</w:t>
      </w:r>
      <w:r w:rsidR="00913665">
        <w:rPr>
          <w:noProof/>
        </w:rPr>
        <w:t> </w:t>
      </w:r>
      <w:r w:rsidR="00913665" w:rsidRPr="00913665">
        <w:rPr>
          <w:noProof/>
        </w:rPr>
        <w:t>kon</w:t>
      </w:r>
      <w:r w:rsidRPr="00913665">
        <w:rPr>
          <w:noProof/>
        </w:rPr>
        <w:t>tekście partnerstwa UE-Ameryka Łacińska</w:t>
      </w:r>
      <w:r w:rsidR="00913665" w:rsidRPr="00913665">
        <w:rPr>
          <w:noProof/>
        </w:rPr>
        <w:t xml:space="preserve"> i</w:t>
      </w:r>
      <w:r w:rsidR="00913665">
        <w:rPr>
          <w:noProof/>
        </w:rPr>
        <w:t> </w:t>
      </w:r>
      <w:r w:rsidR="00913665" w:rsidRPr="00913665">
        <w:rPr>
          <w:noProof/>
        </w:rPr>
        <w:t>Kar</w:t>
      </w:r>
      <w:r w:rsidRPr="00913665">
        <w:rPr>
          <w:noProof/>
        </w:rPr>
        <w:t>aiby (LAC)</w:t>
      </w:r>
      <w:r w:rsidR="00913665" w:rsidRPr="00913665">
        <w:rPr>
          <w:noProof/>
        </w:rPr>
        <w:t xml:space="preserve"> w</w:t>
      </w:r>
      <w:r w:rsidR="00913665">
        <w:rPr>
          <w:noProof/>
        </w:rPr>
        <w:t> </w:t>
      </w:r>
      <w:r w:rsidR="00913665" w:rsidRPr="00913665">
        <w:rPr>
          <w:noProof/>
        </w:rPr>
        <w:t>dzi</w:t>
      </w:r>
      <w:r w:rsidRPr="00913665">
        <w:rPr>
          <w:noProof/>
        </w:rPr>
        <w:t>edzinie zdrowia. Poprawa zdrowia na całym świecie to inwestycja</w:t>
      </w:r>
      <w:r w:rsidR="00913665" w:rsidRPr="00913665">
        <w:rPr>
          <w:noProof/>
        </w:rPr>
        <w:t xml:space="preserve"> w</w:t>
      </w:r>
      <w:r w:rsidR="00913665">
        <w:rPr>
          <w:noProof/>
        </w:rPr>
        <w:t> </w:t>
      </w:r>
      <w:r w:rsidR="00913665" w:rsidRPr="00913665">
        <w:rPr>
          <w:noProof/>
        </w:rPr>
        <w:t>glo</w:t>
      </w:r>
      <w:r w:rsidRPr="00913665">
        <w:rPr>
          <w:noProof/>
        </w:rPr>
        <w:t>balne bezpieczeństwo zdrowotne,</w:t>
      </w:r>
      <w:r w:rsidR="00913665" w:rsidRPr="00913665">
        <w:rPr>
          <w:noProof/>
        </w:rPr>
        <w:t xml:space="preserve"> w</w:t>
      </w:r>
      <w:r w:rsidR="00913665">
        <w:rPr>
          <w:noProof/>
        </w:rPr>
        <w:t> </w:t>
      </w:r>
      <w:r w:rsidR="00913665" w:rsidRPr="00913665">
        <w:rPr>
          <w:noProof/>
        </w:rPr>
        <w:t>cel</w:t>
      </w:r>
      <w:r w:rsidRPr="00913665">
        <w:rPr>
          <w:noProof/>
        </w:rPr>
        <w:t>e zrównoważonego rozwoju oraz</w:t>
      </w:r>
      <w:r w:rsidR="00913665" w:rsidRPr="00913665">
        <w:rPr>
          <w:noProof/>
        </w:rPr>
        <w:t xml:space="preserve"> w</w:t>
      </w:r>
      <w:r w:rsidR="00913665">
        <w:rPr>
          <w:noProof/>
        </w:rPr>
        <w:t> </w:t>
      </w:r>
      <w:r w:rsidR="00913665" w:rsidRPr="00913665">
        <w:rPr>
          <w:noProof/>
        </w:rPr>
        <w:t>och</w:t>
      </w:r>
      <w:r w:rsidRPr="00913665">
        <w:rPr>
          <w:noProof/>
        </w:rPr>
        <w:t>ronę zdrowia obywateli UE, gdziekolwiek się znajdują.</w:t>
      </w:r>
    </w:p>
    <w:p w14:paraId="16CD2311" w14:textId="77777777" w:rsidR="00C8464D" w:rsidRPr="00913665" w:rsidRDefault="00C8464D" w:rsidP="00597730">
      <w:pPr>
        <w:pStyle w:val="Heading1"/>
        <w:numPr>
          <w:ilvl w:val="0"/>
          <w:numId w:val="6"/>
        </w:numPr>
        <w:tabs>
          <w:tab w:val="left" w:pos="1319"/>
        </w:tabs>
        <w:kinsoku w:val="0"/>
        <w:overflowPunct w:val="0"/>
        <w:spacing w:before="240" w:line="276" w:lineRule="auto"/>
        <w:ind w:left="0" w:firstLine="0"/>
        <w:jc w:val="both"/>
        <w:rPr>
          <w:noProof/>
          <w:color w:val="2E5395"/>
          <w:spacing w:val="-4"/>
        </w:rPr>
      </w:pPr>
      <w:r w:rsidRPr="00913665">
        <w:rPr>
          <w:noProof/>
          <w:color w:val="2E5395"/>
        </w:rPr>
        <w:t>Perspektywy na przyszłość</w:t>
      </w:r>
    </w:p>
    <w:p w14:paraId="56C70BEE" w14:textId="510B70FA" w:rsidR="00C8464D" w:rsidRPr="00913665" w:rsidRDefault="00C8464D" w:rsidP="00597730">
      <w:pPr>
        <w:pStyle w:val="BodyText"/>
        <w:kinsoku w:val="0"/>
        <w:overflowPunct w:val="0"/>
        <w:spacing w:before="240" w:line="276" w:lineRule="auto"/>
        <w:jc w:val="both"/>
        <w:rPr>
          <w:noProof/>
        </w:rPr>
      </w:pPr>
      <w:r w:rsidRPr="00913665">
        <w:rPr>
          <w:noProof/>
        </w:rPr>
        <w:t>Współpraca między Komisją</w:t>
      </w:r>
      <w:r w:rsidR="00913665" w:rsidRPr="00913665">
        <w:rPr>
          <w:noProof/>
        </w:rPr>
        <w:t xml:space="preserve"> a</w:t>
      </w:r>
      <w:r w:rsidR="00913665">
        <w:rPr>
          <w:noProof/>
        </w:rPr>
        <w:t> </w:t>
      </w:r>
      <w:r w:rsidR="00913665" w:rsidRPr="00913665">
        <w:rPr>
          <w:noProof/>
        </w:rPr>
        <w:t>pań</w:t>
      </w:r>
      <w:r w:rsidRPr="00913665">
        <w:rPr>
          <w:noProof/>
        </w:rPr>
        <w:t>stwami członkowskimi zaowocowała wzmocnieniem pozycji UE</w:t>
      </w:r>
      <w:r w:rsidR="00913665" w:rsidRPr="00913665">
        <w:rPr>
          <w:noProof/>
        </w:rPr>
        <w:t xml:space="preserve"> w</w:t>
      </w:r>
      <w:r w:rsidR="00913665">
        <w:rPr>
          <w:noProof/>
        </w:rPr>
        <w:t> </w:t>
      </w:r>
      <w:r w:rsidR="00913665" w:rsidRPr="00913665">
        <w:rPr>
          <w:noProof/>
        </w:rPr>
        <w:t>obs</w:t>
      </w:r>
      <w:r w:rsidRPr="00913665">
        <w:rPr>
          <w:noProof/>
        </w:rPr>
        <w:t>zarze zdrowia</w:t>
      </w:r>
      <w:r w:rsidR="00913665" w:rsidRPr="00913665">
        <w:rPr>
          <w:noProof/>
        </w:rPr>
        <w:t xml:space="preserve"> w</w:t>
      </w:r>
      <w:r w:rsidR="00913665">
        <w:rPr>
          <w:noProof/>
        </w:rPr>
        <w:t> </w:t>
      </w:r>
      <w:r w:rsidR="00913665" w:rsidRPr="00913665">
        <w:rPr>
          <w:noProof/>
        </w:rPr>
        <w:t>por</w:t>
      </w:r>
      <w:r w:rsidRPr="00913665">
        <w:rPr>
          <w:noProof/>
        </w:rPr>
        <w:t>ównaniu</w:t>
      </w:r>
      <w:r w:rsidR="00913665" w:rsidRPr="00913665">
        <w:rPr>
          <w:noProof/>
        </w:rPr>
        <w:t xml:space="preserve"> z</w:t>
      </w:r>
      <w:r w:rsidR="00913665">
        <w:rPr>
          <w:noProof/>
        </w:rPr>
        <w:t> </w:t>
      </w:r>
      <w:r w:rsidR="00913665" w:rsidRPr="00913665">
        <w:rPr>
          <w:noProof/>
        </w:rPr>
        <w:t>syt</w:t>
      </w:r>
      <w:r w:rsidRPr="00913665">
        <w:rPr>
          <w:noProof/>
        </w:rPr>
        <w:t>uacją sprzed pięciu lat. Nie należy jednak spoczywać na laurach. Unijna polityka zdrowotna wymaga jeszcze wielu ulepszeń. Zdrowie musi pozostać priorytetem politycznym.</w:t>
      </w:r>
    </w:p>
    <w:p w14:paraId="2D21919D" w14:textId="2F3950B1" w:rsidR="00C8464D" w:rsidRPr="00913665" w:rsidRDefault="00C8464D" w:rsidP="00597730">
      <w:pPr>
        <w:pStyle w:val="BodyText"/>
        <w:kinsoku w:val="0"/>
        <w:overflowPunct w:val="0"/>
        <w:spacing w:before="240" w:line="276" w:lineRule="auto"/>
        <w:jc w:val="both"/>
        <w:rPr>
          <w:noProof/>
        </w:rPr>
      </w:pPr>
      <w:r w:rsidRPr="00913665">
        <w:rPr>
          <w:noProof/>
        </w:rPr>
        <w:t>W dalszym ciągu będą pojawiać się nowe zagrożenia, takie jak oporność na środki przeciwdrobnoustrojowe, zagrożenia dla zdrowia spowodowane zmianą klimatu oraz zagrożenia CBRJ. Aby nadal zwiększać nasze bezpieczeństwo zdrowotne, konieczna jest współpraca na wielu szczeblach – europejskim, krajowym, regionalnym</w:t>
      </w:r>
      <w:r w:rsidR="00913665" w:rsidRPr="00913665">
        <w:rPr>
          <w:noProof/>
        </w:rPr>
        <w:t xml:space="preserve"> i</w:t>
      </w:r>
      <w:r w:rsidR="00913665">
        <w:rPr>
          <w:noProof/>
        </w:rPr>
        <w:t> </w:t>
      </w:r>
      <w:r w:rsidR="00913665" w:rsidRPr="00913665">
        <w:rPr>
          <w:noProof/>
        </w:rPr>
        <w:t>glo</w:t>
      </w:r>
      <w:r w:rsidRPr="00913665">
        <w:rPr>
          <w:noProof/>
        </w:rPr>
        <w:t>balnym.</w:t>
      </w:r>
    </w:p>
    <w:p w14:paraId="295FF16C" w14:textId="44C30FEF" w:rsidR="00383E15" w:rsidRPr="00913665" w:rsidRDefault="00C8464D" w:rsidP="00597730">
      <w:pPr>
        <w:pStyle w:val="BodyText"/>
        <w:kinsoku w:val="0"/>
        <w:overflowPunct w:val="0"/>
        <w:spacing w:before="240" w:line="276" w:lineRule="auto"/>
        <w:jc w:val="both"/>
        <w:rPr>
          <w:noProof/>
        </w:rPr>
      </w:pPr>
      <w:r w:rsidRPr="00913665">
        <w:rPr>
          <w:noProof/>
        </w:rPr>
        <w:t>UE stoi przed wieloma wyzwaniami zdrowotnymi wykraczającymi poza ogniska epidemiczne. Niedobory leków</w:t>
      </w:r>
      <w:r w:rsidR="00913665" w:rsidRPr="00913665">
        <w:rPr>
          <w:noProof/>
        </w:rPr>
        <w:t xml:space="preserve"> w</w:t>
      </w:r>
      <w:r w:rsidR="00913665">
        <w:rPr>
          <w:noProof/>
        </w:rPr>
        <w:t> </w:t>
      </w:r>
      <w:r w:rsidR="00913665" w:rsidRPr="00913665">
        <w:rPr>
          <w:noProof/>
        </w:rPr>
        <w:t>cał</w:t>
      </w:r>
      <w:r w:rsidRPr="00913665">
        <w:rPr>
          <w:noProof/>
        </w:rPr>
        <w:t>ej Europie zakłócają plany leczenia chorób przewlekłych, takich jak nowotwory</w:t>
      </w:r>
      <w:r w:rsidR="00913665" w:rsidRPr="00913665">
        <w:rPr>
          <w:noProof/>
        </w:rPr>
        <w:t xml:space="preserve"> i</w:t>
      </w:r>
      <w:r w:rsidR="00913665">
        <w:rPr>
          <w:noProof/>
        </w:rPr>
        <w:t> </w:t>
      </w:r>
      <w:r w:rsidR="00913665" w:rsidRPr="00913665">
        <w:rPr>
          <w:noProof/>
        </w:rPr>
        <w:t>cuk</w:t>
      </w:r>
      <w:r w:rsidRPr="00913665">
        <w:rPr>
          <w:noProof/>
        </w:rPr>
        <w:t>rzyca. Przyjęcie proponowanej reformy unijnego prawodawstwa farmaceutycznego będzie miało zasadnicze znaczenie dla poprawy dostępu do leków</w:t>
      </w:r>
      <w:r w:rsidR="00913665" w:rsidRPr="00913665">
        <w:rPr>
          <w:noProof/>
        </w:rPr>
        <w:t xml:space="preserve"> i</w:t>
      </w:r>
      <w:r w:rsidR="00913665">
        <w:rPr>
          <w:noProof/>
        </w:rPr>
        <w:t> </w:t>
      </w:r>
      <w:r w:rsidR="00913665" w:rsidRPr="00913665">
        <w:rPr>
          <w:noProof/>
        </w:rPr>
        <w:t>ich</w:t>
      </w:r>
      <w:r w:rsidRPr="00913665">
        <w:rPr>
          <w:noProof/>
        </w:rPr>
        <w:t xml:space="preserve"> dostępności,</w:t>
      </w:r>
      <w:r w:rsidR="00913665" w:rsidRPr="00913665">
        <w:rPr>
          <w:noProof/>
        </w:rPr>
        <w:t xml:space="preserve"> w</w:t>
      </w:r>
      <w:r w:rsidR="00913665">
        <w:rPr>
          <w:noProof/>
        </w:rPr>
        <w:t> </w:t>
      </w:r>
      <w:r w:rsidR="00913665" w:rsidRPr="00913665">
        <w:rPr>
          <w:noProof/>
        </w:rPr>
        <w:t>poł</w:t>
      </w:r>
      <w:r w:rsidRPr="00913665">
        <w:rPr>
          <w:noProof/>
        </w:rPr>
        <w:t>ączeniu</w:t>
      </w:r>
      <w:r w:rsidR="00913665" w:rsidRPr="00913665">
        <w:rPr>
          <w:noProof/>
        </w:rPr>
        <w:t xml:space="preserve"> z</w:t>
      </w:r>
      <w:r w:rsidR="00913665">
        <w:rPr>
          <w:noProof/>
        </w:rPr>
        <w:t> </w:t>
      </w:r>
      <w:r w:rsidR="00913665" w:rsidRPr="00913665">
        <w:rPr>
          <w:noProof/>
        </w:rPr>
        <w:t>inn</w:t>
      </w:r>
      <w:r w:rsidRPr="00913665">
        <w:rPr>
          <w:noProof/>
        </w:rPr>
        <w:t>ymi działaniami mającymi na celu rozwiązanie problemu niedoborów leków</w:t>
      </w:r>
      <w:r w:rsidR="00913665" w:rsidRPr="00913665">
        <w:rPr>
          <w:noProof/>
        </w:rPr>
        <w:t xml:space="preserve"> o</w:t>
      </w:r>
      <w:r w:rsidR="00913665">
        <w:rPr>
          <w:noProof/>
        </w:rPr>
        <w:t> </w:t>
      </w:r>
      <w:r w:rsidR="00913665" w:rsidRPr="00913665">
        <w:rPr>
          <w:noProof/>
        </w:rPr>
        <w:t>kry</w:t>
      </w:r>
      <w:r w:rsidRPr="00913665">
        <w:rPr>
          <w:noProof/>
        </w:rPr>
        <w:t>tycznym znaczeniu, takimi jak prace prowadzone przez Europejską Agencję Leków</w:t>
      </w:r>
      <w:r w:rsidR="00913665" w:rsidRPr="00913665">
        <w:rPr>
          <w:noProof/>
        </w:rPr>
        <w:t xml:space="preserve"> i</w:t>
      </w:r>
      <w:r w:rsidR="00913665">
        <w:rPr>
          <w:noProof/>
        </w:rPr>
        <w:t> </w:t>
      </w:r>
      <w:r w:rsidR="00913665" w:rsidRPr="00913665">
        <w:rPr>
          <w:noProof/>
        </w:rPr>
        <w:t>Soj</w:t>
      </w:r>
      <w:r w:rsidRPr="00913665">
        <w:rPr>
          <w:noProof/>
        </w:rPr>
        <w:t>usz na rzecz Leków</w:t>
      </w:r>
      <w:r w:rsidR="00913665" w:rsidRPr="00913665">
        <w:rPr>
          <w:noProof/>
        </w:rPr>
        <w:t xml:space="preserve"> o</w:t>
      </w:r>
      <w:r w:rsidR="00913665">
        <w:rPr>
          <w:noProof/>
        </w:rPr>
        <w:t> </w:t>
      </w:r>
      <w:r w:rsidR="00913665" w:rsidRPr="00913665">
        <w:rPr>
          <w:noProof/>
        </w:rPr>
        <w:t>Kry</w:t>
      </w:r>
      <w:r w:rsidRPr="00913665">
        <w:rPr>
          <w:noProof/>
        </w:rPr>
        <w:t>tycznym Znaczeniu. Aby wesprzeć państwa członkowskie</w:t>
      </w:r>
      <w:r w:rsidR="00913665" w:rsidRPr="00913665">
        <w:rPr>
          <w:noProof/>
        </w:rPr>
        <w:t xml:space="preserve"> w</w:t>
      </w:r>
      <w:r w:rsidR="00913665">
        <w:rPr>
          <w:noProof/>
        </w:rPr>
        <w:t> </w:t>
      </w:r>
      <w:r w:rsidR="00913665" w:rsidRPr="00913665">
        <w:rPr>
          <w:noProof/>
        </w:rPr>
        <w:t>dos</w:t>
      </w:r>
      <w:r w:rsidRPr="00913665">
        <w:rPr>
          <w:noProof/>
        </w:rPr>
        <w:t>tępie do leków</w:t>
      </w:r>
      <w:r w:rsidR="00913665" w:rsidRPr="00913665">
        <w:rPr>
          <w:noProof/>
        </w:rPr>
        <w:t xml:space="preserve"> w</w:t>
      </w:r>
      <w:r w:rsidR="00913665">
        <w:rPr>
          <w:noProof/>
        </w:rPr>
        <w:t> </w:t>
      </w:r>
      <w:r w:rsidR="00913665" w:rsidRPr="00913665">
        <w:rPr>
          <w:noProof/>
        </w:rPr>
        <w:t>obs</w:t>
      </w:r>
      <w:r w:rsidRPr="00913665">
        <w:rPr>
          <w:noProof/>
        </w:rPr>
        <w:t>zarze chorób rzadkich</w:t>
      </w:r>
      <w:r w:rsidR="00913665" w:rsidRPr="00913665">
        <w:rPr>
          <w:noProof/>
        </w:rPr>
        <w:t xml:space="preserve"> i</w:t>
      </w:r>
      <w:r w:rsidR="00913665">
        <w:rPr>
          <w:noProof/>
        </w:rPr>
        <w:t> </w:t>
      </w:r>
      <w:r w:rsidR="00913665" w:rsidRPr="00913665">
        <w:rPr>
          <w:noProof/>
        </w:rPr>
        <w:t>lek</w:t>
      </w:r>
      <w:r w:rsidRPr="00913665">
        <w:rPr>
          <w:noProof/>
        </w:rPr>
        <w:t xml:space="preserve">ów sierocych, można by dalej analizować takie instrumenty jak wspólne udzielanie zamówień. </w:t>
      </w:r>
    </w:p>
    <w:p w14:paraId="41107E73" w14:textId="0CF96098" w:rsidR="00C8464D" w:rsidRPr="00913665" w:rsidRDefault="00C8464D" w:rsidP="00597730">
      <w:pPr>
        <w:pStyle w:val="BodyText"/>
        <w:kinsoku w:val="0"/>
        <w:overflowPunct w:val="0"/>
        <w:spacing w:before="240" w:line="276" w:lineRule="auto"/>
        <w:jc w:val="both"/>
        <w:rPr>
          <w:noProof/>
        </w:rPr>
      </w:pPr>
      <w:r w:rsidRPr="00913665">
        <w:rPr>
          <w:noProof/>
        </w:rPr>
        <w:t>Podobnie Europa skorzystałaby na pogłębionych badaniach medycznych oraz na rozwoju sektora biotechnologii</w:t>
      </w:r>
      <w:r w:rsidR="00913665" w:rsidRPr="00913665">
        <w:rPr>
          <w:noProof/>
        </w:rPr>
        <w:t xml:space="preserve"> i</w:t>
      </w:r>
      <w:r w:rsidR="00913665">
        <w:rPr>
          <w:noProof/>
        </w:rPr>
        <w:t> </w:t>
      </w:r>
      <w:r w:rsidR="00913665" w:rsidRPr="00913665">
        <w:rPr>
          <w:noProof/>
        </w:rPr>
        <w:t>bio</w:t>
      </w:r>
      <w:r w:rsidRPr="00913665">
        <w:rPr>
          <w:noProof/>
        </w:rPr>
        <w:t>produkcji, zgodnie</w:t>
      </w:r>
      <w:r w:rsidR="00913665" w:rsidRPr="00913665">
        <w:rPr>
          <w:noProof/>
        </w:rPr>
        <w:t xml:space="preserve"> z</w:t>
      </w:r>
      <w:r w:rsidR="00913665">
        <w:rPr>
          <w:noProof/>
        </w:rPr>
        <w:t> </w:t>
      </w:r>
      <w:r w:rsidR="00913665" w:rsidRPr="00913665">
        <w:rPr>
          <w:noProof/>
        </w:rPr>
        <w:t>nie</w:t>
      </w:r>
      <w:r w:rsidRPr="00913665">
        <w:rPr>
          <w:noProof/>
        </w:rPr>
        <w:t>dawnym komunikatem pt. „Budowanie przyszłości</w:t>
      </w:r>
      <w:r w:rsidR="00913665" w:rsidRPr="00913665">
        <w:rPr>
          <w:noProof/>
        </w:rPr>
        <w:t xml:space="preserve"> w</w:t>
      </w:r>
      <w:r w:rsidR="00913665">
        <w:rPr>
          <w:noProof/>
        </w:rPr>
        <w:t> </w:t>
      </w:r>
      <w:r w:rsidR="00913665" w:rsidRPr="00913665">
        <w:rPr>
          <w:noProof/>
        </w:rPr>
        <w:t>zgo</w:t>
      </w:r>
      <w:r w:rsidRPr="00913665">
        <w:rPr>
          <w:noProof/>
        </w:rPr>
        <w:t>dzie</w:t>
      </w:r>
      <w:r w:rsidR="00913665" w:rsidRPr="00913665">
        <w:rPr>
          <w:noProof/>
        </w:rPr>
        <w:t xml:space="preserve"> z</w:t>
      </w:r>
      <w:r w:rsidR="00913665">
        <w:rPr>
          <w:noProof/>
        </w:rPr>
        <w:t> </w:t>
      </w:r>
      <w:r w:rsidR="00913665" w:rsidRPr="00913665">
        <w:rPr>
          <w:noProof/>
        </w:rPr>
        <w:t>nat</w:t>
      </w:r>
      <w:r w:rsidRPr="00913665">
        <w:rPr>
          <w:noProof/>
        </w:rPr>
        <w:t>urą: pobudzanie rozwoju biotechnologii</w:t>
      </w:r>
      <w:r w:rsidR="00913665" w:rsidRPr="00913665">
        <w:rPr>
          <w:noProof/>
        </w:rPr>
        <w:t xml:space="preserve"> i</w:t>
      </w:r>
      <w:r w:rsidR="00913665">
        <w:rPr>
          <w:noProof/>
        </w:rPr>
        <w:t> </w:t>
      </w:r>
      <w:r w:rsidR="00913665" w:rsidRPr="00913665">
        <w:rPr>
          <w:noProof/>
        </w:rPr>
        <w:t>bio</w:t>
      </w:r>
      <w:r w:rsidRPr="00913665">
        <w:rPr>
          <w:noProof/>
        </w:rPr>
        <w:t>produkcji w UE”</w:t>
      </w:r>
      <w:r w:rsidR="00B10046" w:rsidRPr="00913665">
        <w:rPr>
          <w:rStyle w:val="FootnoteReference"/>
          <w:noProof/>
          <w:spacing w:val="-2"/>
        </w:rPr>
        <w:footnoteReference w:id="34"/>
      </w:r>
      <w:r w:rsidRPr="00913665">
        <w:rPr>
          <w:noProof/>
        </w:rPr>
        <w:t>. Powolny rozwój nowych leków, diagnostyki</w:t>
      </w:r>
      <w:r w:rsidR="00913665" w:rsidRPr="00913665">
        <w:rPr>
          <w:noProof/>
        </w:rPr>
        <w:t xml:space="preserve"> i</w:t>
      </w:r>
      <w:r w:rsidR="00913665">
        <w:rPr>
          <w:noProof/>
        </w:rPr>
        <w:t> </w:t>
      </w:r>
      <w:r w:rsidR="00913665" w:rsidRPr="00913665">
        <w:rPr>
          <w:noProof/>
        </w:rPr>
        <w:t>ter</w:t>
      </w:r>
      <w:r w:rsidRPr="00913665">
        <w:rPr>
          <w:noProof/>
        </w:rPr>
        <w:t>apii zwiększa narażenie populacji na choroby</w:t>
      </w:r>
      <w:r w:rsidR="00913665" w:rsidRPr="00913665">
        <w:rPr>
          <w:noProof/>
        </w:rPr>
        <w:t xml:space="preserve"> w</w:t>
      </w:r>
      <w:r w:rsidR="00913665">
        <w:rPr>
          <w:noProof/>
        </w:rPr>
        <w:t> </w:t>
      </w:r>
      <w:r w:rsidR="00913665" w:rsidRPr="00913665">
        <w:rPr>
          <w:noProof/>
        </w:rPr>
        <w:t>prz</w:t>
      </w:r>
      <w:r w:rsidRPr="00913665">
        <w:rPr>
          <w:noProof/>
        </w:rPr>
        <w:t>yszłości</w:t>
      </w:r>
      <w:r w:rsidR="00913665" w:rsidRPr="00913665">
        <w:rPr>
          <w:noProof/>
        </w:rPr>
        <w:t xml:space="preserve"> i</w:t>
      </w:r>
      <w:r w:rsidR="00913665">
        <w:rPr>
          <w:noProof/>
        </w:rPr>
        <w:t> </w:t>
      </w:r>
      <w:r w:rsidR="00913665" w:rsidRPr="00913665">
        <w:rPr>
          <w:noProof/>
        </w:rPr>
        <w:t>utr</w:t>
      </w:r>
      <w:r w:rsidRPr="00913665">
        <w:rPr>
          <w:noProof/>
        </w:rPr>
        <w:t>udnia leczenie chorób,</w:t>
      </w:r>
      <w:r w:rsidR="00913665" w:rsidRPr="00913665">
        <w:rPr>
          <w:noProof/>
        </w:rPr>
        <w:t xml:space="preserve"> z</w:t>
      </w:r>
      <w:r w:rsidR="00913665">
        <w:rPr>
          <w:noProof/>
        </w:rPr>
        <w:t> </w:t>
      </w:r>
      <w:r w:rsidR="00913665" w:rsidRPr="00913665">
        <w:rPr>
          <w:noProof/>
        </w:rPr>
        <w:t>któ</w:t>
      </w:r>
      <w:r w:rsidRPr="00913665">
        <w:rPr>
          <w:noProof/>
        </w:rPr>
        <w:t>rymi mamy do czynienia już dziś. Za przykład może posłużyć oporność na środki przeciwdrobnoustrojowe. Zasadnicze znaczenie ma inwestowanie</w:t>
      </w:r>
      <w:r w:rsidR="00913665" w:rsidRPr="00913665">
        <w:rPr>
          <w:noProof/>
        </w:rPr>
        <w:t xml:space="preserve"> w</w:t>
      </w:r>
      <w:r w:rsidR="00913665">
        <w:rPr>
          <w:noProof/>
        </w:rPr>
        <w:t> </w:t>
      </w:r>
      <w:r w:rsidR="00913665" w:rsidRPr="00913665">
        <w:rPr>
          <w:noProof/>
        </w:rPr>
        <w:t>bad</w:t>
      </w:r>
      <w:r w:rsidRPr="00913665">
        <w:rPr>
          <w:noProof/>
        </w:rPr>
        <w:t>ania nad nowymi środkami przeciwdrobnoustrojowymi, rozwiązaniami alternatywnymi wobec środków przeciwdrobnoustrojowych</w:t>
      </w:r>
      <w:r w:rsidR="00913665" w:rsidRPr="00913665">
        <w:rPr>
          <w:noProof/>
        </w:rPr>
        <w:t xml:space="preserve"> i</w:t>
      </w:r>
      <w:r w:rsidR="00913665">
        <w:rPr>
          <w:noProof/>
        </w:rPr>
        <w:t> </w:t>
      </w:r>
      <w:r w:rsidR="00913665" w:rsidRPr="00913665">
        <w:rPr>
          <w:noProof/>
        </w:rPr>
        <w:t>szy</w:t>
      </w:r>
      <w:r w:rsidRPr="00913665">
        <w:rPr>
          <w:noProof/>
        </w:rPr>
        <w:t>bką diagnostyką, przy jednoczesnym śledzeniu rozprzestrzeniania się opornych bakterii</w:t>
      </w:r>
      <w:r w:rsidR="00913665" w:rsidRPr="00913665">
        <w:rPr>
          <w:noProof/>
        </w:rPr>
        <w:t xml:space="preserve"> i</w:t>
      </w:r>
      <w:r w:rsidR="00913665">
        <w:rPr>
          <w:noProof/>
        </w:rPr>
        <w:t> </w:t>
      </w:r>
      <w:r w:rsidR="00913665" w:rsidRPr="00913665">
        <w:rPr>
          <w:noProof/>
        </w:rPr>
        <w:t>ide</w:t>
      </w:r>
      <w:r w:rsidRPr="00913665">
        <w:rPr>
          <w:noProof/>
        </w:rPr>
        <w:t>ntyfikacji pojawiających się zagrożeń. Wymaga to ścisłej współpracy wielu sektorów, zgodnie</w:t>
      </w:r>
      <w:r w:rsidR="00913665" w:rsidRPr="00913665">
        <w:rPr>
          <w:noProof/>
        </w:rPr>
        <w:t xml:space="preserve"> z</w:t>
      </w:r>
      <w:r w:rsidR="00913665">
        <w:rPr>
          <w:noProof/>
        </w:rPr>
        <w:t> </w:t>
      </w:r>
      <w:r w:rsidR="00913665" w:rsidRPr="00913665">
        <w:rPr>
          <w:noProof/>
        </w:rPr>
        <w:t>pod</w:t>
      </w:r>
      <w:r w:rsidRPr="00913665">
        <w:rPr>
          <w:noProof/>
        </w:rPr>
        <w:t>ejściem „Jedno zdrowie”, promowania badań</w:t>
      </w:r>
      <w:r w:rsidR="00913665" w:rsidRPr="00913665">
        <w:rPr>
          <w:noProof/>
        </w:rPr>
        <w:t xml:space="preserve"> i</w:t>
      </w:r>
      <w:r w:rsidR="00913665">
        <w:rPr>
          <w:noProof/>
        </w:rPr>
        <w:t> </w:t>
      </w:r>
      <w:r w:rsidR="00913665" w:rsidRPr="00913665">
        <w:rPr>
          <w:noProof/>
        </w:rPr>
        <w:t>dal</w:t>
      </w:r>
      <w:r w:rsidRPr="00913665">
        <w:rPr>
          <w:noProof/>
        </w:rPr>
        <w:t>szego propagowania rozważnego</w:t>
      </w:r>
      <w:r w:rsidR="00913665" w:rsidRPr="00913665">
        <w:rPr>
          <w:noProof/>
        </w:rPr>
        <w:t xml:space="preserve"> i</w:t>
      </w:r>
      <w:r w:rsidR="00913665">
        <w:rPr>
          <w:noProof/>
        </w:rPr>
        <w:t> </w:t>
      </w:r>
      <w:r w:rsidR="00913665" w:rsidRPr="00913665">
        <w:rPr>
          <w:noProof/>
        </w:rPr>
        <w:t>odp</w:t>
      </w:r>
      <w:r w:rsidRPr="00913665">
        <w:rPr>
          <w:noProof/>
        </w:rPr>
        <w:t>owiedzialnego stosowania antybiotyków. Aby przyspieszyć badania</w:t>
      </w:r>
      <w:r w:rsidR="00913665" w:rsidRPr="00913665">
        <w:rPr>
          <w:noProof/>
        </w:rPr>
        <w:t xml:space="preserve"> i</w:t>
      </w:r>
      <w:r w:rsidR="00913665">
        <w:rPr>
          <w:noProof/>
        </w:rPr>
        <w:t> </w:t>
      </w:r>
      <w:r w:rsidR="00913665" w:rsidRPr="00913665">
        <w:rPr>
          <w:noProof/>
        </w:rPr>
        <w:t>roz</w:t>
      </w:r>
      <w:r w:rsidRPr="00913665">
        <w:rPr>
          <w:noProof/>
        </w:rPr>
        <w:t>wój</w:t>
      </w:r>
      <w:r w:rsidR="00913665" w:rsidRPr="00913665">
        <w:rPr>
          <w:noProof/>
        </w:rPr>
        <w:t xml:space="preserve"> w</w:t>
      </w:r>
      <w:r w:rsidR="00913665">
        <w:rPr>
          <w:noProof/>
        </w:rPr>
        <w:t> </w:t>
      </w:r>
      <w:r w:rsidR="00913665" w:rsidRPr="00913665">
        <w:rPr>
          <w:noProof/>
        </w:rPr>
        <w:t>zak</w:t>
      </w:r>
      <w:r w:rsidRPr="00913665">
        <w:rPr>
          <w:noProof/>
        </w:rPr>
        <w:t>resie środków przeciwdrobnoustrojowych</w:t>
      </w:r>
      <w:r w:rsidR="00913665" w:rsidRPr="00913665">
        <w:rPr>
          <w:noProof/>
        </w:rPr>
        <w:t xml:space="preserve"> i</w:t>
      </w:r>
      <w:r w:rsidR="00913665">
        <w:rPr>
          <w:noProof/>
        </w:rPr>
        <w:t> </w:t>
      </w:r>
      <w:r w:rsidR="00913665" w:rsidRPr="00913665">
        <w:rPr>
          <w:noProof/>
        </w:rPr>
        <w:t>med</w:t>
      </w:r>
      <w:r w:rsidRPr="00913665">
        <w:rPr>
          <w:noProof/>
        </w:rPr>
        <w:t>ycznych środków przeciwdziałania na wypadek przyszłych pandemii, należy wspólnie</w:t>
      </w:r>
      <w:r w:rsidR="00913665" w:rsidRPr="00913665">
        <w:rPr>
          <w:noProof/>
        </w:rPr>
        <w:t xml:space="preserve"> z</w:t>
      </w:r>
      <w:r w:rsidR="00913665">
        <w:rPr>
          <w:noProof/>
        </w:rPr>
        <w:t> </w:t>
      </w:r>
      <w:r w:rsidR="00913665" w:rsidRPr="00913665">
        <w:rPr>
          <w:noProof/>
        </w:rPr>
        <w:t>pań</w:t>
      </w:r>
      <w:r w:rsidRPr="00913665">
        <w:rPr>
          <w:noProof/>
        </w:rPr>
        <w:t>stwami członkowskimi kontynuować prace nad tym, aby badania kliniczne w UE były atrakcyjne, wydajne</w:t>
      </w:r>
      <w:r w:rsidR="00913665" w:rsidRPr="00913665">
        <w:rPr>
          <w:noProof/>
        </w:rPr>
        <w:t xml:space="preserve"> i</w:t>
      </w:r>
      <w:r w:rsidR="00913665">
        <w:rPr>
          <w:noProof/>
        </w:rPr>
        <w:t> </w:t>
      </w:r>
      <w:r w:rsidR="00913665" w:rsidRPr="00913665">
        <w:rPr>
          <w:noProof/>
        </w:rPr>
        <w:t>szy</w:t>
      </w:r>
      <w:r w:rsidRPr="00913665">
        <w:rPr>
          <w:noProof/>
        </w:rPr>
        <w:t>bkie. Należy nadal rozwijać ogólnoeuropejskie badania kliniczne.</w:t>
      </w:r>
    </w:p>
    <w:p w14:paraId="30CFCAD5" w14:textId="6E1081E1" w:rsidR="00C8464D" w:rsidRPr="00913665" w:rsidRDefault="00C8464D" w:rsidP="00597730">
      <w:pPr>
        <w:pStyle w:val="BodyText"/>
        <w:kinsoku w:val="0"/>
        <w:overflowPunct w:val="0"/>
        <w:spacing w:before="240" w:line="276" w:lineRule="auto"/>
        <w:jc w:val="both"/>
        <w:rPr>
          <w:noProof/>
        </w:rPr>
      </w:pPr>
      <w:r w:rsidRPr="00913665">
        <w:rPr>
          <w:noProof/>
        </w:rPr>
        <w:t>Jednocześnie należy</w:t>
      </w:r>
      <w:r w:rsidR="00913665" w:rsidRPr="00913665">
        <w:rPr>
          <w:noProof/>
        </w:rPr>
        <w:t xml:space="preserve"> w</w:t>
      </w:r>
      <w:r w:rsidR="00913665">
        <w:rPr>
          <w:noProof/>
        </w:rPr>
        <w:t> </w:t>
      </w:r>
      <w:r w:rsidR="00913665" w:rsidRPr="00913665">
        <w:rPr>
          <w:noProof/>
        </w:rPr>
        <w:t>dal</w:t>
      </w:r>
      <w:r w:rsidRPr="00913665">
        <w:rPr>
          <w:noProof/>
        </w:rPr>
        <w:t>szym ciągu wzmacniać systemy opieki zdrowotnej, skupiając się przede wszystkim na odpornym, dobrze wyszkolonym personelu medycznym, przy uwzględnieniu doświadczeń płynących</w:t>
      </w:r>
      <w:r w:rsidR="00913665" w:rsidRPr="00913665">
        <w:rPr>
          <w:noProof/>
        </w:rPr>
        <w:t xml:space="preserve"> z</w:t>
      </w:r>
      <w:r w:rsidR="00913665">
        <w:rPr>
          <w:noProof/>
        </w:rPr>
        <w:t> </w:t>
      </w:r>
      <w:r w:rsidR="00913665" w:rsidRPr="00913665">
        <w:rPr>
          <w:noProof/>
        </w:rPr>
        <w:t>pan</w:t>
      </w:r>
      <w:r w:rsidRPr="00913665">
        <w:rPr>
          <w:noProof/>
        </w:rPr>
        <w:t>demii COVID-19 i ze świadomością stojących przed nami wyzwań. Komisja będzie nadal wspierać reformę krajowych systemów opieki zdrowotnej, zapewniając doradztwo</w:t>
      </w:r>
      <w:r w:rsidR="00913665" w:rsidRPr="00913665">
        <w:rPr>
          <w:noProof/>
        </w:rPr>
        <w:t xml:space="preserve"> i</w:t>
      </w:r>
      <w:r w:rsidR="00913665">
        <w:rPr>
          <w:noProof/>
        </w:rPr>
        <w:t> </w:t>
      </w:r>
      <w:r w:rsidR="00913665" w:rsidRPr="00913665">
        <w:rPr>
          <w:noProof/>
        </w:rPr>
        <w:t>fin</w:t>
      </w:r>
      <w:r w:rsidRPr="00913665">
        <w:rPr>
          <w:noProof/>
        </w:rPr>
        <w:t>ansowanie ze środków UE.</w:t>
      </w:r>
    </w:p>
    <w:p w14:paraId="5E9F4671" w14:textId="121A2C3E" w:rsidR="007D7F6D" w:rsidRPr="00913665" w:rsidRDefault="00C8464D" w:rsidP="00597730">
      <w:pPr>
        <w:pStyle w:val="BodyText"/>
        <w:kinsoku w:val="0"/>
        <w:overflowPunct w:val="0"/>
        <w:spacing w:before="240" w:line="276" w:lineRule="auto"/>
        <w:jc w:val="both"/>
        <w:rPr>
          <w:noProof/>
        </w:rPr>
      </w:pPr>
      <w:r w:rsidRPr="00913665">
        <w:rPr>
          <w:noProof/>
        </w:rPr>
        <w:t>Społeczeństwo Europy starzeje się i ma to wpływ na politykę zdrowotną, której przedmiotem jest też długie życie</w:t>
      </w:r>
      <w:r w:rsidR="00913665" w:rsidRPr="00913665">
        <w:rPr>
          <w:noProof/>
        </w:rPr>
        <w:t xml:space="preserve"> w</w:t>
      </w:r>
      <w:r w:rsidR="00913665">
        <w:rPr>
          <w:noProof/>
        </w:rPr>
        <w:t> </w:t>
      </w:r>
      <w:r w:rsidR="00913665" w:rsidRPr="00913665">
        <w:rPr>
          <w:noProof/>
        </w:rPr>
        <w:t>zdr</w:t>
      </w:r>
      <w:r w:rsidRPr="00913665">
        <w:rPr>
          <w:noProof/>
        </w:rPr>
        <w:t>owiu</w:t>
      </w:r>
      <w:r w:rsidR="00913665" w:rsidRPr="00913665">
        <w:rPr>
          <w:noProof/>
        </w:rPr>
        <w:t xml:space="preserve"> i</w:t>
      </w:r>
      <w:r w:rsidR="00913665">
        <w:rPr>
          <w:noProof/>
        </w:rPr>
        <w:t> </w:t>
      </w:r>
      <w:r w:rsidR="00913665" w:rsidRPr="00913665">
        <w:rPr>
          <w:noProof/>
        </w:rPr>
        <w:t>cho</w:t>
      </w:r>
      <w:r w:rsidRPr="00913665">
        <w:rPr>
          <w:noProof/>
        </w:rPr>
        <w:t>roby niezakaźne,</w:t>
      </w:r>
      <w:r w:rsidR="00913665" w:rsidRPr="00913665">
        <w:rPr>
          <w:noProof/>
        </w:rPr>
        <w:t xml:space="preserve"> w</w:t>
      </w:r>
      <w:r w:rsidR="00913665">
        <w:rPr>
          <w:noProof/>
        </w:rPr>
        <w:t> </w:t>
      </w:r>
      <w:r w:rsidR="00913665" w:rsidRPr="00913665">
        <w:rPr>
          <w:noProof/>
        </w:rPr>
        <w:t>tym</w:t>
      </w:r>
      <w:r w:rsidRPr="00913665">
        <w:rPr>
          <w:noProof/>
        </w:rPr>
        <w:t xml:space="preserve"> choroby neurodegeneracyjne. Potrzebne będą badania nad długowiecznością, aby nasze społeczeństwa pozostały zdrowe pomimo starzenia się. Znalezienie skutecznych metod leczenia</w:t>
      </w:r>
      <w:r w:rsidR="00913665" w:rsidRPr="00913665">
        <w:rPr>
          <w:noProof/>
        </w:rPr>
        <w:t xml:space="preserve"> i</w:t>
      </w:r>
      <w:r w:rsidR="00913665">
        <w:rPr>
          <w:noProof/>
        </w:rPr>
        <w:t> </w:t>
      </w:r>
      <w:r w:rsidR="00913665" w:rsidRPr="00913665">
        <w:rPr>
          <w:noProof/>
        </w:rPr>
        <w:t>ter</w:t>
      </w:r>
      <w:r w:rsidRPr="00913665">
        <w:rPr>
          <w:noProof/>
        </w:rPr>
        <w:t>apii na wyniszczające schorzenia, takie jak choroba Alzheimera</w:t>
      </w:r>
      <w:r w:rsidR="00913665" w:rsidRPr="00913665">
        <w:rPr>
          <w:noProof/>
        </w:rPr>
        <w:t xml:space="preserve"> i</w:t>
      </w:r>
      <w:r w:rsidR="00913665">
        <w:rPr>
          <w:noProof/>
        </w:rPr>
        <w:t> </w:t>
      </w:r>
      <w:r w:rsidR="00913665" w:rsidRPr="00913665">
        <w:rPr>
          <w:noProof/>
        </w:rPr>
        <w:t>cho</w:t>
      </w:r>
      <w:r w:rsidRPr="00913665">
        <w:rPr>
          <w:noProof/>
        </w:rPr>
        <w:t>roba Parkinsona, wymaga znacznych inwestycji</w:t>
      </w:r>
      <w:r w:rsidR="00913665" w:rsidRPr="00913665">
        <w:rPr>
          <w:noProof/>
        </w:rPr>
        <w:t xml:space="preserve"> w</w:t>
      </w:r>
      <w:r w:rsidR="00913665">
        <w:rPr>
          <w:noProof/>
        </w:rPr>
        <w:t> </w:t>
      </w:r>
      <w:r w:rsidR="00913665" w:rsidRPr="00913665">
        <w:rPr>
          <w:noProof/>
        </w:rPr>
        <w:t>bad</w:t>
      </w:r>
      <w:r w:rsidRPr="00913665">
        <w:rPr>
          <w:noProof/>
        </w:rPr>
        <w:t>ania oraz współpracy międzynarodowej. Przyszłość opieki zdrowotnej będą też kształtować spersonalizowane podejścia do leczenia. Postępy</w:t>
      </w:r>
      <w:r w:rsidR="00913665" w:rsidRPr="00913665">
        <w:rPr>
          <w:noProof/>
        </w:rPr>
        <w:t xml:space="preserve"> w</w:t>
      </w:r>
      <w:r w:rsidR="00913665">
        <w:rPr>
          <w:noProof/>
        </w:rPr>
        <w:t> </w:t>
      </w:r>
      <w:r w:rsidR="00913665" w:rsidRPr="00913665">
        <w:rPr>
          <w:noProof/>
        </w:rPr>
        <w:t>zak</w:t>
      </w:r>
      <w:r w:rsidRPr="00913665">
        <w:rPr>
          <w:noProof/>
        </w:rPr>
        <w:t>resie genomiki</w:t>
      </w:r>
      <w:r w:rsidR="00913665" w:rsidRPr="00913665">
        <w:rPr>
          <w:noProof/>
        </w:rPr>
        <w:t xml:space="preserve"> i</w:t>
      </w:r>
      <w:r w:rsidR="00913665">
        <w:rPr>
          <w:noProof/>
        </w:rPr>
        <w:t> </w:t>
      </w:r>
      <w:r w:rsidR="00913665" w:rsidRPr="00913665">
        <w:rPr>
          <w:noProof/>
        </w:rPr>
        <w:t>tec</w:t>
      </w:r>
      <w:r w:rsidRPr="00913665">
        <w:rPr>
          <w:noProof/>
        </w:rPr>
        <w:t>hnologii danych, takich jak sztuczna inteligencja, mogą umożliwić dostosowanie metod leczenia, poprawę ich skuteczności</w:t>
      </w:r>
      <w:r w:rsidR="00913665" w:rsidRPr="00913665">
        <w:rPr>
          <w:noProof/>
        </w:rPr>
        <w:t xml:space="preserve"> i</w:t>
      </w:r>
      <w:r w:rsidR="00913665">
        <w:rPr>
          <w:noProof/>
        </w:rPr>
        <w:t> </w:t>
      </w:r>
      <w:r w:rsidR="00913665" w:rsidRPr="00913665">
        <w:rPr>
          <w:noProof/>
        </w:rPr>
        <w:t>ogr</w:t>
      </w:r>
      <w:r w:rsidRPr="00913665">
        <w:rPr>
          <w:noProof/>
        </w:rPr>
        <w:t>aniczenie działań niepożądanych.</w:t>
      </w:r>
    </w:p>
    <w:p w14:paraId="3CFBC33C" w14:textId="35BCAE71" w:rsidR="00C8464D" w:rsidRPr="00913665" w:rsidRDefault="00C8464D" w:rsidP="00597730">
      <w:pPr>
        <w:pStyle w:val="BodyText"/>
        <w:kinsoku w:val="0"/>
        <w:overflowPunct w:val="0"/>
        <w:spacing w:before="240" w:line="276" w:lineRule="auto"/>
        <w:jc w:val="both"/>
        <w:rPr>
          <w:noProof/>
        </w:rPr>
      </w:pPr>
      <w:r w:rsidRPr="00913665">
        <w:rPr>
          <w:noProof/>
        </w:rPr>
        <w:t>Głównym priorytetem pozostają też choroby niezakaźne. UE wykazała się zaangażowaniem</w:t>
      </w:r>
      <w:r w:rsidR="00913665" w:rsidRPr="00913665">
        <w:rPr>
          <w:noProof/>
        </w:rPr>
        <w:t xml:space="preserve"> w</w:t>
      </w:r>
      <w:r w:rsidR="00913665">
        <w:rPr>
          <w:noProof/>
        </w:rPr>
        <w:t> </w:t>
      </w:r>
      <w:r w:rsidR="00913665" w:rsidRPr="00913665">
        <w:rPr>
          <w:noProof/>
        </w:rPr>
        <w:t>zwa</w:t>
      </w:r>
      <w:r w:rsidRPr="00913665">
        <w:rPr>
          <w:noProof/>
        </w:rPr>
        <w:t>lczanie chorób niezakaźnych, ze szczególnym naciskiem na profilaktykę przez całe życie, promowanie zdrowego stylu życia</w:t>
      </w:r>
      <w:r w:rsidR="00913665" w:rsidRPr="00913665">
        <w:rPr>
          <w:noProof/>
        </w:rPr>
        <w:t xml:space="preserve"> i</w:t>
      </w:r>
      <w:r w:rsidR="00913665">
        <w:rPr>
          <w:noProof/>
        </w:rPr>
        <w:t> </w:t>
      </w:r>
      <w:r w:rsidR="00913665" w:rsidRPr="00913665">
        <w:rPr>
          <w:noProof/>
        </w:rPr>
        <w:t>koo</w:t>
      </w:r>
      <w:r w:rsidRPr="00913665">
        <w:rPr>
          <w:noProof/>
        </w:rPr>
        <w:t>rdynację polityki międzysektorowej, za wzór mając europejski plan walki</w:t>
      </w:r>
      <w:r w:rsidR="00913665" w:rsidRPr="00913665">
        <w:rPr>
          <w:noProof/>
        </w:rPr>
        <w:t xml:space="preserve"> z</w:t>
      </w:r>
      <w:r w:rsidR="00913665">
        <w:rPr>
          <w:noProof/>
        </w:rPr>
        <w:t> </w:t>
      </w:r>
      <w:r w:rsidR="00913665" w:rsidRPr="00913665">
        <w:rPr>
          <w:noProof/>
        </w:rPr>
        <w:t>rak</w:t>
      </w:r>
      <w:r w:rsidRPr="00913665">
        <w:rPr>
          <w:noProof/>
        </w:rPr>
        <w:t>iem oraz wzmacniając istniejące inicjatywy, takie jak inicjatywa „Zdrowsi razem”, aby stawić czoła kluczowym wyzwaniom, takim jak choroby układu krążenia</w:t>
      </w:r>
      <w:r w:rsidR="00913665" w:rsidRPr="00913665">
        <w:rPr>
          <w:noProof/>
        </w:rPr>
        <w:t>. W</w:t>
      </w:r>
      <w:r w:rsidR="00913665">
        <w:rPr>
          <w:noProof/>
        </w:rPr>
        <w:t> </w:t>
      </w:r>
      <w:r w:rsidR="00913665" w:rsidRPr="00913665">
        <w:rPr>
          <w:noProof/>
        </w:rPr>
        <w:t>kom</w:t>
      </w:r>
      <w:r w:rsidRPr="00913665">
        <w:rPr>
          <w:noProof/>
        </w:rPr>
        <w:t>unikacie</w:t>
      </w:r>
      <w:r w:rsidR="00913665" w:rsidRPr="00913665">
        <w:rPr>
          <w:noProof/>
        </w:rPr>
        <w:t xml:space="preserve"> w</w:t>
      </w:r>
      <w:r w:rsidR="00913665">
        <w:rPr>
          <w:noProof/>
        </w:rPr>
        <w:t> </w:t>
      </w:r>
      <w:r w:rsidR="00913665" w:rsidRPr="00913665">
        <w:rPr>
          <w:noProof/>
        </w:rPr>
        <w:t>spr</w:t>
      </w:r>
      <w:r w:rsidRPr="00913665">
        <w:rPr>
          <w:noProof/>
        </w:rPr>
        <w:t>awie zdrowia psychicznego</w:t>
      </w:r>
      <w:r w:rsidR="00913665" w:rsidRPr="00913665">
        <w:rPr>
          <w:noProof/>
        </w:rPr>
        <w:t xml:space="preserve"> z</w:t>
      </w:r>
      <w:r w:rsidR="00913665">
        <w:rPr>
          <w:noProof/>
        </w:rPr>
        <w:t> </w:t>
      </w:r>
      <w:r w:rsidR="00913665" w:rsidRPr="00913665">
        <w:rPr>
          <w:noProof/>
        </w:rPr>
        <w:t>2</w:t>
      </w:r>
      <w:r w:rsidRPr="00913665">
        <w:rPr>
          <w:noProof/>
        </w:rPr>
        <w:t>023 r. Komisja zapowiedziała, że będzie nadal priorytetowo traktować grupy szczególne wrażliwe, ze szczególnym uwzględnieniem dzieci</w:t>
      </w:r>
      <w:r w:rsidR="00913665" w:rsidRPr="00913665">
        <w:rPr>
          <w:noProof/>
        </w:rPr>
        <w:t xml:space="preserve"> i</w:t>
      </w:r>
      <w:r w:rsidR="00913665">
        <w:rPr>
          <w:noProof/>
        </w:rPr>
        <w:t> </w:t>
      </w:r>
      <w:r w:rsidR="00913665" w:rsidRPr="00913665">
        <w:rPr>
          <w:noProof/>
        </w:rPr>
        <w:t>mło</w:t>
      </w:r>
      <w:r w:rsidRPr="00913665">
        <w:rPr>
          <w:noProof/>
        </w:rPr>
        <w:t>dzieży. Europejska Unia Zdrowotna już teraz przygotowuje się na te wyzwania. Europejska przestrzeń danych dotyczących zdrowia może zrewolucjonizować opiekę zdrowotną w UE, maksymalizując ogromny potencjał e-zdrowia. Obecne, obowiązujące do</w:t>
      </w:r>
      <w:r w:rsidR="00913665" w:rsidRPr="00913665">
        <w:rPr>
          <w:noProof/>
        </w:rPr>
        <w:t> </w:t>
      </w:r>
      <w:r w:rsidRPr="00913665">
        <w:rPr>
          <w:noProof/>
        </w:rPr>
        <w:t>2027</w:t>
      </w:r>
      <w:r w:rsidR="00913665" w:rsidRPr="00913665">
        <w:rPr>
          <w:noProof/>
        </w:rPr>
        <w:t> </w:t>
      </w:r>
      <w:r w:rsidRPr="00913665">
        <w:rPr>
          <w:noProof/>
        </w:rPr>
        <w:t>r. wieloletnie ramy finansowe będą</w:t>
      </w:r>
      <w:r w:rsidR="00913665" w:rsidRPr="00913665">
        <w:rPr>
          <w:noProof/>
        </w:rPr>
        <w:t xml:space="preserve"> w</w:t>
      </w:r>
      <w:r w:rsidR="00913665">
        <w:rPr>
          <w:noProof/>
        </w:rPr>
        <w:t> </w:t>
      </w:r>
      <w:r w:rsidR="00913665" w:rsidRPr="00913665">
        <w:rPr>
          <w:noProof/>
        </w:rPr>
        <w:t>dal</w:t>
      </w:r>
      <w:r w:rsidRPr="00913665">
        <w:rPr>
          <w:noProof/>
        </w:rPr>
        <w:t>szym ciągu zapewniać wsparcie finansowe</w:t>
      </w:r>
      <w:r w:rsidR="00913665" w:rsidRPr="00913665">
        <w:rPr>
          <w:noProof/>
        </w:rPr>
        <w:t xml:space="preserve"> i</w:t>
      </w:r>
      <w:r w:rsidR="00913665">
        <w:rPr>
          <w:noProof/>
        </w:rPr>
        <w:t> </w:t>
      </w:r>
      <w:r w:rsidR="00913665" w:rsidRPr="00913665">
        <w:rPr>
          <w:noProof/>
        </w:rPr>
        <w:t>tec</w:t>
      </w:r>
      <w:r w:rsidRPr="00913665">
        <w:rPr>
          <w:noProof/>
        </w:rPr>
        <w:t>hniczne państwom członkowskim</w:t>
      </w:r>
      <w:r w:rsidR="00913665" w:rsidRPr="00913665">
        <w:rPr>
          <w:noProof/>
        </w:rPr>
        <w:t xml:space="preserve"> i</w:t>
      </w:r>
      <w:r w:rsidR="00913665">
        <w:rPr>
          <w:noProof/>
        </w:rPr>
        <w:t> </w:t>
      </w:r>
      <w:r w:rsidR="00913665" w:rsidRPr="00913665">
        <w:rPr>
          <w:noProof/>
        </w:rPr>
        <w:t>zai</w:t>
      </w:r>
      <w:r w:rsidRPr="00913665">
        <w:rPr>
          <w:noProof/>
        </w:rPr>
        <w:t>nteresowanym stronom</w:t>
      </w:r>
      <w:r w:rsidR="00913665" w:rsidRPr="00913665">
        <w:rPr>
          <w:noProof/>
        </w:rPr>
        <w:t xml:space="preserve"> w</w:t>
      </w:r>
      <w:r w:rsidR="00913665">
        <w:rPr>
          <w:noProof/>
        </w:rPr>
        <w:t> </w:t>
      </w:r>
      <w:r w:rsidR="00913665" w:rsidRPr="00913665">
        <w:rPr>
          <w:noProof/>
        </w:rPr>
        <w:t>tym</w:t>
      </w:r>
      <w:r w:rsidRPr="00913665">
        <w:rPr>
          <w:noProof/>
        </w:rPr>
        <w:t xml:space="preserve"> obszarze,</w:t>
      </w:r>
      <w:r w:rsidR="00913665" w:rsidRPr="00913665">
        <w:rPr>
          <w:noProof/>
        </w:rPr>
        <w:t xml:space="preserve"> w</w:t>
      </w:r>
      <w:r w:rsidR="00913665">
        <w:rPr>
          <w:noProof/>
        </w:rPr>
        <w:t> </w:t>
      </w:r>
      <w:r w:rsidR="00913665" w:rsidRPr="00913665">
        <w:rPr>
          <w:noProof/>
        </w:rPr>
        <w:t>tym</w:t>
      </w:r>
      <w:r w:rsidRPr="00913665">
        <w:rPr>
          <w:noProof/>
        </w:rPr>
        <w:t xml:space="preserve"> za pośrednictwem Programu UE dla zdrowia</w:t>
      </w:r>
      <w:r w:rsidR="00913665" w:rsidRPr="00913665">
        <w:rPr>
          <w:noProof/>
        </w:rPr>
        <w:t xml:space="preserve"> i</w:t>
      </w:r>
      <w:r w:rsidR="00913665">
        <w:rPr>
          <w:noProof/>
        </w:rPr>
        <w:t> </w:t>
      </w:r>
      <w:r w:rsidR="00913665" w:rsidRPr="00913665">
        <w:rPr>
          <w:noProof/>
        </w:rPr>
        <w:t>pro</w:t>
      </w:r>
      <w:r w:rsidRPr="00913665">
        <w:rPr>
          <w:noProof/>
        </w:rPr>
        <w:t>gramu „Cyfrowa Europa”. Należy też ustalić,</w:t>
      </w:r>
      <w:r w:rsidR="00913665" w:rsidRPr="00913665">
        <w:rPr>
          <w:noProof/>
        </w:rPr>
        <w:t xml:space="preserve"> w</w:t>
      </w:r>
      <w:r w:rsidR="00913665">
        <w:rPr>
          <w:noProof/>
        </w:rPr>
        <w:t> </w:t>
      </w:r>
      <w:r w:rsidR="00913665" w:rsidRPr="00913665">
        <w:rPr>
          <w:noProof/>
        </w:rPr>
        <w:t>jak</w:t>
      </w:r>
      <w:r w:rsidRPr="00913665">
        <w:rPr>
          <w:noProof/>
        </w:rPr>
        <w:t>i sposób włączyć sztuczną inteligencję do opieki zdrowotnej</w:t>
      </w:r>
      <w:r w:rsidR="00913665" w:rsidRPr="00913665">
        <w:rPr>
          <w:noProof/>
        </w:rPr>
        <w:t xml:space="preserve"> i</w:t>
      </w:r>
      <w:r w:rsidR="00913665">
        <w:rPr>
          <w:noProof/>
        </w:rPr>
        <w:t> </w:t>
      </w:r>
      <w:r w:rsidR="00913665" w:rsidRPr="00913665">
        <w:rPr>
          <w:noProof/>
        </w:rPr>
        <w:t>pod</w:t>
      </w:r>
      <w:r w:rsidRPr="00913665">
        <w:rPr>
          <w:noProof/>
        </w:rPr>
        <w:t>nosić kwalifikacje cyfrowe pracowników służby zdrowia</w:t>
      </w:r>
      <w:r w:rsidR="00913665" w:rsidRPr="00913665">
        <w:rPr>
          <w:noProof/>
        </w:rPr>
        <w:t xml:space="preserve"> w</w:t>
      </w:r>
      <w:r w:rsidR="00913665">
        <w:rPr>
          <w:noProof/>
        </w:rPr>
        <w:t> </w:t>
      </w:r>
      <w:r w:rsidR="00913665" w:rsidRPr="00913665">
        <w:rPr>
          <w:noProof/>
        </w:rPr>
        <w:t>cel</w:t>
      </w:r>
      <w:r w:rsidRPr="00913665">
        <w:rPr>
          <w:noProof/>
        </w:rPr>
        <w:t>u poprawy efektywności, dostępności</w:t>
      </w:r>
      <w:r w:rsidR="00913665" w:rsidRPr="00913665">
        <w:rPr>
          <w:noProof/>
        </w:rPr>
        <w:t xml:space="preserve"> i</w:t>
      </w:r>
      <w:r w:rsidR="00913665">
        <w:rPr>
          <w:noProof/>
        </w:rPr>
        <w:t> </w:t>
      </w:r>
      <w:r w:rsidR="00913665" w:rsidRPr="00913665">
        <w:rPr>
          <w:noProof/>
        </w:rPr>
        <w:t>zró</w:t>
      </w:r>
      <w:r w:rsidRPr="00913665">
        <w:rPr>
          <w:noProof/>
        </w:rPr>
        <w:t>wnoważonego rozwoju.</w:t>
      </w:r>
    </w:p>
    <w:p w14:paraId="217DB814" w14:textId="19A2379C" w:rsidR="00C8464D" w:rsidRPr="00913665" w:rsidRDefault="00C8464D" w:rsidP="00597730">
      <w:pPr>
        <w:pStyle w:val="BodyText"/>
        <w:kinsoku w:val="0"/>
        <w:overflowPunct w:val="0"/>
        <w:spacing w:before="240" w:line="276" w:lineRule="auto"/>
        <w:jc w:val="both"/>
        <w:rPr>
          <w:noProof/>
        </w:rPr>
      </w:pPr>
      <w:r w:rsidRPr="00913665">
        <w:rPr>
          <w:noProof/>
        </w:rPr>
        <w:t>Poważne zagrożenia dla zdrowia – od rosnących zagrożeń związanych</w:t>
      </w:r>
      <w:r w:rsidR="00913665" w:rsidRPr="00913665">
        <w:rPr>
          <w:noProof/>
        </w:rPr>
        <w:t xml:space="preserve"> z</w:t>
      </w:r>
      <w:r w:rsidR="00913665">
        <w:rPr>
          <w:noProof/>
        </w:rPr>
        <w:t> </w:t>
      </w:r>
      <w:r w:rsidR="00913665" w:rsidRPr="00913665">
        <w:rPr>
          <w:noProof/>
        </w:rPr>
        <w:t>pan</w:t>
      </w:r>
      <w:r w:rsidRPr="00913665">
        <w:rPr>
          <w:noProof/>
        </w:rPr>
        <w:t>demią lub epidemią po skutki zmiany klimatu</w:t>
      </w:r>
      <w:r w:rsidR="00913665" w:rsidRPr="00913665">
        <w:rPr>
          <w:noProof/>
        </w:rPr>
        <w:t xml:space="preserve"> i</w:t>
      </w:r>
      <w:r w:rsidR="00913665">
        <w:rPr>
          <w:noProof/>
        </w:rPr>
        <w:t> </w:t>
      </w:r>
      <w:r w:rsidR="00913665" w:rsidRPr="00913665">
        <w:rPr>
          <w:noProof/>
        </w:rPr>
        <w:t>cho</w:t>
      </w:r>
      <w:r w:rsidRPr="00913665">
        <w:rPr>
          <w:noProof/>
        </w:rPr>
        <w:t>roby niezakaźne – są wzajemnie powiązane</w:t>
      </w:r>
      <w:r w:rsidR="00913665" w:rsidRPr="00913665">
        <w:rPr>
          <w:noProof/>
        </w:rPr>
        <w:t xml:space="preserve"> i</w:t>
      </w:r>
      <w:r w:rsidR="00913665">
        <w:rPr>
          <w:noProof/>
        </w:rPr>
        <w:t> </w:t>
      </w:r>
      <w:r w:rsidR="00913665" w:rsidRPr="00913665">
        <w:rPr>
          <w:noProof/>
        </w:rPr>
        <w:t>wyn</w:t>
      </w:r>
      <w:r w:rsidRPr="00913665">
        <w:rPr>
          <w:noProof/>
        </w:rPr>
        <w:t>ikają</w:t>
      </w:r>
      <w:r w:rsidR="00913665" w:rsidRPr="00913665">
        <w:rPr>
          <w:noProof/>
        </w:rPr>
        <w:t xml:space="preserve"> z</w:t>
      </w:r>
      <w:r w:rsidR="00913665">
        <w:rPr>
          <w:noProof/>
        </w:rPr>
        <w:t> </w:t>
      </w:r>
      <w:r w:rsidR="00913665" w:rsidRPr="00913665">
        <w:rPr>
          <w:noProof/>
        </w:rPr>
        <w:t>pot</w:t>
      </w:r>
      <w:r w:rsidRPr="00913665">
        <w:rPr>
          <w:noProof/>
        </w:rPr>
        <w:t>rójnego kryzysu planetarnego. Silna, innowacyjna</w:t>
      </w:r>
      <w:r w:rsidR="00913665" w:rsidRPr="00913665">
        <w:rPr>
          <w:noProof/>
        </w:rPr>
        <w:t xml:space="preserve"> i</w:t>
      </w:r>
      <w:r w:rsidR="00913665">
        <w:rPr>
          <w:noProof/>
        </w:rPr>
        <w:t> </w:t>
      </w:r>
      <w:r w:rsidR="00913665" w:rsidRPr="00913665">
        <w:rPr>
          <w:noProof/>
        </w:rPr>
        <w:t>spr</w:t>
      </w:r>
      <w:r w:rsidRPr="00913665">
        <w:rPr>
          <w:noProof/>
        </w:rPr>
        <w:t>zyjająca włączeniu społecznemu Europejska Unia Zdrowotna wymaga współpracy na wszystkich szczeblach</w:t>
      </w:r>
      <w:r w:rsidR="00913665" w:rsidRPr="00913665">
        <w:rPr>
          <w:noProof/>
        </w:rPr>
        <w:t xml:space="preserve"> w</w:t>
      </w:r>
      <w:r w:rsidR="00913665">
        <w:rPr>
          <w:noProof/>
        </w:rPr>
        <w:t> </w:t>
      </w:r>
      <w:r w:rsidR="00913665" w:rsidRPr="00913665">
        <w:rPr>
          <w:noProof/>
        </w:rPr>
        <w:t>ram</w:t>
      </w:r>
      <w:r w:rsidRPr="00913665">
        <w:rPr>
          <w:noProof/>
        </w:rPr>
        <w:t>ach podejścia „Jedno zdrowie”.</w:t>
      </w:r>
    </w:p>
    <w:p w14:paraId="6F0BA497" w14:textId="0E36A4DD" w:rsidR="00C8464D" w:rsidRPr="00913665" w:rsidRDefault="00C8464D" w:rsidP="00597730">
      <w:pPr>
        <w:pStyle w:val="BodyText"/>
        <w:kinsoku w:val="0"/>
        <w:overflowPunct w:val="0"/>
        <w:spacing w:before="240" w:line="276" w:lineRule="auto"/>
        <w:jc w:val="both"/>
        <w:rPr>
          <w:noProof/>
        </w:rPr>
      </w:pPr>
      <w:r w:rsidRPr="00913665">
        <w:rPr>
          <w:noProof/>
        </w:rPr>
        <w:t>Ponadto,</w:t>
      </w:r>
      <w:r w:rsidR="00913665" w:rsidRPr="00913665">
        <w:rPr>
          <w:noProof/>
        </w:rPr>
        <w:t xml:space="preserve"> w</w:t>
      </w:r>
      <w:r w:rsidR="00913665">
        <w:rPr>
          <w:noProof/>
        </w:rPr>
        <w:t> </w:t>
      </w:r>
      <w:r w:rsidR="00913665" w:rsidRPr="00913665">
        <w:rPr>
          <w:noProof/>
        </w:rPr>
        <w:t>tok</w:t>
      </w:r>
      <w:r w:rsidRPr="00913665">
        <w:rPr>
          <w:noProof/>
        </w:rPr>
        <w:t>u przygotowań do większej Unii należy</w:t>
      </w:r>
      <w:r w:rsidR="00913665" w:rsidRPr="00913665">
        <w:rPr>
          <w:noProof/>
        </w:rPr>
        <w:t xml:space="preserve"> w</w:t>
      </w:r>
      <w:r w:rsidR="00913665">
        <w:rPr>
          <w:noProof/>
        </w:rPr>
        <w:t> </w:t>
      </w:r>
      <w:r w:rsidR="00913665" w:rsidRPr="00913665">
        <w:rPr>
          <w:noProof/>
        </w:rPr>
        <w:t>nad</w:t>
      </w:r>
      <w:r w:rsidRPr="00913665">
        <w:rPr>
          <w:noProof/>
        </w:rPr>
        <w:t>chodzących latach zadbać o to, aby przyszła rozszerzona UE była odporna na wyzwania zdrowotne oraz aby dobrze skoordynować politykę zdrowia publicznego między państwami członkowskimi oraz krajami uczestniczącymi</w:t>
      </w:r>
      <w:r w:rsidR="00913665" w:rsidRPr="00913665">
        <w:rPr>
          <w:noProof/>
        </w:rPr>
        <w:t xml:space="preserve"> w</w:t>
      </w:r>
      <w:r w:rsidR="00913665">
        <w:rPr>
          <w:noProof/>
        </w:rPr>
        <w:t> </w:t>
      </w:r>
      <w:r w:rsidR="00913665" w:rsidRPr="00913665">
        <w:rPr>
          <w:noProof/>
        </w:rPr>
        <w:t>pro</w:t>
      </w:r>
      <w:r w:rsidRPr="00913665">
        <w:rPr>
          <w:noProof/>
        </w:rPr>
        <w:t>cesie akcesyjnym.</w:t>
      </w:r>
    </w:p>
    <w:p w14:paraId="2CB62014" w14:textId="77777777" w:rsidR="00C8464D" w:rsidRPr="00913665" w:rsidRDefault="00C8464D" w:rsidP="00597730">
      <w:pPr>
        <w:pStyle w:val="Heading1"/>
        <w:numPr>
          <w:ilvl w:val="0"/>
          <w:numId w:val="6"/>
        </w:numPr>
        <w:tabs>
          <w:tab w:val="left" w:pos="1288"/>
        </w:tabs>
        <w:kinsoku w:val="0"/>
        <w:overflowPunct w:val="0"/>
        <w:spacing w:before="240" w:line="276" w:lineRule="auto"/>
        <w:ind w:left="0" w:firstLine="0"/>
        <w:jc w:val="both"/>
        <w:rPr>
          <w:noProof/>
          <w:color w:val="2E5395"/>
          <w:spacing w:val="-2"/>
        </w:rPr>
      </w:pPr>
      <w:bookmarkStart w:id="20" w:name="7._Conclusion"/>
      <w:bookmarkEnd w:id="20"/>
      <w:r w:rsidRPr="00913665">
        <w:rPr>
          <w:noProof/>
          <w:color w:val="2E5395"/>
        </w:rPr>
        <w:t>Wniosek</w:t>
      </w:r>
    </w:p>
    <w:p w14:paraId="0C5BB14A" w14:textId="7245294A" w:rsidR="00A448D2" w:rsidRPr="00913665" w:rsidRDefault="00C8464D" w:rsidP="00597730">
      <w:pPr>
        <w:pStyle w:val="BodyText"/>
        <w:kinsoku w:val="0"/>
        <w:overflowPunct w:val="0"/>
        <w:spacing w:before="240" w:line="276" w:lineRule="auto"/>
        <w:jc w:val="both"/>
        <w:rPr>
          <w:noProof/>
        </w:rPr>
      </w:pPr>
      <w:r w:rsidRPr="00913665">
        <w:rPr>
          <w:noProof/>
        </w:rPr>
        <w:t>Pandemia COVID-19 była globalnym kryzysem zdrowotnym, który wywrócił nasz świat do góry nogami. Pandemia zagroziła naszym społeczeństwom, naszej gospodarce</w:t>
      </w:r>
      <w:r w:rsidR="00913665" w:rsidRPr="00913665">
        <w:rPr>
          <w:noProof/>
        </w:rPr>
        <w:t xml:space="preserve"> i</w:t>
      </w:r>
      <w:r w:rsidR="00913665">
        <w:rPr>
          <w:noProof/>
        </w:rPr>
        <w:t> </w:t>
      </w:r>
      <w:r w:rsidR="00913665" w:rsidRPr="00913665">
        <w:rPr>
          <w:noProof/>
        </w:rPr>
        <w:t>nas</w:t>
      </w:r>
      <w:r w:rsidRPr="00913665">
        <w:rPr>
          <w:noProof/>
        </w:rPr>
        <w:t>zemu europejskiemu stylowi życia. Wyeksponowała również słabe punkty naszych systemów opieki zdrowotnej</w:t>
      </w:r>
      <w:r w:rsidR="00913665" w:rsidRPr="00913665">
        <w:rPr>
          <w:noProof/>
        </w:rPr>
        <w:t xml:space="preserve"> i</w:t>
      </w:r>
      <w:r w:rsidR="00913665">
        <w:rPr>
          <w:noProof/>
        </w:rPr>
        <w:t> </w:t>
      </w:r>
      <w:r w:rsidR="00913665" w:rsidRPr="00913665">
        <w:rPr>
          <w:noProof/>
        </w:rPr>
        <w:t>był</w:t>
      </w:r>
      <w:r w:rsidRPr="00913665">
        <w:rPr>
          <w:noProof/>
        </w:rPr>
        <w:t>a dla nas ważną lekcją. Innowacyjne metody pracy stosowane podczas pandemii COVID-19 i po jej zakończeniu wskazują, że UE może działać</w:t>
      </w:r>
      <w:r w:rsidR="00913665" w:rsidRPr="00913665">
        <w:rPr>
          <w:noProof/>
        </w:rPr>
        <w:t xml:space="preserve"> w</w:t>
      </w:r>
      <w:r w:rsidR="00913665">
        <w:rPr>
          <w:noProof/>
        </w:rPr>
        <w:t> </w:t>
      </w:r>
      <w:r w:rsidR="00913665" w:rsidRPr="00913665">
        <w:rPr>
          <w:noProof/>
        </w:rPr>
        <w:t>spo</w:t>
      </w:r>
      <w:r w:rsidRPr="00913665">
        <w:rPr>
          <w:noProof/>
        </w:rPr>
        <w:t>sób zdecydowany</w:t>
      </w:r>
      <w:r w:rsidR="00913665" w:rsidRPr="00913665">
        <w:rPr>
          <w:noProof/>
        </w:rPr>
        <w:t xml:space="preserve"> i</w:t>
      </w:r>
      <w:r w:rsidR="00913665">
        <w:rPr>
          <w:noProof/>
        </w:rPr>
        <w:t> </w:t>
      </w:r>
      <w:r w:rsidR="00913665" w:rsidRPr="00913665">
        <w:rPr>
          <w:noProof/>
        </w:rPr>
        <w:t>zje</w:t>
      </w:r>
      <w:r w:rsidRPr="00913665">
        <w:rPr>
          <w:noProof/>
        </w:rPr>
        <w:t>dnoczony, kreatywnie stosując obowiązujące zasady</w:t>
      </w:r>
      <w:r w:rsidR="00913665" w:rsidRPr="00913665">
        <w:rPr>
          <w:noProof/>
        </w:rPr>
        <w:t xml:space="preserve"> z</w:t>
      </w:r>
      <w:r w:rsidR="00913665">
        <w:rPr>
          <w:noProof/>
        </w:rPr>
        <w:t> </w:t>
      </w:r>
      <w:r w:rsidR="00913665" w:rsidRPr="00913665">
        <w:rPr>
          <w:noProof/>
        </w:rPr>
        <w:t>kor</w:t>
      </w:r>
      <w:r w:rsidRPr="00913665">
        <w:rPr>
          <w:noProof/>
        </w:rPr>
        <w:t>zyścią dla swoich obywateli. Najważniejsza lekcja była jednocześnie najprostsza – jesteśmy silniejsi</w:t>
      </w:r>
      <w:r w:rsidR="00913665" w:rsidRPr="00913665">
        <w:rPr>
          <w:noProof/>
        </w:rPr>
        <w:t xml:space="preserve"> i</w:t>
      </w:r>
      <w:r w:rsidR="00913665">
        <w:rPr>
          <w:noProof/>
        </w:rPr>
        <w:t> </w:t>
      </w:r>
      <w:r w:rsidR="00913665" w:rsidRPr="00913665">
        <w:rPr>
          <w:noProof/>
        </w:rPr>
        <w:t>bar</w:t>
      </w:r>
      <w:r w:rsidRPr="00913665">
        <w:rPr>
          <w:noProof/>
        </w:rPr>
        <w:t>dziej odporni, gdy Komisja</w:t>
      </w:r>
      <w:r w:rsidR="00913665" w:rsidRPr="00913665">
        <w:rPr>
          <w:noProof/>
        </w:rPr>
        <w:t xml:space="preserve"> i</w:t>
      </w:r>
      <w:r w:rsidR="00913665">
        <w:rPr>
          <w:noProof/>
        </w:rPr>
        <w:t> </w:t>
      </w:r>
      <w:r w:rsidR="00913665" w:rsidRPr="00913665">
        <w:rPr>
          <w:noProof/>
        </w:rPr>
        <w:t>wsz</w:t>
      </w:r>
      <w:r w:rsidRPr="00913665">
        <w:rPr>
          <w:noProof/>
        </w:rPr>
        <w:t>ystkie państwa członkowskie UE współpracują</w:t>
      </w:r>
      <w:r w:rsidR="00913665" w:rsidRPr="00913665">
        <w:rPr>
          <w:noProof/>
        </w:rPr>
        <w:t xml:space="preserve"> w</w:t>
      </w:r>
      <w:r w:rsidR="00913665">
        <w:rPr>
          <w:noProof/>
        </w:rPr>
        <w:t> </w:t>
      </w:r>
      <w:r w:rsidR="00913665" w:rsidRPr="00913665">
        <w:rPr>
          <w:noProof/>
        </w:rPr>
        <w:t>spo</w:t>
      </w:r>
      <w:r w:rsidRPr="00913665">
        <w:rPr>
          <w:noProof/>
        </w:rPr>
        <w:t>sób solidarny, kiedy wraz</w:t>
      </w:r>
      <w:r w:rsidR="00913665" w:rsidRPr="00913665">
        <w:rPr>
          <w:noProof/>
        </w:rPr>
        <w:t xml:space="preserve"> z</w:t>
      </w:r>
      <w:r w:rsidR="00913665">
        <w:rPr>
          <w:noProof/>
        </w:rPr>
        <w:t> </w:t>
      </w:r>
      <w:r w:rsidR="00913665" w:rsidRPr="00913665">
        <w:rPr>
          <w:noProof/>
        </w:rPr>
        <w:t>par</w:t>
      </w:r>
      <w:r w:rsidRPr="00913665">
        <w:rPr>
          <w:noProof/>
        </w:rPr>
        <w:t>tnerami międzynarodowymi</w:t>
      </w:r>
      <w:r w:rsidR="00913665" w:rsidRPr="00913665">
        <w:rPr>
          <w:noProof/>
        </w:rPr>
        <w:t xml:space="preserve"> o</w:t>
      </w:r>
      <w:r w:rsidR="00913665">
        <w:rPr>
          <w:noProof/>
        </w:rPr>
        <w:t> </w:t>
      </w:r>
      <w:r w:rsidR="00913665" w:rsidRPr="00913665">
        <w:rPr>
          <w:noProof/>
        </w:rPr>
        <w:t>zbi</w:t>
      </w:r>
      <w:r w:rsidRPr="00913665">
        <w:rPr>
          <w:noProof/>
        </w:rPr>
        <w:t>eżnych poglądach wspólnie wykorzystujemy nasze mocne strony, aby wypracować lepszą odpowiedź</w:t>
      </w:r>
      <w:r w:rsidR="00913665" w:rsidRPr="00913665">
        <w:rPr>
          <w:noProof/>
        </w:rPr>
        <w:t xml:space="preserve"> o</w:t>
      </w:r>
      <w:r w:rsidR="00913665">
        <w:rPr>
          <w:noProof/>
        </w:rPr>
        <w:t> </w:t>
      </w:r>
      <w:r w:rsidR="00913665" w:rsidRPr="00913665">
        <w:rPr>
          <w:noProof/>
        </w:rPr>
        <w:t>zas</w:t>
      </w:r>
      <w:r w:rsidRPr="00913665">
        <w:rPr>
          <w:noProof/>
        </w:rPr>
        <w:t>ięgu globalnym.</w:t>
      </w:r>
    </w:p>
    <w:p w14:paraId="452F69D4" w14:textId="325CF626" w:rsidR="00C8464D" w:rsidRPr="00913665" w:rsidRDefault="00C8464D" w:rsidP="00597730">
      <w:pPr>
        <w:pStyle w:val="BodyText"/>
        <w:kinsoku w:val="0"/>
        <w:overflowPunct w:val="0"/>
        <w:spacing w:before="240" w:line="276" w:lineRule="auto"/>
        <w:jc w:val="both"/>
        <w:rPr>
          <w:noProof/>
        </w:rPr>
      </w:pPr>
      <w:r w:rsidRPr="00913665">
        <w:rPr>
          <w:noProof/>
        </w:rPr>
        <w:t>W trakcie tej kadencji Komisja</w:t>
      </w:r>
      <w:r w:rsidR="00913665" w:rsidRPr="00913665">
        <w:rPr>
          <w:noProof/>
        </w:rPr>
        <w:t xml:space="preserve"> i</w:t>
      </w:r>
      <w:r w:rsidR="00913665">
        <w:rPr>
          <w:noProof/>
        </w:rPr>
        <w:t> </w:t>
      </w:r>
      <w:r w:rsidR="00913665" w:rsidRPr="00913665">
        <w:rPr>
          <w:noProof/>
        </w:rPr>
        <w:t>pań</w:t>
      </w:r>
      <w:r w:rsidRPr="00913665">
        <w:rPr>
          <w:noProof/>
        </w:rPr>
        <w:t>stwa członkowskie połączyły siły, aby wypracować kompleksową odpowiedź na największe od stulecia zagrożenie dla zdrowia. Równolegle podjęto bezprecedensowe kroki wykraczające poza samą walkę</w:t>
      </w:r>
      <w:r w:rsidR="00913665" w:rsidRPr="00913665">
        <w:rPr>
          <w:noProof/>
        </w:rPr>
        <w:t xml:space="preserve"> z</w:t>
      </w:r>
      <w:r w:rsidR="00913665">
        <w:rPr>
          <w:noProof/>
        </w:rPr>
        <w:t> </w:t>
      </w:r>
      <w:r w:rsidR="00913665" w:rsidRPr="00913665">
        <w:rPr>
          <w:noProof/>
        </w:rPr>
        <w:t>pan</w:t>
      </w:r>
      <w:r w:rsidRPr="00913665">
        <w:rPr>
          <w:noProof/>
        </w:rPr>
        <w:t>demią. UE wykorzystała solidarność</w:t>
      </w:r>
      <w:r w:rsidR="00913665" w:rsidRPr="00913665">
        <w:rPr>
          <w:noProof/>
        </w:rPr>
        <w:t xml:space="preserve"> i</w:t>
      </w:r>
      <w:r w:rsidR="00913665">
        <w:rPr>
          <w:noProof/>
        </w:rPr>
        <w:t> </w:t>
      </w:r>
      <w:r w:rsidR="00913665" w:rsidRPr="00913665">
        <w:rPr>
          <w:noProof/>
        </w:rPr>
        <w:t>det</w:t>
      </w:r>
      <w:r w:rsidRPr="00913665">
        <w:rPr>
          <w:noProof/>
        </w:rPr>
        <w:t>erminację okazaną</w:t>
      </w:r>
      <w:r w:rsidR="00913665" w:rsidRPr="00913665">
        <w:rPr>
          <w:noProof/>
        </w:rPr>
        <w:t xml:space="preserve"> w</w:t>
      </w:r>
      <w:r w:rsidR="00913665">
        <w:rPr>
          <w:noProof/>
        </w:rPr>
        <w:t> </w:t>
      </w:r>
      <w:r w:rsidR="00913665" w:rsidRPr="00913665">
        <w:rPr>
          <w:noProof/>
        </w:rPr>
        <w:t>cza</w:t>
      </w:r>
      <w:r w:rsidRPr="00913665">
        <w:rPr>
          <w:noProof/>
        </w:rPr>
        <w:t>sie kryzysu, by zbudować silną</w:t>
      </w:r>
      <w:r w:rsidR="00913665" w:rsidRPr="00913665">
        <w:rPr>
          <w:noProof/>
        </w:rPr>
        <w:t xml:space="preserve"> i</w:t>
      </w:r>
      <w:r w:rsidR="00913665">
        <w:rPr>
          <w:noProof/>
        </w:rPr>
        <w:t> </w:t>
      </w:r>
      <w:r w:rsidR="00913665" w:rsidRPr="00913665">
        <w:rPr>
          <w:noProof/>
        </w:rPr>
        <w:t>odp</w:t>
      </w:r>
      <w:r w:rsidRPr="00913665">
        <w:rPr>
          <w:noProof/>
        </w:rPr>
        <w:t>orną Europejską Unię Zdrowotną dla wszystkich swoich obywateli. Celem Europejskiej Unii Zdrowotnej jest lepsze przygotowanie</w:t>
      </w:r>
      <w:r w:rsidR="00913665" w:rsidRPr="00913665">
        <w:rPr>
          <w:noProof/>
        </w:rPr>
        <w:t xml:space="preserve"> i</w:t>
      </w:r>
      <w:r w:rsidR="00913665">
        <w:rPr>
          <w:noProof/>
        </w:rPr>
        <w:t> </w:t>
      </w:r>
      <w:r w:rsidR="00913665" w:rsidRPr="00913665">
        <w:rPr>
          <w:noProof/>
        </w:rPr>
        <w:t>wsp</w:t>
      </w:r>
      <w:r w:rsidRPr="00913665">
        <w:rPr>
          <w:noProof/>
        </w:rPr>
        <w:t>ólne reagowanie wszystkich państw członkowskich na przyszłe kryzysy zdrowotne. Promowanie europejskiej innowacyjności</w:t>
      </w:r>
      <w:r w:rsidR="00913665" w:rsidRPr="00913665">
        <w:rPr>
          <w:noProof/>
        </w:rPr>
        <w:t xml:space="preserve"> i</w:t>
      </w:r>
      <w:r w:rsidR="00913665">
        <w:rPr>
          <w:noProof/>
        </w:rPr>
        <w:t> </w:t>
      </w:r>
      <w:r w:rsidR="00913665" w:rsidRPr="00913665">
        <w:rPr>
          <w:noProof/>
        </w:rPr>
        <w:t>kon</w:t>
      </w:r>
      <w:r w:rsidRPr="00913665">
        <w:rPr>
          <w:noProof/>
        </w:rPr>
        <w:t>kurencyjności</w:t>
      </w:r>
      <w:r w:rsidR="00913665" w:rsidRPr="00913665">
        <w:rPr>
          <w:noProof/>
        </w:rPr>
        <w:t xml:space="preserve"> w</w:t>
      </w:r>
      <w:r w:rsidR="00913665">
        <w:rPr>
          <w:noProof/>
        </w:rPr>
        <w:t> </w:t>
      </w:r>
      <w:r w:rsidR="00913665" w:rsidRPr="00913665">
        <w:rPr>
          <w:noProof/>
        </w:rPr>
        <w:t>sek</w:t>
      </w:r>
      <w:r w:rsidRPr="00913665">
        <w:rPr>
          <w:noProof/>
        </w:rPr>
        <w:t>torze opieki zdrowotnej, tak aby można było zaspokajać potrzeby pacjentów przy wsparciu wszystkich niezbędnych podmiotów. Solidarność</w:t>
      </w:r>
      <w:r w:rsidR="00913665" w:rsidRPr="00913665">
        <w:rPr>
          <w:noProof/>
        </w:rPr>
        <w:t xml:space="preserve"> i</w:t>
      </w:r>
      <w:r w:rsidR="00913665">
        <w:rPr>
          <w:noProof/>
        </w:rPr>
        <w:t> </w:t>
      </w:r>
      <w:r w:rsidR="00913665" w:rsidRPr="00913665">
        <w:rPr>
          <w:noProof/>
        </w:rPr>
        <w:t>wsp</w:t>
      </w:r>
      <w:r w:rsidRPr="00913665">
        <w:rPr>
          <w:noProof/>
        </w:rPr>
        <w:t>ółpraca idą</w:t>
      </w:r>
      <w:r w:rsidR="00913665" w:rsidRPr="00913665">
        <w:rPr>
          <w:noProof/>
        </w:rPr>
        <w:t xml:space="preserve"> w</w:t>
      </w:r>
      <w:r w:rsidR="00913665">
        <w:rPr>
          <w:noProof/>
        </w:rPr>
        <w:t> </w:t>
      </w:r>
      <w:r w:rsidR="00913665" w:rsidRPr="00913665">
        <w:rPr>
          <w:noProof/>
        </w:rPr>
        <w:t>par</w:t>
      </w:r>
      <w:r w:rsidRPr="00913665">
        <w:rPr>
          <w:noProof/>
        </w:rPr>
        <w:t>ze</w:t>
      </w:r>
      <w:r w:rsidR="00913665" w:rsidRPr="00913665">
        <w:rPr>
          <w:noProof/>
        </w:rPr>
        <w:t xml:space="preserve"> z</w:t>
      </w:r>
      <w:r w:rsidR="00913665">
        <w:rPr>
          <w:noProof/>
        </w:rPr>
        <w:t> </w:t>
      </w:r>
      <w:r w:rsidR="00913665" w:rsidRPr="00913665">
        <w:rPr>
          <w:noProof/>
        </w:rPr>
        <w:t>odp</w:t>
      </w:r>
      <w:r w:rsidRPr="00913665">
        <w:rPr>
          <w:noProof/>
        </w:rPr>
        <w:t>ornością, nadzieją, bezpieczeństwem</w:t>
      </w:r>
      <w:r w:rsidR="00913665" w:rsidRPr="00913665">
        <w:rPr>
          <w:noProof/>
        </w:rPr>
        <w:t xml:space="preserve"> i</w:t>
      </w:r>
      <w:r w:rsidR="00913665">
        <w:rPr>
          <w:noProof/>
        </w:rPr>
        <w:t> </w:t>
      </w:r>
      <w:r w:rsidR="00913665" w:rsidRPr="00913665">
        <w:rPr>
          <w:noProof/>
        </w:rPr>
        <w:t>spe</w:t>
      </w:r>
      <w:r w:rsidRPr="00913665">
        <w:rPr>
          <w:noProof/>
        </w:rPr>
        <w:t>łnianiem oczekiwań obywateli</w:t>
      </w:r>
      <w:r w:rsidR="00913665" w:rsidRPr="00913665">
        <w:rPr>
          <w:noProof/>
        </w:rPr>
        <w:t xml:space="preserve"> w</w:t>
      </w:r>
      <w:r w:rsidR="00913665">
        <w:rPr>
          <w:noProof/>
        </w:rPr>
        <w:t> </w:t>
      </w:r>
      <w:r w:rsidR="00913665" w:rsidRPr="00913665">
        <w:rPr>
          <w:noProof/>
        </w:rPr>
        <w:t>zak</w:t>
      </w:r>
      <w:r w:rsidRPr="00913665">
        <w:rPr>
          <w:noProof/>
        </w:rPr>
        <w:t>resie optymalnej opieki zdrowotnej na wszystkich terytoriach,</w:t>
      </w:r>
      <w:r w:rsidR="00913665" w:rsidRPr="00913665">
        <w:rPr>
          <w:noProof/>
        </w:rPr>
        <w:t xml:space="preserve"> w</w:t>
      </w:r>
      <w:r w:rsidR="00913665">
        <w:rPr>
          <w:noProof/>
        </w:rPr>
        <w:t> </w:t>
      </w:r>
      <w:r w:rsidR="00913665" w:rsidRPr="00913665">
        <w:rPr>
          <w:noProof/>
        </w:rPr>
        <w:t>tym</w:t>
      </w:r>
      <w:r w:rsidRPr="00913665">
        <w:rPr>
          <w:noProof/>
        </w:rPr>
        <w:t xml:space="preserve"> na obszarach wiejskich</w:t>
      </w:r>
      <w:r w:rsidR="00913665" w:rsidRPr="00913665">
        <w:rPr>
          <w:noProof/>
        </w:rPr>
        <w:t xml:space="preserve"> i</w:t>
      </w:r>
      <w:r w:rsidR="00913665">
        <w:rPr>
          <w:noProof/>
        </w:rPr>
        <w:t> </w:t>
      </w:r>
      <w:r w:rsidR="00913665" w:rsidRPr="00913665">
        <w:rPr>
          <w:noProof/>
        </w:rPr>
        <w:t>odd</w:t>
      </w:r>
      <w:r w:rsidRPr="00913665">
        <w:rPr>
          <w:noProof/>
        </w:rPr>
        <w:t>alonych. To właśnie Europejska Unia Zdrowotna</w:t>
      </w:r>
      <w:r w:rsidR="00913665" w:rsidRPr="00913665">
        <w:rPr>
          <w:noProof/>
        </w:rPr>
        <w:t xml:space="preserve"> w</w:t>
      </w:r>
      <w:r w:rsidR="00913665">
        <w:rPr>
          <w:noProof/>
        </w:rPr>
        <w:t> </w:t>
      </w:r>
      <w:r w:rsidR="00913665" w:rsidRPr="00913665">
        <w:rPr>
          <w:noProof/>
        </w:rPr>
        <w:t>dzi</w:t>
      </w:r>
      <w:r w:rsidRPr="00913665">
        <w:rPr>
          <w:noProof/>
        </w:rPr>
        <w:t>ałaniu, odpowiadająca na potrzeby obywateli, stawiająca równy dostęp</w:t>
      </w:r>
      <w:r w:rsidR="00913665" w:rsidRPr="00913665">
        <w:rPr>
          <w:noProof/>
        </w:rPr>
        <w:t xml:space="preserve"> i</w:t>
      </w:r>
      <w:r w:rsidR="00913665">
        <w:rPr>
          <w:noProof/>
        </w:rPr>
        <w:t> </w:t>
      </w:r>
      <w:r w:rsidR="00913665" w:rsidRPr="00913665">
        <w:rPr>
          <w:noProof/>
        </w:rPr>
        <w:t>opi</w:t>
      </w:r>
      <w:r w:rsidRPr="00913665">
        <w:rPr>
          <w:noProof/>
        </w:rPr>
        <w:t>ekę</w:t>
      </w:r>
      <w:r w:rsidR="00913665" w:rsidRPr="00913665">
        <w:rPr>
          <w:noProof/>
        </w:rPr>
        <w:t xml:space="preserve"> w</w:t>
      </w:r>
      <w:r w:rsidR="00913665">
        <w:rPr>
          <w:noProof/>
        </w:rPr>
        <w:t> </w:t>
      </w:r>
      <w:r w:rsidR="00913665" w:rsidRPr="00913665">
        <w:rPr>
          <w:noProof/>
        </w:rPr>
        <w:t>cen</w:t>
      </w:r>
      <w:r w:rsidRPr="00913665">
        <w:rPr>
          <w:noProof/>
        </w:rPr>
        <w:t>trum zainteresowania Unii Europejskiej.</w:t>
      </w:r>
    </w:p>
    <w:p w14:paraId="46FBC175" w14:textId="2E9395C7" w:rsidR="00C8464D" w:rsidRPr="00913665" w:rsidRDefault="00C8464D" w:rsidP="00597730">
      <w:pPr>
        <w:pStyle w:val="BodyText"/>
        <w:kinsoku w:val="0"/>
        <w:overflowPunct w:val="0"/>
        <w:spacing w:before="240" w:line="276" w:lineRule="auto"/>
        <w:jc w:val="both"/>
        <w:rPr>
          <w:noProof/>
        </w:rPr>
      </w:pPr>
      <w:r w:rsidRPr="00913665">
        <w:rPr>
          <w:noProof/>
        </w:rPr>
        <w:t>W nadchodzących latach Europejska Unia Zdrowotna będzie nadal ewoluować</w:t>
      </w:r>
      <w:r w:rsidR="00913665" w:rsidRPr="00913665">
        <w:rPr>
          <w:noProof/>
        </w:rPr>
        <w:t xml:space="preserve"> i</w:t>
      </w:r>
      <w:r w:rsidR="00913665">
        <w:rPr>
          <w:noProof/>
        </w:rPr>
        <w:t> </w:t>
      </w:r>
      <w:r w:rsidR="00913665" w:rsidRPr="00913665">
        <w:rPr>
          <w:noProof/>
        </w:rPr>
        <w:t>roz</w:t>
      </w:r>
      <w:r w:rsidRPr="00913665">
        <w:rPr>
          <w:noProof/>
        </w:rPr>
        <w:t>wijać się, aby</w:t>
      </w:r>
      <w:r w:rsidR="00913665" w:rsidRPr="00913665">
        <w:rPr>
          <w:noProof/>
        </w:rPr>
        <w:t xml:space="preserve"> w</w:t>
      </w:r>
      <w:r w:rsidR="00913665">
        <w:rPr>
          <w:noProof/>
        </w:rPr>
        <w:t> </w:t>
      </w:r>
      <w:r w:rsidR="00913665" w:rsidRPr="00913665">
        <w:rPr>
          <w:noProof/>
        </w:rPr>
        <w:t>dal</w:t>
      </w:r>
      <w:r w:rsidRPr="00913665">
        <w:rPr>
          <w:noProof/>
        </w:rPr>
        <w:t>szym ciągu promować zdrowie</w:t>
      </w:r>
      <w:r w:rsidR="00913665" w:rsidRPr="00913665">
        <w:rPr>
          <w:noProof/>
        </w:rPr>
        <w:t xml:space="preserve"> i</w:t>
      </w:r>
      <w:r w:rsidR="00913665">
        <w:rPr>
          <w:noProof/>
        </w:rPr>
        <w:t> </w:t>
      </w:r>
      <w:r w:rsidR="00913665" w:rsidRPr="00913665">
        <w:rPr>
          <w:noProof/>
        </w:rPr>
        <w:t>dob</w:t>
      </w:r>
      <w:r w:rsidRPr="00913665">
        <w:rPr>
          <w:noProof/>
        </w:rPr>
        <w:t>rostan ludzi w UE</w:t>
      </w:r>
      <w:r w:rsidR="00913665" w:rsidRPr="00913665">
        <w:rPr>
          <w:noProof/>
        </w:rPr>
        <w:t xml:space="preserve"> i</w:t>
      </w:r>
      <w:r w:rsidR="00913665">
        <w:rPr>
          <w:noProof/>
        </w:rPr>
        <w:t> </w:t>
      </w:r>
      <w:r w:rsidR="00913665" w:rsidRPr="00913665">
        <w:rPr>
          <w:noProof/>
        </w:rPr>
        <w:t>poz</w:t>
      </w:r>
      <w:r w:rsidRPr="00913665">
        <w:rPr>
          <w:noProof/>
        </w:rPr>
        <w:t>a nią.</w:t>
      </w:r>
    </w:p>
    <w:p w14:paraId="43397E5E" w14:textId="408D8CDA" w:rsidR="00C8464D" w:rsidRPr="00913665" w:rsidRDefault="00C8464D" w:rsidP="00597730">
      <w:pPr>
        <w:pStyle w:val="BodyText"/>
        <w:kinsoku w:val="0"/>
        <w:overflowPunct w:val="0"/>
        <w:spacing w:before="240" w:line="276" w:lineRule="auto"/>
        <w:jc w:val="both"/>
        <w:rPr>
          <w:noProof/>
          <w:spacing w:val="-2"/>
        </w:rPr>
      </w:pPr>
      <w:r w:rsidRPr="00913665">
        <w:rPr>
          <w:noProof/>
        </w:rPr>
        <w:t>W 2019</w:t>
      </w:r>
      <w:r w:rsidR="00913665" w:rsidRPr="00913665">
        <w:rPr>
          <w:noProof/>
        </w:rPr>
        <w:t> </w:t>
      </w:r>
      <w:r w:rsidRPr="00913665">
        <w:rPr>
          <w:noProof/>
        </w:rPr>
        <w:t>r. świat nieodwołalnie się zmienił</w:t>
      </w:r>
      <w:r w:rsidR="00913665" w:rsidRPr="00913665">
        <w:rPr>
          <w:noProof/>
        </w:rPr>
        <w:t>. I</w:t>
      </w:r>
      <w:r w:rsidR="00913665">
        <w:rPr>
          <w:noProof/>
        </w:rPr>
        <w:t> </w:t>
      </w:r>
      <w:r w:rsidR="00913665" w:rsidRPr="00913665">
        <w:rPr>
          <w:noProof/>
        </w:rPr>
        <w:t>będ</w:t>
      </w:r>
      <w:r w:rsidRPr="00913665">
        <w:rPr>
          <w:noProof/>
        </w:rPr>
        <w:t>zie się nadal zmieniać. Dzięki silnej Europejskiej Unii Zdrowotnej UE jest teraz lepiej przygotowana na to, co przyniesie jutro</w:t>
      </w:r>
      <w:r w:rsidR="00913665" w:rsidRPr="00913665">
        <w:rPr>
          <w:noProof/>
        </w:rPr>
        <w:t xml:space="preserve"> w</w:t>
      </w:r>
      <w:r w:rsidR="00913665">
        <w:rPr>
          <w:noProof/>
        </w:rPr>
        <w:t> </w:t>
      </w:r>
      <w:r w:rsidR="00913665" w:rsidRPr="00913665">
        <w:rPr>
          <w:noProof/>
        </w:rPr>
        <w:t>obs</w:t>
      </w:r>
      <w:r w:rsidRPr="00913665">
        <w:rPr>
          <w:noProof/>
        </w:rPr>
        <w:t>zarze zdrowia naszych obywateli.</w:t>
      </w:r>
    </w:p>
    <w:sectPr w:rsidR="00C8464D" w:rsidRPr="00913665" w:rsidSect="00002349">
      <w:headerReference w:type="even" r:id="rId20"/>
      <w:headerReference w:type="default" r:id="rId21"/>
      <w:footerReference w:type="even" r:id="rId22"/>
      <w:footerReference w:type="default" r:id="rId23"/>
      <w:headerReference w:type="first" r:id="rId24"/>
      <w:footerReference w:type="first" r:id="rId25"/>
      <w:pgSz w:w="11910" w:h="16840"/>
      <w:pgMar w:top="1440" w:right="1440" w:bottom="1440" w:left="1440" w:header="0" w:footer="100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09D95" w14:textId="77777777" w:rsidR="006A441C" w:rsidRPr="00913665" w:rsidRDefault="006A441C">
      <w:r w:rsidRPr="00913665">
        <w:separator/>
      </w:r>
    </w:p>
  </w:endnote>
  <w:endnote w:type="continuationSeparator" w:id="0">
    <w:p w14:paraId="54B9F4DE" w14:textId="77777777" w:rsidR="006A441C" w:rsidRPr="00913665" w:rsidRDefault="006A441C">
      <w:r w:rsidRPr="009136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B53D0" w14:textId="46F2B7A4" w:rsidR="00B85A1C" w:rsidRPr="00B85A1C" w:rsidRDefault="00B85A1C" w:rsidP="00B85A1C">
    <w:pPr>
      <w:pStyle w:val="FooterCoverPage"/>
      <w:rPr>
        <w:rFonts w:ascii="Arial" w:hAnsi="Arial" w:cs="Arial"/>
        <w:b/>
        <w:sz w:val="48"/>
      </w:rPr>
    </w:pPr>
    <w:r w:rsidRPr="00B85A1C">
      <w:rPr>
        <w:rFonts w:ascii="Arial" w:hAnsi="Arial" w:cs="Arial"/>
        <w:b/>
        <w:sz w:val="48"/>
      </w:rPr>
      <w:t>PL</w:t>
    </w:r>
    <w:r w:rsidRPr="00B85A1C">
      <w:rPr>
        <w:rFonts w:ascii="Arial" w:hAnsi="Arial" w:cs="Arial"/>
        <w:b/>
        <w:sz w:val="48"/>
      </w:rPr>
      <w:tab/>
    </w:r>
    <w:r w:rsidRPr="00B85A1C">
      <w:rPr>
        <w:rFonts w:ascii="Arial" w:hAnsi="Arial" w:cs="Arial"/>
        <w:b/>
        <w:sz w:val="48"/>
      </w:rPr>
      <w:tab/>
    </w:r>
    <w:r w:rsidRPr="00B85A1C">
      <w:tab/>
    </w:r>
    <w:r w:rsidRPr="00B85A1C">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37D68" w14:textId="1E3B4F17" w:rsidR="00B85A1C" w:rsidRPr="00B85A1C" w:rsidRDefault="00B85A1C" w:rsidP="00B85A1C">
    <w:pPr>
      <w:pStyle w:val="FooterCoverPage"/>
      <w:rPr>
        <w:rFonts w:ascii="Arial" w:hAnsi="Arial" w:cs="Arial"/>
        <w:b/>
        <w:sz w:val="48"/>
      </w:rPr>
    </w:pPr>
    <w:r w:rsidRPr="00B85A1C">
      <w:rPr>
        <w:rFonts w:ascii="Arial" w:hAnsi="Arial" w:cs="Arial"/>
        <w:b/>
        <w:sz w:val="48"/>
      </w:rPr>
      <w:t>PL</w:t>
    </w:r>
    <w:r w:rsidRPr="00B85A1C">
      <w:rPr>
        <w:rFonts w:ascii="Arial" w:hAnsi="Arial" w:cs="Arial"/>
        <w:b/>
        <w:sz w:val="48"/>
      </w:rPr>
      <w:tab/>
    </w:r>
    <w:r w:rsidRPr="00B85A1C">
      <w:rPr>
        <w:rFonts w:ascii="Arial" w:hAnsi="Arial" w:cs="Arial"/>
        <w:b/>
        <w:sz w:val="48"/>
      </w:rPr>
      <w:tab/>
    </w:r>
    <w:r w:rsidRPr="00B85A1C">
      <w:tab/>
    </w:r>
    <w:r w:rsidRPr="00B85A1C">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FBC70" w14:textId="77777777" w:rsidR="00B85A1C" w:rsidRPr="00B85A1C" w:rsidRDefault="00B85A1C" w:rsidP="00B85A1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E4EBB" w14:textId="77777777" w:rsidR="003158A7" w:rsidRPr="003158A7" w:rsidRDefault="003158A7" w:rsidP="003158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EA9AA" w14:textId="089F1905" w:rsidR="003055C6" w:rsidRDefault="003055C6">
    <w:pPr>
      <w:pStyle w:val="Footer"/>
      <w:jc w:val="right"/>
    </w:pPr>
    <w:r>
      <w:fldChar w:fldCharType="begin"/>
    </w:r>
    <w:r>
      <w:instrText xml:space="preserve"> PAGE   \* MERGEFORMAT </w:instrText>
    </w:r>
    <w:r>
      <w:fldChar w:fldCharType="separate"/>
    </w:r>
    <w:r w:rsidR="00B85A1C">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1038" w14:textId="77777777" w:rsidR="003158A7" w:rsidRPr="003158A7" w:rsidRDefault="003158A7" w:rsidP="0031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EB73E" w14:textId="77777777" w:rsidR="006A441C" w:rsidRPr="00913665" w:rsidRDefault="006A441C">
      <w:r w:rsidRPr="00913665">
        <w:separator/>
      </w:r>
    </w:p>
  </w:footnote>
  <w:footnote w:type="continuationSeparator" w:id="0">
    <w:p w14:paraId="74D1EF22" w14:textId="77777777" w:rsidR="006A441C" w:rsidRPr="00913665" w:rsidRDefault="006A441C">
      <w:r w:rsidRPr="00913665">
        <w:continuationSeparator/>
      </w:r>
    </w:p>
  </w:footnote>
  <w:footnote w:id="1">
    <w:p w14:paraId="66B91552" w14:textId="3EC5E64D" w:rsidR="00E73303" w:rsidRPr="00913665" w:rsidRDefault="00E73303">
      <w:pPr>
        <w:pStyle w:val="FootnoteText"/>
      </w:pPr>
      <w:r w:rsidRPr="00913665">
        <w:rPr>
          <w:rStyle w:val="FootnoteReference"/>
        </w:rPr>
        <w:footnoteRef/>
      </w:r>
      <w:r w:rsidRPr="00913665">
        <w:t xml:space="preserve"> </w:t>
      </w:r>
      <w:hyperlink r:id="rId1" w:history="1">
        <w:r w:rsidRPr="00913665">
          <w:rPr>
            <w:color w:val="0000FF"/>
            <w:sz w:val="16"/>
            <w:u w:val="single"/>
          </w:rPr>
          <w:t>mission-letter-stella-kyriakides_en.pdf (europa.eu)</w:t>
        </w:r>
      </w:hyperlink>
    </w:p>
  </w:footnote>
  <w:footnote w:id="2">
    <w:p w14:paraId="0E33C395" w14:textId="6C6DCD4C" w:rsidR="00FA4877" w:rsidRPr="00913665" w:rsidRDefault="00E73303" w:rsidP="00980C01">
      <w:pPr>
        <w:pStyle w:val="FootnoteText"/>
        <w:rPr>
          <w:color w:val="0000FF"/>
          <w:spacing w:val="-2"/>
          <w:sz w:val="16"/>
          <w:szCs w:val="16"/>
          <w:u w:val="single"/>
        </w:rPr>
      </w:pPr>
      <w:r w:rsidRPr="00913665">
        <w:rPr>
          <w:rStyle w:val="FootnoteReference"/>
        </w:rPr>
        <w:footnoteRef/>
      </w:r>
      <w:r w:rsidRPr="00913665">
        <w:t xml:space="preserve"> </w:t>
      </w:r>
      <w:hyperlink r:id="rId2" w:history="1">
        <w:r w:rsidRPr="00913665">
          <w:rPr>
            <w:color w:val="0000FF"/>
            <w:sz w:val="16"/>
            <w:u w:val="single"/>
          </w:rPr>
          <w:t>Unijna strategia dotycząca szczepionek (europa.eu)</w:t>
        </w:r>
      </w:hyperlink>
    </w:p>
  </w:footnote>
  <w:footnote w:id="3">
    <w:p w14:paraId="104CF0C5" w14:textId="49E0B8A5" w:rsidR="00FA4877" w:rsidRPr="00913665" w:rsidRDefault="00FA4877">
      <w:pPr>
        <w:pStyle w:val="FootnoteText"/>
      </w:pPr>
      <w:r w:rsidRPr="00913665">
        <w:rPr>
          <w:rStyle w:val="FootnoteReference"/>
        </w:rPr>
        <w:footnoteRef/>
      </w:r>
      <w:r w:rsidRPr="00913665">
        <w:t xml:space="preserve"> </w:t>
      </w:r>
      <w:hyperlink r:id="rId3" w:history="1">
        <w:r w:rsidRPr="00913665">
          <w:rPr>
            <w:color w:val="0000FF"/>
            <w:sz w:val="16"/>
          </w:rPr>
          <w:t>https://www.who.int/europe/news/item/16-01-2024-covid-19-vaccinations-have-saved-more-than-1.4-million-lives-in-the-who-european-region--a-new-study-finds</w:t>
        </w:r>
      </w:hyperlink>
      <w:r w:rsidRPr="00913665">
        <w:rPr>
          <w:color w:val="0000FF"/>
          <w:sz w:val="16"/>
          <w:u w:val="single"/>
        </w:rPr>
        <w:t xml:space="preserve"> </w:t>
      </w:r>
    </w:p>
  </w:footnote>
  <w:footnote w:id="4">
    <w:p w14:paraId="0151D8F2" w14:textId="3AA12B23" w:rsidR="00E73303" w:rsidRPr="00913665" w:rsidRDefault="00E73303" w:rsidP="00E73303">
      <w:pPr>
        <w:pStyle w:val="FootnoteText"/>
      </w:pPr>
      <w:r w:rsidRPr="00913665">
        <w:rPr>
          <w:rStyle w:val="FootnoteReference"/>
        </w:rPr>
        <w:footnoteRef/>
      </w:r>
      <w:r w:rsidRPr="00913665">
        <w:t xml:space="preserve"> </w:t>
      </w:r>
      <w:hyperlink r:id="rId4" w:history="1">
        <w:r w:rsidRPr="00913665">
          <w:rPr>
            <w:color w:val="0000FF"/>
            <w:sz w:val="16"/>
            <w:u w:val="single"/>
          </w:rPr>
          <w:t>EP Autumn 2021 Survey:</w:t>
        </w:r>
      </w:hyperlink>
      <w:hyperlink r:id="rId5" w:history="1">
        <w:r w:rsidRPr="00913665">
          <w:rPr>
            <w:color w:val="0000FF"/>
            <w:sz w:val="16"/>
            <w:u w:val="single"/>
          </w:rPr>
          <w:t xml:space="preserve"> Defending Democracy |</w:t>
        </w:r>
      </w:hyperlink>
      <w:hyperlink r:id="rId6" w:history="1">
        <w:r w:rsidRPr="00913665">
          <w:rPr>
            <w:color w:val="0000FF"/>
            <w:sz w:val="16"/>
            <w:u w:val="single"/>
          </w:rPr>
          <w:t xml:space="preserve"> Empowering Citizens - February 2022 – Eurobarometer survey [Badanie PE - jesień 2021</w:t>
        </w:r>
        <w:r w:rsidR="00913665" w:rsidRPr="00913665">
          <w:rPr>
            <w:color w:val="0000FF"/>
            <w:sz w:val="16"/>
            <w:u w:val="single"/>
          </w:rPr>
          <w:t> </w:t>
        </w:r>
        <w:r w:rsidRPr="00913665">
          <w:rPr>
            <w:color w:val="0000FF"/>
            <w:sz w:val="16"/>
            <w:u w:val="single"/>
          </w:rPr>
          <w:t>r. – Obrona demokracji wzmacnianie pozycji obywateli – luty 2022</w:t>
        </w:r>
        <w:r w:rsidR="00913665" w:rsidRPr="00913665">
          <w:rPr>
            <w:color w:val="0000FF"/>
            <w:sz w:val="16"/>
            <w:u w:val="single"/>
          </w:rPr>
          <w:t> </w:t>
        </w:r>
        <w:r w:rsidRPr="00913665">
          <w:rPr>
            <w:color w:val="0000FF"/>
            <w:sz w:val="16"/>
            <w:u w:val="single"/>
          </w:rPr>
          <w:t>r. – Badanie Eurobarometr] (europa.eu)</w:t>
        </w:r>
      </w:hyperlink>
    </w:p>
  </w:footnote>
  <w:footnote w:id="5">
    <w:p w14:paraId="42DE4595" w14:textId="2D410566" w:rsidR="00E73303" w:rsidRPr="00913665" w:rsidRDefault="00E73303" w:rsidP="00597730">
      <w:pPr>
        <w:pStyle w:val="FootnoteText"/>
        <w:rPr>
          <w:color w:val="0000FF"/>
          <w:sz w:val="16"/>
          <w:szCs w:val="16"/>
        </w:rPr>
      </w:pPr>
      <w:r w:rsidRPr="00913665">
        <w:rPr>
          <w:rStyle w:val="FootnoteReference"/>
        </w:rPr>
        <w:footnoteRef/>
      </w:r>
      <w:r w:rsidRPr="00913665">
        <w:t xml:space="preserve"> </w:t>
      </w:r>
      <w:hyperlink r:id="rId7" w:history="1">
        <w:r w:rsidRPr="00913665">
          <w:rPr>
            <w:color w:val="0000FF"/>
            <w:sz w:val="16"/>
            <w:u w:val="single"/>
          </w:rPr>
          <w:t>Public opinion in the EU in time of coronavirus crisis 2 [Opinia publiczna w UE</w:t>
        </w:r>
        <w:r w:rsidR="00913665" w:rsidRPr="00913665">
          <w:rPr>
            <w:color w:val="0000FF"/>
            <w:sz w:val="16"/>
            <w:u w:val="single"/>
          </w:rPr>
          <w:t xml:space="preserve"> w</w:t>
        </w:r>
        <w:r w:rsidR="00913665">
          <w:rPr>
            <w:color w:val="0000FF"/>
            <w:sz w:val="16"/>
            <w:u w:val="single"/>
          </w:rPr>
          <w:t> </w:t>
        </w:r>
        <w:r w:rsidR="00913665" w:rsidRPr="00913665">
          <w:rPr>
            <w:color w:val="0000FF"/>
            <w:sz w:val="16"/>
            <w:u w:val="single"/>
          </w:rPr>
          <w:t>dob</w:t>
        </w:r>
        <w:r w:rsidRPr="00913665">
          <w:rPr>
            <w:color w:val="0000FF"/>
            <w:sz w:val="16"/>
            <w:u w:val="single"/>
          </w:rPr>
          <w:t>ie kryzysu związanego z COVID-19] (europa.eu)</w:t>
        </w:r>
      </w:hyperlink>
    </w:p>
    <w:p w14:paraId="2050276C" w14:textId="64202CFC" w:rsidR="00E73303" w:rsidRPr="00913665" w:rsidRDefault="00E73303">
      <w:pPr>
        <w:pStyle w:val="FootnoteText"/>
      </w:pPr>
    </w:p>
  </w:footnote>
  <w:footnote w:id="6">
    <w:p w14:paraId="56451904" w14:textId="5E087E25" w:rsidR="00E73303" w:rsidRPr="00913665" w:rsidRDefault="00E73303" w:rsidP="00597730">
      <w:pPr>
        <w:pStyle w:val="FootnoteText"/>
        <w:rPr>
          <w:color w:val="0000FF"/>
          <w:sz w:val="16"/>
          <w:szCs w:val="16"/>
        </w:rPr>
      </w:pPr>
      <w:r w:rsidRPr="00913665">
        <w:rPr>
          <w:rStyle w:val="FootnoteReference"/>
        </w:rPr>
        <w:footnoteRef/>
      </w:r>
      <w:r w:rsidRPr="00913665">
        <w:t xml:space="preserve"> </w:t>
      </w:r>
      <w:hyperlink r:id="rId8" w:history="1">
        <w:r w:rsidRPr="00913665">
          <w:rPr>
            <w:color w:val="0000FF"/>
            <w:sz w:val="16"/>
            <w:u w:val="single"/>
          </w:rPr>
          <w:t>Opinion of the Health Security Committee on zoonotic avian influenza - European Commission [Opinia Komitetu ds. Bezpieczeństwa Zdrowia</w:t>
        </w:r>
        <w:r w:rsidR="00913665" w:rsidRPr="00913665">
          <w:rPr>
            <w:color w:val="0000FF"/>
            <w:sz w:val="16"/>
            <w:u w:val="single"/>
          </w:rPr>
          <w:t xml:space="preserve"> w</w:t>
        </w:r>
        <w:r w:rsidR="00913665">
          <w:rPr>
            <w:color w:val="0000FF"/>
            <w:sz w:val="16"/>
            <w:u w:val="single"/>
          </w:rPr>
          <w:t> </w:t>
        </w:r>
        <w:r w:rsidR="00913665" w:rsidRPr="00913665">
          <w:rPr>
            <w:color w:val="0000FF"/>
            <w:sz w:val="16"/>
            <w:u w:val="single"/>
          </w:rPr>
          <w:t>spr</w:t>
        </w:r>
        <w:r w:rsidRPr="00913665">
          <w:rPr>
            <w:color w:val="0000FF"/>
            <w:sz w:val="16"/>
            <w:u w:val="single"/>
          </w:rPr>
          <w:t>awie odzwierzęcej grypy ptaków – Komisja Europejska] (europa.eu)</w:t>
        </w:r>
      </w:hyperlink>
    </w:p>
  </w:footnote>
  <w:footnote w:id="7">
    <w:p w14:paraId="44F8C34B" w14:textId="62871D1C" w:rsidR="00E73303" w:rsidRPr="00913665" w:rsidRDefault="00E73303" w:rsidP="00FA4877">
      <w:pPr>
        <w:pStyle w:val="FootnoteText"/>
      </w:pPr>
      <w:r w:rsidRPr="00913665">
        <w:rPr>
          <w:rStyle w:val="FootnoteReference"/>
        </w:rPr>
        <w:footnoteRef/>
      </w:r>
      <w:r w:rsidRPr="00913665">
        <w:t xml:space="preserve"> </w:t>
      </w:r>
      <w:r w:rsidRPr="00913665">
        <w:rPr>
          <w:sz w:val="16"/>
        </w:rPr>
        <w:t>Oporność bakterii na środki przeciwdrobnoustrojowe (AMR); patogeny wirusowe przenoszone przez wektory; nowo pojawiające się, przenoszone przez gryzonie</w:t>
      </w:r>
      <w:r w:rsidR="00913665" w:rsidRPr="00913665">
        <w:rPr>
          <w:sz w:val="16"/>
        </w:rPr>
        <w:t xml:space="preserve"> i</w:t>
      </w:r>
      <w:r w:rsidR="00913665">
        <w:rPr>
          <w:sz w:val="16"/>
        </w:rPr>
        <w:t> </w:t>
      </w:r>
      <w:r w:rsidR="00913665" w:rsidRPr="00913665">
        <w:rPr>
          <w:sz w:val="16"/>
        </w:rPr>
        <w:t>odz</w:t>
      </w:r>
      <w:r w:rsidRPr="00913665">
        <w:rPr>
          <w:sz w:val="16"/>
        </w:rPr>
        <w:t>wierzęce patogeny wirusowe; patogeny bakteryjne wysokiego ryzyka, nowo pojawiające się</w:t>
      </w:r>
      <w:r w:rsidR="00913665" w:rsidRPr="00913665">
        <w:rPr>
          <w:sz w:val="16"/>
        </w:rPr>
        <w:t xml:space="preserve"> i</w:t>
      </w:r>
      <w:r w:rsidR="00913665">
        <w:rPr>
          <w:sz w:val="16"/>
        </w:rPr>
        <w:t> </w:t>
      </w:r>
      <w:r w:rsidR="00913665" w:rsidRPr="00913665">
        <w:rPr>
          <w:sz w:val="16"/>
        </w:rPr>
        <w:t>odz</w:t>
      </w:r>
      <w:r w:rsidRPr="00913665">
        <w:rPr>
          <w:sz w:val="16"/>
        </w:rPr>
        <w:t>wierzęce; Legionella; oraz błonica</w:t>
      </w:r>
      <w:r w:rsidR="00913665" w:rsidRPr="00913665">
        <w:rPr>
          <w:sz w:val="16"/>
        </w:rPr>
        <w:t xml:space="preserve"> i</w:t>
      </w:r>
      <w:r w:rsidR="00913665">
        <w:rPr>
          <w:sz w:val="16"/>
        </w:rPr>
        <w:t> </w:t>
      </w:r>
      <w:r w:rsidR="00913665" w:rsidRPr="00913665">
        <w:rPr>
          <w:sz w:val="16"/>
        </w:rPr>
        <w:t>krz</w:t>
      </w:r>
      <w:r w:rsidRPr="00913665">
        <w:rPr>
          <w:sz w:val="16"/>
        </w:rPr>
        <w:t>tusiec.</w:t>
      </w:r>
    </w:p>
  </w:footnote>
  <w:footnote w:id="8">
    <w:p w14:paraId="015F6190" w14:textId="5A8AAF80" w:rsidR="00035BD7" w:rsidRPr="00913665" w:rsidRDefault="00035BD7" w:rsidP="00FA4877">
      <w:pPr>
        <w:pStyle w:val="FootnoteText"/>
      </w:pPr>
      <w:r w:rsidRPr="00913665">
        <w:rPr>
          <w:rStyle w:val="FootnoteReference"/>
        </w:rPr>
        <w:footnoteRef/>
      </w:r>
      <w:r w:rsidRPr="00913665">
        <w:t xml:space="preserve"> </w:t>
      </w:r>
      <w:hyperlink r:id="rId9" w:history="1">
        <w:r w:rsidRPr="00913665">
          <w:rPr>
            <w:sz w:val="16"/>
          </w:rPr>
          <w:t>https://single-market-economy.ec.europa.eu/coronavirus-response/task-force-industrial-scale-covid-19-vaccines_pl</w:t>
        </w:r>
      </w:hyperlink>
      <w:r w:rsidRPr="00913665">
        <w:rPr>
          <w:sz w:val="16"/>
        </w:rPr>
        <w:t xml:space="preserve"> </w:t>
      </w:r>
    </w:p>
  </w:footnote>
  <w:footnote w:id="9">
    <w:p w14:paraId="52E94A01" w14:textId="51D3CC44" w:rsidR="00E73303" w:rsidRPr="00913665" w:rsidRDefault="00E73303">
      <w:pPr>
        <w:pStyle w:val="FootnoteText"/>
      </w:pPr>
      <w:r w:rsidRPr="00913665">
        <w:rPr>
          <w:rStyle w:val="FootnoteReference"/>
        </w:rPr>
        <w:footnoteRef/>
      </w:r>
      <w:r w:rsidRPr="00913665">
        <w:t xml:space="preserve"> </w:t>
      </w:r>
      <w:hyperlink r:id="rId10" w:history="1">
        <w:r w:rsidRPr="00913665">
          <w:rPr>
            <w:color w:val="0000FF"/>
            <w:sz w:val="16"/>
            <w:u w:val="single"/>
          </w:rPr>
          <w:t>https://ec.europa.eu/commission/presscorner/detail/pl/ip_22_4363</w:t>
        </w:r>
      </w:hyperlink>
    </w:p>
  </w:footnote>
  <w:footnote w:id="10">
    <w:p w14:paraId="413E083A" w14:textId="31D6CAF1" w:rsidR="00E73303" w:rsidRPr="00913665" w:rsidRDefault="00E73303">
      <w:pPr>
        <w:pStyle w:val="FootnoteText"/>
      </w:pPr>
      <w:r w:rsidRPr="00913665">
        <w:rPr>
          <w:rStyle w:val="FootnoteReference"/>
        </w:rPr>
        <w:footnoteRef/>
      </w:r>
      <w:r w:rsidRPr="00913665">
        <w:t xml:space="preserve"> </w:t>
      </w:r>
      <w:hyperlink r:id="rId11" w:history="1">
        <w:r w:rsidRPr="00913665">
          <w:rPr>
            <w:color w:val="0000FF"/>
            <w:sz w:val="16"/>
            <w:u w:val="single"/>
          </w:rPr>
          <w:t>https://eur-lex.europa.eu/legal-content/PL/TXT/?uri=CELEX%3A52021PC0577</w:t>
        </w:r>
      </w:hyperlink>
    </w:p>
  </w:footnote>
  <w:footnote w:id="11">
    <w:p w14:paraId="13B35B5B" w14:textId="7BD66D63" w:rsidR="007E4AA2" w:rsidRPr="00913665" w:rsidRDefault="007E4AA2">
      <w:pPr>
        <w:pStyle w:val="FootnoteText"/>
      </w:pPr>
      <w:r w:rsidRPr="00913665">
        <w:rPr>
          <w:rStyle w:val="FootnoteReference"/>
        </w:rPr>
        <w:footnoteRef/>
      </w:r>
      <w:r w:rsidRPr="00913665">
        <w:t xml:space="preserve"> </w:t>
      </w:r>
      <w:hyperlink r:id="rId12" w:history="1">
        <w:r w:rsidRPr="00913665">
          <w:rPr>
            <w:color w:val="0000FF"/>
            <w:sz w:val="16"/>
            <w:u w:val="single"/>
          </w:rPr>
          <w:t>Launching GLOWACON:</w:t>
        </w:r>
      </w:hyperlink>
      <w:hyperlink r:id="rId13" w:history="1">
        <w:r w:rsidRPr="00913665">
          <w:rPr>
            <w:color w:val="0000FF"/>
            <w:sz w:val="16"/>
            <w:u w:val="single"/>
          </w:rPr>
          <w:t xml:space="preserve"> A global initiative for wastewater surveillance for public health - European Commission [Uruchomienie GLOWACON: globalnej inicjatywy na rzecz nadzoru ścieków na rzecz zdrowia publicznego – Komisja Europejska] (europa.eu)</w:t>
        </w:r>
      </w:hyperlink>
    </w:p>
  </w:footnote>
  <w:footnote w:id="12">
    <w:p w14:paraId="10503249" w14:textId="403F4676" w:rsidR="007E4AA2" w:rsidRPr="00913665" w:rsidRDefault="007E4AA2" w:rsidP="00597730">
      <w:pPr>
        <w:pStyle w:val="FootnoteText"/>
        <w:rPr>
          <w:sz w:val="16"/>
          <w:szCs w:val="16"/>
        </w:rPr>
      </w:pPr>
      <w:r w:rsidRPr="00913665">
        <w:rPr>
          <w:rStyle w:val="FootnoteReference"/>
        </w:rPr>
        <w:footnoteRef/>
      </w:r>
      <w:r w:rsidRPr="00913665">
        <w:t xml:space="preserve"> </w:t>
      </w:r>
      <w:r w:rsidRPr="00913665">
        <w:rPr>
          <w:sz w:val="16"/>
        </w:rPr>
        <w:t>Termin „choroba X“ oznacza hipotetyczny patogen wywołujący choroby</w:t>
      </w:r>
      <w:r w:rsidR="00913665" w:rsidRPr="00913665">
        <w:rPr>
          <w:sz w:val="16"/>
        </w:rPr>
        <w:t xml:space="preserve"> u</w:t>
      </w:r>
      <w:r w:rsidR="00913665">
        <w:rPr>
          <w:sz w:val="16"/>
        </w:rPr>
        <w:t> </w:t>
      </w:r>
      <w:r w:rsidR="00913665" w:rsidRPr="00913665">
        <w:rPr>
          <w:sz w:val="16"/>
        </w:rPr>
        <w:t>lud</w:t>
      </w:r>
      <w:r w:rsidRPr="00913665">
        <w:rPr>
          <w:sz w:val="16"/>
        </w:rPr>
        <w:t>zi, który obecnie nie jest znany, ale który może wywołać poważną epidemię</w:t>
      </w:r>
      <w:r w:rsidR="00913665" w:rsidRPr="00913665">
        <w:rPr>
          <w:sz w:val="16"/>
        </w:rPr>
        <w:t xml:space="preserve"> o</w:t>
      </w:r>
      <w:r w:rsidR="00913665">
        <w:rPr>
          <w:sz w:val="16"/>
        </w:rPr>
        <w:t> </w:t>
      </w:r>
      <w:r w:rsidR="00913665" w:rsidRPr="00913665">
        <w:rPr>
          <w:sz w:val="16"/>
        </w:rPr>
        <w:t>zas</w:t>
      </w:r>
      <w:r w:rsidRPr="00913665">
        <w:rPr>
          <w:sz w:val="16"/>
        </w:rPr>
        <w:t>ięgu międzynarodowym. Choroba X znajduje się na liście patogenów priorytetowych WHO (definicja Światowej Organizacji Zdrowia).</w:t>
      </w:r>
    </w:p>
  </w:footnote>
  <w:footnote w:id="13">
    <w:p w14:paraId="43DFED0A" w14:textId="1A21DD60" w:rsidR="00844985" w:rsidRPr="00913665" w:rsidRDefault="00844985">
      <w:pPr>
        <w:pStyle w:val="FootnoteText"/>
      </w:pPr>
      <w:r w:rsidRPr="00913665">
        <w:rPr>
          <w:rStyle w:val="FootnoteReference"/>
        </w:rPr>
        <w:footnoteRef/>
      </w:r>
      <w:r w:rsidRPr="00913665">
        <w:t xml:space="preserve"> </w:t>
      </w:r>
      <w:hyperlink r:id="rId14" w:history="1">
        <w:r w:rsidRPr="00913665">
          <w:rPr>
            <w:color w:val="0000FF"/>
            <w:sz w:val="16"/>
            <w:u w:val="single"/>
          </w:rPr>
          <w:t>https://health.ec.europa.eu/medicinal-products/pharmaceutical-strategy-europe_pl</w:t>
        </w:r>
      </w:hyperlink>
      <w:r w:rsidRPr="00913665">
        <w:rPr>
          <w:color w:val="467886"/>
          <w:sz w:val="16"/>
          <w:u w:val="single"/>
        </w:rPr>
        <w:t xml:space="preserve"> </w:t>
      </w:r>
    </w:p>
  </w:footnote>
  <w:footnote w:id="14">
    <w:p w14:paraId="32F7652E" w14:textId="66E9F530" w:rsidR="00844985" w:rsidRPr="00913665" w:rsidRDefault="00844985" w:rsidP="00F0214C">
      <w:pPr>
        <w:pStyle w:val="BodyText"/>
        <w:kinsoku w:val="0"/>
        <w:overflowPunct w:val="0"/>
        <w:spacing w:before="14"/>
        <w:rPr>
          <w:spacing w:val="-2"/>
          <w:sz w:val="16"/>
          <w:szCs w:val="16"/>
        </w:rPr>
      </w:pPr>
      <w:r w:rsidRPr="00913665">
        <w:rPr>
          <w:rStyle w:val="FootnoteReference"/>
        </w:rPr>
        <w:footnoteRef/>
      </w:r>
      <w:r w:rsidRPr="00913665">
        <w:t xml:space="preserve"> </w:t>
      </w:r>
      <w:r w:rsidRPr="00913665">
        <w:rPr>
          <w:sz w:val="16"/>
        </w:rPr>
        <w:t>W sieci właściwych organów ds. kształtowania cen</w:t>
      </w:r>
      <w:r w:rsidR="00913665" w:rsidRPr="00913665">
        <w:rPr>
          <w:sz w:val="16"/>
        </w:rPr>
        <w:t xml:space="preserve"> i</w:t>
      </w:r>
      <w:r w:rsidR="00913665">
        <w:rPr>
          <w:sz w:val="16"/>
        </w:rPr>
        <w:t> </w:t>
      </w:r>
      <w:r w:rsidR="00913665" w:rsidRPr="00913665">
        <w:rPr>
          <w:sz w:val="16"/>
        </w:rPr>
        <w:t>ref</w:t>
      </w:r>
      <w:r w:rsidRPr="00913665">
        <w:rPr>
          <w:sz w:val="16"/>
        </w:rPr>
        <w:t xml:space="preserve">undacji (NCAPR) </w:t>
      </w:r>
    </w:p>
  </w:footnote>
  <w:footnote w:id="15">
    <w:p w14:paraId="31CF0CC9" w14:textId="763AB3CB" w:rsidR="008821EA" w:rsidRPr="00913665" w:rsidRDefault="008821EA">
      <w:pPr>
        <w:pStyle w:val="FootnoteText"/>
        <w:rPr>
          <w:color w:val="0000FF"/>
        </w:rPr>
      </w:pPr>
      <w:r w:rsidRPr="00913665">
        <w:rPr>
          <w:rStyle w:val="FootnoteReference"/>
        </w:rPr>
        <w:footnoteRef/>
      </w:r>
      <w:r w:rsidRPr="00913665">
        <w:t xml:space="preserve"> </w:t>
      </w:r>
      <w:hyperlink r:id="rId15" w:history="1">
        <w:r w:rsidRPr="00913665">
          <w:rPr>
            <w:color w:val="0000FF"/>
            <w:sz w:val="16"/>
            <w:u w:val="single"/>
          </w:rPr>
          <w:t>https://ec.europa.eu/commission/presscorner/detail/pl/IP_23_5190</w:t>
        </w:r>
      </w:hyperlink>
    </w:p>
  </w:footnote>
  <w:footnote w:id="16">
    <w:p w14:paraId="3B160650" w14:textId="26709421" w:rsidR="008821EA" w:rsidRPr="00913665" w:rsidRDefault="008821EA">
      <w:pPr>
        <w:pStyle w:val="FootnoteText"/>
      </w:pPr>
      <w:r w:rsidRPr="00913665">
        <w:rPr>
          <w:rStyle w:val="FootnoteReference"/>
        </w:rPr>
        <w:footnoteRef/>
      </w:r>
      <w:r w:rsidRPr="00913665">
        <w:t xml:space="preserve"> </w:t>
      </w:r>
      <w:hyperlink r:id="rId16" w:history="1">
        <w:r w:rsidRPr="00913665">
          <w:rPr>
            <w:color w:val="0000FF"/>
            <w:sz w:val="16"/>
            <w:u w:val="single"/>
          </w:rPr>
          <w:t>https://ec.europa.eu/commission/presscorner/detail/pl/ip_23_6377</w:t>
        </w:r>
      </w:hyperlink>
    </w:p>
  </w:footnote>
  <w:footnote w:id="17">
    <w:p w14:paraId="2E56CE4F" w14:textId="42E9BAAE" w:rsidR="008821EA" w:rsidRPr="00913665" w:rsidRDefault="008821EA">
      <w:pPr>
        <w:pStyle w:val="FootnoteText"/>
      </w:pPr>
      <w:r w:rsidRPr="00913665">
        <w:rPr>
          <w:rStyle w:val="FootnoteReference"/>
        </w:rPr>
        <w:footnoteRef/>
      </w:r>
      <w:r w:rsidRPr="00913665">
        <w:t xml:space="preserve"> </w:t>
      </w:r>
      <w:hyperlink r:id="rId17" w:history="1">
        <w:r w:rsidRPr="00913665">
          <w:rPr>
            <w:color w:val="0000FF"/>
            <w:sz w:val="16"/>
            <w:u w:val="single"/>
          </w:rPr>
          <w:t>https://health.ec.europa.eu/health-emergency-preparedness-and-response-hera/overview/critical-medicines-alliance_en</w:t>
        </w:r>
      </w:hyperlink>
    </w:p>
  </w:footnote>
  <w:footnote w:id="18">
    <w:p w14:paraId="042CE3D2" w14:textId="5E8F3B20" w:rsidR="003A5C20" w:rsidRPr="00913665" w:rsidRDefault="003A5C20">
      <w:pPr>
        <w:pStyle w:val="FootnoteText"/>
      </w:pPr>
      <w:r w:rsidRPr="00913665">
        <w:rPr>
          <w:rStyle w:val="FootnoteReference"/>
        </w:rPr>
        <w:footnoteRef/>
      </w:r>
      <w:r w:rsidRPr="00913665">
        <w:t xml:space="preserve"> </w:t>
      </w:r>
      <w:hyperlink r:id="rId18" w:history="1">
        <w:r w:rsidRPr="00913665">
          <w:rPr>
            <w:sz w:val="16"/>
          </w:rPr>
          <w:t>eur-lex.europa.eu/legal-content/PL/TXT/PDF/?uri=CELEX:52019DC0128</w:t>
        </w:r>
      </w:hyperlink>
    </w:p>
  </w:footnote>
  <w:footnote w:id="19">
    <w:p w14:paraId="2B29AF92" w14:textId="041A0E35" w:rsidR="000726BF" w:rsidRPr="00913665" w:rsidRDefault="000726BF">
      <w:pPr>
        <w:pStyle w:val="FootnoteText"/>
      </w:pPr>
      <w:r w:rsidRPr="00913665">
        <w:rPr>
          <w:rStyle w:val="FootnoteReference"/>
        </w:rPr>
        <w:footnoteRef/>
      </w:r>
      <w:r w:rsidRPr="00913665">
        <w:t xml:space="preserve"> </w:t>
      </w:r>
      <w:hyperlink r:id="rId19" w:history="1">
        <w:r w:rsidRPr="00913665">
          <w:rPr>
            <w:color w:val="0000FF"/>
            <w:sz w:val="16"/>
            <w:u w:val="single"/>
          </w:rPr>
          <w:t>https://research-and-innovation.ec.europa.eu/funding/funding-opportunities/funding-programmes-and-open-calls/horizon-europe/european-partnerships-horizon-europe/health_en</w:t>
        </w:r>
      </w:hyperlink>
    </w:p>
  </w:footnote>
  <w:footnote w:id="20">
    <w:p w14:paraId="1942ABA1" w14:textId="3B143E35" w:rsidR="000726BF" w:rsidRPr="00913665" w:rsidRDefault="000726BF" w:rsidP="00597730">
      <w:pPr>
        <w:pStyle w:val="FootnoteText"/>
        <w:rPr>
          <w:color w:val="000000"/>
          <w:spacing w:val="-4"/>
          <w:sz w:val="16"/>
          <w:szCs w:val="16"/>
        </w:rPr>
      </w:pPr>
      <w:r w:rsidRPr="00913665">
        <w:rPr>
          <w:rStyle w:val="FootnoteReference"/>
        </w:rPr>
        <w:footnoteRef/>
      </w:r>
      <w:r w:rsidRPr="00913665">
        <w:t xml:space="preserve"> </w:t>
      </w:r>
      <w:r w:rsidRPr="00913665">
        <w:rPr>
          <w:sz w:val="16"/>
        </w:rPr>
        <w:t>W </w:t>
      </w:r>
      <w:r w:rsidRPr="00913665">
        <w:t>grudniu 2023</w:t>
      </w:r>
      <w:r w:rsidR="00913665" w:rsidRPr="00913665">
        <w:t> </w:t>
      </w:r>
      <w:r w:rsidRPr="00913665">
        <w:t xml:space="preserve">r. osiągnięto </w:t>
      </w:r>
      <w:hyperlink r:id="rId20" w:history="1">
        <w:r w:rsidRPr="00913665">
          <w:rPr>
            <w:color w:val="0000FF"/>
            <w:sz w:val="16"/>
            <w:u w:val="single"/>
          </w:rPr>
          <w:t>porozumienie polityczne</w:t>
        </w:r>
      </w:hyperlink>
      <w:r w:rsidRPr="00913665">
        <w:rPr>
          <w:color w:val="0000FF"/>
          <w:sz w:val="16"/>
        </w:rPr>
        <w:t>.</w:t>
      </w:r>
      <w:r w:rsidRPr="00913665">
        <w:rPr>
          <w:color w:val="000000"/>
          <w:sz w:val="16"/>
        </w:rPr>
        <w:t xml:space="preserve"> </w:t>
      </w:r>
    </w:p>
  </w:footnote>
  <w:footnote w:id="21">
    <w:p w14:paraId="76C96B7E" w14:textId="39E5763A" w:rsidR="009E609E" w:rsidRPr="00913665" w:rsidRDefault="009E609E">
      <w:pPr>
        <w:pStyle w:val="FootnoteText"/>
      </w:pPr>
      <w:r w:rsidRPr="00913665">
        <w:rPr>
          <w:rStyle w:val="FootnoteReference"/>
        </w:rPr>
        <w:footnoteRef/>
      </w:r>
      <w:r w:rsidRPr="00913665">
        <w:t xml:space="preserve"> </w:t>
      </w:r>
      <w:r w:rsidRPr="00913665">
        <w:rPr>
          <w:sz w:val="16"/>
        </w:rPr>
        <w:t>https://www.thcspartnership.eu/</w:t>
      </w:r>
    </w:p>
  </w:footnote>
  <w:footnote w:id="22">
    <w:p w14:paraId="2E32D61D" w14:textId="1FD03230" w:rsidR="000626A1" w:rsidRPr="00913665" w:rsidRDefault="000626A1">
      <w:pPr>
        <w:pStyle w:val="FootnoteText"/>
      </w:pPr>
      <w:r w:rsidRPr="00913665">
        <w:rPr>
          <w:rStyle w:val="FootnoteReference"/>
        </w:rPr>
        <w:footnoteRef/>
      </w:r>
      <w:r w:rsidRPr="00913665">
        <w:t xml:space="preserve"> </w:t>
      </w:r>
      <w:r w:rsidRPr="00913665">
        <w:rPr>
          <w:sz w:val="16"/>
        </w:rPr>
        <w:t>Dane liczbowe na dzień 28 lutego 2024 r. Dane te opierają się na metodyce znakowania filarów na potrzeby tabeli wyników</w:t>
      </w:r>
      <w:r w:rsidR="00913665" w:rsidRPr="00913665">
        <w:rPr>
          <w:sz w:val="16"/>
        </w:rPr>
        <w:t xml:space="preserve"> w</w:t>
      </w:r>
      <w:r w:rsidR="00913665">
        <w:rPr>
          <w:sz w:val="16"/>
        </w:rPr>
        <w:t> </w:t>
      </w:r>
      <w:r w:rsidR="00913665" w:rsidRPr="00913665">
        <w:rPr>
          <w:sz w:val="16"/>
        </w:rPr>
        <w:t>zak</w:t>
      </w:r>
      <w:r w:rsidRPr="00913665">
        <w:rPr>
          <w:sz w:val="16"/>
        </w:rPr>
        <w:t>resie odbudowy</w:t>
      </w:r>
      <w:r w:rsidR="00913665" w:rsidRPr="00913665">
        <w:rPr>
          <w:sz w:val="16"/>
        </w:rPr>
        <w:t xml:space="preserve"> i</w:t>
      </w:r>
      <w:r w:rsidR="00913665">
        <w:rPr>
          <w:sz w:val="16"/>
        </w:rPr>
        <w:t> </w:t>
      </w:r>
      <w:r w:rsidR="00913665" w:rsidRPr="00913665">
        <w:rPr>
          <w:sz w:val="16"/>
        </w:rPr>
        <w:t>zwi</w:t>
      </w:r>
      <w:r w:rsidRPr="00913665">
        <w:rPr>
          <w:sz w:val="16"/>
        </w:rPr>
        <w:t>ększania odporności</w:t>
      </w:r>
      <w:r w:rsidR="00913665" w:rsidRPr="00913665">
        <w:rPr>
          <w:sz w:val="16"/>
        </w:rPr>
        <w:t xml:space="preserve"> i</w:t>
      </w:r>
      <w:r w:rsidR="00913665">
        <w:rPr>
          <w:sz w:val="16"/>
        </w:rPr>
        <w:t> </w:t>
      </w:r>
      <w:r w:rsidR="00913665" w:rsidRPr="00913665">
        <w:rPr>
          <w:sz w:val="16"/>
        </w:rPr>
        <w:t>odp</w:t>
      </w:r>
      <w:r w:rsidRPr="00913665">
        <w:rPr>
          <w:sz w:val="16"/>
        </w:rPr>
        <w:t>owiadają działaniom przydzielonym do obszaru polityki „Opieka zdrowotna: odporność, zrównoważoność, adekwatność, dostępność, przystępność cenowa</w:t>
      </w:r>
      <w:r w:rsidR="00913665" w:rsidRPr="00913665">
        <w:rPr>
          <w:sz w:val="16"/>
        </w:rPr>
        <w:t xml:space="preserve"> i</w:t>
      </w:r>
      <w:r w:rsidR="00913665">
        <w:rPr>
          <w:sz w:val="16"/>
        </w:rPr>
        <w:t> </w:t>
      </w:r>
      <w:r w:rsidR="00913665" w:rsidRPr="00913665">
        <w:rPr>
          <w:sz w:val="16"/>
        </w:rPr>
        <w:t>jak</w:t>
      </w:r>
      <w:r w:rsidRPr="00913665">
        <w:rPr>
          <w:sz w:val="16"/>
        </w:rPr>
        <w:t>ość,</w:t>
      </w:r>
      <w:r w:rsidR="00913665" w:rsidRPr="00913665">
        <w:rPr>
          <w:sz w:val="16"/>
        </w:rPr>
        <w:t xml:space="preserve"> w</w:t>
      </w:r>
      <w:r w:rsidR="00913665">
        <w:rPr>
          <w:sz w:val="16"/>
        </w:rPr>
        <w:t> </w:t>
      </w:r>
      <w:r w:rsidR="00913665" w:rsidRPr="00913665">
        <w:rPr>
          <w:sz w:val="16"/>
        </w:rPr>
        <w:t>tym</w:t>
      </w:r>
      <w:r w:rsidRPr="00913665">
        <w:rPr>
          <w:sz w:val="16"/>
        </w:rPr>
        <w:t xml:space="preserve"> cyfryzacja</w:t>
      </w:r>
      <w:r w:rsidR="00913665" w:rsidRPr="00913665">
        <w:rPr>
          <w:sz w:val="16"/>
        </w:rPr>
        <w:t xml:space="preserve"> i</w:t>
      </w:r>
      <w:r w:rsidR="00913665">
        <w:rPr>
          <w:sz w:val="16"/>
        </w:rPr>
        <w:t> </w:t>
      </w:r>
      <w:r w:rsidR="00913665" w:rsidRPr="00913665">
        <w:rPr>
          <w:sz w:val="16"/>
        </w:rPr>
        <w:t>inf</w:t>
      </w:r>
      <w:r w:rsidRPr="00913665">
        <w:rPr>
          <w:sz w:val="16"/>
        </w:rPr>
        <w:t>rastruktura“.</w:t>
      </w:r>
    </w:p>
  </w:footnote>
  <w:footnote w:id="23">
    <w:p w14:paraId="5DB9331C" w14:textId="77777777" w:rsidR="00457F48" w:rsidRPr="00913665" w:rsidRDefault="00457F48" w:rsidP="00457F48">
      <w:pPr>
        <w:pStyle w:val="FootnoteText"/>
      </w:pPr>
      <w:r w:rsidRPr="00913665">
        <w:rPr>
          <w:rStyle w:val="FootnoteReference"/>
        </w:rPr>
        <w:footnoteRef/>
      </w:r>
      <w:r w:rsidRPr="00913665">
        <w:rPr>
          <w:sz w:val="16"/>
        </w:rPr>
        <w:t xml:space="preserve"> https://ec.europa.eu/social/BlobServlet?docId=27472&amp;langId=en</w:t>
      </w:r>
    </w:p>
  </w:footnote>
  <w:footnote w:id="24">
    <w:p w14:paraId="5A852149" w14:textId="5D57F4F8" w:rsidR="00E15069" w:rsidRPr="00913665" w:rsidRDefault="00E15069">
      <w:pPr>
        <w:pStyle w:val="FootnoteText"/>
      </w:pPr>
      <w:r w:rsidRPr="00913665">
        <w:rPr>
          <w:rStyle w:val="FootnoteReference"/>
        </w:rPr>
        <w:footnoteRef/>
      </w:r>
      <w:r w:rsidRPr="00913665">
        <w:t xml:space="preserve"> </w:t>
      </w:r>
      <w:hyperlink r:id="rId21" w:history="1">
        <w:r w:rsidRPr="00913665">
          <w:rPr>
            <w:color w:val="0000FF"/>
            <w:sz w:val="16"/>
            <w:u w:val="single"/>
          </w:rPr>
          <w:t>JA HEROES</w:t>
        </w:r>
      </w:hyperlink>
      <w:hyperlink r:id="rId22" w:history="1">
        <w:r w:rsidRPr="00913665">
          <w:rPr>
            <w:color w:val="0000FF"/>
            <w:sz w:val="16"/>
            <w:u w:val="single"/>
          </w:rPr>
          <w:t>Projekt planowania zatrudnienia</w:t>
        </w:r>
        <w:r w:rsidR="00913665" w:rsidRPr="00913665">
          <w:rPr>
            <w:color w:val="0000FF"/>
            <w:sz w:val="16"/>
            <w:u w:val="single"/>
          </w:rPr>
          <w:t xml:space="preserve"> w</w:t>
        </w:r>
        <w:r w:rsidR="00913665">
          <w:rPr>
            <w:color w:val="0000FF"/>
            <w:sz w:val="16"/>
            <w:u w:val="single"/>
          </w:rPr>
          <w:t> </w:t>
        </w:r>
        <w:r w:rsidR="00913665" w:rsidRPr="00913665">
          <w:rPr>
            <w:color w:val="0000FF"/>
            <w:sz w:val="16"/>
            <w:u w:val="single"/>
          </w:rPr>
          <w:t>słu</w:t>
        </w:r>
        <w:r w:rsidRPr="00913665">
          <w:rPr>
            <w:color w:val="0000FF"/>
            <w:sz w:val="16"/>
            <w:u w:val="single"/>
          </w:rPr>
          <w:t>żbie zdrowia</w:t>
        </w:r>
      </w:hyperlink>
    </w:p>
  </w:footnote>
  <w:footnote w:id="25">
    <w:p w14:paraId="2216A84C" w14:textId="2371E8EC" w:rsidR="00E15069" w:rsidRPr="00913665" w:rsidRDefault="00E15069">
      <w:pPr>
        <w:pStyle w:val="FootnoteText"/>
      </w:pPr>
      <w:r w:rsidRPr="00913665">
        <w:rPr>
          <w:rStyle w:val="FootnoteReference"/>
        </w:rPr>
        <w:footnoteRef/>
      </w:r>
      <w:r w:rsidRPr="00913665">
        <w:t xml:space="preserve"> </w:t>
      </w:r>
      <w:hyperlink r:id="rId23" w:history="1">
        <w:r w:rsidRPr="00913665">
          <w:rPr>
            <w:color w:val="0000FF"/>
            <w:sz w:val="16"/>
            <w:u w:val="single"/>
          </w:rPr>
          <w:t>BeWell – Sojusz na rzecz przyszłej strategii na rzecz pracowników służby zdrowia</w:t>
        </w:r>
        <w:r w:rsidR="00913665" w:rsidRPr="00913665">
          <w:rPr>
            <w:color w:val="0000FF"/>
            <w:sz w:val="16"/>
            <w:u w:val="single"/>
          </w:rPr>
          <w:t xml:space="preserve"> w</w:t>
        </w:r>
        <w:r w:rsidR="00913665">
          <w:rPr>
            <w:color w:val="0000FF"/>
            <w:sz w:val="16"/>
            <w:u w:val="single"/>
          </w:rPr>
          <w:t> </w:t>
        </w:r>
        <w:r w:rsidR="00913665" w:rsidRPr="00913665">
          <w:rPr>
            <w:color w:val="0000FF"/>
            <w:sz w:val="16"/>
            <w:u w:val="single"/>
          </w:rPr>
          <w:t>zak</w:t>
        </w:r>
        <w:r w:rsidRPr="00913665">
          <w:rPr>
            <w:color w:val="0000FF"/>
            <w:sz w:val="16"/>
            <w:u w:val="single"/>
          </w:rPr>
          <w:t>resie umiejętności cyfrowych</w:t>
        </w:r>
        <w:r w:rsidR="00913665" w:rsidRPr="00913665">
          <w:rPr>
            <w:color w:val="0000FF"/>
            <w:sz w:val="16"/>
            <w:u w:val="single"/>
          </w:rPr>
          <w:t xml:space="preserve"> i</w:t>
        </w:r>
        <w:r w:rsidR="00913665">
          <w:rPr>
            <w:color w:val="0000FF"/>
            <w:sz w:val="16"/>
            <w:u w:val="single"/>
          </w:rPr>
          <w:t> </w:t>
        </w:r>
        <w:r w:rsidR="00913665" w:rsidRPr="00913665">
          <w:rPr>
            <w:color w:val="0000FF"/>
            <w:sz w:val="16"/>
            <w:u w:val="single"/>
          </w:rPr>
          <w:t>eko</w:t>
        </w:r>
        <w:r w:rsidRPr="00913665">
          <w:rPr>
            <w:color w:val="0000FF"/>
            <w:sz w:val="16"/>
            <w:u w:val="single"/>
          </w:rPr>
          <w:t>logicznych (bewell-project.eu)</w:t>
        </w:r>
      </w:hyperlink>
    </w:p>
  </w:footnote>
  <w:footnote w:id="26">
    <w:p w14:paraId="4744B6C7" w14:textId="3E5C0CE9" w:rsidR="00E15069" w:rsidRPr="00913665" w:rsidRDefault="00E15069">
      <w:pPr>
        <w:pStyle w:val="FootnoteText"/>
      </w:pPr>
      <w:r w:rsidRPr="00913665">
        <w:rPr>
          <w:rStyle w:val="FootnoteReference"/>
        </w:rPr>
        <w:footnoteRef/>
      </w:r>
      <w:r w:rsidRPr="00913665">
        <w:t xml:space="preserve"> </w:t>
      </w:r>
      <w:hyperlink r:id="rId24" w:history="1">
        <w:r w:rsidRPr="00913665">
          <w:rPr>
            <w:color w:val="0000FF"/>
            <w:sz w:val="16"/>
            <w:u w:val="single"/>
          </w:rPr>
          <w:t>https://pact-for-skills.ec.europa.eu/about/industrial-ecosystems-and-partnerships/health_en</w:t>
        </w:r>
      </w:hyperlink>
    </w:p>
  </w:footnote>
  <w:footnote w:id="27">
    <w:p w14:paraId="4715C247" w14:textId="57F3F645" w:rsidR="00E15069" w:rsidRPr="00913665" w:rsidRDefault="00E15069">
      <w:pPr>
        <w:pStyle w:val="FootnoteText"/>
      </w:pPr>
      <w:r w:rsidRPr="00913665">
        <w:rPr>
          <w:rStyle w:val="FootnoteReference"/>
        </w:rPr>
        <w:footnoteRef/>
      </w:r>
      <w:r w:rsidRPr="00913665">
        <w:t xml:space="preserve"> </w:t>
      </w:r>
      <w:hyperlink r:id="rId25" w:history="1">
        <w:r w:rsidRPr="00913665">
          <w:rPr>
            <w:color w:val="0000FF"/>
            <w:sz w:val="16"/>
            <w:u w:val="single"/>
          </w:rPr>
          <w:t>https://knowledge4policy.ec.europa.eu/health-promotion-knowledge-gateway/eu-burden-non-communicable-diseases-key-risk-factors_en</w:t>
        </w:r>
      </w:hyperlink>
    </w:p>
  </w:footnote>
  <w:footnote w:id="28">
    <w:p w14:paraId="3FE97862" w14:textId="77777777" w:rsidR="000F75F2" w:rsidRPr="00913665" w:rsidRDefault="000F75F2" w:rsidP="000F75F2">
      <w:pPr>
        <w:pStyle w:val="FootnoteText"/>
        <w:rPr>
          <w:color w:val="0000FF"/>
          <w:spacing w:val="-2"/>
          <w:sz w:val="16"/>
          <w:szCs w:val="16"/>
          <w:u w:val="single"/>
        </w:rPr>
      </w:pPr>
      <w:r w:rsidRPr="00913665">
        <w:rPr>
          <w:rStyle w:val="FootnoteReference"/>
          <w:sz w:val="16"/>
          <w:szCs w:val="16"/>
        </w:rPr>
        <w:footnoteRef/>
      </w:r>
      <w:r w:rsidRPr="00913665">
        <w:rPr>
          <w:sz w:val="16"/>
        </w:rPr>
        <w:t xml:space="preserve"> </w:t>
      </w:r>
      <w:hyperlink r:id="rId26" w:history="1">
        <w:r w:rsidRPr="00913665">
          <w:rPr>
            <w:sz w:val="16"/>
          </w:rPr>
          <w:t>https://commission.europa.eu/strategy-and-policy/priorities-2019-2024/european-green-deal_pl</w:t>
        </w:r>
      </w:hyperlink>
    </w:p>
  </w:footnote>
  <w:footnote w:id="29">
    <w:p w14:paraId="7ABC12D4" w14:textId="77777777" w:rsidR="000F75F2" w:rsidRPr="00913665" w:rsidRDefault="000F75F2" w:rsidP="000F75F2">
      <w:pPr>
        <w:pStyle w:val="FootnoteText"/>
        <w:rPr>
          <w:sz w:val="16"/>
          <w:szCs w:val="16"/>
        </w:rPr>
      </w:pPr>
      <w:r w:rsidRPr="00913665">
        <w:rPr>
          <w:rStyle w:val="FootnoteReference"/>
          <w:sz w:val="16"/>
          <w:szCs w:val="16"/>
        </w:rPr>
        <w:footnoteRef/>
      </w:r>
      <w:r w:rsidRPr="00913665">
        <w:rPr>
          <w:sz w:val="16"/>
        </w:rPr>
        <w:t xml:space="preserve"> https://environment.ec.europa.eu/strategy/zero-pollution-action-plan_pl</w:t>
      </w:r>
    </w:p>
  </w:footnote>
  <w:footnote w:id="30">
    <w:p w14:paraId="1C2B36F2" w14:textId="2EF41599" w:rsidR="000F75F2" w:rsidRPr="00913665" w:rsidRDefault="000F75F2" w:rsidP="000F75F2">
      <w:pPr>
        <w:pStyle w:val="FootnoteText"/>
      </w:pPr>
      <w:r w:rsidRPr="00913665">
        <w:rPr>
          <w:rStyle w:val="FootnoteReference"/>
          <w:sz w:val="16"/>
          <w:szCs w:val="16"/>
        </w:rPr>
        <w:footnoteRef/>
      </w:r>
      <w:r w:rsidRPr="00913665">
        <w:rPr>
          <w:sz w:val="16"/>
        </w:rPr>
        <w:t xml:space="preserve"> Zob. na przykład: https://www.eea.europa.eu/publications/harm-to-human-health-from-air-pollution/</w:t>
      </w:r>
    </w:p>
  </w:footnote>
  <w:footnote w:id="31">
    <w:p w14:paraId="07C366DE" w14:textId="54F90EBE" w:rsidR="000A2D59" w:rsidRPr="00913665" w:rsidRDefault="000A2D59" w:rsidP="00EB6046">
      <w:pPr>
        <w:pStyle w:val="FootnoteText"/>
      </w:pPr>
      <w:r w:rsidRPr="00913665">
        <w:rPr>
          <w:rStyle w:val="FootnoteReference"/>
        </w:rPr>
        <w:footnoteRef/>
      </w:r>
      <w:r w:rsidRPr="00913665">
        <w:t xml:space="preserve"> </w:t>
      </w:r>
      <w:r w:rsidRPr="00913665">
        <w:rPr>
          <w:color w:val="0000FF"/>
          <w:sz w:val="16"/>
          <w:u w:val="single"/>
        </w:rPr>
        <w:t>https://research-and-innovation.ec.europa.eu/funding/funding-opportunities/funding-programmes-and-open-calls/horizon-europe/eu-missions-horizon-europe/eu-mission-cancer_en</w:t>
      </w:r>
    </w:p>
  </w:footnote>
  <w:footnote w:id="32">
    <w:p w14:paraId="1FA3227E" w14:textId="754B33B6" w:rsidR="00EB6046" w:rsidRPr="00913665" w:rsidRDefault="00EB6046">
      <w:pPr>
        <w:pStyle w:val="FootnoteText"/>
      </w:pPr>
      <w:r w:rsidRPr="00913665">
        <w:rPr>
          <w:rStyle w:val="FootnoteReference"/>
        </w:rPr>
        <w:footnoteRef/>
      </w:r>
      <w:r w:rsidRPr="00913665">
        <w:t xml:space="preserve"> </w:t>
      </w:r>
      <w:hyperlink r:id="rId27" w:history="1">
        <w:r w:rsidRPr="00913665">
          <w:rPr>
            <w:color w:val="0000FF"/>
            <w:sz w:val="16"/>
            <w:u w:val="single"/>
          </w:rPr>
          <w:t>Zalecenie Rady</w:t>
        </w:r>
        <w:r w:rsidR="00913665" w:rsidRPr="00913665">
          <w:rPr>
            <w:color w:val="0000FF"/>
            <w:sz w:val="16"/>
            <w:u w:val="single"/>
          </w:rPr>
          <w:t xml:space="preserve"> z</w:t>
        </w:r>
        <w:r w:rsidR="00913665">
          <w:rPr>
            <w:color w:val="0000FF"/>
            <w:sz w:val="16"/>
            <w:u w:val="single"/>
          </w:rPr>
          <w:t> </w:t>
        </w:r>
        <w:r w:rsidR="00913665" w:rsidRPr="00913665">
          <w:rPr>
            <w:color w:val="0000FF"/>
            <w:sz w:val="16"/>
            <w:u w:val="single"/>
          </w:rPr>
          <w:t>dni</w:t>
        </w:r>
        <w:r w:rsidRPr="00913665">
          <w:rPr>
            <w:color w:val="0000FF"/>
            <w:sz w:val="16"/>
            <w:u w:val="single"/>
          </w:rPr>
          <w:t>a 9 grudnia 2022</w:t>
        </w:r>
        <w:r w:rsidR="00913665" w:rsidRPr="00913665">
          <w:rPr>
            <w:color w:val="0000FF"/>
            <w:sz w:val="16"/>
            <w:u w:val="single"/>
          </w:rPr>
          <w:t> </w:t>
        </w:r>
        <w:r w:rsidRPr="00913665">
          <w:rPr>
            <w:color w:val="0000FF"/>
            <w:sz w:val="16"/>
            <w:u w:val="single"/>
          </w:rPr>
          <w:t>r.</w:t>
        </w:r>
        <w:r w:rsidR="00913665" w:rsidRPr="00913665">
          <w:rPr>
            <w:color w:val="0000FF"/>
            <w:sz w:val="16"/>
            <w:u w:val="single"/>
          </w:rPr>
          <w:t xml:space="preserve"> w</w:t>
        </w:r>
        <w:r w:rsidR="00913665">
          <w:rPr>
            <w:color w:val="0000FF"/>
            <w:sz w:val="16"/>
            <w:u w:val="single"/>
          </w:rPr>
          <w:t> </w:t>
        </w:r>
        <w:r w:rsidR="00913665" w:rsidRPr="00913665">
          <w:rPr>
            <w:color w:val="0000FF"/>
            <w:sz w:val="16"/>
            <w:u w:val="single"/>
          </w:rPr>
          <w:t>spr</w:t>
        </w:r>
        <w:r w:rsidRPr="00913665">
          <w:rPr>
            <w:color w:val="0000FF"/>
            <w:sz w:val="16"/>
            <w:u w:val="single"/>
          </w:rPr>
          <w:t>awie wzmocnienia...</w:t>
        </w:r>
      </w:hyperlink>
      <w:hyperlink r:id="rId28" w:history="1">
        <w:r w:rsidRPr="00913665">
          <w:rPr>
            <w:color w:val="0000FF"/>
            <w:sz w:val="16"/>
            <w:u w:val="single"/>
          </w:rPr>
          <w:t xml:space="preserve"> - EUR-Lex (europa.eu)</w:t>
        </w:r>
      </w:hyperlink>
    </w:p>
  </w:footnote>
  <w:footnote w:id="33">
    <w:p w14:paraId="60F4CC44" w14:textId="43EBDF1F" w:rsidR="006D09DB" w:rsidRPr="00913665" w:rsidRDefault="006D09DB" w:rsidP="00597730">
      <w:pPr>
        <w:pStyle w:val="FootnoteText"/>
        <w:rPr>
          <w:color w:val="0000FF"/>
          <w:spacing w:val="-2"/>
          <w:sz w:val="16"/>
          <w:szCs w:val="16"/>
        </w:rPr>
      </w:pPr>
      <w:r w:rsidRPr="00913665">
        <w:rPr>
          <w:rStyle w:val="FootnoteReference"/>
        </w:rPr>
        <w:footnoteRef/>
      </w:r>
      <w:r w:rsidRPr="00913665">
        <w:t xml:space="preserve"> </w:t>
      </w:r>
      <w:hyperlink r:id="rId29" w:history="1">
        <w:r w:rsidRPr="00913665">
          <w:rPr>
            <w:color w:val="0000FF"/>
            <w:sz w:val="16"/>
            <w:u w:val="single"/>
          </w:rPr>
          <w:t>https://ec.europa.eu/commission/presscorner/detail/pl/ip_22_7153</w:t>
        </w:r>
      </w:hyperlink>
    </w:p>
  </w:footnote>
  <w:footnote w:id="34">
    <w:p w14:paraId="5CFBE7CA" w14:textId="3E3C15FD" w:rsidR="00B10046" w:rsidRPr="00913665" w:rsidRDefault="00B10046">
      <w:pPr>
        <w:pStyle w:val="FootnoteText"/>
      </w:pPr>
      <w:r w:rsidRPr="00913665">
        <w:rPr>
          <w:rStyle w:val="FootnoteReference"/>
        </w:rPr>
        <w:footnoteRef/>
      </w:r>
      <w:r w:rsidRPr="00913665">
        <w:t xml:space="preserve"> </w:t>
      </w:r>
      <w:hyperlink r:id="rId30" w:history="1">
        <w:r w:rsidRPr="00913665">
          <w:rPr>
            <w:rStyle w:val="Hyperlink"/>
            <w:color w:val="0000FF"/>
            <w:sz w:val="16"/>
          </w:rPr>
          <w:t>https://ec.europa.eu/commission/presscorner/detail/pl/ip_24_1570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F0BD" w14:textId="77777777" w:rsidR="00B85A1C" w:rsidRPr="00B85A1C" w:rsidRDefault="00B85A1C" w:rsidP="00B85A1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6502F" w14:textId="77777777" w:rsidR="00B85A1C" w:rsidRPr="00B85A1C" w:rsidRDefault="00B85A1C" w:rsidP="00B85A1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534A" w14:textId="77777777" w:rsidR="00B85A1C" w:rsidRPr="00B85A1C" w:rsidRDefault="00B85A1C" w:rsidP="00B85A1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46FA" w14:textId="77777777" w:rsidR="003158A7" w:rsidRPr="003158A7" w:rsidRDefault="003158A7" w:rsidP="003158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FD34B" w14:textId="77777777" w:rsidR="003158A7" w:rsidRPr="003158A7" w:rsidRDefault="003158A7" w:rsidP="003158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8091" w14:textId="77777777" w:rsidR="003158A7" w:rsidRDefault="00315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lvlText w:val="%1."/>
      <w:lvlJc w:val="left"/>
      <w:pPr>
        <w:ind w:left="1291" w:hanging="311"/>
      </w:pPr>
      <w:rPr>
        <w:rFonts w:ascii="Calibri" w:hAnsi="Calibri" w:cs="Calibri"/>
        <w:b w:val="0"/>
        <w:bCs w:val="0"/>
        <w:i w:val="0"/>
        <w:iCs w:val="0"/>
        <w:color w:val="2E5395"/>
        <w:spacing w:val="-3"/>
        <w:w w:val="100"/>
        <w:sz w:val="32"/>
        <w:szCs w:val="32"/>
      </w:rPr>
    </w:lvl>
    <w:lvl w:ilvl="1">
      <w:start w:val="1"/>
      <w:numFmt w:val="decimal"/>
      <w:lvlText w:val="%1.%2"/>
      <w:lvlJc w:val="left"/>
      <w:pPr>
        <w:ind w:left="1366" w:hanging="386"/>
      </w:pPr>
      <w:rPr>
        <w:rFonts w:ascii="Calibri" w:hAnsi="Calibri" w:cs="Calibri"/>
        <w:b w:val="0"/>
        <w:bCs w:val="0"/>
        <w:i w:val="0"/>
        <w:iCs w:val="0"/>
        <w:color w:val="2E5395"/>
        <w:spacing w:val="-2"/>
        <w:w w:val="100"/>
        <w:sz w:val="26"/>
        <w:szCs w:val="26"/>
      </w:rPr>
    </w:lvl>
    <w:lvl w:ilvl="2">
      <w:numFmt w:val="bullet"/>
      <w:lvlText w:val="ï"/>
      <w:lvlJc w:val="left"/>
      <w:pPr>
        <w:ind w:left="2429" w:hanging="386"/>
      </w:pPr>
    </w:lvl>
    <w:lvl w:ilvl="3">
      <w:numFmt w:val="bullet"/>
      <w:lvlText w:val="ï"/>
      <w:lvlJc w:val="left"/>
      <w:pPr>
        <w:ind w:left="3498" w:hanging="386"/>
      </w:pPr>
    </w:lvl>
    <w:lvl w:ilvl="4">
      <w:numFmt w:val="bullet"/>
      <w:lvlText w:val="ï"/>
      <w:lvlJc w:val="left"/>
      <w:pPr>
        <w:ind w:left="4568" w:hanging="386"/>
      </w:pPr>
    </w:lvl>
    <w:lvl w:ilvl="5">
      <w:numFmt w:val="bullet"/>
      <w:lvlText w:val="ï"/>
      <w:lvlJc w:val="left"/>
      <w:pPr>
        <w:ind w:left="5637" w:hanging="386"/>
      </w:pPr>
    </w:lvl>
    <w:lvl w:ilvl="6">
      <w:numFmt w:val="bullet"/>
      <w:lvlText w:val="ï"/>
      <w:lvlJc w:val="left"/>
      <w:pPr>
        <w:ind w:left="6707" w:hanging="386"/>
      </w:pPr>
    </w:lvl>
    <w:lvl w:ilvl="7">
      <w:numFmt w:val="bullet"/>
      <w:lvlText w:val="ï"/>
      <w:lvlJc w:val="left"/>
      <w:pPr>
        <w:ind w:left="7776" w:hanging="386"/>
      </w:pPr>
    </w:lvl>
    <w:lvl w:ilvl="8">
      <w:numFmt w:val="bullet"/>
      <w:lvlText w:val="ï"/>
      <w:lvlJc w:val="left"/>
      <w:pPr>
        <w:ind w:left="8846" w:hanging="386"/>
      </w:pPr>
    </w:lvl>
  </w:abstractNum>
  <w:abstractNum w:abstractNumId="1" w15:restartNumberingAfterBreak="0">
    <w:nsid w:val="00000403"/>
    <w:multiLevelType w:val="multilevel"/>
    <w:tmpl w:val="FFFFFFFF"/>
    <w:lvl w:ilvl="0">
      <w:numFmt w:val="bullet"/>
      <w:lvlText w:val="ï"/>
      <w:lvlJc w:val="left"/>
      <w:pPr>
        <w:ind w:left="1701" w:hanging="360"/>
      </w:pPr>
      <w:rPr>
        <w:rFonts w:ascii="Arial" w:hAnsi="Arial"/>
        <w:b w:val="0"/>
        <w:i w:val="0"/>
        <w:spacing w:val="0"/>
        <w:w w:val="131"/>
        <w:sz w:val="22"/>
      </w:rPr>
    </w:lvl>
    <w:lvl w:ilvl="1">
      <w:numFmt w:val="bullet"/>
      <w:lvlText w:val="ï"/>
      <w:lvlJc w:val="left"/>
      <w:pPr>
        <w:ind w:left="2628" w:hanging="360"/>
      </w:pPr>
    </w:lvl>
    <w:lvl w:ilvl="2">
      <w:numFmt w:val="bullet"/>
      <w:lvlText w:val="ï"/>
      <w:lvlJc w:val="left"/>
      <w:pPr>
        <w:ind w:left="3557" w:hanging="360"/>
      </w:pPr>
    </w:lvl>
    <w:lvl w:ilvl="3">
      <w:numFmt w:val="bullet"/>
      <w:lvlText w:val="ï"/>
      <w:lvlJc w:val="left"/>
      <w:pPr>
        <w:ind w:left="4485" w:hanging="360"/>
      </w:pPr>
    </w:lvl>
    <w:lvl w:ilvl="4">
      <w:numFmt w:val="bullet"/>
      <w:lvlText w:val="ï"/>
      <w:lvlJc w:val="left"/>
      <w:pPr>
        <w:ind w:left="5414" w:hanging="360"/>
      </w:pPr>
    </w:lvl>
    <w:lvl w:ilvl="5">
      <w:numFmt w:val="bullet"/>
      <w:lvlText w:val="ï"/>
      <w:lvlJc w:val="left"/>
      <w:pPr>
        <w:ind w:left="6342" w:hanging="360"/>
      </w:pPr>
    </w:lvl>
    <w:lvl w:ilvl="6">
      <w:numFmt w:val="bullet"/>
      <w:lvlText w:val="ï"/>
      <w:lvlJc w:val="left"/>
      <w:pPr>
        <w:ind w:left="7271" w:hanging="360"/>
      </w:pPr>
    </w:lvl>
    <w:lvl w:ilvl="7">
      <w:numFmt w:val="bullet"/>
      <w:lvlText w:val="ï"/>
      <w:lvlJc w:val="left"/>
      <w:pPr>
        <w:ind w:left="8199" w:hanging="360"/>
      </w:pPr>
    </w:lvl>
    <w:lvl w:ilvl="8">
      <w:numFmt w:val="bullet"/>
      <w:lvlText w:val="ï"/>
      <w:lvlJc w:val="left"/>
      <w:pPr>
        <w:ind w:left="9128" w:hanging="360"/>
      </w:pPr>
    </w:lvl>
  </w:abstractNum>
  <w:abstractNum w:abstractNumId="2" w15:restartNumberingAfterBreak="0">
    <w:nsid w:val="00000404"/>
    <w:multiLevelType w:val="multilevel"/>
    <w:tmpl w:val="FFFFFFFF"/>
    <w:lvl w:ilvl="0">
      <w:numFmt w:val="bullet"/>
      <w:lvlText w:val="►"/>
      <w:lvlJc w:val="left"/>
      <w:pPr>
        <w:ind w:left="2889" w:hanging="172"/>
      </w:pPr>
      <w:rPr>
        <w:rFonts w:ascii="Arial" w:hAnsi="Arial"/>
        <w:b w:val="0"/>
        <w:i w:val="0"/>
        <w:color w:val="45B8D2"/>
        <w:spacing w:val="0"/>
        <w:w w:val="100"/>
        <w:sz w:val="15"/>
      </w:rPr>
    </w:lvl>
    <w:lvl w:ilvl="1">
      <w:numFmt w:val="bullet"/>
      <w:lvlText w:val="ï"/>
      <w:lvlJc w:val="left"/>
      <w:pPr>
        <w:ind w:left="3021" w:hanging="172"/>
      </w:pPr>
    </w:lvl>
    <w:lvl w:ilvl="2">
      <w:numFmt w:val="bullet"/>
      <w:lvlText w:val="ï"/>
      <w:lvlJc w:val="left"/>
      <w:pPr>
        <w:ind w:left="3163" w:hanging="172"/>
      </w:pPr>
    </w:lvl>
    <w:lvl w:ilvl="3">
      <w:numFmt w:val="bullet"/>
      <w:lvlText w:val="ï"/>
      <w:lvlJc w:val="left"/>
      <w:pPr>
        <w:ind w:left="3305" w:hanging="172"/>
      </w:pPr>
    </w:lvl>
    <w:lvl w:ilvl="4">
      <w:numFmt w:val="bullet"/>
      <w:lvlText w:val="ï"/>
      <w:lvlJc w:val="left"/>
      <w:pPr>
        <w:ind w:left="3446" w:hanging="172"/>
      </w:pPr>
    </w:lvl>
    <w:lvl w:ilvl="5">
      <w:numFmt w:val="bullet"/>
      <w:lvlText w:val="ï"/>
      <w:lvlJc w:val="left"/>
      <w:pPr>
        <w:ind w:left="3588" w:hanging="172"/>
      </w:pPr>
    </w:lvl>
    <w:lvl w:ilvl="6">
      <w:numFmt w:val="bullet"/>
      <w:lvlText w:val="ï"/>
      <w:lvlJc w:val="left"/>
      <w:pPr>
        <w:ind w:left="3730" w:hanging="172"/>
      </w:pPr>
    </w:lvl>
    <w:lvl w:ilvl="7">
      <w:numFmt w:val="bullet"/>
      <w:lvlText w:val="ï"/>
      <w:lvlJc w:val="left"/>
      <w:pPr>
        <w:ind w:left="3871" w:hanging="172"/>
      </w:pPr>
    </w:lvl>
    <w:lvl w:ilvl="8">
      <w:numFmt w:val="bullet"/>
      <w:lvlText w:val="ï"/>
      <w:lvlJc w:val="left"/>
      <w:pPr>
        <w:ind w:left="4013" w:hanging="172"/>
      </w:pPr>
    </w:lvl>
  </w:abstractNum>
  <w:abstractNum w:abstractNumId="3" w15:restartNumberingAfterBreak="0">
    <w:nsid w:val="00000405"/>
    <w:multiLevelType w:val="multilevel"/>
    <w:tmpl w:val="FFFFFFFF"/>
    <w:lvl w:ilvl="0">
      <w:numFmt w:val="bullet"/>
      <w:lvlText w:val="►"/>
      <w:lvlJc w:val="left"/>
      <w:pPr>
        <w:ind w:left="2095" w:hanging="172"/>
      </w:pPr>
      <w:rPr>
        <w:rFonts w:ascii="Arial" w:hAnsi="Arial"/>
        <w:b w:val="0"/>
        <w:i w:val="0"/>
        <w:color w:val="FD4993"/>
        <w:spacing w:val="0"/>
        <w:w w:val="100"/>
        <w:sz w:val="15"/>
      </w:rPr>
    </w:lvl>
    <w:lvl w:ilvl="1">
      <w:numFmt w:val="bullet"/>
      <w:lvlText w:val="ï"/>
      <w:lvlJc w:val="left"/>
      <w:pPr>
        <w:ind w:left="2554" w:hanging="172"/>
      </w:pPr>
    </w:lvl>
    <w:lvl w:ilvl="2">
      <w:numFmt w:val="bullet"/>
      <w:lvlText w:val="ï"/>
      <w:lvlJc w:val="left"/>
      <w:pPr>
        <w:ind w:left="3009" w:hanging="172"/>
      </w:pPr>
    </w:lvl>
    <w:lvl w:ilvl="3">
      <w:numFmt w:val="bullet"/>
      <w:lvlText w:val="ï"/>
      <w:lvlJc w:val="left"/>
      <w:pPr>
        <w:ind w:left="3464" w:hanging="172"/>
      </w:pPr>
    </w:lvl>
    <w:lvl w:ilvl="4">
      <w:numFmt w:val="bullet"/>
      <w:lvlText w:val="ï"/>
      <w:lvlJc w:val="left"/>
      <w:pPr>
        <w:ind w:left="3919" w:hanging="172"/>
      </w:pPr>
    </w:lvl>
    <w:lvl w:ilvl="5">
      <w:numFmt w:val="bullet"/>
      <w:lvlText w:val="ï"/>
      <w:lvlJc w:val="left"/>
      <w:pPr>
        <w:ind w:left="4374" w:hanging="172"/>
      </w:pPr>
    </w:lvl>
    <w:lvl w:ilvl="6">
      <w:numFmt w:val="bullet"/>
      <w:lvlText w:val="ï"/>
      <w:lvlJc w:val="left"/>
      <w:pPr>
        <w:ind w:left="4828" w:hanging="172"/>
      </w:pPr>
    </w:lvl>
    <w:lvl w:ilvl="7">
      <w:numFmt w:val="bullet"/>
      <w:lvlText w:val="ï"/>
      <w:lvlJc w:val="left"/>
      <w:pPr>
        <w:ind w:left="5283" w:hanging="172"/>
      </w:pPr>
    </w:lvl>
    <w:lvl w:ilvl="8">
      <w:numFmt w:val="bullet"/>
      <w:lvlText w:val="ï"/>
      <w:lvlJc w:val="left"/>
      <w:pPr>
        <w:ind w:left="5738" w:hanging="172"/>
      </w:pPr>
    </w:lvl>
  </w:abstractNum>
  <w:abstractNum w:abstractNumId="4" w15:restartNumberingAfterBreak="0">
    <w:nsid w:val="00000406"/>
    <w:multiLevelType w:val="multilevel"/>
    <w:tmpl w:val="FFFFFFFF"/>
    <w:lvl w:ilvl="0">
      <w:start w:val="3"/>
      <w:numFmt w:val="decimal"/>
      <w:lvlText w:val="%1"/>
      <w:lvlJc w:val="left"/>
      <w:pPr>
        <w:ind w:left="1431" w:hanging="451"/>
      </w:pPr>
      <w:rPr>
        <w:rFonts w:cs="Times New Roman"/>
      </w:rPr>
    </w:lvl>
    <w:lvl w:ilvl="1">
      <w:start w:val="1"/>
      <w:numFmt w:val="decimal"/>
      <w:lvlText w:val="%1.%2."/>
      <w:lvlJc w:val="left"/>
      <w:pPr>
        <w:ind w:left="1431" w:hanging="451"/>
      </w:pPr>
      <w:rPr>
        <w:rFonts w:ascii="Calibri" w:hAnsi="Calibri" w:cs="Calibri"/>
        <w:b w:val="0"/>
        <w:bCs w:val="0"/>
        <w:i w:val="0"/>
        <w:iCs w:val="0"/>
        <w:color w:val="2E5395"/>
        <w:spacing w:val="-3"/>
        <w:w w:val="100"/>
        <w:sz w:val="26"/>
        <w:szCs w:val="26"/>
      </w:rPr>
    </w:lvl>
    <w:lvl w:ilvl="2">
      <w:numFmt w:val="bullet"/>
      <w:lvlText w:val="ï"/>
      <w:lvlJc w:val="left"/>
      <w:pPr>
        <w:ind w:left="3349" w:hanging="451"/>
      </w:pPr>
    </w:lvl>
    <w:lvl w:ilvl="3">
      <w:numFmt w:val="bullet"/>
      <w:lvlText w:val="ï"/>
      <w:lvlJc w:val="left"/>
      <w:pPr>
        <w:ind w:left="4303" w:hanging="451"/>
      </w:pPr>
    </w:lvl>
    <w:lvl w:ilvl="4">
      <w:numFmt w:val="bullet"/>
      <w:lvlText w:val="ï"/>
      <w:lvlJc w:val="left"/>
      <w:pPr>
        <w:ind w:left="5258" w:hanging="451"/>
      </w:pPr>
    </w:lvl>
    <w:lvl w:ilvl="5">
      <w:numFmt w:val="bullet"/>
      <w:lvlText w:val="ï"/>
      <w:lvlJc w:val="left"/>
      <w:pPr>
        <w:ind w:left="6212" w:hanging="451"/>
      </w:pPr>
    </w:lvl>
    <w:lvl w:ilvl="6">
      <w:numFmt w:val="bullet"/>
      <w:lvlText w:val="ï"/>
      <w:lvlJc w:val="left"/>
      <w:pPr>
        <w:ind w:left="7167" w:hanging="451"/>
      </w:pPr>
    </w:lvl>
    <w:lvl w:ilvl="7">
      <w:numFmt w:val="bullet"/>
      <w:lvlText w:val="ï"/>
      <w:lvlJc w:val="left"/>
      <w:pPr>
        <w:ind w:left="8121" w:hanging="451"/>
      </w:pPr>
    </w:lvl>
    <w:lvl w:ilvl="8">
      <w:numFmt w:val="bullet"/>
      <w:lvlText w:val="ï"/>
      <w:lvlJc w:val="left"/>
      <w:pPr>
        <w:ind w:left="9076" w:hanging="451"/>
      </w:pPr>
    </w:lvl>
  </w:abstractNum>
  <w:abstractNum w:abstractNumId="5" w15:restartNumberingAfterBreak="0">
    <w:nsid w:val="00000407"/>
    <w:multiLevelType w:val="multilevel"/>
    <w:tmpl w:val="FFFFFFFF"/>
    <w:lvl w:ilvl="0">
      <w:numFmt w:val="bullet"/>
      <w:lvlText w:val="-"/>
      <w:lvlJc w:val="left"/>
      <w:pPr>
        <w:ind w:left="168" w:hanging="60"/>
      </w:pPr>
      <w:rPr>
        <w:rFonts w:ascii="Calibri" w:hAnsi="Calibri"/>
        <w:b w:val="0"/>
        <w:i w:val="0"/>
        <w:color w:val="FFFFFF"/>
        <w:spacing w:val="0"/>
        <w:w w:val="96"/>
        <w:sz w:val="13"/>
      </w:rPr>
    </w:lvl>
    <w:lvl w:ilvl="1">
      <w:numFmt w:val="bullet"/>
      <w:lvlText w:val="ï"/>
      <w:lvlJc w:val="left"/>
      <w:pPr>
        <w:ind w:left="250" w:hanging="60"/>
      </w:pPr>
    </w:lvl>
    <w:lvl w:ilvl="2">
      <w:numFmt w:val="bullet"/>
      <w:lvlText w:val="ï"/>
      <w:lvlJc w:val="left"/>
      <w:pPr>
        <w:ind w:left="340" w:hanging="60"/>
      </w:pPr>
    </w:lvl>
    <w:lvl w:ilvl="3">
      <w:numFmt w:val="bullet"/>
      <w:lvlText w:val="ï"/>
      <w:lvlJc w:val="left"/>
      <w:pPr>
        <w:ind w:left="430" w:hanging="60"/>
      </w:pPr>
    </w:lvl>
    <w:lvl w:ilvl="4">
      <w:numFmt w:val="bullet"/>
      <w:lvlText w:val="ï"/>
      <w:lvlJc w:val="left"/>
      <w:pPr>
        <w:ind w:left="520" w:hanging="60"/>
      </w:pPr>
    </w:lvl>
    <w:lvl w:ilvl="5">
      <w:numFmt w:val="bullet"/>
      <w:lvlText w:val="ï"/>
      <w:lvlJc w:val="left"/>
      <w:pPr>
        <w:ind w:left="610" w:hanging="60"/>
      </w:pPr>
    </w:lvl>
    <w:lvl w:ilvl="6">
      <w:numFmt w:val="bullet"/>
      <w:lvlText w:val="ï"/>
      <w:lvlJc w:val="left"/>
      <w:pPr>
        <w:ind w:left="700" w:hanging="60"/>
      </w:pPr>
    </w:lvl>
    <w:lvl w:ilvl="7">
      <w:numFmt w:val="bullet"/>
      <w:lvlText w:val="ï"/>
      <w:lvlJc w:val="left"/>
      <w:pPr>
        <w:ind w:left="790" w:hanging="60"/>
      </w:pPr>
    </w:lvl>
    <w:lvl w:ilvl="8">
      <w:numFmt w:val="bullet"/>
      <w:lvlText w:val="ï"/>
      <w:lvlJc w:val="left"/>
      <w:pPr>
        <w:ind w:left="881" w:hanging="60"/>
      </w:pPr>
    </w:lvl>
  </w:abstractNum>
  <w:abstractNum w:abstractNumId="6" w15:restartNumberingAfterBreak="0">
    <w:nsid w:val="572D277D"/>
    <w:multiLevelType w:val="hybridMultilevel"/>
    <w:tmpl w:val="617AF09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bordersDoNotSurroundHeader/>
  <w:bordersDoNotSurroundFooter/>
  <w:hideSpellingErrors/>
  <w:hideGrammaticalErrors/>
  <w:revisionView w:markup="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6"/>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CORRIGENDUM" w:val="&lt;UNUSED&gt;"/>
    <w:docVar w:name="LW_COVERPAGE_EXISTS" w:val="True"/>
    <w:docVar w:name="LW_COVERPAGE_GUID" w:val="0DD11A54-E437-42F1-A8B4-2327EB2D4EBE"/>
    <w:docVar w:name="LW_COVERPAGE_TYPE" w:val="1"/>
    <w:docVar w:name="LW_CROSSREFERENCE" w:val="&lt;UNUSED&gt;"/>
    <w:docVar w:name="LW_DocType" w:val="NORMAL"/>
    <w:docVar w:name="LW_EMISSION" w:val="22.5.2024"/>
    <w:docVar w:name="LW_EMISSION_ISODATE" w:val="2024-05-22"/>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4) 20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ropejska Unia Zdrowotna: wspólne dzia\u322?anie na rzecz zdrowia ludzi_x000d__x000d__x000b_"/>
    <w:docVar w:name="LW_TYPE.DOC.CP" w:val="KOMUNIKAT KOMISJI DO PARLAMENTU EUROPEJSKIEGO, RADY, EUROPEJSKIEGO KOMITETU EKONOMICZNO-SPO\u321?ECZNEGO I KOMITETU REGIONÓW"/>
    <w:docVar w:name="LW_TYPE.DOC.CP.USERTEXT" w:val="&lt;EMPTY&gt;"/>
    <w:docVar w:name="LwApiVersions" w:val="LW4CoDe 1.24.5.0; LW 9.0, Build 20240221"/>
  </w:docVars>
  <w:rsids>
    <w:rsidRoot w:val="00C03D85"/>
    <w:rsid w:val="00002349"/>
    <w:rsid w:val="000063E3"/>
    <w:rsid w:val="00011173"/>
    <w:rsid w:val="00017BDF"/>
    <w:rsid w:val="00030406"/>
    <w:rsid w:val="00035BD7"/>
    <w:rsid w:val="0004783C"/>
    <w:rsid w:val="000626A1"/>
    <w:rsid w:val="00065A39"/>
    <w:rsid w:val="0006635A"/>
    <w:rsid w:val="000726BF"/>
    <w:rsid w:val="00086D1E"/>
    <w:rsid w:val="00090E26"/>
    <w:rsid w:val="000A2D59"/>
    <w:rsid w:val="000B70A8"/>
    <w:rsid w:val="000C7A5A"/>
    <w:rsid w:val="000D489E"/>
    <w:rsid w:val="000E1749"/>
    <w:rsid w:val="000F3E22"/>
    <w:rsid w:val="000F75F2"/>
    <w:rsid w:val="00124E31"/>
    <w:rsid w:val="001519BF"/>
    <w:rsid w:val="00166940"/>
    <w:rsid w:val="001706DF"/>
    <w:rsid w:val="00187065"/>
    <w:rsid w:val="001B6F67"/>
    <w:rsid w:val="001C0D18"/>
    <w:rsid w:val="001C4338"/>
    <w:rsid w:val="001D192A"/>
    <w:rsid w:val="001F47CD"/>
    <w:rsid w:val="002237C8"/>
    <w:rsid w:val="00225DF9"/>
    <w:rsid w:val="0026274B"/>
    <w:rsid w:val="002A49D9"/>
    <w:rsid w:val="002F33D2"/>
    <w:rsid w:val="003055C6"/>
    <w:rsid w:val="003158A7"/>
    <w:rsid w:val="00326BEA"/>
    <w:rsid w:val="00342365"/>
    <w:rsid w:val="003440BA"/>
    <w:rsid w:val="00383E15"/>
    <w:rsid w:val="00395A66"/>
    <w:rsid w:val="003A5C20"/>
    <w:rsid w:val="003B5C4A"/>
    <w:rsid w:val="003B66A4"/>
    <w:rsid w:val="003C75B8"/>
    <w:rsid w:val="004046DC"/>
    <w:rsid w:val="00405124"/>
    <w:rsid w:val="0041675E"/>
    <w:rsid w:val="00417C0D"/>
    <w:rsid w:val="00431174"/>
    <w:rsid w:val="0043612C"/>
    <w:rsid w:val="0045184A"/>
    <w:rsid w:val="004543A5"/>
    <w:rsid w:val="00457F48"/>
    <w:rsid w:val="004828B7"/>
    <w:rsid w:val="00484D67"/>
    <w:rsid w:val="004870E1"/>
    <w:rsid w:val="0049613D"/>
    <w:rsid w:val="004B132A"/>
    <w:rsid w:val="004B372A"/>
    <w:rsid w:val="004B540E"/>
    <w:rsid w:val="004C06FE"/>
    <w:rsid w:val="004C1A76"/>
    <w:rsid w:val="004E507E"/>
    <w:rsid w:val="00541139"/>
    <w:rsid w:val="00582B33"/>
    <w:rsid w:val="00597730"/>
    <w:rsid w:val="005A7BB3"/>
    <w:rsid w:val="005B0F92"/>
    <w:rsid w:val="005C0B95"/>
    <w:rsid w:val="005D11EC"/>
    <w:rsid w:val="00606EFB"/>
    <w:rsid w:val="0065068C"/>
    <w:rsid w:val="00651025"/>
    <w:rsid w:val="006A441C"/>
    <w:rsid w:val="006B565C"/>
    <w:rsid w:val="006C0D24"/>
    <w:rsid w:val="006D09DB"/>
    <w:rsid w:val="006F2D69"/>
    <w:rsid w:val="0072335B"/>
    <w:rsid w:val="00746F6F"/>
    <w:rsid w:val="00752C05"/>
    <w:rsid w:val="00753857"/>
    <w:rsid w:val="00766973"/>
    <w:rsid w:val="0077648B"/>
    <w:rsid w:val="00786EEE"/>
    <w:rsid w:val="007A3118"/>
    <w:rsid w:val="007B4382"/>
    <w:rsid w:val="007C7E19"/>
    <w:rsid w:val="007D0670"/>
    <w:rsid w:val="007D25AD"/>
    <w:rsid w:val="007D7F6D"/>
    <w:rsid w:val="007E4AA2"/>
    <w:rsid w:val="007E795C"/>
    <w:rsid w:val="00812F7C"/>
    <w:rsid w:val="00814241"/>
    <w:rsid w:val="00842CD1"/>
    <w:rsid w:val="00844985"/>
    <w:rsid w:val="00864BC7"/>
    <w:rsid w:val="00877C31"/>
    <w:rsid w:val="008821EA"/>
    <w:rsid w:val="008E1767"/>
    <w:rsid w:val="008E1E37"/>
    <w:rsid w:val="008F792E"/>
    <w:rsid w:val="00913665"/>
    <w:rsid w:val="009257DB"/>
    <w:rsid w:val="00952C49"/>
    <w:rsid w:val="009542E4"/>
    <w:rsid w:val="00980C01"/>
    <w:rsid w:val="009928D4"/>
    <w:rsid w:val="009E609E"/>
    <w:rsid w:val="00A136E4"/>
    <w:rsid w:val="00A448D2"/>
    <w:rsid w:val="00A7223B"/>
    <w:rsid w:val="00A82C80"/>
    <w:rsid w:val="00A838AE"/>
    <w:rsid w:val="00A9314D"/>
    <w:rsid w:val="00B10046"/>
    <w:rsid w:val="00B23EB0"/>
    <w:rsid w:val="00B73F09"/>
    <w:rsid w:val="00B774DA"/>
    <w:rsid w:val="00B85A1C"/>
    <w:rsid w:val="00BE1EDF"/>
    <w:rsid w:val="00BE2141"/>
    <w:rsid w:val="00C03D85"/>
    <w:rsid w:val="00C27147"/>
    <w:rsid w:val="00C43095"/>
    <w:rsid w:val="00C4775A"/>
    <w:rsid w:val="00C47827"/>
    <w:rsid w:val="00C6073B"/>
    <w:rsid w:val="00C8464D"/>
    <w:rsid w:val="00CA0F6C"/>
    <w:rsid w:val="00CB51EF"/>
    <w:rsid w:val="00CE5831"/>
    <w:rsid w:val="00D05750"/>
    <w:rsid w:val="00D1457F"/>
    <w:rsid w:val="00D20788"/>
    <w:rsid w:val="00D402A5"/>
    <w:rsid w:val="00D52153"/>
    <w:rsid w:val="00D65557"/>
    <w:rsid w:val="00D73292"/>
    <w:rsid w:val="00DA56A5"/>
    <w:rsid w:val="00DA68A0"/>
    <w:rsid w:val="00DB79AE"/>
    <w:rsid w:val="00E059AC"/>
    <w:rsid w:val="00E10EBA"/>
    <w:rsid w:val="00E15069"/>
    <w:rsid w:val="00E73303"/>
    <w:rsid w:val="00E9148B"/>
    <w:rsid w:val="00EB5422"/>
    <w:rsid w:val="00EB6046"/>
    <w:rsid w:val="00ED79AC"/>
    <w:rsid w:val="00F0214C"/>
    <w:rsid w:val="00F034BB"/>
    <w:rsid w:val="00F46524"/>
    <w:rsid w:val="00F95690"/>
    <w:rsid w:val="00FA3E2F"/>
    <w:rsid w:val="00FA4877"/>
    <w:rsid w:val="00FD1706"/>
    <w:rsid w:val="00FF7B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ecimalSymbol w:val=","/>
  <w:listSeparator w:val=";"/>
  <w14:docId w14:val="3FCE7FE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Times New Roman" w:hAnsi="Aptos" w:cs="Times New Roman"/>
        <w:lang w:val="pl-PL" w:eastAsia="en-IE"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Calibri" w:hAnsi="Calibri" w:cs="Calibri"/>
      <w:sz w:val="22"/>
      <w:szCs w:val="22"/>
      <w:lang w:eastAsia="en-GB"/>
    </w:rPr>
  </w:style>
  <w:style w:type="paragraph" w:styleId="Heading1">
    <w:name w:val="heading 1"/>
    <w:basedOn w:val="Normal"/>
    <w:next w:val="Normal"/>
    <w:link w:val="Heading1Char"/>
    <w:uiPriority w:val="1"/>
    <w:qFormat/>
    <w:rsid w:val="006B565C"/>
    <w:pPr>
      <w:spacing w:before="7"/>
      <w:ind w:left="1289" w:hanging="309"/>
      <w:outlineLvl w:val="0"/>
    </w:pPr>
    <w:rPr>
      <w:sz w:val="32"/>
      <w:szCs w:val="32"/>
    </w:rPr>
  </w:style>
  <w:style w:type="paragraph" w:styleId="Heading2">
    <w:name w:val="heading 2"/>
    <w:basedOn w:val="Normal"/>
    <w:next w:val="Normal"/>
    <w:link w:val="Heading2Char"/>
    <w:uiPriority w:val="1"/>
    <w:qFormat/>
    <w:pPr>
      <w:spacing w:before="103"/>
      <w:ind w:left="1428" w:hanging="448"/>
      <w:jc w:val="both"/>
      <w:outlineLvl w:val="1"/>
    </w:pPr>
    <w:rPr>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B565C"/>
    <w:rPr>
      <w:rFonts w:ascii="Calibri" w:hAnsi="Calibri" w:cs="Calibri"/>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val="pl-PL" w:eastAsia="x-none"/>
    </w:rPr>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Calibri" w:hAnsi="Calibri" w:cs="Calibri"/>
      <w:kern w:val="0"/>
      <w:sz w:val="22"/>
      <w:szCs w:val="22"/>
      <w:lang w:val="pl-PL" w:eastAsia="x-none"/>
    </w:rPr>
  </w:style>
  <w:style w:type="paragraph" w:styleId="Title">
    <w:name w:val="Title"/>
    <w:basedOn w:val="Normal"/>
    <w:next w:val="Normal"/>
    <w:link w:val="TitleChar"/>
    <w:uiPriority w:val="1"/>
    <w:qFormat/>
    <w:pPr>
      <w:spacing w:before="1"/>
      <w:ind w:left="105"/>
    </w:pPr>
    <w:rPr>
      <w:rFonts w:ascii="Arial" w:hAnsi="Arial" w:cs="Arial"/>
      <w:b/>
      <w:bCs/>
      <w:sz w:val="48"/>
      <w:szCs w:val="48"/>
    </w:rPr>
  </w:style>
  <w:style w:type="character" w:customStyle="1" w:styleId="TitleChar">
    <w:name w:val="Title Char"/>
    <w:link w:val="Title"/>
    <w:uiPriority w:val="10"/>
    <w:rPr>
      <w:rFonts w:ascii="Aptos Display" w:eastAsia="Times New Roman" w:hAnsi="Aptos Display" w:cs="Times New Roman"/>
      <w:b/>
      <w:bCs/>
      <w:kern w:val="28"/>
      <w:sz w:val="32"/>
      <w:szCs w:val="32"/>
      <w:lang w:val="pl-PL" w:eastAsia="x-none"/>
    </w:rPr>
  </w:style>
  <w:style w:type="paragraph" w:styleId="ListParagraph">
    <w:name w:val="List Paragraph"/>
    <w:basedOn w:val="Normal"/>
    <w:uiPriority w:val="1"/>
    <w:qFormat/>
    <w:pPr>
      <w:ind w:left="2889" w:hanging="172"/>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table" w:styleId="TableGrid">
    <w:name w:val="Table Grid"/>
    <w:basedOn w:val="TableNormal"/>
    <w:uiPriority w:val="39"/>
    <w:rsid w:val="00B23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rsid w:val="00C43095"/>
    <w:rPr>
      <w:color w:val="0000FF"/>
      <w:shd w:val="clear" w:color="auto" w:fill="auto"/>
    </w:rPr>
  </w:style>
  <w:style w:type="paragraph" w:styleId="Header">
    <w:name w:val="header"/>
    <w:basedOn w:val="Normal"/>
    <w:link w:val="HeaderChar"/>
    <w:uiPriority w:val="99"/>
    <w:unhideWhenUsed/>
    <w:rsid w:val="00C43095"/>
    <w:pPr>
      <w:tabs>
        <w:tab w:val="center" w:pos="4513"/>
        <w:tab w:val="right" w:pos="9026"/>
      </w:tabs>
    </w:pPr>
  </w:style>
  <w:style w:type="character" w:customStyle="1" w:styleId="HeaderChar">
    <w:name w:val="Header Char"/>
    <w:link w:val="Header"/>
    <w:uiPriority w:val="99"/>
    <w:rsid w:val="00C43095"/>
    <w:rPr>
      <w:rFonts w:ascii="Calibri" w:hAnsi="Calibri" w:cs="Calibri"/>
      <w:kern w:val="0"/>
      <w:sz w:val="22"/>
      <w:szCs w:val="22"/>
      <w:lang w:val="pl-PL" w:eastAsia="en-GB"/>
    </w:rPr>
  </w:style>
  <w:style w:type="paragraph" w:styleId="Footer">
    <w:name w:val="footer"/>
    <w:basedOn w:val="Normal"/>
    <w:link w:val="FooterChar"/>
    <w:uiPriority w:val="99"/>
    <w:unhideWhenUsed/>
    <w:rsid w:val="00C43095"/>
    <w:pPr>
      <w:tabs>
        <w:tab w:val="center" w:pos="4513"/>
        <w:tab w:val="right" w:pos="9026"/>
      </w:tabs>
    </w:pPr>
  </w:style>
  <w:style w:type="character" w:customStyle="1" w:styleId="FooterChar">
    <w:name w:val="Footer Char"/>
    <w:link w:val="Footer"/>
    <w:uiPriority w:val="99"/>
    <w:rsid w:val="00C43095"/>
    <w:rPr>
      <w:rFonts w:ascii="Calibri" w:hAnsi="Calibri" w:cs="Calibri"/>
      <w:kern w:val="0"/>
      <w:sz w:val="22"/>
      <w:szCs w:val="22"/>
      <w:lang w:val="pl-PL" w:eastAsia="en-GB"/>
    </w:rPr>
  </w:style>
  <w:style w:type="paragraph" w:customStyle="1" w:styleId="Pagedecouverture">
    <w:name w:val="Page de couverture"/>
    <w:basedOn w:val="Normal"/>
    <w:next w:val="Normal"/>
    <w:link w:val="PagedecouvertureChar"/>
    <w:rsid w:val="00C43095"/>
    <w:pPr>
      <w:widowControl/>
      <w:autoSpaceDE/>
      <w:autoSpaceDN/>
      <w:adjustRightInd/>
      <w:jc w:val="both"/>
    </w:pPr>
    <w:rPr>
      <w:rFonts w:ascii="Times New Roman" w:eastAsia="Aptos" w:hAnsi="Times New Roman" w:cs="Times New Roman"/>
      <w:sz w:val="24"/>
      <w:lang w:eastAsia="en-US"/>
    </w:rPr>
  </w:style>
  <w:style w:type="paragraph" w:customStyle="1" w:styleId="FooterCoverPage">
    <w:name w:val="Footer Cover Page"/>
    <w:basedOn w:val="Normal"/>
    <w:link w:val="FooterCoverPageChar"/>
    <w:rsid w:val="00C43095"/>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PagedecouvertureChar">
    <w:name w:val="Page de couverture Char"/>
    <w:link w:val="Pagedecouverture"/>
    <w:rsid w:val="00C43095"/>
    <w:rPr>
      <w:rFonts w:ascii="Times New Roman" w:eastAsia="Aptos" w:hAnsi="Times New Roman"/>
      <w:kern w:val="0"/>
      <w:szCs w:val="22"/>
      <w:lang w:val="pl-PL" w:eastAsia="en-US"/>
    </w:rPr>
  </w:style>
  <w:style w:type="character" w:customStyle="1" w:styleId="FooterCoverPageChar">
    <w:name w:val="Footer Cover Page Char"/>
    <w:link w:val="FooterCoverPage"/>
    <w:rsid w:val="00C43095"/>
    <w:rPr>
      <w:rFonts w:ascii="Times New Roman" w:hAnsi="Times New Roman"/>
      <w:sz w:val="24"/>
      <w:szCs w:val="22"/>
      <w:lang w:eastAsia="en-GB"/>
    </w:rPr>
  </w:style>
  <w:style w:type="paragraph" w:customStyle="1" w:styleId="FooterSensitivity">
    <w:name w:val="Footer Sensitivity"/>
    <w:basedOn w:val="Normal"/>
    <w:link w:val="FooterSensitivityChar"/>
    <w:rsid w:val="00C43095"/>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link w:val="FooterSensitivity"/>
    <w:rsid w:val="00C43095"/>
    <w:rPr>
      <w:rFonts w:ascii="Times New Roman" w:hAnsi="Times New Roman"/>
      <w:b/>
      <w:sz w:val="32"/>
      <w:szCs w:val="22"/>
      <w:lang w:eastAsia="en-GB"/>
    </w:rPr>
  </w:style>
  <w:style w:type="paragraph" w:customStyle="1" w:styleId="HeaderCoverPage">
    <w:name w:val="Header Cover Page"/>
    <w:basedOn w:val="Normal"/>
    <w:link w:val="HeaderCoverPageChar"/>
    <w:rsid w:val="00C43095"/>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link w:val="HeaderCoverPage"/>
    <w:rsid w:val="00C43095"/>
    <w:rPr>
      <w:rFonts w:ascii="Times New Roman" w:hAnsi="Times New Roman"/>
      <w:sz w:val="24"/>
      <w:szCs w:val="22"/>
      <w:lang w:eastAsia="en-GB"/>
    </w:rPr>
  </w:style>
  <w:style w:type="paragraph" w:customStyle="1" w:styleId="HeaderSensitivity">
    <w:name w:val="Header Sensitivity"/>
    <w:basedOn w:val="Normal"/>
    <w:link w:val="HeaderSensitivityChar"/>
    <w:rsid w:val="00C43095"/>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link w:val="HeaderSensitivity"/>
    <w:rsid w:val="00C43095"/>
    <w:rPr>
      <w:rFonts w:ascii="Times New Roman" w:hAnsi="Times New Roman"/>
      <w:b/>
      <w:sz w:val="32"/>
      <w:szCs w:val="22"/>
      <w:lang w:eastAsia="en-GB"/>
    </w:rPr>
  </w:style>
  <w:style w:type="paragraph" w:customStyle="1" w:styleId="HeaderSensitivityRight">
    <w:name w:val="Header Sensitivity Right"/>
    <w:basedOn w:val="Normal"/>
    <w:link w:val="HeaderSensitivityRightChar"/>
    <w:rsid w:val="003158A7"/>
    <w:pPr>
      <w:widowControl/>
      <w:autoSpaceDE/>
      <w:autoSpaceDN/>
      <w:adjustRightInd/>
      <w:spacing w:after="120"/>
      <w:jc w:val="right"/>
    </w:pPr>
    <w:rPr>
      <w:rFonts w:ascii="Times New Roman" w:hAnsi="Times New Roman" w:cs="Times New Roman"/>
      <w:sz w:val="28"/>
    </w:rPr>
  </w:style>
  <w:style w:type="character" w:customStyle="1" w:styleId="HeaderSensitivityRightChar">
    <w:name w:val="Header Sensitivity Right Char"/>
    <w:link w:val="HeaderSensitivityRight"/>
    <w:rsid w:val="00C43095"/>
    <w:rPr>
      <w:rFonts w:ascii="Times New Roman" w:hAnsi="Times New Roman"/>
      <w:sz w:val="28"/>
      <w:szCs w:val="22"/>
      <w:lang w:eastAsia="en-GB"/>
    </w:rPr>
  </w:style>
  <w:style w:type="paragraph" w:styleId="Revision">
    <w:name w:val="Revision"/>
    <w:hidden/>
    <w:uiPriority w:val="99"/>
    <w:semiHidden/>
    <w:rsid w:val="00A82C80"/>
    <w:rPr>
      <w:rFonts w:ascii="Calibri" w:hAnsi="Calibri" w:cs="Calibri"/>
      <w:sz w:val="22"/>
      <w:szCs w:val="22"/>
      <w:lang w:eastAsia="en-GB"/>
    </w:rPr>
  </w:style>
  <w:style w:type="paragraph" w:styleId="FootnoteText">
    <w:name w:val="footnote text"/>
    <w:aliases w:val=" Char1,Footnote Text Char1 Char,Footnote Text Char Char Char,Footnote Text Char2 Char Char Char,Footnote Text Char1 Char Char Char Char,Footnote Text Char Char Char Char Char Char,Plonk,Footnote Text Char2,Footnote text,Tekst przypisu,fn"/>
    <w:basedOn w:val="Normal"/>
    <w:link w:val="FootnoteTextChar"/>
    <w:uiPriority w:val="99"/>
    <w:unhideWhenUsed/>
    <w:rsid w:val="00A82C80"/>
    <w:rPr>
      <w:sz w:val="20"/>
      <w:szCs w:val="20"/>
    </w:rPr>
  </w:style>
  <w:style w:type="character" w:customStyle="1" w:styleId="FootnoteTextChar">
    <w:name w:val="Footnote Text Char"/>
    <w:aliases w:val=" Char1 Char,Footnote Text Char1 Char Char,Footnote Text Char Char Char Char,Footnote Text Char2 Char Char Char Char,Footnote Text Char1 Char Char Char Char Char,Footnote Text Char Char Char Char Char Char Char,Plonk Char,fn Char"/>
    <w:link w:val="FootnoteText"/>
    <w:uiPriority w:val="99"/>
    <w:rsid w:val="00A82C80"/>
    <w:rPr>
      <w:rFonts w:ascii="Calibri" w:hAnsi="Calibri" w:cs="Calibri"/>
      <w:kern w:val="0"/>
      <w:sz w:val="20"/>
      <w:szCs w:val="20"/>
      <w:lang w:val="pl-PL" w:eastAsia="en-GB"/>
    </w:rPr>
  </w:style>
  <w:style w:type="character" w:styleId="FootnoteReference">
    <w:name w:val="footnote reference"/>
    <w:aliases w:val="Footnote symbol,Footnote reference number,Times 10 Point,Exposant 3 Point,EN Footnote Reference,note TESI,Footnote Reference_LVL6,Footnote Reference_LVL61,Footnote Reference_LVL62,Footnote Reference_LVL63,Footnote Reference_LVL64,SUPE"/>
    <w:link w:val="ftrefCharCharCharCharCharCharCharCharChar"/>
    <w:uiPriority w:val="99"/>
    <w:unhideWhenUsed/>
    <w:qFormat/>
    <w:rsid w:val="00A82C80"/>
    <w:rPr>
      <w:vertAlign w:val="superscript"/>
    </w:rPr>
  </w:style>
  <w:style w:type="character" w:styleId="CommentReference">
    <w:name w:val="annotation reference"/>
    <w:uiPriority w:val="99"/>
    <w:semiHidden/>
    <w:unhideWhenUsed/>
    <w:rsid w:val="005B0F92"/>
    <w:rPr>
      <w:sz w:val="16"/>
      <w:szCs w:val="16"/>
    </w:rPr>
  </w:style>
  <w:style w:type="paragraph" w:styleId="CommentText">
    <w:name w:val="annotation text"/>
    <w:basedOn w:val="Normal"/>
    <w:link w:val="CommentTextChar"/>
    <w:uiPriority w:val="99"/>
    <w:unhideWhenUsed/>
    <w:rsid w:val="005B0F92"/>
    <w:rPr>
      <w:sz w:val="20"/>
      <w:szCs w:val="20"/>
    </w:rPr>
  </w:style>
  <w:style w:type="character" w:customStyle="1" w:styleId="CommentTextChar">
    <w:name w:val="Comment Text Char"/>
    <w:link w:val="CommentText"/>
    <w:uiPriority w:val="99"/>
    <w:rsid w:val="005B0F92"/>
    <w:rPr>
      <w:rFonts w:ascii="Calibri" w:hAnsi="Calibri" w:cs="Calibri"/>
      <w:kern w:val="0"/>
      <w:sz w:val="20"/>
      <w:szCs w:val="20"/>
      <w:lang w:val="pl-PL" w:eastAsia="en-GB"/>
    </w:rPr>
  </w:style>
  <w:style w:type="paragraph" w:styleId="CommentSubject">
    <w:name w:val="annotation subject"/>
    <w:basedOn w:val="CommentText"/>
    <w:next w:val="CommentText"/>
    <w:link w:val="CommentSubjectChar"/>
    <w:uiPriority w:val="99"/>
    <w:semiHidden/>
    <w:unhideWhenUsed/>
    <w:rsid w:val="005B0F92"/>
    <w:rPr>
      <w:b/>
      <w:bCs/>
    </w:rPr>
  </w:style>
  <w:style w:type="character" w:customStyle="1" w:styleId="CommentSubjectChar">
    <w:name w:val="Comment Subject Char"/>
    <w:link w:val="CommentSubject"/>
    <w:uiPriority w:val="99"/>
    <w:semiHidden/>
    <w:rsid w:val="005B0F92"/>
    <w:rPr>
      <w:rFonts w:ascii="Calibri" w:hAnsi="Calibri" w:cs="Calibri"/>
      <w:b/>
      <w:bCs/>
      <w:kern w:val="0"/>
      <w:sz w:val="20"/>
      <w:szCs w:val="20"/>
      <w:lang w:val="pl-PL" w:eastAsia="en-GB"/>
    </w:rPr>
  </w:style>
  <w:style w:type="character" w:styleId="Hyperlink">
    <w:name w:val="Hyperlink"/>
    <w:uiPriority w:val="99"/>
    <w:unhideWhenUsed/>
    <w:rsid w:val="000F75F2"/>
    <w:rPr>
      <w:color w:val="0563C1"/>
      <w:u w:val="single"/>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uiPriority w:val="99"/>
    <w:rsid w:val="000F75F2"/>
    <w:pPr>
      <w:widowControl/>
      <w:autoSpaceDE/>
      <w:autoSpaceDN/>
      <w:adjustRightInd/>
      <w:spacing w:after="160" w:line="240" w:lineRule="exact"/>
    </w:pPr>
    <w:rPr>
      <w:rFonts w:ascii="Aptos" w:hAnsi="Aptos" w:cs="Times New Roman"/>
      <w:kern w:val="2"/>
      <w:sz w:val="24"/>
      <w:szCs w:val="24"/>
      <w:vertAlign w:val="superscript"/>
      <w:lang w:eastAsia="en-IE"/>
    </w:rPr>
  </w:style>
  <w:style w:type="character" w:customStyle="1" w:styleId="UnresolvedMention">
    <w:name w:val="Unresolved Mention"/>
    <w:uiPriority w:val="99"/>
    <w:semiHidden/>
    <w:unhideWhenUsed/>
    <w:rsid w:val="000F75F2"/>
    <w:rPr>
      <w:color w:val="605E5C"/>
      <w:shd w:val="clear" w:color="auto" w:fill="E1DFDD"/>
    </w:rPr>
  </w:style>
  <w:style w:type="character" w:customStyle="1" w:styleId="cf11">
    <w:name w:val="cf11"/>
    <w:rsid w:val="003A5C20"/>
    <w:rPr>
      <w:rFonts w:ascii="Segoe UI" w:hAnsi="Segoe UI" w:cs="Segoe UI" w:hint="default"/>
      <w:sz w:val="18"/>
      <w:szCs w:val="18"/>
    </w:rPr>
  </w:style>
  <w:style w:type="character" w:customStyle="1" w:styleId="cf01">
    <w:name w:val="cf01"/>
    <w:rsid w:val="009E609E"/>
    <w:rPr>
      <w:rFonts w:ascii="Segoe UI" w:hAnsi="Segoe UI" w:cs="Segoe UI" w:hint="default"/>
      <w:sz w:val="18"/>
      <w:szCs w:val="18"/>
    </w:rPr>
  </w:style>
  <w:style w:type="character" w:styleId="FollowedHyperlink">
    <w:name w:val="FollowedHyperlink"/>
    <w:uiPriority w:val="99"/>
    <w:semiHidden/>
    <w:unhideWhenUsed/>
    <w:rsid w:val="00980C01"/>
    <w:rPr>
      <w:color w:val="96607D"/>
      <w:u w:val="single"/>
    </w:rPr>
  </w:style>
  <w:style w:type="paragraph" w:customStyle="1" w:styleId="Disclaimer">
    <w:name w:val="Disclaimer"/>
    <w:basedOn w:val="Normal"/>
    <w:rsid w:val="003158A7"/>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autoSpaceDE/>
      <w:autoSpaceDN/>
      <w:adjustRightInd/>
      <w:spacing w:before="120" w:after="120"/>
      <w:jc w:val="both"/>
    </w:pPr>
    <w:rPr>
      <w:rFonts w:ascii="Times New Roman" w:eastAsia="Aptos" w:hAnsi="Times New Roman" w:cs="Times New Roman"/>
      <w:sz w:val="24"/>
      <w:lang w:eastAsia="en-US"/>
    </w:rPr>
  </w:style>
  <w:style w:type="paragraph" w:customStyle="1" w:styleId="SecurityMarking">
    <w:name w:val="SecurityMarking"/>
    <w:basedOn w:val="Normal"/>
    <w:rsid w:val="003158A7"/>
    <w:pPr>
      <w:widowControl/>
      <w:autoSpaceDE/>
      <w:autoSpaceDN/>
      <w:adjustRightInd/>
      <w:spacing w:line="276" w:lineRule="auto"/>
      <w:ind w:left="5103"/>
    </w:pPr>
    <w:rPr>
      <w:rFonts w:ascii="Times New Roman" w:eastAsia="Aptos" w:hAnsi="Times New Roman" w:cs="Times New Roman"/>
      <w:sz w:val="28"/>
      <w:lang w:eastAsia="en-US"/>
    </w:rPr>
  </w:style>
  <w:style w:type="paragraph" w:customStyle="1" w:styleId="DateMarking">
    <w:name w:val="DateMarking"/>
    <w:basedOn w:val="Normal"/>
    <w:rsid w:val="003158A7"/>
    <w:pPr>
      <w:widowControl/>
      <w:autoSpaceDE/>
      <w:autoSpaceDN/>
      <w:adjustRightInd/>
      <w:spacing w:line="276" w:lineRule="auto"/>
      <w:ind w:left="5103"/>
    </w:pPr>
    <w:rPr>
      <w:rFonts w:ascii="Times New Roman" w:eastAsia="Aptos" w:hAnsi="Times New Roman" w:cs="Times New Roman"/>
      <w:i/>
      <w:sz w:val="28"/>
      <w:lang w:eastAsia="en-US"/>
    </w:rPr>
  </w:style>
  <w:style w:type="paragraph" w:customStyle="1" w:styleId="ReleasableTo">
    <w:name w:val="ReleasableTo"/>
    <w:basedOn w:val="Normal"/>
    <w:rsid w:val="003158A7"/>
    <w:pPr>
      <w:widowControl/>
      <w:autoSpaceDE/>
      <w:autoSpaceDN/>
      <w:adjustRightInd/>
      <w:spacing w:line="276" w:lineRule="auto"/>
      <w:ind w:left="5103"/>
    </w:pPr>
    <w:rPr>
      <w:rFonts w:ascii="Times New Roman" w:eastAsia="Aptos" w:hAnsi="Times New Roman" w:cs="Times New Roman"/>
      <w:i/>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74442">
      <w:bodyDiv w:val="1"/>
      <w:marLeft w:val="0"/>
      <w:marRight w:val="0"/>
      <w:marTop w:val="0"/>
      <w:marBottom w:val="0"/>
      <w:divBdr>
        <w:top w:val="none" w:sz="0" w:space="0" w:color="auto"/>
        <w:left w:val="none" w:sz="0" w:space="0" w:color="auto"/>
        <w:bottom w:val="none" w:sz="0" w:space="0" w:color="auto"/>
        <w:right w:val="none" w:sz="0" w:space="0" w:color="auto"/>
      </w:divBdr>
    </w:div>
    <w:div w:id="415791361">
      <w:bodyDiv w:val="1"/>
      <w:marLeft w:val="0"/>
      <w:marRight w:val="0"/>
      <w:marTop w:val="0"/>
      <w:marBottom w:val="0"/>
      <w:divBdr>
        <w:top w:val="none" w:sz="0" w:space="0" w:color="auto"/>
        <w:left w:val="none" w:sz="0" w:space="0" w:color="auto"/>
        <w:bottom w:val="none" w:sz="0" w:space="0" w:color="auto"/>
        <w:right w:val="none" w:sz="0" w:space="0" w:color="auto"/>
      </w:divBdr>
    </w:div>
    <w:div w:id="108306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health.ec.europa.eu/publications/opinion-health-security-committee-zoonotic-avian-influenza_en" TargetMode="External"/><Relationship Id="rId13" Type="http://schemas.openxmlformats.org/officeDocument/2006/relationships/hyperlink" Target="https://health.ec.europa.eu/latest-updates/launching-glowacon-global-initiative-wastewater-surveillance-public-health-2024-03-21_en" TargetMode="External"/><Relationship Id="rId18" Type="http://schemas.openxmlformats.org/officeDocument/2006/relationships/hyperlink" Target="https://eur-lex.europa.eu/legal-content/PL/TXT/PDF/?uri=CELEX:52019DC0128" TargetMode="External"/><Relationship Id="rId26" Type="http://schemas.openxmlformats.org/officeDocument/2006/relationships/hyperlink" Target="https://commission.europa.eu/strategy-and-policy/priorities-2019-2024/european-green-deal_pl" TargetMode="External"/><Relationship Id="rId3" Type="http://schemas.openxmlformats.org/officeDocument/2006/relationships/hyperlink" Target="https://www.who.int/europe/news/item/16-01-2024-covid-19-vaccinations-have-saved-more-than-1.4-million-lives-in-the-who-european-region--a-new-study-finds" TargetMode="External"/><Relationship Id="rId21" Type="http://schemas.openxmlformats.org/officeDocument/2006/relationships/hyperlink" Target="https://healthworkforce.eu/the-project/" TargetMode="External"/><Relationship Id="rId7" Type="http://schemas.openxmlformats.org/officeDocument/2006/relationships/hyperlink" Target="https://www.europarl.europa.eu/at-your-service/en/be-heard/eurobarometer/public-opinion-in-the-eu-in-time-of-coronavirus-crisis-2" TargetMode="External"/><Relationship Id="rId12" Type="http://schemas.openxmlformats.org/officeDocument/2006/relationships/hyperlink" Target="https://health.ec.europa.eu/latest-updates/launching-glowacon-global-initiative-wastewater-surveillance-public-health-2024-03-21_en" TargetMode="External"/><Relationship Id="rId17" Type="http://schemas.openxmlformats.org/officeDocument/2006/relationships/hyperlink" Target="https://health.ec.europa.eu/health-emergency-preparedness-and-response-hera/overview/critical-medicines-alliance_en" TargetMode="External"/><Relationship Id="rId25" Type="http://schemas.openxmlformats.org/officeDocument/2006/relationships/hyperlink" Target="https://knowledge4policy.ec.europa.eu/health-promotion-knowledge-gateway/eu-burden-non-communicable-diseases-key-risk-factors_en" TargetMode="External"/><Relationship Id="rId2" Type="http://schemas.openxmlformats.org/officeDocument/2006/relationships/hyperlink" Target="https://commission.europa.eu/strategy-and-policy/coronavirus-response/public-health/eu-vaccines-strategy_pl" TargetMode="External"/><Relationship Id="rId16" Type="http://schemas.openxmlformats.org/officeDocument/2006/relationships/hyperlink" Target="https://ec.europa.eu/commission/presscorner/detail/pl/ip_23_6377" TargetMode="External"/><Relationship Id="rId20" Type="http://schemas.openxmlformats.org/officeDocument/2006/relationships/hyperlink" Target="https://ec.europa.eu/commission/presscorner/detail/pl/ip_23_6590" TargetMode="External"/><Relationship Id="rId29" Type="http://schemas.openxmlformats.org/officeDocument/2006/relationships/hyperlink" Target="https://ec.europa.eu/commission/presscorner/detail/pl/ip_22_7153" TargetMode="External"/><Relationship Id="rId1" Type="http://schemas.openxmlformats.org/officeDocument/2006/relationships/hyperlink" Target="https://commissioners.ec.europa.eu/system/files/2022-11/mission-letter-stella-kyriakides_en.pdf" TargetMode="External"/><Relationship Id="rId6" Type="http://schemas.openxmlformats.org/officeDocument/2006/relationships/hyperlink" Target="https://europa.eu/eurobarometer/surveys/detail/2612" TargetMode="External"/><Relationship Id="rId11" Type="http://schemas.openxmlformats.org/officeDocument/2006/relationships/hyperlink" Target="https://eur-lex.europa.eu/legal-content/PL/TXT/?uri=CELEX%3A52021PC0577" TargetMode="External"/><Relationship Id="rId24" Type="http://schemas.openxmlformats.org/officeDocument/2006/relationships/hyperlink" Target="https://pact-for-skills.ec.europa.eu/about/industrial-ecosystems-and-partnerships/health_en" TargetMode="External"/><Relationship Id="rId5" Type="http://schemas.openxmlformats.org/officeDocument/2006/relationships/hyperlink" Target="https://europa.eu/eurobarometer/surveys/detail/2612" TargetMode="External"/><Relationship Id="rId15" Type="http://schemas.openxmlformats.org/officeDocument/2006/relationships/hyperlink" Target="https://ec.europa.eu/commission/presscorner/detail/pl/IP_23_5190" TargetMode="External"/><Relationship Id="rId23" Type="http://schemas.openxmlformats.org/officeDocument/2006/relationships/hyperlink" Target="https://bewell-project.eu/" TargetMode="External"/><Relationship Id="rId28" Type="http://schemas.openxmlformats.org/officeDocument/2006/relationships/hyperlink" Target="https://eur-lex.europa.eu/legal-content/PL/LSU/?uri=CELEX%3A32022H1213(01)" TargetMode="External"/><Relationship Id="rId10" Type="http://schemas.openxmlformats.org/officeDocument/2006/relationships/hyperlink" Target="https://ec.europa.eu/commission/presscorner/detail/pl/ip_22_4363" TargetMode="External"/><Relationship Id="rId19" Type="http://schemas.openxmlformats.org/officeDocument/2006/relationships/hyperlink" Target="https://research-and-innovation.ec.europa.eu/funding/funding-opportunities/funding-programmes-and-open-calls/horizon-europe/european-partnerships-horizon-europe/health_en" TargetMode="External"/><Relationship Id="rId4" Type="http://schemas.openxmlformats.org/officeDocument/2006/relationships/hyperlink" Target="https://europa.eu/eurobarometer/surveys/detail/2612" TargetMode="External"/><Relationship Id="rId9" Type="http://schemas.openxmlformats.org/officeDocument/2006/relationships/hyperlink" Target="https://single-market-economy.ec.europa.eu/coronavirus-response/task-force-industrial-scale-covid-19-vaccines_pl" TargetMode="External"/><Relationship Id="rId14" Type="http://schemas.openxmlformats.org/officeDocument/2006/relationships/hyperlink" Target="https://health.ec.europa.eu/medicinal-products/pharmaceutical-strategy-europe_pl" TargetMode="External"/><Relationship Id="rId22" Type="http://schemas.openxmlformats.org/officeDocument/2006/relationships/hyperlink" Target="https://healthworkforce.eu/the-project/" TargetMode="External"/><Relationship Id="rId27" Type="http://schemas.openxmlformats.org/officeDocument/2006/relationships/hyperlink" Target="https://eur-lex.europa.eu/legal-content/PL/LSU/?uri=CELEX%3A32022H1213(01)" TargetMode="External"/><Relationship Id="rId30" Type="http://schemas.openxmlformats.org/officeDocument/2006/relationships/hyperlink" Target="https://ec.europa.eu/commission/presscorner/detail/pl/ip_24_1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60ED-02A5-4ADE-A32D-49036F01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9637</Words>
  <Characters>54931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2024-05-21T09:12:00Z</dcterms:created>
  <dcterms:modified xsi:type="dcterms:W3CDTF">2024-06-03T13:56:00Z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2024-05-17T08:59:23Z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57355d63-5ecf-48e6-8165-a9b4436f7f6d</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CP-014</vt:lpwstr>
  </property>
</Properties>
</file>