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128AE" w14:textId="4D9B1843" w:rsidR="00227DA3" w:rsidRPr="00595F42" w:rsidRDefault="00FB787A" w:rsidP="00FB787A">
      <w:pPr>
        <w:pStyle w:val="Pagedecouverture"/>
        <w:rPr>
          <w:noProof/>
        </w:rPr>
      </w:pPr>
      <w:bookmarkStart w:id="0" w:name="LW_BM_COVERPAGE"/>
      <w:r>
        <w:rPr>
          <w:noProof/>
        </w:rPr>
        <w:pict w14:anchorId="0033D4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4558063-56B2-4A52-89A4-59C44ADB4264" style="width:455.25pt;height:324pt">
            <v:imagedata r:id="rId11" o:title=""/>
          </v:shape>
        </w:pict>
      </w:r>
    </w:p>
    <w:bookmarkEnd w:id="0"/>
    <w:p w14:paraId="6F55E444" w14:textId="77777777" w:rsidR="00227DA3" w:rsidRPr="00595F42" w:rsidRDefault="00227DA3" w:rsidP="00227DA3">
      <w:pPr>
        <w:rPr>
          <w:noProof/>
        </w:rPr>
        <w:sectPr w:rsidR="00227DA3" w:rsidRPr="00595F42" w:rsidSect="00FB787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9553C7A" w14:textId="77777777" w:rsidR="005D42B6" w:rsidRPr="00595F42" w:rsidRDefault="005D42B6" w:rsidP="005D42B6">
      <w:pPr>
        <w:keepNext/>
        <w:numPr>
          <w:ilvl w:val="0"/>
          <w:numId w:val="35"/>
        </w:numPr>
        <w:tabs>
          <w:tab w:val="num" w:pos="1485"/>
        </w:tabs>
        <w:spacing w:before="240" w:after="240" w:line="240" w:lineRule="auto"/>
        <w:ind w:left="1485" w:hanging="283"/>
        <w:jc w:val="both"/>
        <w:outlineLvl w:val="0"/>
        <w:rPr>
          <w:rFonts w:ascii="Times New Roman" w:eastAsia="Times New Roman" w:hAnsi="Times New Roman" w:cs="Times New Roman"/>
          <w:b/>
          <w:smallCaps/>
          <w:noProof/>
          <w:sz w:val="24"/>
          <w:szCs w:val="20"/>
        </w:rPr>
      </w:pPr>
      <w:bookmarkStart w:id="1" w:name="_GoBack"/>
      <w:bookmarkEnd w:id="1"/>
      <w:r w:rsidRPr="00595F42">
        <w:rPr>
          <w:rFonts w:ascii="Times New Roman" w:hAnsi="Times New Roman"/>
          <w:b/>
          <w:smallCaps/>
          <w:noProof/>
          <w:sz w:val="24"/>
        </w:rPr>
        <w:lastRenderedPageBreak/>
        <w:t>Wprowadzenie</w:t>
      </w:r>
    </w:p>
    <w:p w14:paraId="79B0E77F" w14:textId="221D7809" w:rsidR="009E0BE4" w:rsidRPr="00595F42" w:rsidRDefault="00D94E33" w:rsidP="007D1226">
      <w:pPr>
        <w:spacing w:after="12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Zgodnie</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art</w:t>
      </w:r>
      <w:r w:rsidRPr="00595F42">
        <w:rPr>
          <w:rFonts w:ascii="Times New Roman" w:hAnsi="Times New Roman"/>
          <w:noProof/>
          <w:color w:val="000000"/>
          <w:sz w:val="24"/>
        </w:rPr>
        <w:t>.</w:t>
      </w:r>
      <w:r w:rsidR="00595F42" w:rsidRPr="00595F42">
        <w:rPr>
          <w:rFonts w:ascii="Times New Roman" w:hAnsi="Times New Roman"/>
          <w:noProof/>
          <w:color w:val="000000"/>
          <w:sz w:val="24"/>
        </w:rPr>
        <w:t> </w:t>
      </w:r>
      <w:r w:rsidRPr="00595F42">
        <w:rPr>
          <w:rFonts w:ascii="Times New Roman" w:hAnsi="Times New Roman"/>
          <w:noProof/>
          <w:color w:val="000000"/>
          <w:sz w:val="24"/>
        </w:rPr>
        <w:t>17a rozporządzenia (UE) 2017/1938 dodanym art.</w:t>
      </w:r>
      <w:r w:rsidR="00595F42" w:rsidRPr="00595F42">
        <w:rPr>
          <w:rFonts w:ascii="Times New Roman" w:hAnsi="Times New Roman"/>
          <w:noProof/>
          <w:color w:val="000000"/>
          <w:sz w:val="24"/>
        </w:rPr>
        <w:t> </w:t>
      </w:r>
      <w:r w:rsidRPr="00595F42">
        <w:rPr>
          <w:rFonts w:ascii="Times New Roman" w:hAnsi="Times New Roman"/>
          <w:noProof/>
          <w:color w:val="000000"/>
          <w:sz w:val="24"/>
        </w:rPr>
        <w:t>1 pkt</w:t>
      </w:r>
      <w:r w:rsidR="00595F42" w:rsidRPr="00595F42">
        <w:rPr>
          <w:rFonts w:ascii="Times New Roman" w:hAnsi="Times New Roman"/>
          <w:noProof/>
          <w:color w:val="000000"/>
          <w:sz w:val="24"/>
        </w:rPr>
        <w:t> </w:t>
      </w:r>
      <w:r w:rsidRPr="00595F42">
        <w:rPr>
          <w:rFonts w:ascii="Times New Roman" w:hAnsi="Times New Roman"/>
          <w:noProof/>
          <w:color w:val="000000"/>
          <w:sz w:val="24"/>
        </w:rPr>
        <w:t>5 rozporządzenia (UE) 2022/1032, zwanego dalej „</w:t>
      </w:r>
      <w:r w:rsidRPr="00595F42">
        <w:rPr>
          <w:rFonts w:ascii="Times New Roman" w:hAnsi="Times New Roman"/>
          <w:b/>
          <w:noProof/>
          <w:color w:val="000000"/>
          <w:sz w:val="24"/>
        </w:rPr>
        <w:t>rozporządzeniem</w:t>
      </w:r>
      <w:r w:rsidR="00595F42" w:rsidRPr="00595F42">
        <w:rPr>
          <w:rFonts w:ascii="Times New Roman" w:hAnsi="Times New Roman"/>
          <w:b/>
          <w:noProof/>
          <w:color w:val="000000"/>
          <w:sz w:val="24"/>
        </w:rPr>
        <w:t xml:space="preserve"> w</w:t>
      </w:r>
      <w:r w:rsidR="00595F42">
        <w:rPr>
          <w:rFonts w:ascii="Times New Roman" w:hAnsi="Times New Roman"/>
          <w:b/>
          <w:noProof/>
          <w:color w:val="000000"/>
          <w:sz w:val="24"/>
        </w:rPr>
        <w:t> </w:t>
      </w:r>
      <w:r w:rsidR="00595F42" w:rsidRPr="00595F42">
        <w:rPr>
          <w:rFonts w:ascii="Times New Roman" w:hAnsi="Times New Roman"/>
          <w:b/>
          <w:noProof/>
          <w:color w:val="000000"/>
          <w:sz w:val="24"/>
        </w:rPr>
        <w:t>spr</w:t>
      </w:r>
      <w:r w:rsidRPr="00595F42">
        <w:rPr>
          <w:rFonts w:ascii="Times New Roman" w:hAnsi="Times New Roman"/>
          <w:b/>
          <w:noProof/>
          <w:color w:val="000000"/>
          <w:sz w:val="24"/>
        </w:rPr>
        <w:t>awie magazynowania gazu</w:t>
      </w:r>
      <w:r w:rsidRPr="00595F42">
        <w:rPr>
          <w:rFonts w:ascii="Times New Roman" w:hAnsi="Times New Roman"/>
          <w:noProof/>
          <w:color w:val="000000"/>
          <w:sz w:val="24"/>
        </w:rPr>
        <w:t>”, Komisja ma obowiązek przedkładać Parlamentowi Europejskiemu</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Rad</w:t>
      </w:r>
      <w:r w:rsidRPr="00595F42">
        <w:rPr>
          <w:rFonts w:ascii="Times New Roman" w:hAnsi="Times New Roman"/>
          <w:noProof/>
          <w:color w:val="000000"/>
          <w:sz w:val="24"/>
        </w:rPr>
        <w:t>zie roczne sprawozdania, tak aby każde sprawozdanie stanowiło wkład</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roz</w:t>
      </w:r>
      <w:r w:rsidRPr="00595F42">
        <w:rPr>
          <w:rFonts w:ascii="Times New Roman" w:hAnsi="Times New Roman"/>
          <w:noProof/>
          <w:color w:val="000000"/>
          <w:sz w:val="24"/>
        </w:rPr>
        <w:t>wój bazy wiedzy na temat najlepszych praktyk</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zak</w:t>
      </w:r>
      <w:r w:rsidRPr="00595F42">
        <w:rPr>
          <w:rFonts w:ascii="Times New Roman" w:hAnsi="Times New Roman"/>
          <w:noProof/>
          <w:color w:val="000000"/>
          <w:sz w:val="24"/>
        </w:rPr>
        <w:t>resie napełniania magazynów gazu</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Uni</w:t>
      </w:r>
      <w:r w:rsidRPr="00595F42">
        <w:rPr>
          <w:rFonts w:ascii="Times New Roman" w:hAnsi="Times New Roman"/>
          <w:noProof/>
          <w:color w:val="000000"/>
          <w:sz w:val="24"/>
        </w:rPr>
        <w:t>i.</w:t>
      </w:r>
    </w:p>
    <w:p w14:paraId="55FE1E1D" w14:textId="0DC26343" w:rsidR="005D42B6" w:rsidRPr="00595F42" w:rsidRDefault="005D42B6" w:rsidP="007D1226">
      <w:pPr>
        <w:spacing w:after="12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Podziemne magazyny gazu (PMG) mają zasadnicze znaczenie dla bezpieczeństwa dostaw energii w UE. Zimą zapewniają one niezbędną sezonową elastyczność systemu gazowego UE</w:t>
      </w:r>
      <w:r w:rsidR="00595F42" w:rsidRPr="00595F42">
        <w:rPr>
          <w:rFonts w:ascii="Times New Roman" w:hAnsi="Times New Roman"/>
          <w:noProof/>
          <w:color w:val="000000"/>
          <w:sz w:val="24"/>
        </w:rPr>
        <w:t>. W</w:t>
      </w:r>
      <w:r w:rsidR="00595F42">
        <w:rPr>
          <w:rFonts w:ascii="Times New Roman" w:hAnsi="Times New Roman"/>
          <w:noProof/>
          <w:color w:val="000000"/>
          <w:sz w:val="24"/>
        </w:rPr>
        <w:t> </w:t>
      </w:r>
      <w:r w:rsidR="00595F42" w:rsidRPr="00595F42">
        <w:rPr>
          <w:rFonts w:ascii="Times New Roman" w:hAnsi="Times New Roman"/>
          <w:noProof/>
          <w:color w:val="000000"/>
          <w:sz w:val="24"/>
        </w:rPr>
        <w:t>okr</w:t>
      </w:r>
      <w:r w:rsidRPr="00595F42">
        <w:rPr>
          <w:rFonts w:ascii="Times New Roman" w:hAnsi="Times New Roman"/>
          <w:noProof/>
          <w:color w:val="000000"/>
          <w:sz w:val="24"/>
        </w:rPr>
        <w:t>esach niskich temperatur magazyny gazu mogą być głównym źródłem dostaw gazu. Magazyny gazu zapewniają również systemowi elektroenergetycznemu sterowalne źródło energii do wytwarzania energii elektrycznej. Zazwyczaj magazyny dostarczają 25–30 % gazu zużywanego w UE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okr</w:t>
      </w:r>
      <w:r w:rsidRPr="00595F42">
        <w:rPr>
          <w:rFonts w:ascii="Times New Roman" w:hAnsi="Times New Roman"/>
          <w:noProof/>
          <w:color w:val="000000"/>
          <w:sz w:val="24"/>
        </w:rPr>
        <w:t>esie zimowym. Ponadto magazyny gazu pozwalają na efektywne zaprojektowanie systemu gazowego UE poprzez zmniejszenie zapotrzebowania na duże przepływy importowe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mie</w:t>
      </w:r>
      <w:r w:rsidRPr="00595F42">
        <w:rPr>
          <w:rFonts w:ascii="Times New Roman" w:hAnsi="Times New Roman"/>
          <w:noProof/>
          <w:color w:val="000000"/>
          <w:sz w:val="24"/>
        </w:rPr>
        <w:t>siącach zimowych oraz zapobieganie zbyt rozbudowanej infrastrukturze importowej</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prz</w:t>
      </w:r>
      <w:r w:rsidRPr="00595F42">
        <w:rPr>
          <w:rFonts w:ascii="Times New Roman" w:hAnsi="Times New Roman"/>
          <w:noProof/>
          <w:color w:val="000000"/>
          <w:sz w:val="24"/>
        </w:rPr>
        <w:t>esyłowej. Import gazu utrzymuje się zatem</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cią</w:t>
      </w:r>
      <w:r w:rsidRPr="00595F42">
        <w:rPr>
          <w:rFonts w:ascii="Times New Roman" w:hAnsi="Times New Roman"/>
          <w:noProof/>
          <w:color w:val="000000"/>
          <w:sz w:val="24"/>
        </w:rPr>
        <w:t>gu roku na dość stabilnym poziomie, przy czym nadwyżkę importu wprowadza się</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okr</w:t>
      </w:r>
      <w:r w:rsidRPr="00595F42">
        <w:rPr>
          <w:rFonts w:ascii="Times New Roman" w:hAnsi="Times New Roman"/>
          <w:noProof/>
          <w:color w:val="000000"/>
          <w:sz w:val="24"/>
        </w:rPr>
        <w:t>esie letnim (kwiecień–październik/listopad), natomiast operacje wycofywania</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mag</w:t>
      </w:r>
      <w:r w:rsidRPr="00595F42">
        <w:rPr>
          <w:rFonts w:ascii="Times New Roman" w:hAnsi="Times New Roman"/>
          <w:noProof/>
          <w:color w:val="000000"/>
          <w:sz w:val="24"/>
        </w:rPr>
        <w:t>azynów uzupełniają import gazu</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okr</w:t>
      </w:r>
      <w:r w:rsidRPr="00595F42">
        <w:rPr>
          <w:rFonts w:ascii="Times New Roman" w:hAnsi="Times New Roman"/>
          <w:noProof/>
          <w:color w:val="000000"/>
          <w:sz w:val="24"/>
        </w:rPr>
        <w:t>esie zimowym (październik/listopad–marzec). Magazyny gazu przyczyniają się zatem do stabilności cen dzięki swoim zdolnościom długoterminowego magazynowania</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maj</w:t>
      </w:r>
      <w:r w:rsidRPr="00595F42">
        <w:rPr>
          <w:rFonts w:ascii="Times New Roman" w:hAnsi="Times New Roman"/>
          <w:noProof/>
          <w:color w:val="000000"/>
          <w:sz w:val="24"/>
        </w:rPr>
        <w:t>ą wkład</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amo</w:t>
      </w:r>
      <w:r w:rsidRPr="00595F42">
        <w:rPr>
          <w:rFonts w:ascii="Times New Roman" w:hAnsi="Times New Roman"/>
          <w:noProof/>
          <w:color w:val="000000"/>
          <w:sz w:val="24"/>
        </w:rPr>
        <w:t>rtyzowanie wstrząsów podażowych dzięki swoim znacznym zdolnościom (1 100 TWh lub</w:t>
      </w:r>
      <w:r w:rsidR="00595F42" w:rsidRPr="00595F42">
        <w:rPr>
          <w:rFonts w:ascii="Times New Roman" w:hAnsi="Times New Roman"/>
          <w:noProof/>
          <w:color w:val="000000"/>
          <w:sz w:val="24"/>
        </w:rPr>
        <w:t> </w:t>
      </w:r>
      <w:r w:rsidRPr="00595F42">
        <w:rPr>
          <w:rFonts w:ascii="Times New Roman" w:hAnsi="Times New Roman"/>
          <w:noProof/>
          <w:color w:val="000000"/>
          <w:sz w:val="24"/>
        </w:rPr>
        <w:t xml:space="preserve">100 mld m³). </w:t>
      </w:r>
    </w:p>
    <w:p w14:paraId="1E240BA8" w14:textId="613BFCAD" w:rsidR="009E0BE4" w:rsidRPr="00595F42" w:rsidRDefault="009E0BE4" w:rsidP="007D1226">
      <w:pPr>
        <w:spacing w:after="12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W 2021</w:t>
      </w:r>
      <w:r w:rsidR="00595F42" w:rsidRPr="00595F42">
        <w:rPr>
          <w:rFonts w:ascii="Times New Roman" w:hAnsi="Times New Roman"/>
          <w:noProof/>
          <w:color w:val="000000"/>
          <w:sz w:val="24"/>
        </w:rPr>
        <w:t> </w:t>
      </w:r>
      <w:r w:rsidRPr="00595F42">
        <w:rPr>
          <w:rFonts w:ascii="Times New Roman" w:hAnsi="Times New Roman"/>
          <w:noProof/>
          <w:color w:val="000000"/>
          <w:sz w:val="24"/>
        </w:rPr>
        <w:t>r. UE doświadczyła przedłużającego się okresu zmiennych</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wys</w:t>
      </w:r>
      <w:r w:rsidRPr="00595F42">
        <w:rPr>
          <w:rFonts w:ascii="Times New Roman" w:hAnsi="Times New Roman"/>
          <w:noProof/>
          <w:color w:val="000000"/>
          <w:sz w:val="24"/>
        </w:rPr>
        <w:t>okich cen energii, m.in.</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pow</w:t>
      </w:r>
      <w:r w:rsidRPr="00595F42">
        <w:rPr>
          <w:rFonts w:ascii="Times New Roman" w:hAnsi="Times New Roman"/>
          <w:noProof/>
          <w:color w:val="000000"/>
          <w:sz w:val="24"/>
        </w:rPr>
        <w:t>odu niższych niż zwykle poziomów napełnienia magazynów. Zwiększone napięcia geopolityczne po inwazji Rosji na Ukrainę na początku 2022</w:t>
      </w:r>
      <w:r w:rsidR="00595F42" w:rsidRPr="00595F42">
        <w:rPr>
          <w:rFonts w:ascii="Times New Roman" w:hAnsi="Times New Roman"/>
          <w:noProof/>
          <w:color w:val="000000"/>
          <w:sz w:val="24"/>
        </w:rPr>
        <w:t> </w:t>
      </w:r>
      <w:r w:rsidRPr="00595F42">
        <w:rPr>
          <w:rFonts w:ascii="Times New Roman" w:hAnsi="Times New Roman"/>
          <w:noProof/>
          <w:color w:val="000000"/>
          <w:sz w:val="24"/>
        </w:rPr>
        <w:t>r. zwiększyły niepewność</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uwy</w:t>
      </w:r>
      <w:r w:rsidRPr="00595F42">
        <w:rPr>
          <w:rFonts w:ascii="Times New Roman" w:hAnsi="Times New Roman"/>
          <w:noProof/>
          <w:color w:val="000000"/>
          <w:sz w:val="24"/>
        </w:rPr>
        <w:t>pukliły konieczność posiadania pełnych magazynów gazu na przyszłe zimy.</w:t>
      </w:r>
      <w:r w:rsidRPr="00595F42">
        <w:rPr>
          <w:rFonts w:ascii="Times New Roman" w:hAnsi="Times New Roman"/>
          <w:noProof/>
          <w:color w:val="000000"/>
          <w:sz w:val="24"/>
          <w:highlight w:val="yellow"/>
        </w:rPr>
        <w:t xml:space="preserve"> </w:t>
      </w:r>
    </w:p>
    <w:p w14:paraId="5DF444C0" w14:textId="5C71B119" w:rsidR="009E0BE4" w:rsidRPr="00595F42" w:rsidRDefault="005D42B6" w:rsidP="007D1226">
      <w:pPr>
        <w:spacing w:after="12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Zmianami wprowadzonymi rozporządzeniem</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spr</w:t>
      </w:r>
      <w:r w:rsidRPr="00595F42">
        <w:rPr>
          <w:rFonts w:ascii="Times New Roman" w:hAnsi="Times New Roman"/>
          <w:noProof/>
          <w:sz w:val="24"/>
        </w:rPr>
        <w:t>awie magazynowania gazu nałożono na wszystkie państwa członkowskie posiadające zdolności magazynowania gazu wymóg zapewnienia, aby ich podziemne magazyny gazu zostały napełnione do</w:t>
      </w:r>
      <w:r w:rsidR="00595F42" w:rsidRPr="00595F42">
        <w:rPr>
          <w:rFonts w:ascii="Times New Roman" w:hAnsi="Times New Roman"/>
          <w:noProof/>
          <w:sz w:val="24"/>
        </w:rPr>
        <w:t> </w:t>
      </w:r>
      <w:r w:rsidRPr="00595F42">
        <w:rPr>
          <w:rFonts w:ascii="Times New Roman" w:hAnsi="Times New Roman"/>
          <w:noProof/>
          <w:sz w:val="24"/>
        </w:rPr>
        <w:t>90</w:t>
      </w:r>
      <w:r w:rsidR="00595F42" w:rsidRPr="00595F42">
        <w:rPr>
          <w:rFonts w:ascii="Times New Roman" w:hAnsi="Times New Roman"/>
          <w:noProof/>
          <w:sz w:val="24"/>
        </w:rPr>
        <w:t> </w:t>
      </w:r>
      <w:r w:rsidRPr="00595F42">
        <w:rPr>
          <w:rFonts w:ascii="Times New Roman" w:hAnsi="Times New Roman"/>
          <w:noProof/>
          <w:sz w:val="24"/>
        </w:rPr>
        <w:t>% pojemności do</w:t>
      </w:r>
      <w:r w:rsidR="00595F42" w:rsidRPr="00595F42">
        <w:rPr>
          <w:rFonts w:ascii="Times New Roman" w:hAnsi="Times New Roman"/>
          <w:noProof/>
          <w:sz w:val="24"/>
        </w:rPr>
        <w:t> </w:t>
      </w:r>
      <w:r w:rsidRPr="00595F42">
        <w:rPr>
          <w:rFonts w:ascii="Times New Roman" w:hAnsi="Times New Roman"/>
          <w:noProof/>
          <w:sz w:val="24"/>
        </w:rPr>
        <w:t>1 listopada każdego roku. Państwa członkowskie nieposiadające magazynów gazu są również zobowiązane do przyczyniania się do realizacji ogólnych celów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magazynowania poprzez zapewnienie, aby ilość gazu odpowiadającą 15 % ich rocznego zużycia przechowywano</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inn</w:t>
      </w:r>
      <w:r w:rsidRPr="00595F42">
        <w:rPr>
          <w:rFonts w:ascii="Times New Roman" w:hAnsi="Times New Roman"/>
          <w:noProof/>
          <w:sz w:val="24"/>
        </w:rPr>
        <w:t>ych państwach członkowskich.</w:t>
      </w:r>
    </w:p>
    <w:p w14:paraId="038AD820" w14:textId="0D34C66F" w:rsidR="000D7182" w:rsidRPr="00595F42" w:rsidRDefault="005D42B6" w:rsidP="00F07D14">
      <w:pPr>
        <w:spacing w:after="12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Magazyny gazu są infrastrukturą krytyczną</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roz</w:t>
      </w:r>
      <w:r w:rsidRPr="00595F42">
        <w:rPr>
          <w:rFonts w:ascii="Times New Roman" w:hAnsi="Times New Roman"/>
          <w:noProof/>
          <w:sz w:val="24"/>
        </w:rPr>
        <w:t>umieniu dyrektywy (UE) 2022/2557</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spr</w:t>
      </w:r>
      <w:r w:rsidRPr="00595F42">
        <w:rPr>
          <w:rFonts w:ascii="Times New Roman" w:hAnsi="Times New Roman"/>
          <w:noProof/>
          <w:sz w:val="24"/>
        </w:rPr>
        <w:t>awie odporności podmiotów krytycznych,</w:t>
      </w:r>
      <w:r w:rsidR="00595F42" w:rsidRPr="00595F42">
        <w:rPr>
          <w:rFonts w:ascii="Times New Roman" w:hAnsi="Times New Roman"/>
          <w:noProof/>
          <w:sz w:val="24"/>
        </w:rPr>
        <w:t xml:space="preserve"> a</w:t>
      </w:r>
      <w:r w:rsidR="00595F42">
        <w:rPr>
          <w:rFonts w:ascii="Times New Roman" w:hAnsi="Times New Roman"/>
          <w:noProof/>
          <w:sz w:val="24"/>
        </w:rPr>
        <w:t> </w:t>
      </w:r>
      <w:r w:rsidR="00595F42" w:rsidRPr="00595F42">
        <w:rPr>
          <w:rFonts w:ascii="Times New Roman" w:hAnsi="Times New Roman"/>
          <w:noProof/>
          <w:sz w:val="24"/>
        </w:rPr>
        <w:t>ope</w:t>
      </w:r>
      <w:r w:rsidRPr="00595F42">
        <w:rPr>
          <w:rFonts w:ascii="Times New Roman" w:hAnsi="Times New Roman"/>
          <w:noProof/>
          <w:sz w:val="24"/>
        </w:rPr>
        <w:t>ratorzy systemów magazynowania są objęci zakresem tej dyrektywy</w:t>
      </w:r>
      <w:r w:rsidR="00DE4593" w:rsidRPr="00595F42">
        <w:rPr>
          <w:rFonts w:ascii="Times New Roman" w:eastAsia="Times New Roman" w:hAnsi="Times New Roman" w:cs="Times New Roman"/>
          <w:noProof/>
          <w:sz w:val="24"/>
          <w:szCs w:val="24"/>
          <w:vertAlign w:val="superscript"/>
          <w:lang w:eastAsia="en-IE"/>
        </w:rPr>
        <w:footnoteReference w:id="2"/>
      </w:r>
      <w:r w:rsidRPr="00595F42">
        <w:rPr>
          <w:rFonts w:ascii="Times New Roman" w:hAnsi="Times New Roman"/>
          <w:noProof/>
          <w:sz w:val="24"/>
        </w:rPr>
        <w:t>. Oprócz tego wszyscy operatorzy systemów magazynowania w UE muszą przejść proces certyfikacji najpóźniej do początku 2024</w:t>
      </w:r>
      <w:r w:rsidR="00595F42" w:rsidRPr="00595F42">
        <w:rPr>
          <w:rFonts w:ascii="Times New Roman" w:hAnsi="Times New Roman"/>
          <w:noProof/>
          <w:sz w:val="24"/>
        </w:rPr>
        <w:t> </w:t>
      </w:r>
      <w:r w:rsidRPr="00595F42">
        <w:rPr>
          <w:rFonts w:ascii="Times New Roman" w:hAnsi="Times New Roman"/>
          <w:noProof/>
          <w:sz w:val="24"/>
        </w:rPr>
        <w:t>r., aby zmniejszyć ryzyko negatywnej ingerencji zewnętrznej. Służby Komisji otrzymały już certyfikaty od kilku państw członkowskich</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wyd</w:t>
      </w:r>
      <w:r w:rsidRPr="00595F42">
        <w:rPr>
          <w:rFonts w:ascii="Times New Roman" w:hAnsi="Times New Roman"/>
          <w:noProof/>
          <w:sz w:val="24"/>
        </w:rPr>
        <w:t>ają odnośne opinie</w:t>
      </w:r>
      <w:r w:rsidR="00595F42" w:rsidRPr="00595F42">
        <w:rPr>
          <w:rFonts w:ascii="Times New Roman" w:hAnsi="Times New Roman"/>
          <w:noProof/>
          <w:sz w:val="24"/>
        </w:rPr>
        <w:t>. W</w:t>
      </w:r>
      <w:r w:rsidR="00595F42">
        <w:rPr>
          <w:rFonts w:ascii="Times New Roman" w:hAnsi="Times New Roman"/>
          <w:noProof/>
          <w:sz w:val="24"/>
        </w:rPr>
        <w:t> </w:t>
      </w:r>
      <w:r w:rsidR="00595F42" w:rsidRPr="00595F42">
        <w:rPr>
          <w:rFonts w:ascii="Times New Roman" w:hAnsi="Times New Roman"/>
          <w:noProof/>
          <w:sz w:val="24"/>
        </w:rPr>
        <w:t>nin</w:t>
      </w:r>
      <w:r w:rsidRPr="00595F42">
        <w:rPr>
          <w:rFonts w:ascii="Times New Roman" w:hAnsi="Times New Roman"/>
          <w:noProof/>
          <w:sz w:val="24"/>
        </w:rPr>
        <w:t>iejszym sprawozdaniu dokonano oceny wdrożenia rozporządzenia</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spr</w:t>
      </w:r>
      <w:r w:rsidRPr="00595F42">
        <w:rPr>
          <w:rFonts w:ascii="Times New Roman" w:hAnsi="Times New Roman"/>
          <w:noProof/>
          <w:sz w:val="24"/>
        </w:rPr>
        <w:t>awie magazynowania gazu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2</w:t>
      </w:r>
      <w:r w:rsidRPr="00595F42">
        <w:rPr>
          <w:rFonts w:ascii="Times New Roman" w:hAnsi="Times New Roman"/>
          <w:noProof/>
          <w:sz w:val="24"/>
        </w:rPr>
        <w:t>023</w:t>
      </w:r>
      <w:r w:rsidR="00595F42" w:rsidRPr="00595F42">
        <w:rPr>
          <w:rFonts w:ascii="Times New Roman" w:hAnsi="Times New Roman"/>
          <w:noProof/>
          <w:sz w:val="24"/>
        </w:rPr>
        <w:t> </w:t>
      </w:r>
      <w:r w:rsidRPr="00595F42">
        <w:rPr>
          <w:rFonts w:ascii="Times New Roman" w:hAnsi="Times New Roman"/>
          <w:noProof/>
          <w:sz w:val="24"/>
        </w:rPr>
        <w:t>r. i na początku 2024</w:t>
      </w:r>
      <w:r w:rsidR="00595F42" w:rsidRPr="00595F42">
        <w:rPr>
          <w:rFonts w:ascii="Times New Roman" w:hAnsi="Times New Roman"/>
          <w:noProof/>
          <w:sz w:val="24"/>
        </w:rPr>
        <w:t> </w:t>
      </w:r>
      <w:r w:rsidRPr="00595F42">
        <w:rPr>
          <w:rFonts w:ascii="Times New Roman" w:hAnsi="Times New Roman"/>
          <w:noProof/>
          <w:sz w:val="24"/>
        </w:rPr>
        <w:t>r. na podstawie informacji przekazanych przez państwa członkowskich dotyczących wprowadzonych przez nie środków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magazynowania gazu</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pro</w:t>
      </w:r>
      <w:r w:rsidRPr="00595F42">
        <w:rPr>
          <w:rFonts w:ascii="Times New Roman" w:hAnsi="Times New Roman"/>
          <w:noProof/>
          <w:sz w:val="24"/>
        </w:rPr>
        <w:t>cedur certyfikacji, zgodnie</w:t>
      </w:r>
      <w:r w:rsidR="00595F42" w:rsidRPr="00595F42">
        <w:rPr>
          <w:rFonts w:ascii="Times New Roman" w:hAnsi="Times New Roman"/>
          <w:noProof/>
          <w:sz w:val="24"/>
        </w:rPr>
        <w:t xml:space="preserve"> z</w:t>
      </w:r>
      <w:r w:rsidR="00595F42">
        <w:rPr>
          <w:rFonts w:ascii="Times New Roman" w:hAnsi="Times New Roman"/>
          <w:noProof/>
          <w:sz w:val="24"/>
        </w:rPr>
        <w:t> </w:t>
      </w:r>
      <w:bookmarkStart w:id="2" w:name="_Hlk155875436"/>
      <w:r w:rsidR="00595F42" w:rsidRPr="00595F42">
        <w:rPr>
          <w:rFonts w:ascii="Times New Roman" w:hAnsi="Times New Roman"/>
          <w:noProof/>
          <w:sz w:val="24"/>
        </w:rPr>
        <w:t>art</w:t>
      </w:r>
      <w:r w:rsidRPr="00595F42">
        <w:rPr>
          <w:rFonts w:ascii="Times New Roman" w:hAnsi="Times New Roman"/>
          <w:noProof/>
          <w:sz w:val="24"/>
        </w:rPr>
        <w:t>.</w:t>
      </w:r>
      <w:r w:rsidR="00595F42" w:rsidRPr="00595F42">
        <w:rPr>
          <w:rFonts w:ascii="Times New Roman" w:hAnsi="Times New Roman"/>
          <w:noProof/>
          <w:sz w:val="24"/>
        </w:rPr>
        <w:t> </w:t>
      </w:r>
      <w:r w:rsidRPr="00595F42">
        <w:rPr>
          <w:rFonts w:ascii="Times New Roman" w:hAnsi="Times New Roman"/>
          <w:noProof/>
          <w:sz w:val="24"/>
        </w:rPr>
        <w:t>17a rozporządzenia (UE) 2017/1938</w:t>
      </w:r>
      <w:bookmarkEnd w:id="2"/>
      <w:r w:rsidRPr="00595F42">
        <w:rPr>
          <w:rFonts w:ascii="Times New Roman" w:hAnsi="Times New Roman"/>
          <w:noProof/>
          <w:sz w:val="24"/>
        </w:rPr>
        <w:t>.</w:t>
      </w:r>
    </w:p>
    <w:p w14:paraId="741DB5FA" w14:textId="3F1483FA" w:rsidR="005D42B6" w:rsidRPr="00595F42" w:rsidRDefault="005D42B6" w:rsidP="000D7182">
      <w:pPr>
        <w:keepNext/>
        <w:numPr>
          <w:ilvl w:val="0"/>
          <w:numId w:val="35"/>
        </w:numPr>
        <w:tabs>
          <w:tab w:val="num" w:pos="1485"/>
        </w:tabs>
        <w:spacing w:before="240" w:after="240" w:line="240" w:lineRule="auto"/>
        <w:ind w:left="1485" w:hanging="283"/>
        <w:jc w:val="both"/>
        <w:outlineLvl w:val="0"/>
        <w:rPr>
          <w:rFonts w:ascii="Times New Roman" w:eastAsia="Times New Roman" w:hAnsi="Times New Roman" w:cs="Times New Roman"/>
          <w:b/>
          <w:smallCaps/>
          <w:noProof/>
          <w:sz w:val="24"/>
          <w:szCs w:val="20"/>
        </w:rPr>
      </w:pPr>
      <w:r w:rsidRPr="00595F42">
        <w:rPr>
          <w:rFonts w:ascii="Times New Roman" w:hAnsi="Times New Roman"/>
          <w:b/>
          <w:smallCaps/>
          <w:noProof/>
          <w:sz w:val="24"/>
        </w:rPr>
        <w:t>Podstawa prawna</w:t>
      </w:r>
      <w:r w:rsidR="00595F42" w:rsidRPr="00595F42">
        <w:rPr>
          <w:rFonts w:ascii="Times New Roman" w:hAnsi="Times New Roman"/>
          <w:b/>
          <w:smallCaps/>
          <w:noProof/>
          <w:sz w:val="24"/>
        </w:rPr>
        <w:t xml:space="preserve"> i</w:t>
      </w:r>
      <w:r w:rsidR="00595F42">
        <w:rPr>
          <w:rFonts w:ascii="Times New Roman" w:hAnsi="Times New Roman"/>
          <w:b/>
          <w:smallCaps/>
          <w:noProof/>
          <w:sz w:val="24"/>
        </w:rPr>
        <w:t> </w:t>
      </w:r>
      <w:r w:rsidR="00595F42" w:rsidRPr="00595F42">
        <w:rPr>
          <w:rFonts w:ascii="Times New Roman" w:hAnsi="Times New Roman"/>
          <w:b/>
          <w:smallCaps/>
          <w:noProof/>
          <w:sz w:val="24"/>
        </w:rPr>
        <w:t>kon</w:t>
      </w:r>
      <w:r w:rsidRPr="00595F42">
        <w:rPr>
          <w:rFonts w:ascii="Times New Roman" w:hAnsi="Times New Roman"/>
          <w:b/>
          <w:smallCaps/>
          <w:noProof/>
          <w:sz w:val="24"/>
        </w:rPr>
        <w:t xml:space="preserve">tekst </w:t>
      </w:r>
    </w:p>
    <w:p w14:paraId="32DB3EC4" w14:textId="1CFA51AC" w:rsidR="005D42B6" w:rsidRPr="00595F42" w:rsidRDefault="005D42B6" w:rsidP="005D42B6">
      <w:pPr>
        <w:spacing w:after="8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1 listopada 2023</w:t>
      </w:r>
      <w:r w:rsidR="00595F42" w:rsidRPr="00595F42">
        <w:rPr>
          <w:rFonts w:ascii="Times New Roman" w:hAnsi="Times New Roman"/>
          <w:noProof/>
          <w:color w:val="000000"/>
          <w:sz w:val="24"/>
        </w:rPr>
        <w:t> </w:t>
      </w:r>
      <w:r w:rsidRPr="00595F42">
        <w:rPr>
          <w:rFonts w:ascii="Times New Roman" w:hAnsi="Times New Roman"/>
          <w:noProof/>
          <w:color w:val="000000"/>
          <w:sz w:val="24"/>
        </w:rPr>
        <w:t>r. magazyny gazu w UE były napełnione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bookmarkStart w:id="3" w:name="_Hlk152775078"/>
      <w:r w:rsidR="00595F42" w:rsidRPr="00595F42">
        <w:rPr>
          <w:rFonts w:ascii="Times New Roman" w:hAnsi="Times New Roman"/>
          <w:noProof/>
          <w:color w:val="000000"/>
          <w:sz w:val="24"/>
        </w:rPr>
        <w:t>9</w:t>
      </w:r>
      <w:r w:rsidRPr="00595F42">
        <w:rPr>
          <w:rFonts w:ascii="Times New Roman" w:hAnsi="Times New Roman"/>
          <w:noProof/>
          <w:color w:val="000000"/>
          <w:sz w:val="24"/>
        </w:rPr>
        <w:t>9,4</w:t>
      </w:r>
      <w:r w:rsidR="00595F42" w:rsidRPr="00595F42">
        <w:rPr>
          <w:rFonts w:ascii="Times New Roman" w:hAnsi="Times New Roman"/>
          <w:noProof/>
          <w:color w:val="000000"/>
          <w:sz w:val="24"/>
        </w:rPr>
        <w:t> </w:t>
      </w:r>
      <w:r w:rsidRPr="00595F42">
        <w:rPr>
          <w:rFonts w:ascii="Times New Roman" w:hAnsi="Times New Roman"/>
          <w:noProof/>
          <w:color w:val="000000"/>
          <w:sz w:val="24"/>
        </w:rPr>
        <w:t>%</w:t>
      </w:r>
      <w:bookmarkEnd w:id="3"/>
      <w:r w:rsidRPr="00595F42">
        <w:rPr>
          <w:noProof/>
          <w:color w:val="000000"/>
        </w:rPr>
        <w:t>, czyli znacznie powyżej celu wynoszącego 90</w:t>
      </w:r>
      <w:r w:rsidR="00595F42" w:rsidRPr="00595F42">
        <w:rPr>
          <w:noProof/>
          <w:color w:val="000000"/>
        </w:rPr>
        <w:t> </w:t>
      </w:r>
      <w:r w:rsidRPr="00595F42">
        <w:rPr>
          <w:noProof/>
          <w:color w:val="000000"/>
        </w:rPr>
        <w:t>%.</w:t>
      </w:r>
      <w:r w:rsidRPr="00595F42">
        <w:rPr>
          <w:rFonts w:ascii="Times New Roman" w:hAnsi="Times New Roman"/>
          <w:noProof/>
          <w:color w:val="000000"/>
          <w:sz w:val="24"/>
        </w:rPr>
        <w:t xml:space="preserve"> Wszystkie państwa członkowskie osiągnęły indywidualnie swoje cele regulacyjne</w:t>
      </w:r>
      <w:r w:rsidRPr="00595F42">
        <w:rPr>
          <w:rFonts w:ascii="Times New Roman" w:eastAsia="Times New Roman" w:hAnsi="Times New Roman" w:cs="Times New Roman"/>
          <w:noProof/>
          <w:color w:val="000000"/>
          <w:sz w:val="24"/>
          <w:szCs w:val="24"/>
          <w:vertAlign w:val="superscript"/>
          <w:lang w:eastAsia="en-IE"/>
        </w:rPr>
        <w:footnoteReference w:id="3"/>
      </w:r>
      <w:r w:rsidRPr="00595F42">
        <w:rPr>
          <w:rFonts w:ascii="Times New Roman" w:hAnsi="Times New Roman"/>
          <w:noProof/>
          <w:color w:val="000000"/>
          <w:sz w:val="24"/>
        </w:rPr>
        <w:t>. Pod koniec 2023</w:t>
      </w:r>
      <w:r w:rsidR="00595F42" w:rsidRPr="00595F42">
        <w:rPr>
          <w:rFonts w:ascii="Times New Roman" w:hAnsi="Times New Roman"/>
          <w:noProof/>
          <w:color w:val="000000"/>
          <w:sz w:val="24"/>
        </w:rPr>
        <w:t> </w:t>
      </w:r>
      <w:r w:rsidRPr="00595F42">
        <w:rPr>
          <w:rFonts w:ascii="Times New Roman" w:hAnsi="Times New Roman"/>
          <w:noProof/>
          <w:color w:val="000000"/>
          <w:sz w:val="24"/>
        </w:rPr>
        <w:t>r., tj.</w:t>
      </w:r>
      <w:r w:rsidR="00595F42" w:rsidRPr="00595F42">
        <w:rPr>
          <w:rFonts w:ascii="Times New Roman" w:hAnsi="Times New Roman"/>
          <w:noProof/>
          <w:color w:val="000000"/>
          <w:sz w:val="24"/>
        </w:rPr>
        <w:t> </w:t>
      </w:r>
      <w:r w:rsidRPr="00595F42">
        <w:rPr>
          <w:rFonts w:ascii="Times New Roman" w:hAnsi="Times New Roman"/>
          <w:noProof/>
          <w:color w:val="000000"/>
          <w:sz w:val="24"/>
        </w:rPr>
        <w:t>15 grudnia 2023</w:t>
      </w:r>
      <w:r w:rsidR="00595F42" w:rsidRPr="00595F42">
        <w:rPr>
          <w:rFonts w:ascii="Times New Roman" w:hAnsi="Times New Roman"/>
          <w:noProof/>
          <w:color w:val="000000"/>
          <w:sz w:val="24"/>
        </w:rPr>
        <w:t> </w:t>
      </w:r>
      <w:r w:rsidRPr="00595F42">
        <w:rPr>
          <w:rFonts w:ascii="Times New Roman" w:hAnsi="Times New Roman"/>
          <w:noProof/>
          <w:color w:val="000000"/>
          <w:sz w:val="24"/>
        </w:rPr>
        <w:t>r., magazyny gazu były nadal napełnione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8</w:t>
      </w:r>
      <w:r w:rsidRPr="00595F42">
        <w:rPr>
          <w:rFonts w:ascii="Times New Roman" w:hAnsi="Times New Roman"/>
          <w:noProof/>
          <w:color w:val="000000"/>
          <w:sz w:val="24"/>
        </w:rPr>
        <w:t>9</w:t>
      </w:r>
      <w:r w:rsidR="00595F42" w:rsidRPr="00595F42">
        <w:rPr>
          <w:rFonts w:ascii="Times New Roman" w:hAnsi="Times New Roman"/>
          <w:noProof/>
          <w:color w:val="000000"/>
          <w:sz w:val="24"/>
        </w:rPr>
        <w:t> </w:t>
      </w:r>
      <w:r w:rsidRPr="00595F42">
        <w:rPr>
          <w:rFonts w:ascii="Times New Roman" w:hAnsi="Times New Roman"/>
          <w:noProof/>
          <w:color w:val="000000"/>
          <w:sz w:val="24"/>
        </w:rPr>
        <w:t>%.</w:t>
      </w:r>
      <w:r w:rsidR="00595F42" w:rsidRPr="00595F42">
        <w:rPr>
          <w:rFonts w:ascii="Times New Roman" w:hAnsi="Times New Roman"/>
          <w:noProof/>
          <w:color w:val="000000"/>
          <w:sz w:val="24"/>
        </w:rPr>
        <w:t xml:space="preserve"> </w:t>
      </w:r>
      <w:r w:rsidRPr="00595F42">
        <w:rPr>
          <w:rFonts w:ascii="Times New Roman" w:hAnsi="Times New Roman"/>
          <w:noProof/>
          <w:color w:val="000000"/>
          <w:sz w:val="24"/>
        </w:rPr>
        <w:t>UE rozpoczęła zimę 2023/2024 dobrze przygotowana, biorąc pod uwagę, że magazyny gazu zaspokajają 25–30</w:t>
      </w:r>
      <w:r w:rsidR="00595F42" w:rsidRPr="00595F42">
        <w:rPr>
          <w:rFonts w:ascii="Times New Roman" w:hAnsi="Times New Roman"/>
          <w:noProof/>
          <w:color w:val="000000"/>
          <w:sz w:val="24"/>
        </w:rPr>
        <w:t> </w:t>
      </w:r>
      <w:r w:rsidRPr="00595F42">
        <w:rPr>
          <w:rFonts w:ascii="Times New Roman" w:hAnsi="Times New Roman"/>
          <w:noProof/>
          <w:color w:val="000000"/>
          <w:sz w:val="24"/>
        </w:rPr>
        <w:t>% zapotrzebowania na gaz w UE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okr</w:t>
      </w:r>
      <w:r w:rsidRPr="00595F42">
        <w:rPr>
          <w:rFonts w:ascii="Times New Roman" w:hAnsi="Times New Roman"/>
          <w:noProof/>
          <w:color w:val="000000"/>
          <w:sz w:val="24"/>
        </w:rPr>
        <w:t>esie zimowym.</w:t>
      </w:r>
    </w:p>
    <w:p w14:paraId="2003C44A" w14:textId="0B6CD49E" w:rsidR="005D42B6" w:rsidRPr="00595F42" w:rsidRDefault="00E55C79" w:rsidP="005D42B6">
      <w:pPr>
        <w:spacing w:after="80" w:line="240" w:lineRule="auto"/>
        <w:jc w:val="both"/>
        <w:rPr>
          <w:rFonts w:ascii="Times New Roman" w:eastAsia="Times New Roman" w:hAnsi="Times New Roman" w:cs="Times New Roman"/>
          <w:noProof/>
          <w:color w:val="000000"/>
          <w:sz w:val="24"/>
          <w:szCs w:val="24"/>
        </w:rPr>
      </w:pPr>
      <w:bookmarkStart w:id="4" w:name="_Hlk157594548"/>
      <w:r w:rsidRPr="00595F42">
        <w:rPr>
          <w:rFonts w:ascii="Times New Roman" w:hAnsi="Times New Roman"/>
          <w:noProof/>
          <w:sz w:val="24"/>
        </w:rPr>
        <w:t>Zgodnie</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art</w:t>
      </w:r>
      <w:r w:rsidRPr="00595F42">
        <w:rPr>
          <w:rFonts w:ascii="Times New Roman" w:hAnsi="Times New Roman"/>
          <w:noProof/>
          <w:sz w:val="24"/>
        </w:rPr>
        <w:t>.</w:t>
      </w:r>
      <w:r w:rsidR="00595F42" w:rsidRPr="00595F42">
        <w:rPr>
          <w:rFonts w:ascii="Times New Roman" w:hAnsi="Times New Roman"/>
          <w:noProof/>
          <w:sz w:val="24"/>
        </w:rPr>
        <w:t> </w:t>
      </w:r>
      <w:r w:rsidRPr="00595F42">
        <w:rPr>
          <w:rFonts w:ascii="Times New Roman" w:hAnsi="Times New Roman"/>
          <w:noProof/>
          <w:sz w:val="24"/>
        </w:rPr>
        <w:t xml:space="preserve">17a rozporządzenia (UE) 2017/1938 dodanym </w:t>
      </w:r>
      <w:bookmarkStart w:id="5" w:name="_Hlk157592036"/>
      <w:r w:rsidRPr="00595F42">
        <w:rPr>
          <w:rFonts w:ascii="Times New Roman" w:hAnsi="Times New Roman"/>
          <w:noProof/>
          <w:color w:val="000000"/>
          <w:sz w:val="24"/>
        </w:rPr>
        <w:t>art.</w:t>
      </w:r>
      <w:r w:rsidR="00595F42" w:rsidRPr="00595F42">
        <w:rPr>
          <w:rFonts w:ascii="Times New Roman" w:hAnsi="Times New Roman"/>
          <w:noProof/>
          <w:color w:val="000000"/>
          <w:sz w:val="24"/>
        </w:rPr>
        <w:t> </w:t>
      </w:r>
      <w:r w:rsidRPr="00595F42">
        <w:rPr>
          <w:rFonts w:ascii="Times New Roman" w:hAnsi="Times New Roman"/>
          <w:noProof/>
          <w:color w:val="000000"/>
          <w:sz w:val="24"/>
        </w:rPr>
        <w:t>1 pkt</w:t>
      </w:r>
      <w:r w:rsidR="00595F42" w:rsidRPr="00595F42">
        <w:rPr>
          <w:rFonts w:ascii="Times New Roman" w:hAnsi="Times New Roman"/>
          <w:noProof/>
          <w:color w:val="000000"/>
          <w:sz w:val="24"/>
        </w:rPr>
        <w:t> </w:t>
      </w:r>
      <w:r w:rsidRPr="00595F42">
        <w:rPr>
          <w:rFonts w:ascii="Times New Roman" w:hAnsi="Times New Roman"/>
          <w:noProof/>
          <w:color w:val="000000"/>
          <w:sz w:val="24"/>
        </w:rPr>
        <w:t>5 rozporządzenia</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spr</w:t>
      </w:r>
      <w:r w:rsidRPr="00595F42">
        <w:rPr>
          <w:rFonts w:ascii="Times New Roman" w:hAnsi="Times New Roman"/>
          <w:noProof/>
          <w:color w:val="000000"/>
          <w:sz w:val="24"/>
        </w:rPr>
        <w:t>awie magazynowania gazu</w:t>
      </w:r>
      <w:bookmarkEnd w:id="5"/>
      <w:r w:rsidRPr="00595F42">
        <w:rPr>
          <w:rFonts w:ascii="Times New Roman" w:hAnsi="Times New Roman"/>
          <w:noProof/>
          <w:color w:val="000000"/>
          <w:sz w:val="24"/>
        </w:rPr>
        <w:t xml:space="preserve"> Komisja ma obowiązek przedkładać Parlamentowi Europejskiemu</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Rad</w:t>
      </w:r>
      <w:r w:rsidRPr="00595F42">
        <w:rPr>
          <w:rFonts w:ascii="Times New Roman" w:hAnsi="Times New Roman"/>
          <w:noProof/>
          <w:color w:val="000000"/>
          <w:sz w:val="24"/>
        </w:rPr>
        <w:t xml:space="preserve">zie roczne sprawozdania. </w:t>
      </w:r>
      <w:bookmarkEnd w:id="4"/>
      <w:r w:rsidRPr="00595F42">
        <w:rPr>
          <w:rFonts w:ascii="Times New Roman" w:hAnsi="Times New Roman"/>
          <w:noProof/>
          <w:color w:val="000000"/>
          <w:sz w:val="24"/>
        </w:rPr>
        <w:t xml:space="preserve">Sprawozdania te muszą zawierać następujące informacje: </w:t>
      </w:r>
    </w:p>
    <w:p w14:paraId="4B8E119D" w14:textId="660146CF" w:rsidR="005D42B6" w:rsidRPr="00595F42" w:rsidRDefault="005D42B6" w:rsidP="001F044F">
      <w:pPr>
        <w:numPr>
          <w:ilvl w:val="0"/>
          <w:numId w:val="38"/>
        </w:numPr>
        <w:spacing w:after="80" w:line="240" w:lineRule="auto"/>
        <w:contextualSpacing/>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przegląd środków wprowadzonych przez państwa członkowskie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cel</w:t>
      </w:r>
      <w:r w:rsidRPr="00595F42">
        <w:rPr>
          <w:rFonts w:ascii="Times New Roman" w:hAnsi="Times New Roman"/>
          <w:noProof/>
          <w:color w:val="000000"/>
          <w:sz w:val="24"/>
        </w:rPr>
        <w:t>u spełnienia obowiązków</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zak</w:t>
      </w:r>
      <w:r w:rsidRPr="00595F42">
        <w:rPr>
          <w:rFonts w:ascii="Times New Roman" w:hAnsi="Times New Roman"/>
          <w:noProof/>
          <w:color w:val="000000"/>
          <w:sz w:val="24"/>
        </w:rPr>
        <w:t xml:space="preserve">resie magazynowania; </w:t>
      </w:r>
    </w:p>
    <w:p w14:paraId="24469FDC" w14:textId="63A598DD" w:rsidR="005D42B6" w:rsidRPr="00595F42" w:rsidRDefault="005D42B6" w:rsidP="001F044F">
      <w:pPr>
        <w:numPr>
          <w:ilvl w:val="0"/>
          <w:numId w:val="38"/>
        </w:numPr>
        <w:spacing w:after="80" w:line="240" w:lineRule="auto"/>
        <w:contextualSpacing/>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przegląd czasu potrzebnego na procedurę certyfikacji określoną</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art</w:t>
      </w:r>
      <w:r w:rsidRPr="00595F42">
        <w:rPr>
          <w:rFonts w:ascii="Times New Roman" w:hAnsi="Times New Roman"/>
          <w:noProof/>
          <w:color w:val="000000"/>
          <w:sz w:val="24"/>
        </w:rPr>
        <w:t xml:space="preserve">. 3a rozporządzenia (WE) nr 715/2009; </w:t>
      </w:r>
    </w:p>
    <w:p w14:paraId="446F7D02" w14:textId="083F4D4C" w:rsidR="005D42B6" w:rsidRPr="00595F42" w:rsidRDefault="005D42B6" w:rsidP="001F044F">
      <w:pPr>
        <w:numPr>
          <w:ilvl w:val="0"/>
          <w:numId w:val="38"/>
        </w:numPr>
        <w:spacing w:after="80" w:line="240" w:lineRule="auto"/>
        <w:contextualSpacing/>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przegląd środków wymaganych przez Komisję</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cel</w:t>
      </w:r>
      <w:r w:rsidRPr="00595F42">
        <w:rPr>
          <w:rFonts w:ascii="Times New Roman" w:hAnsi="Times New Roman"/>
          <w:noProof/>
          <w:color w:val="000000"/>
          <w:sz w:val="24"/>
        </w:rPr>
        <w:t>u zapewnienia zgodności z trajektoriami napełniania</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z</w:t>
      </w:r>
      <w:r w:rsidR="00595F42">
        <w:rPr>
          <w:rFonts w:ascii="Times New Roman" w:hAnsi="Times New Roman"/>
          <w:noProof/>
          <w:color w:val="000000"/>
          <w:sz w:val="24"/>
        </w:rPr>
        <w:t> </w:t>
      </w:r>
      <w:r w:rsidR="00595F42" w:rsidRPr="00595F42">
        <w:rPr>
          <w:rFonts w:ascii="Times New Roman" w:hAnsi="Times New Roman"/>
          <w:noProof/>
          <w:color w:val="000000"/>
          <w:sz w:val="24"/>
        </w:rPr>
        <w:t>cel</w:t>
      </w:r>
      <w:r w:rsidRPr="00595F42">
        <w:rPr>
          <w:rFonts w:ascii="Times New Roman" w:hAnsi="Times New Roman"/>
          <w:noProof/>
          <w:color w:val="000000"/>
          <w:sz w:val="24"/>
        </w:rPr>
        <w:t>ami</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zak</w:t>
      </w:r>
      <w:r w:rsidRPr="00595F42">
        <w:rPr>
          <w:rFonts w:ascii="Times New Roman" w:hAnsi="Times New Roman"/>
          <w:noProof/>
          <w:color w:val="000000"/>
          <w:sz w:val="24"/>
        </w:rPr>
        <w:t xml:space="preserve">resie napełnienia; </w:t>
      </w:r>
    </w:p>
    <w:p w14:paraId="041B9783" w14:textId="37E5170B" w:rsidR="005D42B6" w:rsidRPr="00595F42" w:rsidRDefault="005D42B6" w:rsidP="001F044F">
      <w:pPr>
        <w:numPr>
          <w:ilvl w:val="0"/>
          <w:numId w:val="38"/>
        </w:numPr>
        <w:spacing w:after="80" w:line="240" w:lineRule="auto"/>
        <w:contextualSpacing/>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analizę potencjalnego wpływu tego rozporządzenia na ceny gazu</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pot</w:t>
      </w:r>
      <w:r w:rsidRPr="00595F42">
        <w:rPr>
          <w:rFonts w:ascii="Times New Roman" w:hAnsi="Times New Roman"/>
          <w:noProof/>
          <w:color w:val="000000"/>
          <w:sz w:val="24"/>
        </w:rPr>
        <w:t>encjalne oszczędności gazu</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odn</w:t>
      </w:r>
      <w:r w:rsidRPr="00595F42">
        <w:rPr>
          <w:rFonts w:ascii="Times New Roman" w:hAnsi="Times New Roman"/>
          <w:noProof/>
          <w:color w:val="000000"/>
          <w:sz w:val="24"/>
        </w:rPr>
        <w:t xml:space="preserve">iesieniu do art. 6b ust. 4. </w:t>
      </w:r>
    </w:p>
    <w:p w14:paraId="319031A4" w14:textId="334106ED" w:rsidR="005D42B6" w:rsidRPr="00595F42" w:rsidRDefault="005D42B6" w:rsidP="005D42B6">
      <w:pPr>
        <w:spacing w:after="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 xml:space="preserve">Niniejsze </w:t>
      </w:r>
      <w:bookmarkStart w:id="6" w:name="_Hlk157594619"/>
      <w:r w:rsidRPr="00595F42">
        <w:rPr>
          <w:rFonts w:ascii="Times New Roman" w:hAnsi="Times New Roman"/>
          <w:noProof/>
          <w:color w:val="000000"/>
          <w:sz w:val="24"/>
        </w:rPr>
        <w:t>sprawozdanie stanowi wkład</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roz</w:t>
      </w:r>
      <w:r w:rsidRPr="00595F42">
        <w:rPr>
          <w:rFonts w:ascii="Times New Roman" w:hAnsi="Times New Roman"/>
          <w:noProof/>
          <w:color w:val="000000"/>
          <w:sz w:val="24"/>
        </w:rPr>
        <w:t>wój bazy wiedzy na temat najlepszych praktyk</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zak</w:t>
      </w:r>
      <w:r w:rsidRPr="00595F42">
        <w:rPr>
          <w:rFonts w:ascii="Times New Roman" w:hAnsi="Times New Roman"/>
          <w:noProof/>
          <w:color w:val="000000"/>
          <w:sz w:val="24"/>
        </w:rPr>
        <w:t>resie napełniania magazynów</w:t>
      </w:r>
      <w:bookmarkEnd w:id="6"/>
      <w:r w:rsidRPr="00595F42">
        <w:rPr>
          <w:rFonts w:ascii="Times New Roman" w:hAnsi="Times New Roman"/>
          <w:noProof/>
          <w:color w:val="000000"/>
          <w:sz w:val="24"/>
        </w:rPr>
        <w:t xml:space="preserve">. </w:t>
      </w:r>
    </w:p>
    <w:p w14:paraId="03CD2B23" w14:textId="77777777" w:rsidR="005D42B6" w:rsidRPr="00595F42" w:rsidRDefault="005D42B6" w:rsidP="000D7182">
      <w:pPr>
        <w:keepNext/>
        <w:numPr>
          <w:ilvl w:val="0"/>
          <w:numId w:val="35"/>
        </w:numPr>
        <w:tabs>
          <w:tab w:val="num" w:pos="1485"/>
        </w:tabs>
        <w:spacing w:before="240" w:after="240" w:line="240" w:lineRule="auto"/>
        <w:ind w:left="1485" w:hanging="283"/>
        <w:jc w:val="both"/>
        <w:outlineLvl w:val="0"/>
        <w:rPr>
          <w:rFonts w:ascii="Times New Roman" w:eastAsia="Times New Roman" w:hAnsi="Times New Roman" w:cs="Times New Roman"/>
          <w:b/>
          <w:smallCaps/>
          <w:noProof/>
          <w:sz w:val="24"/>
          <w:szCs w:val="20"/>
        </w:rPr>
      </w:pPr>
      <w:r w:rsidRPr="00595F42">
        <w:rPr>
          <w:rFonts w:ascii="Times New Roman" w:hAnsi="Times New Roman"/>
          <w:b/>
          <w:smallCaps/>
          <w:noProof/>
          <w:sz w:val="24"/>
        </w:rPr>
        <w:t>Przegląd środków wprowadzonych przez państwa członkowskie</w:t>
      </w:r>
    </w:p>
    <w:p w14:paraId="70FC86EC" w14:textId="10B17D13" w:rsidR="005D42B6" w:rsidRPr="00595F42" w:rsidRDefault="005D42B6" w:rsidP="005D42B6">
      <w:pPr>
        <w:spacing w:after="8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W zmianach wprowadzonych rozporządzeniem</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spr</w:t>
      </w:r>
      <w:r w:rsidRPr="00595F42">
        <w:rPr>
          <w:rFonts w:ascii="Times New Roman" w:hAnsi="Times New Roman"/>
          <w:noProof/>
          <w:sz w:val="24"/>
        </w:rPr>
        <w:t>awie magazynowania gazu przewidziano, że państwa członkowskie muszą wprowadzić wszelkie niezbędne środki, aby osiągnąć cele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napełnienia</w:t>
      </w:r>
      <w:r w:rsidR="00595F42" w:rsidRPr="00595F42">
        <w:rPr>
          <w:rFonts w:ascii="Times New Roman" w:hAnsi="Times New Roman"/>
          <w:noProof/>
          <w:sz w:val="24"/>
        </w:rPr>
        <w:t>. W</w:t>
      </w:r>
      <w:r w:rsidR="00595F42">
        <w:rPr>
          <w:rFonts w:ascii="Times New Roman" w:hAnsi="Times New Roman"/>
          <w:noProof/>
          <w:sz w:val="24"/>
        </w:rPr>
        <w:t> </w:t>
      </w:r>
      <w:r w:rsidR="00595F42" w:rsidRPr="00595F42">
        <w:rPr>
          <w:rFonts w:ascii="Times New Roman" w:hAnsi="Times New Roman"/>
          <w:noProof/>
          <w:sz w:val="24"/>
        </w:rPr>
        <w:t>mia</w:t>
      </w:r>
      <w:r w:rsidRPr="00595F42">
        <w:rPr>
          <w:rFonts w:ascii="Times New Roman" w:hAnsi="Times New Roman"/>
          <w:noProof/>
          <w:sz w:val="24"/>
        </w:rPr>
        <w:t xml:space="preserve">rę możliwości powinny one dążyć do stosowania środków rynkowych, aby uniknąć niepotrzebnego zakłócenia rynku. Środki te mogą jednak obejmować środki regulacyjne, zachęty finansowe lub rekompensaty dla uczestników rynku. </w:t>
      </w:r>
    </w:p>
    <w:p w14:paraId="22D10831" w14:textId="653C2740" w:rsidR="005D42B6" w:rsidRPr="00595F42" w:rsidRDefault="005D42B6" w:rsidP="005D42B6">
      <w:pPr>
        <w:spacing w:after="8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W rozporządzeniu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spr</w:t>
      </w:r>
      <w:r w:rsidRPr="00595F42">
        <w:rPr>
          <w:rFonts w:ascii="Times New Roman" w:hAnsi="Times New Roman"/>
          <w:noProof/>
          <w:sz w:val="24"/>
        </w:rPr>
        <w:t>awie magazynowania gazu przedstawiono przykładowy</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nie</w:t>
      </w:r>
      <w:r w:rsidRPr="00595F42">
        <w:rPr>
          <w:rFonts w:ascii="Times New Roman" w:hAnsi="Times New Roman"/>
          <w:noProof/>
          <w:sz w:val="24"/>
        </w:rPr>
        <w:t>wyczerpujący wykaz potencjalnych środków</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nar</w:t>
      </w:r>
      <w:r w:rsidRPr="00595F42">
        <w:rPr>
          <w:rFonts w:ascii="Times New Roman" w:hAnsi="Times New Roman"/>
          <w:noProof/>
          <w:sz w:val="24"/>
        </w:rPr>
        <w:t>zędzi. Jesienią 2023</w:t>
      </w:r>
      <w:r w:rsidR="00595F42" w:rsidRPr="00595F42">
        <w:rPr>
          <w:rFonts w:ascii="Times New Roman" w:hAnsi="Times New Roman"/>
          <w:noProof/>
          <w:sz w:val="24"/>
        </w:rPr>
        <w:t> </w:t>
      </w:r>
      <w:r w:rsidRPr="00595F42">
        <w:rPr>
          <w:rFonts w:ascii="Times New Roman" w:hAnsi="Times New Roman"/>
          <w:noProof/>
          <w:sz w:val="24"/>
        </w:rPr>
        <w:t>r. Komisja wysłała do organów państw członkowskich ankietę</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cel</w:t>
      </w:r>
      <w:r w:rsidRPr="00595F42">
        <w:rPr>
          <w:rFonts w:ascii="Times New Roman" w:hAnsi="Times New Roman"/>
          <w:noProof/>
          <w:sz w:val="24"/>
        </w:rPr>
        <w:t>u zebrania informacji dotyczących środków</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nar</w:t>
      </w:r>
      <w:r w:rsidRPr="00595F42">
        <w:rPr>
          <w:rFonts w:ascii="Times New Roman" w:hAnsi="Times New Roman"/>
          <w:noProof/>
          <w:sz w:val="24"/>
        </w:rPr>
        <w:t>zędzi, które państwa te zastosowały, aby zapewnić napełnienie ich magazynów. Środki wprowadzone przez państwa członkowskie obejmowały również umowy, protokoły ustaleń lub mechanizmy podziału obciążeń podpisane przez państwa członkowskie nieposiadające podziemnych magazynów gazu, które zawierają ustalenia dotyczące wykorzystania podziemnych magazynów.</w:t>
      </w:r>
    </w:p>
    <w:p w14:paraId="48340E66" w14:textId="7C5B7338" w:rsidR="005D42B6" w:rsidRPr="00595F42" w:rsidRDefault="058E70EC" w:rsidP="005D42B6">
      <w:pPr>
        <w:spacing w:after="8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Państwa członkowskie posiadające podziemne magazyny gazu potwierdziły, że większość środków obowiązujących</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2</w:t>
      </w:r>
      <w:r w:rsidRPr="00595F42">
        <w:rPr>
          <w:rFonts w:ascii="Times New Roman" w:hAnsi="Times New Roman"/>
          <w:noProof/>
          <w:sz w:val="24"/>
        </w:rPr>
        <w:t>022</w:t>
      </w:r>
      <w:r w:rsidR="00595F42" w:rsidRPr="00595F42">
        <w:rPr>
          <w:rFonts w:ascii="Times New Roman" w:hAnsi="Times New Roman"/>
          <w:noProof/>
          <w:sz w:val="24"/>
        </w:rPr>
        <w:t> </w:t>
      </w:r>
      <w:r w:rsidRPr="00595F42">
        <w:rPr>
          <w:rFonts w:ascii="Times New Roman" w:hAnsi="Times New Roman"/>
          <w:noProof/>
          <w:sz w:val="24"/>
        </w:rPr>
        <w:t>r. kontynuowano</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2</w:t>
      </w:r>
      <w:r w:rsidRPr="00595F42">
        <w:rPr>
          <w:rFonts w:ascii="Times New Roman" w:hAnsi="Times New Roman"/>
          <w:noProof/>
          <w:sz w:val="24"/>
        </w:rPr>
        <w:t>023</w:t>
      </w:r>
      <w:r w:rsidR="00595F42" w:rsidRPr="00595F42">
        <w:rPr>
          <w:rFonts w:ascii="Times New Roman" w:hAnsi="Times New Roman"/>
          <w:noProof/>
          <w:sz w:val="24"/>
        </w:rPr>
        <w:t> </w:t>
      </w:r>
      <w:r w:rsidRPr="00595F42">
        <w:rPr>
          <w:rFonts w:ascii="Times New Roman" w:hAnsi="Times New Roman"/>
          <w:noProof/>
          <w:sz w:val="24"/>
        </w:rPr>
        <w:t>r. Niektóre ze środków istniały przed wejściem</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życ</w:t>
      </w:r>
      <w:r w:rsidRPr="00595F42">
        <w:rPr>
          <w:rFonts w:ascii="Times New Roman" w:hAnsi="Times New Roman"/>
          <w:noProof/>
          <w:sz w:val="24"/>
        </w:rPr>
        <w:t>ie rozporządzenia</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spr</w:t>
      </w:r>
      <w:r w:rsidRPr="00595F42">
        <w:rPr>
          <w:rFonts w:ascii="Times New Roman" w:hAnsi="Times New Roman"/>
          <w:noProof/>
          <w:sz w:val="24"/>
        </w:rPr>
        <w:t>awie magazynowania gazu</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2</w:t>
      </w:r>
      <w:r w:rsidRPr="00595F42">
        <w:rPr>
          <w:rFonts w:ascii="Times New Roman" w:hAnsi="Times New Roman"/>
          <w:noProof/>
          <w:sz w:val="24"/>
        </w:rPr>
        <w:t>022</w:t>
      </w:r>
      <w:r w:rsidR="00595F42" w:rsidRPr="00595F42">
        <w:rPr>
          <w:rFonts w:ascii="Times New Roman" w:hAnsi="Times New Roman"/>
          <w:noProof/>
          <w:sz w:val="24"/>
        </w:rPr>
        <w:t> </w:t>
      </w:r>
      <w:r w:rsidRPr="00595F42">
        <w:rPr>
          <w:rFonts w:ascii="Times New Roman" w:hAnsi="Times New Roman"/>
          <w:noProof/>
          <w:sz w:val="24"/>
        </w:rPr>
        <w:t>r., natomiast inne ustanowiono po jego wejściu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życ</w:t>
      </w:r>
      <w:r w:rsidRPr="00595F42">
        <w:rPr>
          <w:rFonts w:ascii="Times New Roman" w:hAnsi="Times New Roman"/>
          <w:noProof/>
          <w:sz w:val="24"/>
        </w:rPr>
        <w:t>ie. Zmniejszenie zapotrzebowania przyczyniło się do powstania korzystnych warunków rynkowych</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sez</w:t>
      </w:r>
      <w:r w:rsidRPr="00595F42">
        <w:rPr>
          <w:rFonts w:ascii="Times New Roman" w:hAnsi="Times New Roman"/>
          <w:noProof/>
          <w:sz w:val="24"/>
        </w:rPr>
        <w:t>onie napełniania magazynów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2</w:t>
      </w:r>
      <w:r w:rsidRPr="00595F42">
        <w:rPr>
          <w:rFonts w:ascii="Times New Roman" w:hAnsi="Times New Roman"/>
          <w:noProof/>
          <w:sz w:val="24"/>
        </w:rPr>
        <w:t>023</w:t>
      </w:r>
      <w:r w:rsidR="00595F42" w:rsidRPr="00595F42">
        <w:rPr>
          <w:rFonts w:ascii="Times New Roman" w:hAnsi="Times New Roman"/>
          <w:noProof/>
          <w:sz w:val="24"/>
        </w:rPr>
        <w:t> </w:t>
      </w:r>
      <w:r w:rsidRPr="00595F42">
        <w:rPr>
          <w:rFonts w:ascii="Times New Roman" w:hAnsi="Times New Roman"/>
          <w:noProof/>
          <w:sz w:val="24"/>
        </w:rPr>
        <w:t>r.,</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niż</w:t>
      </w:r>
      <w:r w:rsidRPr="00595F42">
        <w:rPr>
          <w:rFonts w:ascii="Times New Roman" w:hAnsi="Times New Roman"/>
          <w:noProof/>
          <w:sz w:val="24"/>
        </w:rPr>
        <w:t>szymi cenami gazu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por</w:t>
      </w:r>
      <w:r w:rsidRPr="00595F42">
        <w:rPr>
          <w:rFonts w:ascii="Times New Roman" w:hAnsi="Times New Roman"/>
          <w:noProof/>
          <w:sz w:val="24"/>
        </w:rPr>
        <w:t>ównaniu</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2</w:t>
      </w:r>
      <w:r w:rsidRPr="00595F42">
        <w:rPr>
          <w:rFonts w:ascii="Times New Roman" w:hAnsi="Times New Roman"/>
          <w:noProof/>
          <w:sz w:val="24"/>
        </w:rPr>
        <w:t>022</w:t>
      </w:r>
      <w:r w:rsidR="00595F42" w:rsidRPr="00595F42">
        <w:rPr>
          <w:rFonts w:ascii="Times New Roman" w:hAnsi="Times New Roman"/>
          <w:noProof/>
          <w:sz w:val="24"/>
        </w:rPr>
        <w:t> </w:t>
      </w:r>
      <w:r w:rsidRPr="00595F42">
        <w:rPr>
          <w:rFonts w:ascii="Times New Roman" w:hAnsi="Times New Roman"/>
          <w:noProof/>
          <w:sz w:val="24"/>
        </w:rPr>
        <w:t>r.</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dod</w:t>
      </w:r>
      <w:r w:rsidRPr="00595F42">
        <w:rPr>
          <w:rFonts w:ascii="Times New Roman" w:hAnsi="Times New Roman"/>
          <w:noProof/>
          <w:sz w:val="24"/>
        </w:rPr>
        <w:t>atnią rozpiętością między ceną latem</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zim</w:t>
      </w:r>
      <w:r w:rsidRPr="00595F42">
        <w:rPr>
          <w:rFonts w:ascii="Times New Roman" w:hAnsi="Times New Roman"/>
          <w:noProof/>
          <w:sz w:val="24"/>
        </w:rPr>
        <w:t>ą, co ułatwiło skuteczne napełnienie magazynów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ter</w:t>
      </w:r>
      <w:r w:rsidRPr="00595F42">
        <w:rPr>
          <w:rFonts w:ascii="Times New Roman" w:hAnsi="Times New Roman"/>
          <w:noProof/>
          <w:sz w:val="24"/>
        </w:rPr>
        <w:t>minie bez konieczności egzekwowania środków ostatecznych, które wykorzystano</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sez</w:t>
      </w:r>
      <w:r w:rsidRPr="00595F42">
        <w:rPr>
          <w:rFonts w:ascii="Times New Roman" w:hAnsi="Times New Roman"/>
          <w:noProof/>
          <w:sz w:val="24"/>
        </w:rPr>
        <w:t>onie napełniania magazynów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2</w:t>
      </w:r>
      <w:r w:rsidRPr="00595F42">
        <w:rPr>
          <w:rFonts w:ascii="Times New Roman" w:hAnsi="Times New Roman"/>
          <w:noProof/>
          <w:sz w:val="24"/>
        </w:rPr>
        <w:t>022</w:t>
      </w:r>
      <w:r w:rsidR="00595F42" w:rsidRPr="00595F42">
        <w:rPr>
          <w:rFonts w:ascii="Times New Roman" w:hAnsi="Times New Roman"/>
          <w:noProof/>
          <w:sz w:val="24"/>
        </w:rPr>
        <w:t> </w:t>
      </w:r>
      <w:r w:rsidRPr="00595F42">
        <w:rPr>
          <w:rFonts w:ascii="Times New Roman" w:hAnsi="Times New Roman"/>
          <w:noProof/>
          <w:sz w:val="24"/>
        </w:rPr>
        <w:t>r. Państwa członkowskie zasadniczo podkreślały również znaczenie elastycznych pośrednich celów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napełnienia, aby uzyskać równowagę między zapewnieniem technicznej wykonalności trajektorii</w:t>
      </w:r>
      <w:r w:rsidR="00595F42" w:rsidRPr="00595F42">
        <w:rPr>
          <w:rFonts w:ascii="Times New Roman" w:hAnsi="Times New Roman"/>
          <w:noProof/>
          <w:sz w:val="24"/>
        </w:rPr>
        <w:t xml:space="preserve"> a</w:t>
      </w:r>
      <w:r w:rsidR="00595F42">
        <w:rPr>
          <w:rFonts w:ascii="Times New Roman" w:hAnsi="Times New Roman"/>
          <w:noProof/>
          <w:sz w:val="24"/>
        </w:rPr>
        <w:t> </w:t>
      </w:r>
      <w:r w:rsidR="00595F42" w:rsidRPr="00595F42">
        <w:rPr>
          <w:rFonts w:ascii="Times New Roman" w:hAnsi="Times New Roman"/>
          <w:noProof/>
          <w:sz w:val="24"/>
        </w:rPr>
        <w:t>zap</w:t>
      </w:r>
      <w:r w:rsidRPr="00595F42">
        <w:rPr>
          <w:rFonts w:ascii="Times New Roman" w:hAnsi="Times New Roman"/>
          <w:noProof/>
          <w:sz w:val="24"/>
        </w:rPr>
        <w:t>ewnieniem elastyczności rynkowej użytkownikom instalacji magazynowania.</w:t>
      </w:r>
    </w:p>
    <w:p w14:paraId="10194DA7" w14:textId="77777777" w:rsidR="005D42B6" w:rsidRPr="00595F42" w:rsidRDefault="005D42B6" w:rsidP="005D42B6">
      <w:pPr>
        <w:spacing w:after="8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 xml:space="preserve">Wśród najczęstszych środków wdrażanych przez państwa członkowskie znalazły się: </w:t>
      </w:r>
    </w:p>
    <w:p w14:paraId="35C4B70A" w14:textId="77160441" w:rsidR="005D42B6" w:rsidRPr="00595F42" w:rsidRDefault="005D42B6" w:rsidP="005D42B6">
      <w:pPr>
        <w:numPr>
          <w:ilvl w:val="0"/>
          <w:numId w:val="37"/>
        </w:numPr>
        <w:spacing w:after="80" w:line="240" w:lineRule="auto"/>
        <w:ind w:left="284" w:hanging="284"/>
        <w:contextualSpacing/>
        <w:jc w:val="both"/>
        <w:rPr>
          <w:rFonts w:ascii="Times New Roman" w:eastAsia="Calibri" w:hAnsi="Times New Roman" w:cs="Times New Roman"/>
          <w:noProof/>
          <w:sz w:val="24"/>
          <w:szCs w:val="24"/>
        </w:rPr>
      </w:pPr>
      <w:r w:rsidRPr="00595F42">
        <w:rPr>
          <w:rFonts w:ascii="Times New Roman" w:hAnsi="Times New Roman"/>
          <w:noProof/>
          <w:sz w:val="24"/>
        </w:rPr>
        <w:t>minimalna ilość</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mag</w:t>
      </w:r>
      <w:r w:rsidRPr="00595F42">
        <w:rPr>
          <w:rFonts w:ascii="Times New Roman" w:hAnsi="Times New Roman"/>
          <w:noProof/>
          <w:sz w:val="24"/>
        </w:rPr>
        <w:t>azynach gazu: nałożenie na operatorów magazynów gazu obowiązku dotyczącego minimalnego poziomu napełnienia, jaki należy osiągnąć, zgodnie</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cel</w:t>
      </w:r>
      <w:r w:rsidRPr="00595F42">
        <w:rPr>
          <w:rFonts w:ascii="Times New Roman" w:hAnsi="Times New Roman"/>
          <w:noProof/>
          <w:sz w:val="24"/>
        </w:rPr>
        <w:t>em krajowym;</w:t>
      </w:r>
    </w:p>
    <w:p w14:paraId="56AEDD63" w14:textId="1CD54093" w:rsidR="005D42B6" w:rsidRPr="00595F42" w:rsidRDefault="005D42B6" w:rsidP="005D42B6">
      <w:pPr>
        <w:numPr>
          <w:ilvl w:val="0"/>
          <w:numId w:val="37"/>
        </w:numPr>
        <w:spacing w:after="80" w:line="240" w:lineRule="auto"/>
        <w:ind w:left="284" w:hanging="284"/>
        <w:contextualSpacing/>
        <w:jc w:val="both"/>
        <w:rPr>
          <w:rFonts w:ascii="Times New Roman" w:eastAsia="Calibri" w:hAnsi="Times New Roman" w:cs="Times New Roman"/>
          <w:noProof/>
          <w:sz w:val="24"/>
          <w:szCs w:val="24"/>
        </w:rPr>
      </w:pPr>
      <w:r w:rsidRPr="00595F42">
        <w:rPr>
          <w:rFonts w:ascii="Times New Roman" w:hAnsi="Times New Roman"/>
          <w:noProof/>
          <w:sz w:val="24"/>
        </w:rPr>
        <w:t>oferowanie zdolności: zobowiązanie operatorów systemów magazynowania do oferowania swoich zdolności uczestnikom rynku (w większości przypadków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dro</w:t>
      </w:r>
      <w:r w:rsidRPr="00595F42">
        <w:rPr>
          <w:rFonts w:ascii="Times New Roman" w:hAnsi="Times New Roman"/>
          <w:noProof/>
          <w:sz w:val="24"/>
        </w:rPr>
        <w:t>dze aukcji zdolności);</w:t>
      </w:r>
    </w:p>
    <w:p w14:paraId="0D70083E" w14:textId="77777777" w:rsidR="005D42B6" w:rsidRPr="00595F42" w:rsidRDefault="005D42B6" w:rsidP="005D42B6">
      <w:pPr>
        <w:numPr>
          <w:ilvl w:val="0"/>
          <w:numId w:val="37"/>
        </w:numPr>
        <w:spacing w:after="80" w:line="240" w:lineRule="auto"/>
        <w:ind w:left="284" w:hanging="284"/>
        <w:contextualSpacing/>
        <w:jc w:val="both"/>
        <w:rPr>
          <w:rFonts w:ascii="Times New Roman" w:eastAsia="Calibri" w:hAnsi="Times New Roman" w:cs="Times New Roman"/>
          <w:noProof/>
          <w:sz w:val="24"/>
          <w:szCs w:val="24"/>
        </w:rPr>
      </w:pPr>
      <w:r w:rsidRPr="00595F42">
        <w:rPr>
          <w:rFonts w:ascii="Times New Roman" w:hAnsi="Times New Roman"/>
          <w:noProof/>
          <w:sz w:val="24"/>
        </w:rPr>
        <w:t>wyznaczenie specjalnego podmiotu: wyznaczenie podmiotu, który będzie świadczył usługi magazynowania jako rozwiązanie ostateczne;</w:t>
      </w:r>
    </w:p>
    <w:p w14:paraId="1DF8EDDE" w14:textId="7F9CB49E" w:rsidR="005D42B6" w:rsidRPr="00595F42" w:rsidRDefault="005D42B6" w:rsidP="005D42B6">
      <w:pPr>
        <w:numPr>
          <w:ilvl w:val="0"/>
          <w:numId w:val="37"/>
        </w:numPr>
        <w:spacing w:after="80" w:line="240" w:lineRule="auto"/>
        <w:ind w:left="284" w:hanging="284"/>
        <w:contextualSpacing/>
        <w:jc w:val="both"/>
        <w:rPr>
          <w:rFonts w:ascii="Times New Roman" w:eastAsia="Calibri" w:hAnsi="Times New Roman" w:cs="Times New Roman"/>
          <w:noProof/>
          <w:sz w:val="24"/>
          <w:szCs w:val="24"/>
        </w:rPr>
      </w:pPr>
      <w:r w:rsidRPr="00595F42">
        <w:rPr>
          <w:rFonts w:ascii="Times New Roman" w:hAnsi="Times New Roman"/>
          <w:noProof/>
          <w:sz w:val="24"/>
        </w:rPr>
        <w:t>strategiczne zapasy: przyjęcie skutecznych instrumentów nabywania strategicznych zapasów</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zar</w:t>
      </w:r>
      <w:r w:rsidRPr="00595F42">
        <w:rPr>
          <w:rFonts w:ascii="Times New Roman" w:hAnsi="Times New Roman"/>
          <w:noProof/>
          <w:sz w:val="24"/>
        </w:rPr>
        <w:t>ządzania nimi przez podmioty publiczne lub prywatne;</w:t>
      </w:r>
    </w:p>
    <w:p w14:paraId="71CA3217" w14:textId="73F4CC8A" w:rsidR="005D42B6" w:rsidRPr="00595F42" w:rsidRDefault="005D42B6" w:rsidP="005D42B6">
      <w:pPr>
        <w:numPr>
          <w:ilvl w:val="0"/>
          <w:numId w:val="37"/>
        </w:numPr>
        <w:spacing w:after="80" w:line="240" w:lineRule="auto"/>
        <w:ind w:left="284" w:hanging="284"/>
        <w:contextualSpacing/>
        <w:jc w:val="both"/>
        <w:rPr>
          <w:rFonts w:ascii="Times New Roman" w:eastAsia="Calibri" w:hAnsi="Times New Roman" w:cs="Times New Roman"/>
          <w:noProof/>
          <w:sz w:val="24"/>
          <w:szCs w:val="24"/>
        </w:rPr>
      </w:pPr>
      <w:r w:rsidRPr="00595F42">
        <w:rPr>
          <w:rFonts w:ascii="Times New Roman" w:hAnsi="Times New Roman"/>
          <w:noProof/>
          <w:sz w:val="24"/>
        </w:rPr>
        <w:t>niewykorzystane zarezerwowane zdolności: zapewnienie skutecznego wykorzystania zarezerwowanych zdolności poprzez zastosowanie mechanizmów ograniczeń opartych na zasadzie „wykorzystaj lub strać”</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cel</w:t>
      </w:r>
      <w:r w:rsidRPr="00595F42">
        <w:rPr>
          <w:rFonts w:ascii="Times New Roman" w:hAnsi="Times New Roman"/>
          <w:noProof/>
          <w:sz w:val="24"/>
        </w:rPr>
        <w:t>u udostępnienia zarezerwowanych, ale niewykorzystanych zdolności magazynowania.</w:t>
      </w:r>
    </w:p>
    <w:p w14:paraId="36CC96C0" w14:textId="77777777" w:rsidR="009347EC" w:rsidRPr="00595F42" w:rsidRDefault="009347EC" w:rsidP="00217362">
      <w:pPr>
        <w:spacing w:after="80" w:line="240" w:lineRule="auto"/>
        <w:ind w:left="284"/>
        <w:contextualSpacing/>
        <w:jc w:val="both"/>
        <w:rPr>
          <w:rFonts w:ascii="Times New Roman" w:eastAsia="Calibri" w:hAnsi="Times New Roman" w:cs="Times New Roman"/>
          <w:noProof/>
          <w:sz w:val="24"/>
          <w:szCs w:val="24"/>
        </w:rPr>
      </w:pPr>
    </w:p>
    <w:p w14:paraId="74F09164" w14:textId="378F4433" w:rsidR="005D42B6" w:rsidRPr="00595F42" w:rsidRDefault="00181856" w:rsidP="007D1226">
      <w:pPr>
        <w:spacing w:after="12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Jeśli chodzi</w:t>
      </w:r>
      <w:r w:rsidR="00595F42" w:rsidRPr="00595F42">
        <w:rPr>
          <w:rFonts w:ascii="Times New Roman" w:hAnsi="Times New Roman"/>
          <w:noProof/>
          <w:sz w:val="24"/>
        </w:rPr>
        <w:t xml:space="preserve"> o</w:t>
      </w:r>
      <w:r w:rsidR="00595F42">
        <w:rPr>
          <w:rFonts w:ascii="Times New Roman" w:hAnsi="Times New Roman"/>
          <w:noProof/>
          <w:sz w:val="24"/>
        </w:rPr>
        <w:t> </w:t>
      </w:r>
      <w:r w:rsidR="00595F42" w:rsidRPr="00595F42">
        <w:rPr>
          <w:rFonts w:ascii="Times New Roman" w:hAnsi="Times New Roman"/>
          <w:noProof/>
          <w:sz w:val="24"/>
        </w:rPr>
        <w:t>wdr</w:t>
      </w:r>
      <w:r w:rsidRPr="00595F42">
        <w:rPr>
          <w:rFonts w:ascii="Times New Roman" w:hAnsi="Times New Roman"/>
          <w:noProof/>
          <w:sz w:val="24"/>
        </w:rPr>
        <w:t>ożenie magazynowania gazu, również ACER</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opi</w:t>
      </w:r>
      <w:r w:rsidRPr="00595F42">
        <w:rPr>
          <w:rFonts w:ascii="Times New Roman" w:hAnsi="Times New Roman"/>
          <w:noProof/>
          <w:sz w:val="24"/>
        </w:rPr>
        <w:t>nii na temat prognozy ENTSOG dotyczącej dostaw zimą 2023–2024</w:t>
      </w:r>
      <w:r w:rsidR="005E6D60" w:rsidRPr="00595F42">
        <w:rPr>
          <w:rStyle w:val="FootnoteReference"/>
          <w:rFonts w:ascii="Times New Roman" w:eastAsia="Times New Roman" w:hAnsi="Times New Roman" w:cs="Times New Roman"/>
          <w:noProof/>
          <w:sz w:val="24"/>
          <w:szCs w:val="24"/>
          <w:lang w:eastAsia="en-IE"/>
        </w:rPr>
        <w:footnoteReference w:id="4"/>
      </w:r>
      <w:r w:rsidRPr="00595F42">
        <w:rPr>
          <w:rFonts w:ascii="Times New Roman" w:hAnsi="Times New Roman"/>
          <w:noProof/>
          <w:sz w:val="24"/>
        </w:rPr>
        <w:t>, „z zadowoleniem przyjmuje fakt, że wspólny cel UE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wskaźnika napełnienia magazynów wynoszący 90</w:t>
      </w:r>
      <w:r w:rsidR="00595F42" w:rsidRPr="00595F42">
        <w:rPr>
          <w:rFonts w:ascii="Times New Roman" w:hAnsi="Times New Roman"/>
          <w:noProof/>
          <w:sz w:val="24"/>
        </w:rPr>
        <w:t> </w:t>
      </w:r>
      <w:r w:rsidRPr="00595F42">
        <w:rPr>
          <w:rFonts w:ascii="Times New Roman" w:hAnsi="Times New Roman"/>
          <w:noProof/>
          <w:sz w:val="24"/>
        </w:rPr>
        <w:t>% osiągnięto już</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poł</w:t>
      </w:r>
      <w:r w:rsidRPr="00595F42">
        <w:rPr>
          <w:rFonts w:ascii="Times New Roman" w:hAnsi="Times New Roman"/>
          <w:noProof/>
          <w:sz w:val="24"/>
        </w:rPr>
        <w:t>owie sierpnia, czyli prawie 2 miesiące przed terminem upływającym 1 listopada.</w:t>
      </w:r>
      <w:r w:rsidRPr="00595F42">
        <w:rPr>
          <w:rFonts w:ascii="Times New Roman" w:hAnsi="Times New Roman"/>
          <w:i/>
          <w:noProof/>
          <w:sz w:val="24"/>
        </w:rPr>
        <w:t xml:space="preserve"> </w:t>
      </w:r>
      <w:r w:rsidRPr="00595F42">
        <w:rPr>
          <w:rFonts w:ascii="Times New Roman" w:hAnsi="Times New Roman"/>
          <w:noProof/>
          <w:sz w:val="24"/>
        </w:rPr>
        <w:t>Tam, gdzie było to możliwe, krajowe organy regulacyjne sprawdziły dokładność poziomów napełnienia magazynów zgłoszonych</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zim</w:t>
      </w:r>
      <w:r w:rsidRPr="00595F42">
        <w:rPr>
          <w:rFonts w:ascii="Times New Roman" w:hAnsi="Times New Roman"/>
          <w:noProof/>
          <w:sz w:val="24"/>
        </w:rPr>
        <w:t>owej prognozie ENTSOG”. ACER informuje ponadto, że „z niedawno opublikowanego badania konsultacyjnego ACER »Wpływ unijnych</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kra</w:t>
      </w:r>
      <w:r w:rsidRPr="00595F42">
        <w:rPr>
          <w:rFonts w:ascii="Times New Roman" w:hAnsi="Times New Roman"/>
          <w:noProof/>
          <w:sz w:val="24"/>
        </w:rPr>
        <w:t>jowych przepisów dotyczących magazynowania gazu« wynika, że środki wdrożone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pań</w:t>
      </w:r>
      <w:r w:rsidRPr="00595F42">
        <w:rPr>
          <w:rFonts w:ascii="Times New Roman" w:hAnsi="Times New Roman"/>
          <w:noProof/>
          <w:sz w:val="24"/>
        </w:rPr>
        <w:t>stwach członkowskich skutecznie pomogły osiągnąć poziomy napełnienia magazynów na poziomie krajowym</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eur</w:t>
      </w:r>
      <w:r w:rsidRPr="00595F42">
        <w:rPr>
          <w:rFonts w:ascii="Times New Roman" w:hAnsi="Times New Roman"/>
          <w:noProof/>
          <w:sz w:val="24"/>
        </w:rPr>
        <w:t>opejskim”.</w:t>
      </w:r>
    </w:p>
    <w:p w14:paraId="4C069F0A" w14:textId="79E729AB" w:rsidR="005D42B6" w:rsidRPr="00595F42" w:rsidRDefault="005D42B6" w:rsidP="007D1226">
      <w:pPr>
        <w:spacing w:after="120" w:line="240" w:lineRule="auto"/>
        <w:jc w:val="both"/>
        <w:rPr>
          <w:rFonts w:ascii="Times New Roman" w:eastAsia="Times New Roman" w:hAnsi="Times New Roman" w:cs="Times New Roman"/>
          <w:b/>
          <w:bCs/>
          <w:i/>
          <w:iCs/>
          <w:noProof/>
          <w:sz w:val="24"/>
          <w:szCs w:val="24"/>
        </w:rPr>
      </w:pPr>
      <w:r w:rsidRPr="00595F42">
        <w:rPr>
          <w:rFonts w:ascii="Times New Roman" w:hAnsi="Times New Roman"/>
          <w:noProof/>
          <w:sz w:val="24"/>
        </w:rPr>
        <w:t xml:space="preserve">Więcej informacji na temat środków wykonawczych zawiera </w:t>
      </w:r>
      <w:r w:rsidRPr="00595F42">
        <w:rPr>
          <w:rFonts w:ascii="Times New Roman" w:eastAsia="Times New Roman" w:hAnsi="Times New Roman" w:cs="Times New Roman"/>
          <w:b/>
          <w:noProof/>
          <w:sz w:val="24"/>
        </w:rPr>
        <w:fldChar w:fldCharType="begin"/>
      </w:r>
      <w:r w:rsidRPr="00595F42">
        <w:rPr>
          <w:rFonts w:ascii="Times New Roman" w:eastAsia="Times New Roman" w:hAnsi="Times New Roman" w:cs="Times New Roman"/>
          <w:b/>
          <w:noProof/>
          <w:sz w:val="24"/>
        </w:rPr>
        <w:instrText xml:space="preserve"> REF _Ref153899369 \h  \* MERGEFORMAT </w:instrText>
      </w:r>
      <w:r w:rsidRPr="00595F42">
        <w:rPr>
          <w:rFonts w:ascii="Times New Roman" w:eastAsia="Times New Roman" w:hAnsi="Times New Roman" w:cs="Times New Roman"/>
          <w:b/>
          <w:noProof/>
          <w:sz w:val="24"/>
        </w:rPr>
      </w:r>
      <w:r w:rsidRPr="00595F42">
        <w:rPr>
          <w:rFonts w:ascii="Times New Roman" w:eastAsia="Times New Roman" w:hAnsi="Times New Roman" w:cs="Times New Roman"/>
          <w:b/>
          <w:noProof/>
          <w:sz w:val="24"/>
        </w:rPr>
        <w:fldChar w:fldCharType="separate"/>
      </w:r>
      <w:r w:rsidR="00063A2B" w:rsidRPr="00595F42">
        <w:rPr>
          <w:rFonts w:ascii="Times New Roman" w:eastAsia="Times New Roman" w:hAnsi="Times New Roman" w:cs="Times New Roman"/>
          <w:b/>
          <w:i/>
          <w:noProof/>
          <w:sz w:val="24"/>
        </w:rPr>
        <w:t>Tab</w:t>
      </w:r>
      <w:r w:rsidR="0085327F" w:rsidRPr="00595F42">
        <w:rPr>
          <w:rFonts w:ascii="Times New Roman" w:eastAsia="Times New Roman" w:hAnsi="Times New Roman" w:cs="Times New Roman"/>
          <w:b/>
          <w:i/>
          <w:noProof/>
          <w:sz w:val="24"/>
        </w:rPr>
        <w:t xml:space="preserve">ela </w:t>
      </w:r>
      <w:r w:rsidR="00063A2B" w:rsidRPr="00595F42">
        <w:rPr>
          <w:rFonts w:ascii="Times New Roman" w:eastAsia="Times New Roman" w:hAnsi="Times New Roman" w:cs="Times New Roman"/>
          <w:b/>
          <w:noProof/>
          <w:sz w:val="20"/>
        </w:rPr>
        <w:t>1</w:t>
      </w:r>
      <w:r w:rsidRPr="00595F42">
        <w:rPr>
          <w:rFonts w:ascii="Times New Roman" w:eastAsia="Times New Roman" w:hAnsi="Times New Roman" w:cs="Times New Roman"/>
          <w:b/>
          <w:noProof/>
          <w:sz w:val="24"/>
        </w:rPr>
        <w:fldChar w:fldCharType="end"/>
      </w:r>
      <w:r w:rsidR="00595F42" w:rsidRPr="00595F42">
        <w:rPr>
          <w:rFonts w:ascii="Times New Roman" w:hAnsi="Times New Roman"/>
          <w:noProof/>
          <w:sz w:val="24"/>
        </w:rPr>
        <w:t xml:space="preserve"> i</w:t>
      </w:r>
      <w:r w:rsidR="00595F42">
        <w:rPr>
          <w:rFonts w:ascii="Times New Roman" w:hAnsi="Times New Roman"/>
          <w:noProof/>
          <w:sz w:val="24"/>
        </w:rPr>
        <w:t> </w:t>
      </w:r>
      <w:bookmarkStart w:id="7" w:name="_Ref153899369"/>
      <w:r w:rsidR="00595F42" w:rsidRPr="00595F42">
        <w:rPr>
          <w:rFonts w:ascii="Times New Roman" w:hAnsi="Times New Roman"/>
          <w:b/>
          <w:i/>
          <w:noProof/>
          <w:sz w:val="24"/>
        </w:rPr>
        <w:t>zał</w:t>
      </w:r>
      <w:r w:rsidRPr="00595F42">
        <w:rPr>
          <w:rFonts w:ascii="Times New Roman" w:hAnsi="Times New Roman"/>
          <w:b/>
          <w:i/>
          <w:noProof/>
          <w:sz w:val="24"/>
        </w:rPr>
        <w:t>ącznik.</w:t>
      </w:r>
    </w:p>
    <w:p w14:paraId="483207D5" w14:textId="3FDDAF05" w:rsidR="005D42B6" w:rsidRPr="00595F42" w:rsidRDefault="005D42B6" w:rsidP="00F07D14">
      <w:pPr>
        <w:keepNext/>
        <w:keepLines/>
        <w:spacing w:after="120" w:line="240" w:lineRule="auto"/>
        <w:jc w:val="both"/>
        <w:rPr>
          <w:rFonts w:ascii="Times New Roman" w:eastAsia="Times New Roman" w:hAnsi="Times New Roman" w:cs="Times New Roman"/>
          <w:b/>
          <w:bCs/>
          <w:noProof/>
          <w:sz w:val="20"/>
          <w:szCs w:val="20"/>
        </w:rPr>
      </w:pPr>
      <w:r w:rsidRPr="00595F42">
        <w:rPr>
          <w:rFonts w:ascii="Times New Roman" w:hAnsi="Times New Roman"/>
          <w:b/>
          <w:noProof/>
          <w:sz w:val="20"/>
        </w:rPr>
        <w:t xml:space="preserve">Tabela </w:t>
      </w:r>
      <w:r w:rsidRPr="00595F42">
        <w:rPr>
          <w:rFonts w:ascii="Times New Roman" w:eastAsia="Times New Roman" w:hAnsi="Times New Roman" w:cs="Times New Roman"/>
          <w:b/>
          <w:noProof/>
          <w:sz w:val="20"/>
        </w:rPr>
        <w:fldChar w:fldCharType="begin"/>
      </w:r>
      <w:r w:rsidRPr="00595F42">
        <w:rPr>
          <w:rFonts w:ascii="Times New Roman" w:eastAsia="Times New Roman" w:hAnsi="Times New Roman" w:cs="Times New Roman"/>
          <w:b/>
          <w:noProof/>
          <w:sz w:val="20"/>
        </w:rPr>
        <w:instrText xml:space="preserve"> SEQ Table \* ARABIC </w:instrText>
      </w:r>
      <w:r w:rsidRPr="00595F42">
        <w:rPr>
          <w:rFonts w:ascii="Times New Roman" w:eastAsia="Times New Roman" w:hAnsi="Times New Roman" w:cs="Times New Roman"/>
          <w:b/>
          <w:noProof/>
          <w:sz w:val="20"/>
        </w:rPr>
        <w:fldChar w:fldCharType="separate"/>
      </w:r>
      <w:r w:rsidR="00063A2B" w:rsidRPr="00595F42">
        <w:rPr>
          <w:rFonts w:ascii="Times New Roman" w:eastAsia="Times New Roman" w:hAnsi="Times New Roman" w:cs="Times New Roman"/>
          <w:b/>
          <w:noProof/>
          <w:sz w:val="20"/>
        </w:rPr>
        <w:t>1</w:t>
      </w:r>
      <w:r w:rsidRPr="00595F42">
        <w:rPr>
          <w:rFonts w:ascii="Times New Roman" w:eastAsia="Times New Roman" w:hAnsi="Times New Roman" w:cs="Times New Roman"/>
          <w:b/>
          <w:noProof/>
          <w:sz w:val="20"/>
        </w:rPr>
        <w:fldChar w:fldCharType="end"/>
      </w:r>
      <w:bookmarkEnd w:id="7"/>
      <w:r w:rsidRPr="00595F42">
        <w:rPr>
          <w:rFonts w:ascii="Times New Roman" w:hAnsi="Times New Roman"/>
          <w:b/>
          <w:noProof/>
          <w:sz w:val="20"/>
        </w:rPr>
        <w:t>– Środki dotyczące realizacji celów</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zak</w:t>
      </w:r>
      <w:r w:rsidRPr="00595F42">
        <w:rPr>
          <w:rFonts w:ascii="Times New Roman" w:hAnsi="Times New Roman"/>
          <w:b/>
          <w:noProof/>
          <w:sz w:val="20"/>
        </w:rPr>
        <w:t>resie napełnienia zgodnie</w:t>
      </w:r>
      <w:r w:rsidR="00595F42" w:rsidRPr="00595F42">
        <w:rPr>
          <w:rFonts w:ascii="Times New Roman" w:hAnsi="Times New Roman"/>
          <w:b/>
          <w:noProof/>
          <w:sz w:val="20"/>
        </w:rPr>
        <w:t xml:space="preserve"> z</w:t>
      </w:r>
      <w:r w:rsidR="00595F42">
        <w:rPr>
          <w:rFonts w:ascii="Times New Roman" w:hAnsi="Times New Roman"/>
          <w:b/>
          <w:noProof/>
          <w:sz w:val="20"/>
        </w:rPr>
        <w:t> </w:t>
      </w:r>
      <w:r w:rsidR="00595F42" w:rsidRPr="00595F42">
        <w:rPr>
          <w:rFonts w:ascii="Times New Roman" w:hAnsi="Times New Roman"/>
          <w:b/>
          <w:noProof/>
          <w:sz w:val="20"/>
        </w:rPr>
        <w:t>art</w:t>
      </w:r>
      <w:r w:rsidRPr="00595F42">
        <w:rPr>
          <w:rFonts w:ascii="Times New Roman" w:hAnsi="Times New Roman"/>
          <w:b/>
          <w:noProof/>
          <w:sz w:val="20"/>
        </w:rPr>
        <w:t>.</w:t>
      </w:r>
      <w:r w:rsidR="00595F42" w:rsidRPr="00595F42">
        <w:rPr>
          <w:rFonts w:ascii="Times New Roman" w:hAnsi="Times New Roman"/>
          <w:b/>
          <w:noProof/>
          <w:sz w:val="20"/>
        </w:rPr>
        <w:t> </w:t>
      </w:r>
      <w:r w:rsidRPr="00595F42">
        <w:rPr>
          <w:rFonts w:ascii="Times New Roman" w:hAnsi="Times New Roman"/>
          <w:b/>
          <w:noProof/>
          <w:sz w:val="20"/>
        </w:rPr>
        <w:t>6b rozporządzenia</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spr</w:t>
      </w:r>
      <w:r w:rsidRPr="00595F42">
        <w:rPr>
          <w:rFonts w:ascii="Times New Roman" w:hAnsi="Times New Roman"/>
          <w:b/>
          <w:noProof/>
          <w:sz w:val="20"/>
        </w:rPr>
        <w:t>awie magazynowania gazu</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pod</w:t>
      </w:r>
      <w:r w:rsidRPr="00595F42">
        <w:rPr>
          <w:rFonts w:ascii="Times New Roman" w:hAnsi="Times New Roman"/>
          <w:b/>
          <w:noProof/>
          <w:sz w:val="20"/>
        </w:rPr>
        <w:t xml:space="preserve">ziale na państwa członkowskie posiadające podziemne magazyny gazu (PMG) </w:t>
      </w:r>
    </w:p>
    <w:p w14:paraId="6E3C35D4" w14:textId="77777777" w:rsidR="00595F42" w:rsidRDefault="00D67912" w:rsidP="005D42B6">
      <w:pPr>
        <w:spacing w:after="0" w:line="240" w:lineRule="auto"/>
        <w:jc w:val="both"/>
        <w:rPr>
          <w:rFonts w:ascii="Times New Roman" w:hAnsi="Times New Roman"/>
          <w:noProof/>
          <w:sz w:val="20"/>
        </w:rPr>
      </w:pPr>
      <w:r w:rsidRPr="00595F42">
        <w:rPr>
          <w:noProof/>
          <w:lang w:val="en-GB" w:eastAsia="en-GB"/>
        </w:rPr>
        <w:drawing>
          <wp:inline distT="0" distB="0" distL="0" distR="0" wp14:anchorId="5B9B32E3" wp14:editId="636A9255">
            <wp:extent cx="5311140" cy="3556635"/>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311140" cy="3556635"/>
                    </a:xfrm>
                    <a:prstGeom prst="rect">
                      <a:avLst/>
                    </a:prstGeom>
                    <a:noFill/>
                    <a:ln>
                      <a:noFill/>
                    </a:ln>
                  </pic:spPr>
                </pic:pic>
              </a:graphicData>
            </a:graphic>
          </wp:inline>
        </w:drawing>
      </w:r>
    </w:p>
    <w:p w14:paraId="7850F745" w14:textId="0A7CBBC5" w:rsidR="005D42B6" w:rsidRPr="00595F42" w:rsidRDefault="005D42B6" w:rsidP="005D42B6">
      <w:pPr>
        <w:spacing w:after="0" w:line="240" w:lineRule="auto"/>
        <w:jc w:val="both"/>
        <w:rPr>
          <w:rFonts w:ascii="Times New Roman" w:eastAsia="Times New Roman" w:hAnsi="Times New Roman" w:cs="Times New Roman"/>
          <w:noProof/>
          <w:sz w:val="20"/>
          <w:szCs w:val="20"/>
        </w:rPr>
      </w:pPr>
      <w:r w:rsidRPr="00595F42">
        <w:rPr>
          <w:rFonts w:ascii="Times New Roman" w:hAnsi="Times New Roman"/>
          <w:noProof/>
          <w:sz w:val="20"/>
        </w:rPr>
        <w:t>T oznacza środek tymczasowy</w:t>
      </w:r>
    </w:p>
    <w:p w14:paraId="00EE257B" w14:textId="478C1B7C" w:rsidR="009E0BE4" w:rsidRPr="00595F42" w:rsidRDefault="005D42B6" w:rsidP="000D7182">
      <w:pPr>
        <w:spacing w:after="0" w:line="240" w:lineRule="auto"/>
        <w:jc w:val="both"/>
        <w:rPr>
          <w:rFonts w:ascii="Times New Roman" w:eastAsia="Times New Roman" w:hAnsi="Times New Roman" w:cs="Times New Roman"/>
          <w:i/>
          <w:iCs/>
          <w:noProof/>
          <w:sz w:val="20"/>
          <w:szCs w:val="20"/>
        </w:rPr>
      </w:pPr>
      <w:r w:rsidRPr="00595F42">
        <w:rPr>
          <w:rFonts w:ascii="Times New Roman" w:hAnsi="Times New Roman"/>
          <w:i/>
          <w:noProof/>
          <w:sz w:val="20"/>
        </w:rPr>
        <w:t xml:space="preserve">Źródło: Odpowiedzi państw członkowskich na ankietę KE oraz </w:t>
      </w:r>
      <w:hyperlink r:id="rId19" w:history="1">
        <w:r w:rsidRPr="00595F42">
          <w:rPr>
            <w:rFonts w:ascii="Times New Roman" w:hAnsi="Times New Roman"/>
            <w:i/>
            <w:noProof/>
            <w:color w:val="0563C1"/>
            <w:sz w:val="20"/>
            <w:u w:val="single"/>
          </w:rPr>
          <w:t>sprawozdanie ACER i VIS dotyczące magazynowania gazu</w:t>
        </w:r>
        <w:r w:rsidR="00595F42" w:rsidRPr="00595F42">
          <w:rPr>
            <w:rFonts w:ascii="Times New Roman" w:hAnsi="Times New Roman"/>
            <w:i/>
            <w:noProof/>
            <w:color w:val="0563C1"/>
            <w:sz w:val="20"/>
            <w:u w:val="single"/>
          </w:rPr>
          <w:t xml:space="preserve"> z</w:t>
        </w:r>
        <w:r w:rsidR="00595F42">
          <w:rPr>
            <w:rFonts w:ascii="Times New Roman" w:hAnsi="Times New Roman"/>
            <w:i/>
            <w:noProof/>
            <w:color w:val="0563C1"/>
            <w:sz w:val="20"/>
            <w:u w:val="single"/>
          </w:rPr>
          <w:t> </w:t>
        </w:r>
        <w:r w:rsidR="00595F42" w:rsidRPr="00595F42">
          <w:rPr>
            <w:rFonts w:ascii="Times New Roman" w:hAnsi="Times New Roman"/>
            <w:i/>
            <w:noProof/>
            <w:color w:val="0563C1"/>
            <w:sz w:val="20"/>
            <w:u w:val="single"/>
          </w:rPr>
          <w:t>2</w:t>
        </w:r>
        <w:r w:rsidRPr="00595F42">
          <w:rPr>
            <w:rFonts w:ascii="Times New Roman" w:hAnsi="Times New Roman"/>
            <w:i/>
            <w:noProof/>
            <w:color w:val="0563C1"/>
            <w:sz w:val="20"/>
            <w:u w:val="single"/>
          </w:rPr>
          <w:t>023</w:t>
        </w:r>
        <w:r w:rsidR="00595F42" w:rsidRPr="00595F42">
          <w:rPr>
            <w:rFonts w:ascii="Times New Roman" w:hAnsi="Times New Roman"/>
            <w:i/>
            <w:noProof/>
            <w:color w:val="0563C1"/>
            <w:sz w:val="20"/>
            <w:u w:val="single"/>
          </w:rPr>
          <w:t> </w:t>
        </w:r>
        <w:r w:rsidRPr="00595F42">
          <w:rPr>
            <w:rFonts w:ascii="Times New Roman" w:hAnsi="Times New Roman"/>
            <w:i/>
            <w:noProof/>
            <w:color w:val="0563C1"/>
            <w:sz w:val="20"/>
            <w:u w:val="single"/>
          </w:rPr>
          <w:t>r.</w:t>
        </w:r>
      </w:hyperlink>
    </w:p>
    <w:p w14:paraId="55D44F3D" w14:textId="77777777" w:rsidR="000D7182" w:rsidRPr="00595F42" w:rsidRDefault="000D7182" w:rsidP="000D7182">
      <w:pPr>
        <w:spacing w:after="0" w:line="240" w:lineRule="auto"/>
        <w:jc w:val="both"/>
        <w:rPr>
          <w:rFonts w:ascii="Times New Roman" w:eastAsia="Times New Roman" w:hAnsi="Times New Roman" w:cs="Times New Roman"/>
          <w:i/>
          <w:iCs/>
          <w:noProof/>
          <w:sz w:val="20"/>
          <w:szCs w:val="20"/>
          <w:lang w:eastAsia="en-IE"/>
        </w:rPr>
      </w:pPr>
    </w:p>
    <w:p w14:paraId="6EED43E2" w14:textId="1B72E232" w:rsidR="005D42B6" w:rsidRPr="00595F42" w:rsidRDefault="005D42B6" w:rsidP="005D42B6">
      <w:pPr>
        <w:spacing w:before="120" w:after="12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Zgodnie</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mec</w:t>
      </w:r>
      <w:r w:rsidRPr="00595F42">
        <w:rPr>
          <w:rFonts w:ascii="Times New Roman" w:hAnsi="Times New Roman"/>
          <w:noProof/>
          <w:color w:val="000000"/>
          <w:sz w:val="24"/>
        </w:rPr>
        <w:t>hanizmem podziału obciążeń przewidzianym</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art</w:t>
      </w:r>
      <w:r w:rsidRPr="00595F42">
        <w:rPr>
          <w:rFonts w:ascii="Times New Roman" w:hAnsi="Times New Roman"/>
          <w:noProof/>
          <w:color w:val="000000"/>
          <w:sz w:val="24"/>
        </w:rPr>
        <w:t>.</w:t>
      </w:r>
      <w:r w:rsidR="00595F42" w:rsidRPr="00595F42">
        <w:rPr>
          <w:rFonts w:ascii="Times New Roman" w:hAnsi="Times New Roman"/>
          <w:noProof/>
          <w:color w:val="000000"/>
          <w:sz w:val="24"/>
        </w:rPr>
        <w:t> </w:t>
      </w:r>
      <w:r w:rsidRPr="00595F42">
        <w:rPr>
          <w:rFonts w:ascii="Times New Roman" w:hAnsi="Times New Roman"/>
          <w:noProof/>
          <w:color w:val="000000"/>
          <w:sz w:val="24"/>
        </w:rPr>
        <w:t>6c rozporządzenia państwa członkowskie nieposiadające na swoim terytorium magazynów gazu przechowują</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inn</w:t>
      </w:r>
      <w:r w:rsidRPr="00595F42">
        <w:rPr>
          <w:rFonts w:ascii="Times New Roman" w:hAnsi="Times New Roman"/>
          <w:noProof/>
          <w:color w:val="000000"/>
          <w:sz w:val="24"/>
        </w:rPr>
        <w:t>ych państwach członkowskich ilości gazu odpowiadające co najmniej 15</w:t>
      </w:r>
      <w:r w:rsidR="00595F42" w:rsidRPr="00595F42">
        <w:rPr>
          <w:rFonts w:ascii="Times New Roman" w:hAnsi="Times New Roman"/>
          <w:noProof/>
          <w:color w:val="000000"/>
          <w:sz w:val="24"/>
        </w:rPr>
        <w:t> </w:t>
      </w:r>
      <w:r w:rsidRPr="00595F42">
        <w:rPr>
          <w:rFonts w:ascii="Times New Roman" w:hAnsi="Times New Roman"/>
          <w:noProof/>
          <w:color w:val="000000"/>
          <w:sz w:val="24"/>
        </w:rPr>
        <w:t>% ich średniego rocznego zużycia gazu.</w:t>
      </w:r>
    </w:p>
    <w:p w14:paraId="1F521C5B" w14:textId="594B109D" w:rsidR="005D42B6" w:rsidRPr="00595F42" w:rsidRDefault="536FD9F5" w:rsidP="005D42B6">
      <w:pPr>
        <w:spacing w:after="12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themeColor="text1"/>
          <w:sz w:val="24"/>
        </w:rPr>
        <w:t>Z badania przeprowadzonego przez Komisję wynika, że</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2</w:t>
      </w:r>
      <w:r w:rsidRPr="00595F42">
        <w:rPr>
          <w:rFonts w:ascii="Times New Roman" w:hAnsi="Times New Roman"/>
          <w:noProof/>
          <w:color w:val="000000" w:themeColor="text1"/>
          <w:sz w:val="24"/>
        </w:rPr>
        <w:t>023</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r. mechanizm podziału obciążeń zastosowano w co najmniej trzech państwach członkowskich nieposiadających magazynów gazu. Estonia zorganizowała zakup 1 TWh (30</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 rocznego zużycia)</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ram</w:t>
      </w:r>
      <w:r w:rsidRPr="00595F42">
        <w:rPr>
          <w:rFonts w:ascii="Times New Roman" w:hAnsi="Times New Roman"/>
          <w:noProof/>
          <w:color w:val="000000" w:themeColor="text1"/>
          <w:sz w:val="24"/>
        </w:rPr>
        <w:t>ach krajowej rezerwy strategicznej, która ma być przechowywana na Łotwie. Litwa potwierdziła, że przechowuje ok.</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2,05 TWh magazynowanych na Łotwie, co odpowiada średniemu wykorzystaniu</w:t>
      </w:r>
      <w:r w:rsidR="00595F42" w:rsidRPr="00595F42">
        <w:rPr>
          <w:rFonts w:ascii="Times New Roman" w:hAnsi="Times New Roman"/>
          <w:noProof/>
          <w:color w:val="000000" w:themeColor="text1"/>
          <w:sz w:val="24"/>
        </w:rPr>
        <w:t xml:space="preserve"> z</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pop</w:t>
      </w:r>
      <w:r w:rsidRPr="00595F42">
        <w:rPr>
          <w:rFonts w:ascii="Times New Roman" w:hAnsi="Times New Roman"/>
          <w:noProof/>
          <w:color w:val="000000" w:themeColor="text1"/>
          <w:sz w:val="24"/>
        </w:rPr>
        <w:t>rzednich 5 lat. Słowenia potwierdziła również, że jej dostawcy magazynują gaz na zasadach komercyjnych, co odpowiada 15 % zużycia</w:t>
      </w:r>
      <w:r w:rsidR="00595F42" w:rsidRPr="00595F42">
        <w:rPr>
          <w:rFonts w:ascii="Times New Roman" w:hAnsi="Times New Roman"/>
          <w:noProof/>
          <w:color w:val="000000" w:themeColor="text1"/>
          <w:sz w:val="24"/>
        </w:rPr>
        <w:t xml:space="preserve"> z</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pop</w:t>
      </w:r>
      <w:r w:rsidRPr="00595F42">
        <w:rPr>
          <w:rFonts w:ascii="Times New Roman" w:hAnsi="Times New Roman"/>
          <w:noProof/>
          <w:color w:val="000000" w:themeColor="text1"/>
          <w:sz w:val="24"/>
        </w:rPr>
        <w:t xml:space="preserve">rzednich 5 lat. </w:t>
      </w:r>
    </w:p>
    <w:p w14:paraId="7E942135" w14:textId="5B32A13C" w:rsidR="00A06558" w:rsidRPr="00595F42" w:rsidRDefault="005D42B6" w:rsidP="005D42B6">
      <w:pPr>
        <w:spacing w:after="12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Pod koniec zimy 2022–2023 magazyny w UE były napełnione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5</w:t>
      </w:r>
      <w:r w:rsidRPr="00595F42">
        <w:rPr>
          <w:rFonts w:ascii="Times New Roman" w:hAnsi="Times New Roman"/>
          <w:noProof/>
          <w:sz w:val="24"/>
        </w:rPr>
        <w:t>6 %. Na ten ponadprzeciętny poziom znacząco wpłynęło zmniejszenie zapotrzebowania na gaz</w:t>
      </w:r>
      <w:r w:rsidR="00595F42" w:rsidRPr="00595F42">
        <w:rPr>
          <w:rFonts w:ascii="Times New Roman" w:hAnsi="Times New Roman"/>
          <w:noProof/>
          <w:sz w:val="24"/>
        </w:rPr>
        <w:t xml:space="preserve"> o</w:t>
      </w:r>
      <w:r w:rsidR="00595F42">
        <w:rPr>
          <w:rFonts w:ascii="Times New Roman" w:hAnsi="Times New Roman"/>
          <w:noProof/>
          <w:sz w:val="24"/>
        </w:rPr>
        <w:t> </w:t>
      </w:r>
      <w:r w:rsidR="00595F42" w:rsidRPr="00595F42">
        <w:rPr>
          <w:rFonts w:ascii="Times New Roman" w:hAnsi="Times New Roman"/>
          <w:noProof/>
          <w:sz w:val="24"/>
        </w:rPr>
        <w:t>1</w:t>
      </w:r>
      <w:r w:rsidRPr="00595F42">
        <w:rPr>
          <w:rFonts w:ascii="Times New Roman" w:hAnsi="Times New Roman"/>
          <w:noProof/>
          <w:sz w:val="24"/>
        </w:rPr>
        <w:t>8 %, co przyczyniło się do stworzenia korzystnych warunków rynkowych, które ułatwiają uzupełnianie. W 2023</w:t>
      </w:r>
      <w:r w:rsidR="00595F42" w:rsidRPr="00595F42">
        <w:rPr>
          <w:rFonts w:ascii="Times New Roman" w:hAnsi="Times New Roman"/>
          <w:noProof/>
          <w:sz w:val="24"/>
        </w:rPr>
        <w:t> </w:t>
      </w:r>
      <w:r w:rsidRPr="00595F42">
        <w:rPr>
          <w:rFonts w:ascii="Times New Roman" w:hAnsi="Times New Roman"/>
          <w:noProof/>
          <w:sz w:val="24"/>
        </w:rPr>
        <w:t>r.</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wyn</w:t>
      </w:r>
      <w:r w:rsidRPr="00595F42">
        <w:rPr>
          <w:rFonts w:ascii="Times New Roman" w:hAnsi="Times New Roman"/>
          <w:noProof/>
          <w:sz w:val="24"/>
        </w:rPr>
        <w:t>iku działań związanych</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mag</w:t>
      </w:r>
      <w:r w:rsidRPr="00595F42">
        <w:rPr>
          <w:rFonts w:ascii="Times New Roman" w:hAnsi="Times New Roman"/>
          <w:noProof/>
          <w:sz w:val="24"/>
        </w:rPr>
        <w:t>azynowaniem przechowywano 505 TWh (około 45 mld m³) gazu. Około 60 % gazu zmagazynowanego latem 2023</w:t>
      </w:r>
      <w:r w:rsidR="00595F42" w:rsidRPr="00595F42">
        <w:rPr>
          <w:rFonts w:ascii="Times New Roman" w:hAnsi="Times New Roman"/>
          <w:noProof/>
          <w:sz w:val="24"/>
        </w:rPr>
        <w:t> </w:t>
      </w:r>
      <w:r w:rsidRPr="00595F42">
        <w:rPr>
          <w:rFonts w:ascii="Times New Roman" w:hAnsi="Times New Roman"/>
          <w:noProof/>
          <w:sz w:val="24"/>
        </w:rPr>
        <w:t>r. zatłoczono</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maj</w:t>
      </w:r>
      <w:r w:rsidRPr="00595F42">
        <w:rPr>
          <w:rFonts w:ascii="Times New Roman" w:hAnsi="Times New Roman"/>
          <w:noProof/>
          <w:sz w:val="24"/>
        </w:rPr>
        <w:t>u–lipcu (zob. rys.</w:t>
      </w:r>
      <w:r w:rsidR="00595F42" w:rsidRPr="00595F42">
        <w:rPr>
          <w:rFonts w:ascii="Times New Roman" w:hAnsi="Times New Roman"/>
          <w:noProof/>
          <w:sz w:val="24"/>
        </w:rPr>
        <w:t> </w:t>
      </w:r>
      <w:r w:rsidRPr="00595F42">
        <w:rPr>
          <w:rFonts w:ascii="Times New Roman" w:hAnsi="Times New Roman"/>
          <w:noProof/>
          <w:sz w:val="24"/>
        </w:rPr>
        <w:t>1), co prawdopodobnie było spowodowane spadkiem cen gazu na początku sezonu zatłaczania. To wczesne zatłoczenie zadecydowało</w:t>
      </w:r>
      <w:r w:rsidR="00595F42" w:rsidRPr="00595F42">
        <w:rPr>
          <w:rFonts w:ascii="Times New Roman" w:hAnsi="Times New Roman"/>
          <w:noProof/>
          <w:sz w:val="24"/>
        </w:rPr>
        <w:t xml:space="preserve"> o</w:t>
      </w:r>
      <w:r w:rsidR="00595F42">
        <w:rPr>
          <w:rFonts w:ascii="Times New Roman" w:hAnsi="Times New Roman"/>
          <w:noProof/>
          <w:sz w:val="24"/>
        </w:rPr>
        <w:t> </w:t>
      </w:r>
      <w:r w:rsidR="00595F42" w:rsidRPr="00595F42">
        <w:rPr>
          <w:rFonts w:ascii="Times New Roman" w:hAnsi="Times New Roman"/>
          <w:noProof/>
          <w:sz w:val="24"/>
        </w:rPr>
        <w:t>osi</w:t>
      </w:r>
      <w:r w:rsidRPr="00595F42">
        <w:rPr>
          <w:rFonts w:ascii="Times New Roman" w:hAnsi="Times New Roman"/>
          <w:noProof/>
          <w:sz w:val="24"/>
        </w:rPr>
        <w:t>ągnięciu celu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napełnienia wynoszącego 90 % do połowy sierpnia,</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pon</w:t>
      </w:r>
      <w:r w:rsidRPr="00595F42">
        <w:rPr>
          <w:rFonts w:ascii="Times New Roman" w:hAnsi="Times New Roman"/>
          <w:noProof/>
          <w:sz w:val="24"/>
        </w:rPr>
        <w:t>ad dwumiesięcznym wyprzedzeniem. Do 1 listopada 2023</w:t>
      </w:r>
      <w:r w:rsidR="00595F42" w:rsidRPr="00595F42">
        <w:rPr>
          <w:rFonts w:ascii="Times New Roman" w:hAnsi="Times New Roman"/>
          <w:noProof/>
          <w:sz w:val="24"/>
        </w:rPr>
        <w:t> </w:t>
      </w:r>
      <w:r w:rsidRPr="00595F42">
        <w:rPr>
          <w:rFonts w:ascii="Times New Roman" w:hAnsi="Times New Roman"/>
          <w:noProof/>
          <w:sz w:val="24"/>
        </w:rPr>
        <w:t>r. magazyny gazu w UE były napełnione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9</w:t>
      </w:r>
      <w:r w:rsidRPr="00595F42">
        <w:rPr>
          <w:rFonts w:ascii="Times New Roman" w:hAnsi="Times New Roman"/>
          <w:noProof/>
          <w:sz w:val="24"/>
        </w:rPr>
        <w:t>9,4 %, przy czym wszystkie państwa członkowskie przekroczyły cel</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napełnienia wynoszący 90 % (Rys. 2).</w:t>
      </w:r>
    </w:p>
    <w:p w14:paraId="1FA222A2" w14:textId="77777777" w:rsidR="00F45CB1" w:rsidRPr="00595F42" w:rsidRDefault="00F45CB1" w:rsidP="005D42B6">
      <w:pPr>
        <w:spacing w:after="120" w:line="240" w:lineRule="auto"/>
        <w:jc w:val="both"/>
        <w:rPr>
          <w:rFonts w:ascii="Times New Roman" w:eastAsia="Times New Roman" w:hAnsi="Times New Roman" w:cs="Times New Roman"/>
          <w:noProof/>
          <w:sz w:val="24"/>
          <w:szCs w:val="24"/>
          <w:lang w:eastAsia="en-IE"/>
        </w:rPr>
      </w:pPr>
    </w:p>
    <w:p w14:paraId="785AFF43" w14:textId="70946D1F" w:rsidR="005D42B6" w:rsidRPr="00595F42" w:rsidRDefault="005D42B6" w:rsidP="007D1226">
      <w:pPr>
        <w:spacing w:after="120" w:line="240" w:lineRule="auto"/>
        <w:jc w:val="both"/>
        <w:rPr>
          <w:rFonts w:ascii="Times New Roman" w:eastAsia="Times New Roman" w:hAnsi="Times New Roman" w:cs="Times New Roman"/>
          <w:b/>
          <w:bCs/>
          <w:iCs/>
          <w:noProof/>
          <w:sz w:val="20"/>
          <w:szCs w:val="20"/>
        </w:rPr>
      </w:pPr>
      <w:r w:rsidRPr="00595F42">
        <w:rPr>
          <w:rFonts w:ascii="Times New Roman" w:hAnsi="Times New Roman"/>
          <w:b/>
          <w:noProof/>
          <w:sz w:val="20"/>
        </w:rPr>
        <w:t xml:space="preserve">Rysunek </w:t>
      </w:r>
      <w:r w:rsidR="009E0BE4" w:rsidRPr="00595F42">
        <w:rPr>
          <w:rFonts w:ascii="Times New Roman" w:eastAsia="Times New Roman" w:hAnsi="Times New Roman" w:cs="Times New Roman"/>
          <w:b/>
          <w:noProof/>
          <w:sz w:val="20"/>
        </w:rPr>
        <w:fldChar w:fldCharType="begin"/>
      </w:r>
      <w:r w:rsidR="009E0BE4" w:rsidRPr="00595F42">
        <w:rPr>
          <w:rFonts w:ascii="Times New Roman" w:eastAsia="Times New Roman" w:hAnsi="Times New Roman" w:cs="Times New Roman"/>
          <w:b/>
          <w:noProof/>
          <w:sz w:val="20"/>
        </w:rPr>
        <w:instrText xml:space="preserve"> SEQ Figure \* ARABIC </w:instrText>
      </w:r>
      <w:r w:rsidR="009E0BE4" w:rsidRPr="00595F42">
        <w:rPr>
          <w:rFonts w:ascii="Times New Roman" w:eastAsia="Times New Roman" w:hAnsi="Times New Roman" w:cs="Times New Roman"/>
          <w:b/>
          <w:noProof/>
          <w:sz w:val="20"/>
        </w:rPr>
        <w:fldChar w:fldCharType="separate"/>
      </w:r>
      <w:r w:rsidR="009E0BE4" w:rsidRPr="00595F42">
        <w:rPr>
          <w:rFonts w:ascii="Times New Roman" w:eastAsia="Times New Roman" w:hAnsi="Times New Roman" w:cs="Times New Roman"/>
          <w:b/>
          <w:noProof/>
          <w:sz w:val="20"/>
        </w:rPr>
        <w:t>1</w:t>
      </w:r>
      <w:r w:rsidR="009E0BE4" w:rsidRPr="00595F42">
        <w:rPr>
          <w:rFonts w:ascii="Times New Roman" w:eastAsia="Times New Roman" w:hAnsi="Times New Roman" w:cs="Times New Roman"/>
          <w:b/>
          <w:noProof/>
          <w:sz w:val="20"/>
        </w:rPr>
        <w:fldChar w:fldCharType="end"/>
      </w:r>
      <w:r w:rsidRPr="00595F42">
        <w:rPr>
          <w:rFonts w:ascii="Times New Roman" w:hAnsi="Times New Roman"/>
          <w:b/>
          <w:noProof/>
          <w:sz w:val="20"/>
        </w:rPr>
        <w:t xml:space="preserve"> – Zatłaczanie netto</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mag</w:t>
      </w:r>
      <w:r w:rsidRPr="00595F42">
        <w:rPr>
          <w:rFonts w:ascii="Times New Roman" w:hAnsi="Times New Roman"/>
          <w:b/>
          <w:noProof/>
          <w:sz w:val="20"/>
        </w:rPr>
        <w:t>azynach gazu w UE</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pod</w:t>
      </w:r>
      <w:r w:rsidRPr="00595F42">
        <w:rPr>
          <w:rFonts w:ascii="Times New Roman" w:hAnsi="Times New Roman"/>
          <w:b/>
          <w:noProof/>
          <w:sz w:val="20"/>
        </w:rPr>
        <w:t xml:space="preserve">ziale na miesiące </w:t>
      </w:r>
    </w:p>
    <w:p w14:paraId="75A0B678" w14:textId="26845599" w:rsidR="00F07D14" w:rsidRPr="00595F42" w:rsidRDefault="00D67912" w:rsidP="00F07D14">
      <w:pPr>
        <w:keepNext/>
        <w:spacing w:after="80" w:line="240" w:lineRule="auto"/>
        <w:ind w:left="360"/>
        <w:jc w:val="both"/>
        <w:outlineLvl w:val="0"/>
        <w:rPr>
          <w:rFonts w:ascii="Times New Roman" w:hAnsi="Times New Roman"/>
          <w:b/>
          <w:noProof/>
          <w:sz w:val="20"/>
        </w:rPr>
      </w:pPr>
      <w:r w:rsidRPr="00595F42">
        <w:rPr>
          <w:noProof/>
          <w:lang w:val="en-GB" w:eastAsia="en-GB"/>
        </w:rPr>
        <w:drawing>
          <wp:inline distT="0" distB="0" distL="0" distR="0" wp14:anchorId="478AB957" wp14:editId="6B45CCAE">
            <wp:extent cx="5943600" cy="24644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464435"/>
                    </a:xfrm>
                    <a:prstGeom prst="rect">
                      <a:avLst/>
                    </a:prstGeom>
                    <a:noFill/>
                    <a:ln>
                      <a:noFill/>
                    </a:ln>
                  </pic:spPr>
                </pic:pic>
              </a:graphicData>
            </a:graphic>
          </wp:inline>
        </w:drawing>
      </w:r>
      <w:r w:rsidR="005D42B6" w:rsidRPr="00595F42">
        <w:rPr>
          <w:rFonts w:ascii="Times New Roman" w:hAnsi="Times New Roman"/>
          <w:b/>
          <w:noProof/>
          <w:sz w:val="20"/>
        </w:rPr>
        <w:t xml:space="preserve">Rysunek </w:t>
      </w:r>
      <w:r w:rsidR="009E0BE4" w:rsidRPr="00595F42">
        <w:rPr>
          <w:rFonts w:ascii="Times New Roman" w:eastAsia="Times New Roman" w:hAnsi="Times New Roman" w:cs="Times New Roman"/>
          <w:b/>
          <w:noProof/>
          <w:sz w:val="20"/>
        </w:rPr>
        <w:fldChar w:fldCharType="begin"/>
      </w:r>
      <w:r w:rsidR="009E0BE4" w:rsidRPr="00595F42">
        <w:rPr>
          <w:rFonts w:ascii="Times New Roman" w:eastAsia="Times New Roman" w:hAnsi="Times New Roman" w:cs="Times New Roman"/>
          <w:b/>
          <w:noProof/>
          <w:sz w:val="20"/>
        </w:rPr>
        <w:instrText xml:space="preserve"> SEQ Figure \* ARABIC </w:instrText>
      </w:r>
      <w:r w:rsidR="009E0BE4" w:rsidRPr="00595F42">
        <w:rPr>
          <w:rFonts w:ascii="Times New Roman" w:eastAsia="Times New Roman" w:hAnsi="Times New Roman" w:cs="Times New Roman"/>
          <w:b/>
          <w:noProof/>
          <w:sz w:val="20"/>
        </w:rPr>
        <w:fldChar w:fldCharType="separate"/>
      </w:r>
      <w:r w:rsidR="009E0BE4" w:rsidRPr="00595F42">
        <w:rPr>
          <w:rFonts w:ascii="Times New Roman" w:eastAsia="Times New Roman" w:hAnsi="Times New Roman" w:cs="Times New Roman"/>
          <w:b/>
          <w:noProof/>
          <w:sz w:val="20"/>
        </w:rPr>
        <w:t>2</w:t>
      </w:r>
      <w:r w:rsidR="009E0BE4" w:rsidRPr="00595F42">
        <w:rPr>
          <w:rFonts w:ascii="Times New Roman" w:eastAsia="Times New Roman" w:hAnsi="Times New Roman" w:cs="Times New Roman"/>
          <w:b/>
          <w:noProof/>
          <w:sz w:val="20"/>
        </w:rPr>
        <w:fldChar w:fldCharType="end"/>
      </w:r>
      <w:r w:rsidR="005D42B6" w:rsidRPr="00595F42">
        <w:rPr>
          <w:rFonts w:ascii="Times New Roman" w:hAnsi="Times New Roman"/>
          <w:b/>
          <w:noProof/>
          <w:sz w:val="20"/>
        </w:rPr>
        <w:t xml:space="preserve"> - Gaz</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pod</w:t>
      </w:r>
      <w:r w:rsidR="005D42B6" w:rsidRPr="00595F42">
        <w:rPr>
          <w:rFonts w:ascii="Times New Roman" w:hAnsi="Times New Roman"/>
          <w:b/>
          <w:noProof/>
          <w:sz w:val="20"/>
        </w:rPr>
        <w:t>ziemnych magazynach UE</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lat</w:t>
      </w:r>
      <w:r w:rsidR="005D42B6" w:rsidRPr="00595F42">
        <w:rPr>
          <w:rFonts w:ascii="Times New Roman" w:hAnsi="Times New Roman"/>
          <w:b/>
          <w:noProof/>
          <w:sz w:val="20"/>
        </w:rPr>
        <w:t>ach 2022</w:t>
      </w:r>
      <w:r w:rsidR="00595F42" w:rsidRPr="00595F42">
        <w:rPr>
          <w:rFonts w:ascii="Times New Roman" w:hAnsi="Times New Roman"/>
          <w:b/>
          <w:noProof/>
          <w:sz w:val="20"/>
        </w:rPr>
        <w:t xml:space="preserve"> i</w:t>
      </w:r>
      <w:r w:rsidR="00595F42">
        <w:rPr>
          <w:rFonts w:ascii="Times New Roman" w:hAnsi="Times New Roman"/>
          <w:b/>
          <w:noProof/>
          <w:sz w:val="20"/>
        </w:rPr>
        <w:t> </w:t>
      </w:r>
      <w:r w:rsidR="00595F42" w:rsidRPr="00595F42">
        <w:rPr>
          <w:rFonts w:ascii="Times New Roman" w:hAnsi="Times New Roman"/>
          <w:b/>
          <w:noProof/>
          <w:sz w:val="20"/>
        </w:rPr>
        <w:t>2</w:t>
      </w:r>
      <w:r w:rsidR="005D42B6" w:rsidRPr="00595F42">
        <w:rPr>
          <w:rFonts w:ascii="Times New Roman" w:hAnsi="Times New Roman"/>
          <w:b/>
          <w:noProof/>
          <w:sz w:val="20"/>
        </w:rPr>
        <w:t>023</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por</w:t>
      </w:r>
      <w:r w:rsidR="005D42B6" w:rsidRPr="00595F42">
        <w:rPr>
          <w:rFonts w:ascii="Times New Roman" w:hAnsi="Times New Roman"/>
          <w:b/>
          <w:noProof/>
          <w:sz w:val="20"/>
        </w:rPr>
        <w:t>ównaniu</w:t>
      </w:r>
      <w:r w:rsidR="00595F42" w:rsidRPr="00595F42">
        <w:rPr>
          <w:rFonts w:ascii="Times New Roman" w:hAnsi="Times New Roman"/>
          <w:b/>
          <w:noProof/>
          <w:sz w:val="20"/>
        </w:rPr>
        <w:t xml:space="preserve"> z</w:t>
      </w:r>
      <w:r w:rsidR="00595F42">
        <w:rPr>
          <w:rFonts w:ascii="Times New Roman" w:hAnsi="Times New Roman"/>
          <w:b/>
          <w:noProof/>
          <w:sz w:val="20"/>
        </w:rPr>
        <w:t> </w:t>
      </w:r>
      <w:r w:rsidR="00595F42" w:rsidRPr="00595F42">
        <w:rPr>
          <w:rFonts w:ascii="Times New Roman" w:hAnsi="Times New Roman"/>
          <w:b/>
          <w:noProof/>
          <w:sz w:val="20"/>
        </w:rPr>
        <w:t>pop</w:t>
      </w:r>
      <w:r w:rsidR="005D42B6" w:rsidRPr="00595F42">
        <w:rPr>
          <w:rFonts w:ascii="Times New Roman" w:hAnsi="Times New Roman"/>
          <w:b/>
          <w:noProof/>
          <w:sz w:val="20"/>
        </w:rPr>
        <w:t xml:space="preserve">rzednią 6-letnią </w:t>
      </w:r>
      <w:r w:rsidRPr="00595F42">
        <w:rPr>
          <w:rFonts w:ascii="Times New Roman" w:hAnsi="Times New Roman"/>
          <w:b/>
          <w:noProof/>
          <w:sz w:val="20"/>
        </w:rPr>
        <w:t>średnią</w:t>
      </w:r>
      <w:r w:rsidR="00595F42" w:rsidRPr="00595F42">
        <w:rPr>
          <w:rFonts w:ascii="Times New Roman" w:hAnsi="Times New Roman"/>
          <w:b/>
          <w:noProof/>
          <w:sz w:val="20"/>
        </w:rPr>
        <w:t xml:space="preserve"> i</w:t>
      </w:r>
      <w:r w:rsidR="00595F42">
        <w:rPr>
          <w:rFonts w:ascii="Times New Roman" w:hAnsi="Times New Roman"/>
          <w:b/>
          <w:noProof/>
          <w:sz w:val="20"/>
        </w:rPr>
        <w:t> </w:t>
      </w:r>
      <w:r w:rsidR="00595F42" w:rsidRPr="00595F42">
        <w:rPr>
          <w:rFonts w:ascii="Times New Roman" w:hAnsi="Times New Roman"/>
          <w:b/>
          <w:noProof/>
          <w:sz w:val="20"/>
        </w:rPr>
        <w:t>zak</w:t>
      </w:r>
      <w:r w:rsidRPr="00595F42">
        <w:rPr>
          <w:rFonts w:ascii="Times New Roman" w:hAnsi="Times New Roman"/>
          <w:b/>
          <w:noProof/>
          <w:sz w:val="20"/>
        </w:rPr>
        <w:t>resem</w:t>
      </w:r>
      <w:r w:rsidRPr="00595F42">
        <w:rPr>
          <w:noProof/>
          <w:lang w:val="en-GB" w:eastAsia="en-GB"/>
        </w:rPr>
        <w:drawing>
          <wp:inline distT="0" distB="0" distL="0" distR="0" wp14:anchorId="56711946" wp14:editId="3139BBF4">
            <wp:extent cx="5943600" cy="30340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034030"/>
                    </a:xfrm>
                    <a:prstGeom prst="rect">
                      <a:avLst/>
                    </a:prstGeom>
                    <a:noFill/>
                    <a:ln>
                      <a:noFill/>
                    </a:ln>
                  </pic:spPr>
                </pic:pic>
              </a:graphicData>
            </a:graphic>
          </wp:inline>
        </w:drawing>
      </w:r>
    </w:p>
    <w:p w14:paraId="34893FEE" w14:textId="3A2697F7" w:rsidR="00F210F3" w:rsidRPr="00595F42" w:rsidRDefault="005D42B6" w:rsidP="00F07D14">
      <w:pPr>
        <w:pStyle w:val="ListParagraph"/>
        <w:keepNext/>
        <w:numPr>
          <w:ilvl w:val="0"/>
          <w:numId w:val="42"/>
        </w:numPr>
        <w:spacing w:after="80" w:line="240" w:lineRule="auto"/>
        <w:jc w:val="both"/>
        <w:outlineLvl w:val="0"/>
        <w:rPr>
          <w:rFonts w:ascii="Times New Roman" w:eastAsia="Times New Roman" w:hAnsi="Times New Roman" w:cs="Times New Roman"/>
          <w:b/>
          <w:smallCaps/>
          <w:noProof/>
          <w:sz w:val="24"/>
          <w:szCs w:val="20"/>
          <w:lang w:eastAsia="en-IE"/>
        </w:rPr>
      </w:pPr>
      <w:r w:rsidRPr="00595F42">
        <w:rPr>
          <w:rFonts w:ascii="Times New Roman" w:hAnsi="Times New Roman"/>
          <w:b/>
          <w:smallCaps/>
          <w:noProof/>
          <w:sz w:val="24"/>
        </w:rPr>
        <w:t>Przegląd procedury certyfikacji</w:t>
      </w:r>
    </w:p>
    <w:p w14:paraId="6450DBFD" w14:textId="08425308" w:rsidR="005620E6" w:rsidRPr="00595F42" w:rsidRDefault="00540391" w:rsidP="009D79FE">
      <w:pPr>
        <w:spacing w:after="0"/>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themeColor="text1"/>
          <w:sz w:val="24"/>
        </w:rPr>
        <w:t>Zgodnie</w:t>
      </w:r>
      <w:r w:rsidR="00595F42" w:rsidRPr="00595F42">
        <w:rPr>
          <w:rFonts w:ascii="Times New Roman" w:hAnsi="Times New Roman"/>
          <w:noProof/>
          <w:color w:val="000000" w:themeColor="text1"/>
          <w:sz w:val="24"/>
        </w:rPr>
        <w:t xml:space="preserve"> z</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art</w:t>
      </w:r>
      <w:r w:rsidRPr="00595F42">
        <w:rPr>
          <w:rFonts w:ascii="Times New Roman" w:hAnsi="Times New Roman"/>
          <w:noProof/>
          <w:color w:val="000000" w:themeColor="text1"/>
          <w:sz w:val="24"/>
        </w:rPr>
        <w:t>.</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3a rozporządzenia (WE) nr</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715/2009 dodanym rozporządzeniem</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spr</w:t>
      </w:r>
      <w:r w:rsidRPr="00595F42">
        <w:rPr>
          <w:rFonts w:ascii="Times New Roman" w:hAnsi="Times New Roman"/>
          <w:noProof/>
          <w:color w:val="000000" w:themeColor="text1"/>
          <w:sz w:val="24"/>
        </w:rPr>
        <w:t>awie magazynowania gazu państwa członkowskie muszą zapewnić, aby każdy operator systemu magazynowania,</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tym</w:t>
      </w:r>
      <w:r w:rsidRPr="00595F42">
        <w:rPr>
          <w:rFonts w:ascii="Times New Roman" w:hAnsi="Times New Roman"/>
          <w:noProof/>
          <w:color w:val="000000" w:themeColor="text1"/>
          <w:sz w:val="24"/>
        </w:rPr>
        <w:t xml:space="preserve"> każdy operator systemu magazynowania kontrolowany przez operatora systemu przesyłowego, był certyfikowany</w:t>
      </w:r>
      <w:r w:rsidR="00595F42" w:rsidRPr="00595F42">
        <w:rPr>
          <w:rFonts w:ascii="Times New Roman" w:hAnsi="Times New Roman"/>
          <w:noProof/>
          <w:color w:val="000000" w:themeColor="text1"/>
          <w:sz w:val="24"/>
        </w:rPr>
        <w:t>.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tym</w:t>
      </w:r>
      <w:r w:rsidRPr="00595F42">
        <w:rPr>
          <w:rFonts w:ascii="Times New Roman" w:hAnsi="Times New Roman"/>
          <w:noProof/>
          <w:color w:val="000000" w:themeColor="text1"/>
          <w:sz w:val="24"/>
        </w:rPr>
        <w:t xml:space="preserve"> kontekście instytucje certyfikujące państw członkowskich muszą wydać projekt decyzji</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spr</w:t>
      </w:r>
      <w:r w:rsidRPr="00595F42">
        <w:rPr>
          <w:rFonts w:ascii="Times New Roman" w:hAnsi="Times New Roman"/>
          <w:noProof/>
          <w:color w:val="000000" w:themeColor="text1"/>
          <w:sz w:val="24"/>
        </w:rPr>
        <w:t>awie certyfikacji</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odn</w:t>
      </w:r>
      <w:r w:rsidRPr="00595F42">
        <w:rPr>
          <w:rFonts w:ascii="Times New Roman" w:hAnsi="Times New Roman"/>
          <w:noProof/>
          <w:color w:val="000000" w:themeColor="text1"/>
          <w:sz w:val="24"/>
        </w:rPr>
        <w:t>iesieniu do operatorów systemu magazynowania eksploatujących podziemne magazyny gazu</w:t>
      </w:r>
      <w:r w:rsidR="00595F42" w:rsidRPr="00595F42">
        <w:rPr>
          <w:rFonts w:ascii="Times New Roman" w:hAnsi="Times New Roman"/>
          <w:noProof/>
          <w:color w:val="000000" w:themeColor="text1"/>
          <w:sz w:val="24"/>
        </w:rPr>
        <w:t xml:space="preserve"> o</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poj</w:t>
      </w:r>
      <w:r w:rsidRPr="00595F42">
        <w:rPr>
          <w:rFonts w:ascii="Times New Roman" w:hAnsi="Times New Roman"/>
          <w:noProof/>
          <w:color w:val="000000" w:themeColor="text1"/>
          <w:sz w:val="24"/>
        </w:rPr>
        <w:t>emności powyżej 3,5 TWh,</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prz</w:t>
      </w:r>
      <w:r w:rsidRPr="00595F42">
        <w:rPr>
          <w:rFonts w:ascii="Times New Roman" w:hAnsi="Times New Roman"/>
          <w:noProof/>
          <w:color w:val="000000" w:themeColor="text1"/>
          <w:sz w:val="24"/>
        </w:rPr>
        <w:t>ypadku gdy – niezależnie od liczby operatorów – wszystkie instalacje magazynowe były napełnione 31 marca 2021 r.</w:t>
      </w:r>
      <w:r w:rsidR="00595F42" w:rsidRPr="00595F42">
        <w:rPr>
          <w:rFonts w:ascii="Times New Roman" w:hAnsi="Times New Roman"/>
          <w:noProof/>
          <w:color w:val="000000" w:themeColor="text1"/>
          <w:sz w:val="24"/>
        </w:rPr>
        <w:t xml:space="preserve"> i</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3</w:t>
      </w:r>
      <w:r w:rsidRPr="00595F42">
        <w:rPr>
          <w:rFonts w:ascii="Times New Roman" w:hAnsi="Times New Roman"/>
          <w:noProof/>
          <w:color w:val="000000" w:themeColor="text1"/>
          <w:sz w:val="24"/>
        </w:rPr>
        <w:t>1 marca 2022 r. na poziomie wynoszącym średnio mniej niż 30 % ich maksymalnej pojemności do 1 lutego 2023</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r. Instytucja certyfikująca musi niezwłocznie powiadomić Komisję</w:t>
      </w:r>
      <w:r w:rsidR="00595F42" w:rsidRPr="00595F42">
        <w:rPr>
          <w:rFonts w:ascii="Times New Roman" w:hAnsi="Times New Roman"/>
          <w:noProof/>
          <w:color w:val="000000" w:themeColor="text1"/>
          <w:sz w:val="24"/>
        </w:rPr>
        <w:t xml:space="preserve"> o</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swo</w:t>
      </w:r>
      <w:r w:rsidRPr="00595F42">
        <w:rPr>
          <w:rFonts w:ascii="Times New Roman" w:hAnsi="Times New Roman"/>
          <w:noProof/>
          <w:color w:val="000000" w:themeColor="text1"/>
          <w:sz w:val="24"/>
        </w:rPr>
        <w:t>im projekcie decyzji</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spr</w:t>
      </w:r>
      <w:r w:rsidRPr="00595F42">
        <w:rPr>
          <w:rFonts w:ascii="Times New Roman" w:hAnsi="Times New Roman"/>
          <w:noProof/>
          <w:color w:val="000000" w:themeColor="text1"/>
          <w:sz w:val="24"/>
        </w:rPr>
        <w:t>awie certyfikacji, przekazując jednocześnie wszystkie stosowne informacje, tak aby Komisja wydała swoją opinię dotyczącą projektu decyzji</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spr</w:t>
      </w:r>
      <w:r w:rsidRPr="00595F42">
        <w:rPr>
          <w:rFonts w:ascii="Times New Roman" w:hAnsi="Times New Roman"/>
          <w:noProof/>
          <w:color w:val="000000" w:themeColor="text1"/>
          <w:sz w:val="24"/>
        </w:rPr>
        <w:t xml:space="preserve">awie certyfikacji instytucji certyfikującej. </w:t>
      </w:r>
    </w:p>
    <w:p w14:paraId="45337FEC" w14:textId="6ADFA3A5" w:rsidR="005D42B6" w:rsidRPr="00595F42" w:rsidRDefault="52663728" w:rsidP="007D1226">
      <w:pPr>
        <w:spacing w:after="120"/>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W 2023</w:t>
      </w:r>
      <w:r w:rsidR="00595F42" w:rsidRPr="00595F42">
        <w:rPr>
          <w:rFonts w:ascii="Times New Roman" w:hAnsi="Times New Roman"/>
          <w:noProof/>
          <w:color w:val="000000"/>
          <w:sz w:val="24"/>
        </w:rPr>
        <w:t> </w:t>
      </w:r>
      <w:r w:rsidRPr="00595F42">
        <w:rPr>
          <w:rFonts w:ascii="Times New Roman" w:hAnsi="Times New Roman"/>
          <w:noProof/>
          <w:color w:val="000000"/>
          <w:sz w:val="24"/>
        </w:rPr>
        <w:t>r. kilka państw członkowskich przedłożyło Komisji projekty decyzji</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spr</w:t>
      </w:r>
      <w:r w:rsidRPr="00595F42">
        <w:rPr>
          <w:rFonts w:ascii="Times New Roman" w:hAnsi="Times New Roman"/>
          <w:noProof/>
          <w:color w:val="000000"/>
          <w:sz w:val="24"/>
        </w:rPr>
        <w:t xml:space="preserve">awie certyfikacji operatorów systemów magazynowania gazu. Komisja przyjęła dziesięć opinii certyfikacyjnych, które po sprawdzeniu poufności przez instytucję certyfikującą opublikowano w </w:t>
      </w:r>
      <w:hyperlink r:id="rId22">
        <w:r w:rsidRPr="00595F42">
          <w:rPr>
            <w:rFonts w:ascii="Times New Roman" w:hAnsi="Times New Roman"/>
            <w:noProof/>
            <w:color w:val="000000"/>
            <w:sz w:val="24"/>
          </w:rPr>
          <w:t>rejestrze służącym przejrzystości</w:t>
        </w:r>
      </w:hyperlink>
      <w:r w:rsidRPr="00595F42">
        <w:rPr>
          <w:rFonts w:ascii="Times New Roman" w:hAnsi="Times New Roman"/>
          <w:noProof/>
          <w:sz w:val="24"/>
        </w:rPr>
        <w:t xml:space="preserve"> Komisji i na stronie internetowej DG </w:t>
      </w:r>
      <w:r w:rsidRPr="00595F42">
        <w:rPr>
          <w:rFonts w:ascii="Times New Roman" w:hAnsi="Times New Roman"/>
          <w:noProof/>
          <w:color w:val="000000" w:themeColor="text1"/>
          <w:sz w:val="24"/>
        </w:rPr>
        <w:t>ENER</w:t>
      </w:r>
      <w:hyperlink r:id="rId23"/>
      <w:r w:rsidRPr="00595F42">
        <w:rPr>
          <w:noProof/>
          <w:color w:val="000000"/>
        </w:rPr>
        <w:t>.</w:t>
      </w:r>
      <w:r w:rsidRPr="00595F42">
        <w:rPr>
          <w:rFonts w:ascii="Times New Roman" w:hAnsi="Times New Roman"/>
          <w:noProof/>
          <w:color w:val="000000"/>
          <w:sz w:val="24"/>
        </w:rPr>
        <w:t xml:space="preserve"> Komisja</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dal</w:t>
      </w:r>
      <w:r w:rsidRPr="00595F42">
        <w:rPr>
          <w:rFonts w:ascii="Times New Roman" w:hAnsi="Times New Roman"/>
          <w:noProof/>
          <w:color w:val="000000"/>
          <w:sz w:val="24"/>
        </w:rPr>
        <w:t>szym ciągu otrzymuje projekty decyzji</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spr</w:t>
      </w:r>
      <w:r w:rsidRPr="00595F42">
        <w:rPr>
          <w:rFonts w:ascii="Times New Roman" w:hAnsi="Times New Roman"/>
          <w:noProof/>
          <w:color w:val="000000"/>
          <w:sz w:val="24"/>
        </w:rPr>
        <w:t>awie certyfikacji</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poz</w:t>
      </w:r>
      <w:r w:rsidRPr="00595F42">
        <w:rPr>
          <w:rFonts w:ascii="Times New Roman" w:hAnsi="Times New Roman"/>
          <w:noProof/>
          <w:color w:val="000000"/>
          <w:sz w:val="24"/>
        </w:rPr>
        <w:t>ostaje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ści</w:t>
      </w:r>
      <w:r w:rsidRPr="00595F42">
        <w:rPr>
          <w:rFonts w:ascii="Times New Roman" w:hAnsi="Times New Roman"/>
          <w:noProof/>
          <w:color w:val="000000"/>
          <w:sz w:val="24"/>
        </w:rPr>
        <w:t>słym kontakcie</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pań</w:t>
      </w:r>
      <w:r w:rsidRPr="00595F42">
        <w:rPr>
          <w:rFonts w:ascii="Times New Roman" w:hAnsi="Times New Roman"/>
          <w:noProof/>
          <w:color w:val="000000"/>
          <w:sz w:val="24"/>
        </w:rPr>
        <w:t>stwami członkowskimi, które mają opóźnienia</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themeColor="text1"/>
          <w:sz w:val="24"/>
        </w:rPr>
        <w:t>prz</w:t>
      </w:r>
      <w:r w:rsidRPr="00595F42">
        <w:rPr>
          <w:rFonts w:ascii="Times New Roman" w:hAnsi="Times New Roman"/>
          <w:noProof/>
          <w:color w:val="000000" w:themeColor="text1"/>
          <w:sz w:val="24"/>
        </w:rPr>
        <w:t>ekazywaniu swoich projektów decyzji</w:t>
      </w:r>
      <w:r w:rsidRPr="00595F42">
        <w:rPr>
          <w:rFonts w:ascii="Times New Roman" w:hAnsi="Times New Roman"/>
          <w:noProof/>
          <w:color w:val="000000"/>
          <w:sz w:val="24"/>
        </w:rPr>
        <w:t xml:space="preserve">. Komisja zauważa, że </w:t>
      </w:r>
      <w:r w:rsidRPr="00595F42">
        <w:rPr>
          <w:rFonts w:ascii="Times New Roman" w:hAnsi="Times New Roman"/>
          <w:noProof/>
          <w:color w:val="000000" w:themeColor="text1"/>
          <w:sz w:val="24"/>
        </w:rPr>
        <w:t xml:space="preserve">wiele </w:t>
      </w:r>
      <w:r w:rsidRPr="00595F42">
        <w:rPr>
          <w:rFonts w:ascii="Times New Roman" w:hAnsi="Times New Roman"/>
          <w:noProof/>
          <w:color w:val="000000"/>
          <w:sz w:val="24"/>
        </w:rPr>
        <w:t>państw członkowskich,</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szc</w:t>
      </w:r>
      <w:r w:rsidRPr="00595F42">
        <w:rPr>
          <w:rFonts w:ascii="Times New Roman" w:hAnsi="Times New Roman"/>
          <w:noProof/>
          <w:color w:val="000000"/>
          <w:sz w:val="24"/>
        </w:rPr>
        <w:t>zególności tych</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duż</w:t>
      </w:r>
      <w:r w:rsidRPr="00595F42">
        <w:rPr>
          <w:rFonts w:ascii="Times New Roman" w:hAnsi="Times New Roman"/>
          <w:noProof/>
          <w:color w:val="000000"/>
          <w:sz w:val="24"/>
        </w:rPr>
        <w:t xml:space="preserve">ą liczbą obiektów, </w:t>
      </w:r>
      <w:r w:rsidRPr="00595F42">
        <w:rPr>
          <w:rFonts w:ascii="Times New Roman" w:hAnsi="Times New Roman"/>
          <w:noProof/>
          <w:color w:val="000000" w:themeColor="text1"/>
          <w:sz w:val="24"/>
        </w:rPr>
        <w:t>aktywnie pracuje nad procesem certyfikacji</w:t>
      </w:r>
      <w:r w:rsidRPr="00595F42">
        <w:rPr>
          <w:rFonts w:ascii="Times New Roman" w:hAnsi="Times New Roman"/>
          <w:noProof/>
          <w:color w:val="000000"/>
          <w:sz w:val="24"/>
        </w:rPr>
        <w:t>.</w:t>
      </w:r>
      <w:r w:rsidRPr="00595F42">
        <w:rPr>
          <w:rFonts w:ascii="Times New Roman" w:hAnsi="Times New Roman"/>
          <w:noProof/>
          <w:color w:val="000000" w:themeColor="text1"/>
          <w:sz w:val="24"/>
        </w:rPr>
        <w:t xml:space="preserve"> </w:t>
      </w:r>
      <w:r w:rsidRPr="00595F42">
        <w:rPr>
          <w:rFonts w:ascii="Times New Roman" w:hAnsi="Times New Roman"/>
          <w:noProof/>
          <w:color w:val="000000"/>
          <w:sz w:val="24"/>
        </w:rPr>
        <w:t>Ważne jest, aby</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odp</w:t>
      </w:r>
      <w:r w:rsidRPr="00595F42">
        <w:rPr>
          <w:rFonts w:ascii="Times New Roman" w:hAnsi="Times New Roman"/>
          <w:noProof/>
          <w:color w:val="000000"/>
          <w:sz w:val="24"/>
        </w:rPr>
        <w:t>owiednim czasie poczynić postępy</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cel</w:t>
      </w:r>
      <w:r w:rsidRPr="00595F42">
        <w:rPr>
          <w:rFonts w:ascii="Times New Roman" w:hAnsi="Times New Roman"/>
          <w:noProof/>
          <w:color w:val="000000"/>
          <w:sz w:val="24"/>
        </w:rPr>
        <w:t>u zapewnienia właściwego wdrożenia rozporządzenia</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spr</w:t>
      </w:r>
      <w:r w:rsidRPr="00595F42">
        <w:rPr>
          <w:rFonts w:ascii="Times New Roman" w:hAnsi="Times New Roman"/>
          <w:noProof/>
          <w:color w:val="000000"/>
          <w:sz w:val="24"/>
        </w:rPr>
        <w:t>awie magazynowania gazu</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wzm</w:t>
      </w:r>
      <w:r w:rsidRPr="00595F42">
        <w:rPr>
          <w:rFonts w:ascii="Times New Roman" w:hAnsi="Times New Roman"/>
          <w:noProof/>
          <w:color w:val="000000"/>
          <w:sz w:val="24"/>
        </w:rPr>
        <w:t xml:space="preserve">ocnienia bezpieczeństwa dostaw w UE. </w:t>
      </w:r>
    </w:p>
    <w:p w14:paraId="3E97D669" w14:textId="23126D80" w:rsidR="00C70B62" w:rsidRPr="00595F42" w:rsidRDefault="00C70B62" w:rsidP="007D1226">
      <w:pPr>
        <w:pStyle w:val="Caption"/>
        <w:spacing w:after="120"/>
        <w:rPr>
          <w:rFonts w:ascii="Times New Roman" w:eastAsia="Times New Roman" w:hAnsi="Times New Roman" w:cs="Times New Roman"/>
          <w:b/>
          <w:bCs/>
          <w:i w:val="0"/>
          <w:iCs w:val="0"/>
          <w:noProof/>
          <w:color w:val="auto"/>
          <w:sz w:val="20"/>
          <w:szCs w:val="20"/>
        </w:rPr>
      </w:pPr>
      <w:r w:rsidRPr="00595F42">
        <w:rPr>
          <w:rFonts w:ascii="Times New Roman" w:hAnsi="Times New Roman"/>
          <w:b/>
          <w:i w:val="0"/>
          <w:noProof/>
          <w:color w:val="auto"/>
          <w:sz w:val="20"/>
        </w:rPr>
        <w:t xml:space="preserve">Tabela </w:t>
      </w:r>
      <w:r w:rsidRPr="00595F42">
        <w:rPr>
          <w:rFonts w:ascii="Times New Roman" w:eastAsia="Times New Roman" w:hAnsi="Times New Roman" w:cs="Times New Roman"/>
          <w:b/>
          <w:i w:val="0"/>
          <w:noProof/>
          <w:color w:val="auto"/>
          <w:sz w:val="20"/>
        </w:rPr>
        <w:fldChar w:fldCharType="begin"/>
      </w:r>
      <w:r w:rsidRPr="00595F42">
        <w:rPr>
          <w:rFonts w:ascii="Times New Roman" w:eastAsia="Times New Roman" w:hAnsi="Times New Roman" w:cs="Times New Roman"/>
          <w:b/>
          <w:i w:val="0"/>
          <w:noProof/>
          <w:color w:val="auto"/>
          <w:sz w:val="20"/>
        </w:rPr>
        <w:instrText>SEQ Table \* ARABIC</w:instrText>
      </w:r>
      <w:r w:rsidRPr="00595F42">
        <w:rPr>
          <w:rFonts w:ascii="Times New Roman" w:eastAsia="Times New Roman" w:hAnsi="Times New Roman" w:cs="Times New Roman"/>
          <w:b/>
          <w:i w:val="0"/>
          <w:noProof/>
          <w:color w:val="auto"/>
          <w:sz w:val="20"/>
        </w:rPr>
        <w:fldChar w:fldCharType="separate"/>
      </w:r>
      <w:r w:rsidR="00063A2B" w:rsidRPr="00595F42">
        <w:rPr>
          <w:rFonts w:ascii="Times New Roman" w:eastAsia="Times New Roman" w:hAnsi="Times New Roman" w:cs="Times New Roman"/>
          <w:b/>
          <w:i w:val="0"/>
          <w:noProof/>
          <w:color w:val="auto"/>
          <w:sz w:val="20"/>
        </w:rPr>
        <w:t>2</w:t>
      </w:r>
      <w:r w:rsidRPr="00595F42">
        <w:rPr>
          <w:rFonts w:ascii="Times New Roman" w:eastAsia="Times New Roman" w:hAnsi="Times New Roman" w:cs="Times New Roman"/>
          <w:b/>
          <w:i w:val="0"/>
          <w:noProof/>
          <w:color w:val="auto"/>
          <w:sz w:val="20"/>
        </w:rPr>
        <w:fldChar w:fldCharType="end"/>
      </w:r>
      <w:r w:rsidRPr="00595F42">
        <w:rPr>
          <w:rFonts w:ascii="Times New Roman" w:hAnsi="Times New Roman"/>
          <w:b/>
          <w:i w:val="0"/>
          <w:noProof/>
          <w:color w:val="auto"/>
          <w:sz w:val="20"/>
        </w:rPr>
        <w:t xml:space="preserve"> – Przegląd procedury certyfikacji na koniec 2023</w:t>
      </w:r>
      <w:r w:rsidR="00595F42" w:rsidRPr="00595F42">
        <w:rPr>
          <w:rFonts w:ascii="Times New Roman" w:hAnsi="Times New Roman"/>
          <w:b/>
          <w:i w:val="0"/>
          <w:noProof/>
          <w:color w:val="auto"/>
          <w:sz w:val="20"/>
        </w:rPr>
        <w:t> </w:t>
      </w:r>
      <w:r w:rsidRPr="00595F42">
        <w:rPr>
          <w:rFonts w:ascii="Times New Roman" w:hAnsi="Times New Roman"/>
          <w:b/>
          <w:i w:val="0"/>
          <w:noProof/>
          <w:color w:val="auto"/>
          <w:sz w:val="20"/>
        </w:rPr>
        <w:t>r.</w:t>
      </w:r>
      <w:r w:rsidR="000D7182" w:rsidRPr="00595F42">
        <w:rPr>
          <w:rStyle w:val="FootnoteReference"/>
          <w:rFonts w:ascii="Times New Roman" w:eastAsia="Times New Roman" w:hAnsi="Times New Roman" w:cs="Times New Roman"/>
          <w:b/>
          <w:bCs/>
          <w:i w:val="0"/>
          <w:iCs w:val="0"/>
          <w:noProof/>
          <w:color w:val="auto"/>
          <w:sz w:val="20"/>
          <w:szCs w:val="20"/>
          <w:lang w:eastAsia="en-IE"/>
        </w:rPr>
        <w:footnoteReference w:id="5"/>
      </w:r>
      <w:r w:rsidR="000D7182" w:rsidRPr="00595F42">
        <w:rPr>
          <w:rStyle w:val="FootnoteReference"/>
          <w:rFonts w:ascii="Times New Roman" w:eastAsia="Times New Roman" w:hAnsi="Times New Roman" w:cs="Times New Roman"/>
          <w:b/>
          <w:bCs/>
          <w:i w:val="0"/>
          <w:iCs w:val="0"/>
          <w:noProof/>
          <w:color w:val="auto"/>
          <w:sz w:val="20"/>
          <w:szCs w:val="20"/>
          <w:lang w:eastAsia="en-IE"/>
        </w:rPr>
        <w:footnoteReference w:id="6"/>
      </w:r>
    </w:p>
    <w:tbl>
      <w:tblPr>
        <w:tblW w:w="7903" w:type="dxa"/>
        <w:tblInd w:w="530" w:type="dxa"/>
        <w:tblCellMar>
          <w:left w:w="0" w:type="dxa"/>
          <w:right w:w="0" w:type="dxa"/>
        </w:tblCellMar>
        <w:tblLook w:val="04A0" w:firstRow="1" w:lastRow="0" w:firstColumn="1" w:lastColumn="0" w:noHBand="0" w:noVBand="1"/>
      </w:tblPr>
      <w:tblGrid>
        <w:gridCol w:w="957"/>
        <w:gridCol w:w="2835"/>
        <w:gridCol w:w="2268"/>
        <w:gridCol w:w="1843"/>
      </w:tblGrid>
      <w:tr w:rsidR="00D160D3" w:rsidRPr="00595F42" w14:paraId="305EBC38" w14:textId="77777777" w:rsidTr="00C24F0C">
        <w:trPr>
          <w:trHeight w:val="103"/>
        </w:trPr>
        <w:tc>
          <w:tcPr>
            <w:tcW w:w="957" w:type="dxa"/>
            <w:tcBorders>
              <w:top w:val="single" w:sz="8" w:space="0" w:color="4D4D4D"/>
              <w:left w:val="nil"/>
              <w:bottom w:val="single" w:sz="8" w:space="0" w:color="4D4D4D"/>
              <w:right w:val="nil"/>
            </w:tcBorders>
            <w:tcMar>
              <w:top w:w="15" w:type="dxa"/>
              <w:left w:w="91" w:type="dxa"/>
              <w:bottom w:w="0" w:type="dxa"/>
              <w:right w:w="91" w:type="dxa"/>
            </w:tcMar>
            <w:vAlign w:val="center"/>
            <w:hideMark/>
          </w:tcPr>
          <w:p w14:paraId="620944B2"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 </w:t>
            </w:r>
          </w:p>
        </w:tc>
        <w:tc>
          <w:tcPr>
            <w:tcW w:w="2835" w:type="dxa"/>
            <w:tcBorders>
              <w:top w:val="single" w:sz="8" w:space="0" w:color="4D4D4D"/>
              <w:left w:val="nil"/>
              <w:bottom w:val="single" w:sz="8" w:space="0" w:color="4D4D4D"/>
              <w:right w:val="nil"/>
            </w:tcBorders>
            <w:tcMar>
              <w:top w:w="15" w:type="dxa"/>
              <w:left w:w="91" w:type="dxa"/>
              <w:bottom w:w="0" w:type="dxa"/>
              <w:right w:w="91" w:type="dxa"/>
            </w:tcMar>
            <w:vAlign w:val="center"/>
            <w:hideMark/>
          </w:tcPr>
          <w:p w14:paraId="67102809" w14:textId="7F9B1798"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b/>
                <w:noProof/>
                <w:color w:val="000000"/>
                <w:sz w:val="18"/>
              </w:rPr>
              <w:t>Projekty certyfikacji zgłoszone przez</w:t>
            </w:r>
          </w:p>
          <w:p w14:paraId="71DCD628" w14:textId="15DFCED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b/>
                <w:noProof/>
                <w:color w:val="000000"/>
                <w:sz w:val="18"/>
              </w:rPr>
              <w:t>Liczba operatorów (liczba obiektó</w:t>
            </w:r>
            <w:r w:rsidR="00595F42" w:rsidRPr="00595F42">
              <w:rPr>
                <w:rFonts w:ascii="Segoe UI" w:hAnsi="Segoe UI"/>
                <w:b/>
                <w:noProof/>
                <w:color w:val="000000"/>
                <w:sz w:val="18"/>
              </w:rPr>
              <w:t>w)</w:t>
            </w:r>
          </w:p>
        </w:tc>
        <w:tc>
          <w:tcPr>
            <w:tcW w:w="2268" w:type="dxa"/>
            <w:tcBorders>
              <w:top w:val="single" w:sz="8" w:space="0" w:color="4D4D4D"/>
              <w:left w:val="nil"/>
              <w:bottom w:val="single" w:sz="8" w:space="0" w:color="4D4D4D"/>
              <w:right w:val="nil"/>
            </w:tcBorders>
            <w:tcMar>
              <w:top w:w="15" w:type="dxa"/>
              <w:left w:w="91" w:type="dxa"/>
              <w:bottom w:w="0" w:type="dxa"/>
              <w:right w:w="91" w:type="dxa"/>
            </w:tcMar>
            <w:vAlign w:val="center"/>
            <w:hideMark/>
          </w:tcPr>
          <w:p w14:paraId="4010A428" w14:textId="61A92805"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b/>
                <w:noProof/>
                <w:color w:val="000000"/>
                <w:sz w:val="18"/>
              </w:rPr>
              <w:t xml:space="preserve">Oczekujące projekty certyfikacji </w:t>
            </w:r>
            <w:r w:rsidRPr="00595F42">
              <w:rPr>
                <w:rFonts w:ascii="Segoe UI" w:hAnsi="Segoe UI"/>
                <w:b/>
                <w:noProof/>
                <w:color w:val="000000"/>
                <w:sz w:val="18"/>
              </w:rPr>
              <w:br/>
              <w:t>Liczba operatorów (liczba obiektó</w:t>
            </w:r>
            <w:r w:rsidR="00595F42" w:rsidRPr="00595F42">
              <w:rPr>
                <w:rFonts w:ascii="Segoe UI" w:hAnsi="Segoe UI"/>
                <w:b/>
                <w:noProof/>
                <w:color w:val="000000"/>
                <w:sz w:val="18"/>
              </w:rPr>
              <w:t>w)</w:t>
            </w:r>
          </w:p>
        </w:tc>
        <w:tc>
          <w:tcPr>
            <w:tcW w:w="1843" w:type="dxa"/>
            <w:tcBorders>
              <w:top w:val="single" w:sz="8" w:space="0" w:color="4D4D4D"/>
              <w:left w:val="nil"/>
              <w:bottom w:val="single" w:sz="8" w:space="0" w:color="4D4D4D"/>
              <w:right w:val="nil"/>
            </w:tcBorders>
            <w:tcMar>
              <w:top w:w="15" w:type="dxa"/>
              <w:left w:w="91" w:type="dxa"/>
              <w:bottom w:w="0" w:type="dxa"/>
              <w:right w:w="91" w:type="dxa"/>
            </w:tcMar>
            <w:vAlign w:val="center"/>
            <w:hideMark/>
          </w:tcPr>
          <w:p w14:paraId="59767476" w14:textId="5E58343E"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b/>
                <w:noProof/>
                <w:color w:val="000000"/>
                <w:sz w:val="18"/>
              </w:rPr>
              <w:t>Ogółem</w:t>
            </w:r>
            <w:r w:rsidRPr="00595F42">
              <w:rPr>
                <w:rFonts w:ascii="Segoe UI" w:hAnsi="Segoe UI"/>
                <w:b/>
                <w:noProof/>
                <w:color w:val="000000"/>
                <w:sz w:val="18"/>
              </w:rPr>
              <w:br/>
              <w:t xml:space="preserve">Liczba operatorów (liczba obiektów) </w:t>
            </w:r>
            <w:r w:rsidRPr="00595F42">
              <w:rPr>
                <w:rFonts w:ascii="Segoe UI" w:hAnsi="Segoe UI"/>
                <w:b/>
                <w:noProof/>
                <w:color w:val="000000"/>
                <w:sz w:val="18"/>
                <w:vertAlign w:val="superscript"/>
              </w:rPr>
              <w:t>[2]</w:t>
            </w:r>
          </w:p>
        </w:tc>
      </w:tr>
      <w:tr w:rsidR="00D160D3" w:rsidRPr="00595F42" w14:paraId="4D3555F8" w14:textId="77777777" w:rsidTr="00C24F0C">
        <w:trPr>
          <w:trHeight w:val="8"/>
        </w:trPr>
        <w:tc>
          <w:tcPr>
            <w:tcW w:w="957" w:type="dxa"/>
            <w:shd w:val="clear" w:color="auto" w:fill="E9E9E9"/>
            <w:tcMar>
              <w:top w:w="15" w:type="dxa"/>
              <w:left w:w="91" w:type="dxa"/>
              <w:bottom w:w="0" w:type="dxa"/>
              <w:right w:w="91" w:type="dxa"/>
            </w:tcMar>
            <w:vAlign w:val="center"/>
            <w:hideMark/>
          </w:tcPr>
          <w:p w14:paraId="3D6772A8"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AT</w:t>
            </w:r>
          </w:p>
        </w:tc>
        <w:tc>
          <w:tcPr>
            <w:tcW w:w="2835" w:type="dxa"/>
            <w:shd w:val="clear" w:color="auto" w:fill="E9E9E9"/>
            <w:tcMar>
              <w:top w:w="15" w:type="dxa"/>
              <w:left w:w="91" w:type="dxa"/>
              <w:bottom w:w="0" w:type="dxa"/>
              <w:right w:w="91" w:type="dxa"/>
            </w:tcMar>
            <w:vAlign w:val="center"/>
            <w:hideMark/>
          </w:tcPr>
          <w:p w14:paraId="3ED7DD1C"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c>
          <w:tcPr>
            <w:tcW w:w="2268" w:type="dxa"/>
            <w:shd w:val="clear" w:color="auto" w:fill="E9E9E9"/>
            <w:tcMar>
              <w:top w:w="15" w:type="dxa"/>
              <w:left w:w="91" w:type="dxa"/>
              <w:bottom w:w="0" w:type="dxa"/>
              <w:right w:w="91" w:type="dxa"/>
            </w:tcMar>
            <w:vAlign w:val="center"/>
            <w:hideMark/>
          </w:tcPr>
          <w:p w14:paraId="7A4A46D9"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3 (7)</w:t>
            </w:r>
          </w:p>
        </w:tc>
        <w:tc>
          <w:tcPr>
            <w:tcW w:w="1843" w:type="dxa"/>
            <w:shd w:val="clear" w:color="auto" w:fill="E9E9E9"/>
            <w:tcMar>
              <w:top w:w="15" w:type="dxa"/>
              <w:left w:w="91" w:type="dxa"/>
              <w:bottom w:w="0" w:type="dxa"/>
              <w:right w:w="91" w:type="dxa"/>
            </w:tcMar>
            <w:vAlign w:val="center"/>
            <w:hideMark/>
          </w:tcPr>
          <w:p w14:paraId="0E8CDE35"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4 (8)</w:t>
            </w:r>
          </w:p>
        </w:tc>
      </w:tr>
      <w:tr w:rsidR="00D160D3" w:rsidRPr="00595F42" w14:paraId="780EDBAC" w14:textId="77777777" w:rsidTr="00C24F0C">
        <w:trPr>
          <w:trHeight w:val="8"/>
        </w:trPr>
        <w:tc>
          <w:tcPr>
            <w:tcW w:w="957" w:type="dxa"/>
            <w:tcMar>
              <w:top w:w="15" w:type="dxa"/>
              <w:left w:w="91" w:type="dxa"/>
              <w:bottom w:w="0" w:type="dxa"/>
              <w:right w:w="91" w:type="dxa"/>
            </w:tcMar>
            <w:vAlign w:val="center"/>
            <w:hideMark/>
          </w:tcPr>
          <w:p w14:paraId="122FE636"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BE</w:t>
            </w:r>
          </w:p>
        </w:tc>
        <w:tc>
          <w:tcPr>
            <w:tcW w:w="2835" w:type="dxa"/>
            <w:tcMar>
              <w:top w:w="15" w:type="dxa"/>
              <w:left w:w="91" w:type="dxa"/>
              <w:bottom w:w="0" w:type="dxa"/>
              <w:right w:w="91" w:type="dxa"/>
            </w:tcMar>
            <w:vAlign w:val="center"/>
            <w:hideMark/>
          </w:tcPr>
          <w:p w14:paraId="4571C7AB" w14:textId="489938A8"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c>
          <w:tcPr>
            <w:tcW w:w="2268" w:type="dxa"/>
            <w:tcMar>
              <w:top w:w="15" w:type="dxa"/>
              <w:left w:w="91" w:type="dxa"/>
              <w:bottom w:w="0" w:type="dxa"/>
              <w:right w:w="91" w:type="dxa"/>
            </w:tcMar>
            <w:vAlign w:val="center"/>
            <w:hideMark/>
          </w:tcPr>
          <w:p w14:paraId="3905BFB7"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tcMar>
              <w:top w:w="15" w:type="dxa"/>
              <w:left w:w="91" w:type="dxa"/>
              <w:bottom w:w="0" w:type="dxa"/>
              <w:right w:w="91" w:type="dxa"/>
            </w:tcMar>
            <w:vAlign w:val="center"/>
            <w:hideMark/>
          </w:tcPr>
          <w:p w14:paraId="2C98AC18"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r>
      <w:tr w:rsidR="00D160D3" w:rsidRPr="00595F42" w14:paraId="538E1C0B" w14:textId="77777777" w:rsidTr="00C24F0C">
        <w:trPr>
          <w:trHeight w:val="8"/>
        </w:trPr>
        <w:tc>
          <w:tcPr>
            <w:tcW w:w="957" w:type="dxa"/>
            <w:shd w:val="clear" w:color="auto" w:fill="E9E9E9"/>
            <w:tcMar>
              <w:top w:w="15" w:type="dxa"/>
              <w:left w:w="91" w:type="dxa"/>
              <w:bottom w:w="0" w:type="dxa"/>
              <w:right w:w="91" w:type="dxa"/>
            </w:tcMar>
            <w:vAlign w:val="center"/>
            <w:hideMark/>
          </w:tcPr>
          <w:p w14:paraId="6D0E5635"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BG</w:t>
            </w:r>
          </w:p>
        </w:tc>
        <w:tc>
          <w:tcPr>
            <w:tcW w:w="2835" w:type="dxa"/>
            <w:shd w:val="clear" w:color="auto" w:fill="E9E9E9"/>
            <w:tcMar>
              <w:top w:w="15" w:type="dxa"/>
              <w:left w:w="91" w:type="dxa"/>
              <w:bottom w:w="0" w:type="dxa"/>
              <w:right w:w="91" w:type="dxa"/>
            </w:tcMar>
            <w:vAlign w:val="center"/>
            <w:hideMark/>
          </w:tcPr>
          <w:p w14:paraId="6D9B691C" w14:textId="77777777" w:rsidR="00D160D3" w:rsidRPr="00595F42" w:rsidRDefault="00D160D3" w:rsidP="00C70B62">
            <w:pPr>
              <w:spacing w:after="0" w:line="240" w:lineRule="auto"/>
              <w:rPr>
                <w:rFonts w:ascii="Times New Roman" w:eastAsia="Times New Roman" w:hAnsi="Times New Roman" w:cs="Times New Roman"/>
                <w:noProof/>
                <w:sz w:val="18"/>
                <w:szCs w:val="18"/>
                <w:lang w:eastAsia="en-IE"/>
              </w:rPr>
            </w:pPr>
          </w:p>
        </w:tc>
        <w:tc>
          <w:tcPr>
            <w:tcW w:w="2268" w:type="dxa"/>
            <w:shd w:val="clear" w:color="auto" w:fill="E9E9E9"/>
            <w:tcMar>
              <w:top w:w="15" w:type="dxa"/>
              <w:left w:w="91" w:type="dxa"/>
              <w:bottom w:w="0" w:type="dxa"/>
              <w:right w:w="91" w:type="dxa"/>
            </w:tcMar>
            <w:vAlign w:val="center"/>
            <w:hideMark/>
          </w:tcPr>
          <w:p w14:paraId="7E1C4D1B"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c>
          <w:tcPr>
            <w:tcW w:w="1843" w:type="dxa"/>
            <w:shd w:val="clear" w:color="auto" w:fill="E9E9E9"/>
            <w:tcMar>
              <w:top w:w="15" w:type="dxa"/>
              <w:left w:w="91" w:type="dxa"/>
              <w:bottom w:w="0" w:type="dxa"/>
              <w:right w:w="91" w:type="dxa"/>
            </w:tcMar>
            <w:vAlign w:val="center"/>
            <w:hideMark/>
          </w:tcPr>
          <w:p w14:paraId="1EC7016B"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r>
      <w:tr w:rsidR="00D160D3" w:rsidRPr="00595F42" w14:paraId="312CFCA5" w14:textId="77777777" w:rsidTr="00C24F0C">
        <w:trPr>
          <w:trHeight w:val="8"/>
        </w:trPr>
        <w:tc>
          <w:tcPr>
            <w:tcW w:w="957" w:type="dxa"/>
            <w:tcMar>
              <w:top w:w="15" w:type="dxa"/>
              <w:left w:w="91" w:type="dxa"/>
              <w:bottom w:w="0" w:type="dxa"/>
              <w:right w:w="91" w:type="dxa"/>
            </w:tcMar>
            <w:vAlign w:val="center"/>
            <w:hideMark/>
          </w:tcPr>
          <w:p w14:paraId="0DD6B85A"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CZ</w:t>
            </w:r>
          </w:p>
        </w:tc>
        <w:tc>
          <w:tcPr>
            <w:tcW w:w="2835" w:type="dxa"/>
            <w:tcMar>
              <w:top w:w="15" w:type="dxa"/>
              <w:left w:w="91" w:type="dxa"/>
              <w:bottom w:w="0" w:type="dxa"/>
              <w:right w:w="91" w:type="dxa"/>
            </w:tcMar>
            <w:vAlign w:val="center"/>
            <w:hideMark/>
          </w:tcPr>
          <w:p w14:paraId="02D789A4" w14:textId="77777777" w:rsidR="00D160D3" w:rsidRPr="00595F42" w:rsidRDefault="00D160D3" w:rsidP="00C70B62">
            <w:pPr>
              <w:spacing w:after="0" w:line="240" w:lineRule="auto"/>
              <w:rPr>
                <w:rFonts w:ascii="Times New Roman" w:eastAsia="Times New Roman" w:hAnsi="Times New Roman" w:cs="Times New Roman"/>
                <w:noProof/>
                <w:sz w:val="18"/>
                <w:szCs w:val="18"/>
                <w:lang w:eastAsia="en-IE"/>
              </w:rPr>
            </w:pPr>
          </w:p>
        </w:tc>
        <w:tc>
          <w:tcPr>
            <w:tcW w:w="2268" w:type="dxa"/>
            <w:tcMar>
              <w:top w:w="15" w:type="dxa"/>
              <w:left w:w="91" w:type="dxa"/>
              <w:bottom w:w="0" w:type="dxa"/>
              <w:right w:w="91" w:type="dxa"/>
            </w:tcMar>
            <w:vAlign w:val="center"/>
            <w:hideMark/>
          </w:tcPr>
          <w:p w14:paraId="21C818A5"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4 (9)</w:t>
            </w:r>
          </w:p>
        </w:tc>
        <w:tc>
          <w:tcPr>
            <w:tcW w:w="1843" w:type="dxa"/>
            <w:tcMar>
              <w:top w:w="15" w:type="dxa"/>
              <w:left w:w="91" w:type="dxa"/>
              <w:bottom w:w="0" w:type="dxa"/>
              <w:right w:w="91" w:type="dxa"/>
            </w:tcMar>
            <w:vAlign w:val="center"/>
            <w:hideMark/>
          </w:tcPr>
          <w:p w14:paraId="14663C88"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4 (9)</w:t>
            </w:r>
          </w:p>
        </w:tc>
      </w:tr>
      <w:tr w:rsidR="00D160D3" w:rsidRPr="00595F42" w14:paraId="3601EC7D" w14:textId="77777777" w:rsidTr="00C24F0C">
        <w:trPr>
          <w:trHeight w:val="8"/>
        </w:trPr>
        <w:tc>
          <w:tcPr>
            <w:tcW w:w="957" w:type="dxa"/>
            <w:shd w:val="clear" w:color="auto" w:fill="E9E9E9"/>
            <w:tcMar>
              <w:top w:w="15" w:type="dxa"/>
              <w:left w:w="91" w:type="dxa"/>
              <w:bottom w:w="0" w:type="dxa"/>
              <w:right w:w="91" w:type="dxa"/>
            </w:tcMar>
            <w:vAlign w:val="center"/>
            <w:hideMark/>
          </w:tcPr>
          <w:p w14:paraId="25E50FDC"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DE</w:t>
            </w:r>
          </w:p>
        </w:tc>
        <w:tc>
          <w:tcPr>
            <w:tcW w:w="2835" w:type="dxa"/>
            <w:shd w:val="clear" w:color="auto" w:fill="E9E9E9"/>
            <w:tcMar>
              <w:top w:w="15" w:type="dxa"/>
              <w:left w:w="91" w:type="dxa"/>
              <w:bottom w:w="0" w:type="dxa"/>
              <w:right w:w="91" w:type="dxa"/>
            </w:tcMar>
            <w:vAlign w:val="center"/>
            <w:hideMark/>
          </w:tcPr>
          <w:p w14:paraId="53F64323" w14:textId="77777777" w:rsidR="00D160D3" w:rsidRPr="00595F42" w:rsidRDefault="00D160D3" w:rsidP="00C70B62">
            <w:pPr>
              <w:spacing w:after="0" w:line="240" w:lineRule="auto"/>
              <w:rPr>
                <w:rFonts w:ascii="Times New Roman" w:eastAsia="Times New Roman" w:hAnsi="Times New Roman" w:cs="Times New Roman"/>
                <w:noProof/>
                <w:sz w:val="18"/>
                <w:szCs w:val="18"/>
                <w:lang w:eastAsia="en-IE"/>
              </w:rPr>
            </w:pPr>
          </w:p>
        </w:tc>
        <w:tc>
          <w:tcPr>
            <w:tcW w:w="2268" w:type="dxa"/>
            <w:shd w:val="clear" w:color="auto" w:fill="E9E9E9"/>
            <w:tcMar>
              <w:top w:w="15" w:type="dxa"/>
              <w:left w:w="91" w:type="dxa"/>
              <w:bottom w:w="0" w:type="dxa"/>
              <w:right w:w="91" w:type="dxa"/>
            </w:tcMar>
            <w:vAlign w:val="center"/>
            <w:hideMark/>
          </w:tcPr>
          <w:p w14:paraId="297A8775"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25 (50)</w:t>
            </w:r>
          </w:p>
        </w:tc>
        <w:tc>
          <w:tcPr>
            <w:tcW w:w="1843" w:type="dxa"/>
            <w:shd w:val="clear" w:color="auto" w:fill="E9E9E9"/>
            <w:tcMar>
              <w:top w:w="15" w:type="dxa"/>
              <w:left w:w="91" w:type="dxa"/>
              <w:bottom w:w="0" w:type="dxa"/>
              <w:right w:w="91" w:type="dxa"/>
            </w:tcMar>
            <w:vAlign w:val="center"/>
            <w:hideMark/>
          </w:tcPr>
          <w:p w14:paraId="5CAB6300"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25 (50)</w:t>
            </w:r>
          </w:p>
        </w:tc>
      </w:tr>
      <w:tr w:rsidR="00D160D3" w:rsidRPr="00595F42" w14:paraId="58F2317B" w14:textId="77777777" w:rsidTr="00C24F0C">
        <w:trPr>
          <w:trHeight w:val="8"/>
        </w:trPr>
        <w:tc>
          <w:tcPr>
            <w:tcW w:w="957" w:type="dxa"/>
            <w:tcMar>
              <w:top w:w="15" w:type="dxa"/>
              <w:left w:w="91" w:type="dxa"/>
              <w:bottom w:w="0" w:type="dxa"/>
              <w:right w:w="91" w:type="dxa"/>
            </w:tcMar>
            <w:vAlign w:val="center"/>
            <w:hideMark/>
          </w:tcPr>
          <w:p w14:paraId="02DA4A0F"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DK</w:t>
            </w:r>
          </w:p>
        </w:tc>
        <w:tc>
          <w:tcPr>
            <w:tcW w:w="2835" w:type="dxa"/>
            <w:tcMar>
              <w:top w:w="15" w:type="dxa"/>
              <w:left w:w="91" w:type="dxa"/>
              <w:bottom w:w="0" w:type="dxa"/>
              <w:right w:w="91" w:type="dxa"/>
            </w:tcMar>
            <w:vAlign w:val="center"/>
            <w:hideMark/>
          </w:tcPr>
          <w:p w14:paraId="4592E29F"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(2)</w:t>
            </w:r>
          </w:p>
        </w:tc>
        <w:tc>
          <w:tcPr>
            <w:tcW w:w="2268" w:type="dxa"/>
            <w:tcMar>
              <w:top w:w="15" w:type="dxa"/>
              <w:left w:w="91" w:type="dxa"/>
              <w:bottom w:w="0" w:type="dxa"/>
              <w:right w:w="91" w:type="dxa"/>
            </w:tcMar>
            <w:vAlign w:val="center"/>
            <w:hideMark/>
          </w:tcPr>
          <w:p w14:paraId="2F0CD561"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tcMar>
              <w:top w:w="15" w:type="dxa"/>
              <w:left w:w="91" w:type="dxa"/>
              <w:bottom w:w="0" w:type="dxa"/>
              <w:right w:w="91" w:type="dxa"/>
            </w:tcMar>
            <w:vAlign w:val="center"/>
            <w:hideMark/>
          </w:tcPr>
          <w:p w14:paraId="1A62BCD0"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(2)</w:t>
            </w:r>
          </w:p>
        </w:tc>
      </w:tr>
      <w:tr w:rsidR="00D160D3" w:rsidRPr="00595F42" w14:paraId="4B9BE981" w14:textId="77777777" w:rsidTr="00C24F0C">
        <w:trPr>
          <w:trHeight w:val="8"/>
        </w:trPr>
        <w:tc>
          <w:tcPr>
            <w:tcW w:w="957" w:type="dxa"/>
            <w:shd w:val="clear" w:color="auto" w:fill="E9E9E9"/>
            <w:tcMar>
              <w:top w:w="15" w:type="dxa"/>
              <w:left w:w="91" w:type="dxa"/>
              <w:bottom w:w="0" w:type="dxa"/>
              <w:right w:w="91" w:type="dxa"/>
            </w:tcMar>
            <w:vAlign w:val="center"/>
            <w:hideMark/>
          </w:tcPr>
          <w:p w14:paraId="5E61252E"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ES</w:t>
            </w:r>
          </w:p>
        </w:tc>
        <w:tc>
          <w:tcPr>
            <w:tcW w:w="2835" w:type="dxa"/>
            <w:shd w:val="clear" w:color="auto" w:fill="E9E9E9"/>
            <w:tcMar>
              <w:top w:w="15" w:type="dxa"/>
              <w:left w:w="91" w:type="dxa"/>
              <w:bottom w:w="0" w:type="dxa"/>
              <w:right w:w="91" w:type="dxa"/>
            </w:tcMar>
            <w:vAlign w:val="center"/>
            <w:hideMark/>
          </w:tcPr>
          <w:p w14:paraId="5168D43C"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2 (4)</w:t>
            </w:r>
          </w:p>
        </w:tc>
        <w:tc>
          <w:tcPr>
            <w:tcW w:w="2268" w:type="dxa"/>
            <w:shd w:val="clear" w:color="auto" w:fill="E9E9E9"/>
            <w:tcMar>
              <w:top w:w="15" w:type="dxa"/>
              <w:left w:w="91" w:type="dxa"/>
              <w:bottom w:w="0" w:type="dxa"/>
              <w:right w:w="91" w:type="dxa"/>
            </w:tcMar>
            <w:vAlign w:val="center"/>
            <w:hideMark/>
          </w:tcPr>
          <w:p w14:paraId="3DA2D199"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shd w:val="clear" w:color="auto" w:fill="E9E9E9"/>
            <w:tcMar>
              <w:top w:w="15" w:type="dxa"/>
              <w:left w:w="91" w:type="dxa"/>
              <w:bottom w:w="0" w:type="dxa"/>
              <w:right w:w="91" w:type="dxa"/>
            </w:tcMar>
            <w:vAlign w:val="center"/>
            <w:hideMark/>
          </w:tcPr>
          <w:p w14:paraId="2A4F9F38"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2 (4)</w:t>
            </w:r>
          </w:p>
        </w:tc>
      </w:tr>
      <w:tr w:rsidR="00D160D3" w:rsidRPr="00595F42" w14:paraId="72D32506" w14:textId="77777777" w:rsidTr="00C24F0C">
        <w:trPr>
          <w:trHeight w:val="8"/>
        </w:trPr>
        <w:tc>
          <w:tcPr>
            <w:tcW w:w="957" w:type="dxa"/>
            <w:tcMar>
              <w:top w:w="15" w:type="dxa"/>
              <w:left w:w="91" w:type="dxa"/>
              <w:bottom w:w="0" w:type="dxa"/>
              <w:right w:w="91" w:type="dxa"/>
            </w:tcMar>
            <w:vAlign w:val="center"/>
            <w:hideMark/>
          </w:tcPr>
          <w:p w14:paraId="3759E29D"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FR</w:t>
            </w:r>
          </w:p>
        </w:tc>
        <w:tc>
          <w:tcPr>
            <w:tcW w:w="2835" w:type="dxa"/>
            <w:tcMar>
              <w:top w:w="15" w:type="dxa"/>
              <w:left w:w="91" w:type="dxa"/>
              <w:bottom w:w="0" w:type="dxa"/>
              <w:right w:w="91" w:type="dxa"/>
            </w:tcMar>
            <w:vAlign w:val="center"/>
            <w:hideMark/>
          </w:tcPr>
          <w:p w14:paraId="4CAFF972" w14:textId="78D9268E"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3 (16)</w:t>
            </w:r>
          </w:p>
        </w:tc>
        <w:tc>
          <w:tcPr>
            <w:tcW w:w="2268" w:type="dxa"/>
            <w:tcMar>
              <w:top w:w="15" w:type="dxa"/>
              <w:left w:w="91" w:type="dxa"/>
              <w:bottom w:w="0" w:type="dxa"/>
              <w:right w:w="91" w:type="dxa"/>
            </w:tcMar>
            <w:vAlign w:val="center"/>
            <w:hideMark/>
          </w:tcPr>
          <w:p w14:paraId="16015678"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tcMar>
              <w:top w:w="15" w:type="dxa"/>
              <w:left w:w="91" w:type="dxa"/>
              <w:bottom w:w="0" w:type="dxa"/>
              <w:right w:w="91" w:type="dxa"/>
            </w:tcMar>
            <w:vAlign w:val="center"/>
            <w:hideMark/>
          </w:tcPr>
          <w:p w14:paraId="4C5EFB15"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3 (16)</w:t>
            </w:r>
          </w:p>
        </w:tc>
      </w:tr>
      <w:tr w:rsidR="00D160D3" w:rsidRPr="00595F42" w14:paraId="28557E81" w14:textId="77777777" w:rsidTr="00C24F0C">
        <w:trPr>
          <w:trHeight w:val="8"/>
        </w:trPr>
        <w:tc>
          <w:tcPr>
            <w:tcW w:w="957" w:type="dxa"/>
            <w:shd w:val="clear" w:color="auto" w:fill="E9E9E9"/>
            <w:tcMar>
              <w:top w:w="15" w:type="dxa"/>
              <w:left w:w="91" w:type="dxa"/>
              <w:bottom w:w="0" w:type="dxa"/>
              <w:right w:w="91" w:type="dxa"/>
            </w:tcMar>
            <w:vAlign w:val="center"/>
            <w:hideMark/>
          </w:tcPr>
          <w:p w14:paraId="29405390"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HR</w:t>
            </w:r>
          </w:p>
        </w:tc>
        <w:tc>
          <w:tcPr>
            <w:tcW w:w="2835" w:type="dxa"/>
            <w:shd w:val="clear" w:color="auto" w:fill="E9E9E9"/>
            <w:tcMar>
              <w:top w:w="15" w:type="dxa"/>
              <w:left w:w="91" w:type="dxa"/>
              <w:bottom w:w="0" w:type="dxa"/>
              <w:right w:w="91" w:type="dxa"/>
            </w:tcMar>
            <w:vAlign w:val="center"/>
            <w:hideMark/>
          </w:tcPr>
          <w:p w14:paraId="5DF36A65" w14:textId="3A34A85A"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c>
          <w:tcPr>
            <w:tcW w:w="2268" w:type="dxa"/>
            <w:shd w:val="clear" w:color="auto" w:fill="E9E9E9"/>
            <w:tcMar>
              <w:top w:w="15" w:type="dxa"/>
              <w:left w:w="91" w:type="dxa"/>
              <w:bottom w:w="0" w:type="dxa"/>
              <w:right w:w="91" w:type="dxa"/>
            </w:tcMar>
            <w:vAlign w:val="center"/>
            <w:hideMark/>
          </w:tcPr>
          <w:p w14:paraId="5E45862C"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shd w:val="clear" w:color="auto" w:fill="E9E9E9"/>
            <w:tcMar>
              <w:top w:w="15" w:type="dxa"/>
              <w:left w:w="91" w:type="dxa"/>
              <w:bottom w:w="0" w:type="dxa"/>
              <w:right w:w="91" w:type="dxa"/>
            </w:tcMar>
            <w:vAlign w:val="center"/>
            <w:hideMark/>
          </w:tcPr>
          <w:p w14:paraId="2C392BE3"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r>
      <w:tr w:rsidR="00D160D3" w:rsidRPr="00595F42" w14:paraId="0819F79E" w14:textId="77777777" w:rsidTr="00C24F0C">
        <w:trPr>
          <w:trHeight w:val="8"/>
        </w:trPr>
        <w:tc>
          <w:tcPr>
            <w:tcW w:w="957" w:type="dxa"/>
            <w:tcMar>
              <w:top w:w="15" w:type="dxa"/>
              <w:left w:w="91" w:type="dxa"/>
              <w:bottom w:w="0" w:type="dxa"/>
              <w:right w:w="91" w:type="dxa"/>
            </w:tcMar>
            <w:vAlign w:val="center"/>
            <w:hideMark/>
          </w:tcPr>
          <w:p w14:paraId="72E2E8F0"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HU</w:t>
            </w:r>
          </w:p>
        </w:tc>
        <w:tc>
          <w:tcPr>
            <w:tcW w:w="2835" w:type="dxa"/>
            <w:tcMar>
              <w:top w:w="15" w:type="dxa"/>
              <w:left w:w="91" w:type="dxa"/>
              <w:bottom w:w="0" w:type="dxa"/>
              <w:right w:w="91" w:type="dxa"/>
            </w:tcMar>
            <w:vAlign w:val="center"/>
            <w:hideMark/>
          </w:tcPr>
          <w:p w14:paraId="0DCCA172" w14:textId="3DA9155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2 (5)</w:t>
            </w:r>
          </w:p>
        </w:tc>
        <w:tc>
          <w:tcPr>
            <w:tcW w:w="2268" w:type="dxa"/>
            <w:tcMar>
              <w:top w:w="15" w:type="dxa"/>
              <w:left w:w="91" w:type="dxa"/>
              <w:bottom w:w="0" w:type="dxa"/>
              <w:right w:w="91" w:type="dxa"/>
            </w:tcMar>
            <w:vAlign w:val="center"/>
            <w:hideMark/>
          </w:tcPr>
          <w:p w14:paraId="7E5A5326"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tcMar>
              <w:top w:w="15" w:type="dxa"/>
              <w:left w:w="91" w:type="dxa"/>
              <w:bottom w:w="0" w:type="dxa"/>
              <w:right w:w="91" w:type="dxa"/>
            </w:tcMar>
            <w:vAlign w:val="center"/>
            <w:hideMark/>
          </w:tcPr>
          <w:p w14:paraId="6A34D69B"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2 (5)</w:t>
            </w:r>
          </w:p>
        </w:tc>
      </w:tr>
      <w:tr w:rsidR="00D160D3" w:rsidRPr="00595F42" w14:paraId="4B5CBB56" w14:textId="77777777" w:rsidTr="00C24F0C">
        <w:trPr>
          <w:trHeight w:val="8"/>
        </w:trPr>
        <w:tc>
          <w:tcPr>
            <w:tcW w:w="957" w:type="dxa"/>
            <w:shd w:val="clear" w:color="auto" w:fill="E9E9E9"/>
            <w:tcMar>
              <w:top w:w="15" w:type="dxa"/>
              <w:left w:w="91" w:type="dxa"/>
              <w:bottom w:w="0" w:type="dxa"/>
              <w:right w:w="91" w:type="dxa"/>
            </w:tcMar>
            <w:vAlign w:val="center"/>
            <w:hideMark/>
          </w:tcPr>
          <w:p w14:paraId="673D0CD0"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IT</w:t>
            </w:r>
          </w:p>
        </w:tc>
        <w:tc>
          <w:tcPr>
            <w:tcW w:w="2835" w:type="dxa"/>
            <w:shd w:val="clear" w:color="auto" w:fill="E9E9E9"/>
            <w:tcMar>
              <w:top w:w="15" w:type="dxa"/>
              <w:left w:w="91" w:type="dxa"/>
              <w:bottom w:w="0" w:type="dxa"/>
              <w:right w:w="91" w:type="dxa"/>
            </w:tcMar>
            <w:vAlign w:val="center"/>
            <w:hideMark/>
          </w:tcPr>
          <w:p w14:paraId="193AABBA" w14:textId="77777777" w:rsidR="00D160D3" w:rsidRPr="00595F42" w:rsidRDefault="00D160D3" w:rsidP="00C70B62">
            <w:pPr>
              <w:spacing w:after="0" w:line="240" w:lineRule="auto"/>
              <w:rPr>
                <w:rFonts w:ascii="Times New Roman" w:eastAsia="Times New Roman" w:hAnsi="Times New Roman" w:cs="Times New Roman"/>
                <w:noProof/>
                <w:sz w:val="18"/>
                <w:szCs w:val="18"/>
                <w:lang w:eastAsia="en-IE"/>
              </w:rPr>
            </w:pPr>
          </w:p>
        </w:tc>
        <w:tc>
          <w:tcPr>
            <w:tcW w:w="2268" w:type="dxa"/>
            <w:shd w:val="clear" w:color="auto" w:fill="E9E9E9"/>
            <w:tcMar>
              <w:top w:w="15" w:type="dxa"/>
              <w:left w:w="91" w:type="dxa"/>
              <w:bottom w:w="0" w:type="dxa"/>
              <w:right w:w="91" w:type="dxa"/>
            </w:tcMar>
            <w:vAlign w:val="center"/>
            <w:hideMark/>
          </w:tcPr>
          <w:p w14:paraId="7ADACE37"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3 (13)</w:t>
            </w:r>
          </w:p>
        </w:tc>
        <w:tc>
          <w:tcPr>
            <w:tcW w:w="1843" w:type="dxa"/>
            <w:shd w:val="clear" w:color="auto" w:fill="E9E9E9"/>
            <w:tcMar>
              <w:top w:w="15" w:type="dxa"/>
              <w:left w:w="91" w:type="dxa"/>
              <w:bottom w:w="0" w:type="dxa"/>
              <w:right w:w="91" w:type="dxa"/>
            </w:tcMar>
            <w:vAlign w:val="center"/>
            <w:hideMark/>
          </w:tcPr>
          <w:p w14:paraId="37261768"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3 (13)</w:t>
            </w:r>
          </w:p>
        </w:tc>
      </w:tr>
      <w:tr w:rsidR="00D160D3" w:rsidRPr="00595F42" w14:paraId="5095E243" w14:textId="77777777" w:rsidTr="00C24F0C">
        <w:trPr>
          <w:trHeight w:val="8"/>
        </w:trPr>
        <w:tc>
          <w:tcPr>
            <w:tcW w:w="957" w:type="dxa"/>
            <w:tcMar>
              <w:top w:w="15" w:type="dxa"/>
              <w:left w:w="91" w:type="dxa"/>
              <w:bottom w:w="0" w:type="dxa"/>
              <w:right w:w="91" w:type="dxa"/>
            </w:tcMar>
            <w:vAlign w:val="center"/>
            <w:hideMark/>
          </w:tcPr>
          <w:p w14:paraId="3F8BA1D1"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LV</w:t>
            </w:r>
          </w:p>
        </w:tc>
        <w:tc>
          <w:tcPr>
            <w:tcW w:w="2835" w:type="dxa"/>
            <w:tcMar>
              <w:top w:w="15" w:type="dxa"/>
              <w:left w:w="91" w:type="dxa"/>
              <w:bottom w:w="0" w:type="dxa"/>
              <w:right w:w="91" w:type="dxa"/>
            </w:tcMar>
            <w:vAlign w:val="center"/>
            <w:hideMark/>
          </w:tcPr>
          <w:p w14:paraId="21867F58"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c>
          <w:tcPr>
            <w:tcW w:w="2268" w:type="dxa"/>
            <w:tcMar>
              <w:top w:w="15" w:type="dxa"/>
              <w:left w:w="91" w:type="dxa"/>
              <w:bottom w:w="0" w:type="dxa"/>
              <w:right w:w="91" w:type="dxa"/>
            </w:tcMar>
            <w:vAlign w:val="center"/>
            <w:hideMark/>
          </w:tcPr>
          <w:p w14:paraId="3FD0143B"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tcMar>
              <w:top w:w="15" w:type="dxa"/>
              <w:left w:w="91" w:type="dxa"/>
              <w:bottom w:w="0" w:type="dxa"/>
              <w:right w:w="91" w:type="dxa"/>
            </w:tcMar>
            <w:vAlign w:val="center"/>
            <w:hideMark/>
          </w:tcPr>
          <w:p w14:paraId="2CA4FD4B"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r>
      <w:tr w:rsidR="00D160D3" w:rsidRPr="00595F42" w14:paraId="23B62CEC" w14:textId="77777777" w:rsidTr="00C24F0C">
        <w:trPr>
          <w:trHeight w:val="8"/>
        </w:trPr>
        <w:tc>
          <w:tcPr>
            <w:tcW w:w="957" w:type="dxa"/>
            <w:shd w:val="clear" w:color="auto" w:fill="E9E9E9"/>
            <w:tcMar>
              <w:top w:w="15" w:type="dxa"/>
              <w:left w:w="91" w:type="dxa"/>
              <w:bottom w:w="0" w:type="dxa"/>
              <w:right w:w="91" w:type="dxa"/>
            </w:tcMar>
            <w:vAlign w:val="center"/>
            <w:hideMark/>
          </w:tcPr>
          <w:p w14:paraId="21161123"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NL</w:t>
            </w:r>
          </w:p>
        </w:tc>
        <w:tc>
          <w:tcPr>
            <w:tcW w:w="2835" w:type="dxa"/>
            <w:shd w:val="clear" w:color="auto" w:fill="E9E9E9"/>
            <w:tcMar>
              <w:top w:w="15" w:type="dxa"/>
              <w:left w:w="91" w:type="dxa"/>
              <w:bottom w:w="0" w:type="dxa"/>
              <w:right w:w="91" w:type="dxa"/>
            </w:tcMar>
            <w:vAlign w:val="center"/>
            <w:hideMark/>
          </w:tcPr>
          <w:p w14:paraId="12A9BB55" w14:textId="58EFE934"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themeColor="text1"/>
                <w:sz w:val="18"/>
              </w:rPr>
              <w:t>3 (4)</w:t>
            </w:r>
          </w:p>
        </w:tc>
        <w:tc>
          <w:tcPr>
            <w:tcW w:w="2268" w:type="dxa"/>
            <w:shd w:val="clear" w:color="auto" w:fill="E9E9E9"/>
            <w:tcMar>
              <w:top w:w="15" w:type="dxa"/>
              <w:left w:w="91" w:type="dxa"/>
              <w:bottom w:w="0" w:type="dxa"/>
              <w:right w:w="91" w:type="dxa"/>
            </w:tcMar>
            <w:vAlign w:val="center"/>
            <w:hideMark/>
          </w:tcPr>
          <w:p w14:paraId="148465CD"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(3)</w:t>
            </w:r>
          </w:p>
        </w:tc>
        <w:tc>
          <w:tcPr>
            <w:tcW w:w="1843" w:type="dxa"/>
            <w:shd w:val="clear" w:color="auto" w:fill="E9E9E9"/>
            <w:tcMar>
              <w:top w:w="15" w:type="dxa"/>
              <w:left w:w="91" w:type="dxa"/>
              <w:bottom w:w="0" w:type="dxa"/>
              <w:right w:w="91" w:type="dxa"/>
            </w:tcMar>
            <w:vAlign w:val="center"/>
            <w:hideMark/>
          </w:tcPr>
          <w:p w14:paraId="36422C9C"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4 (7)</w:t>
            </w:r>
          </w:p>
        </w:tc>
      </w:tr>
      <w:tr w:rsidR="00D160D3" w:rsidRPr="00595F42" w14:paraId="6097B744" w14:textId="77777777" w:rsidTr="00C24F0C">
        <w:trPr>
          <w:trHeight w:val="8"/>
        </w:trPr>
        <w:tc>
          <w:tcPr>
            <w:tcW w:w="957" w:type="dxa"/>
            <w:tcMar>
              <w:top w:w="15" w:type="dxa"/>
              <w:left w:w="91" w:type="dxa"/>
              <w:bottom w:w="0" w:type="dxa"/>
              <w:right w:w="91" w:type="dxa"/>
            </w:tcMar>
            <w:vAlign w:val="center"/>
            <w:hideMark/>
          </w:tcPr>
          <w:p w14:paraId="1EE621D1"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PL</w:t>
            </w:r>
          </w:p>
        </w:tc>
        <w:tc>
          <w:tcPr>
            <w:tcW w:w="2835" w:type="dxa"/>
            <w:tcMar>
              <w:top w:w="15" w:type="dxa"/>
              <w:left w:w="91" w:type="dxa"/>
              <w:bottom w:w="0" w:type="dxa"/>
              <w:right w:w="91" w:type="dxa"/>
            </w:tcMar>
            <w:vAlign w:val="center"/>
            <w:hideMark/>
          </w:tcPr>
          <w:p w14:paraId="4F238A34" w14:textId="1AA478E8"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(7)</w:t>
            </w:r>
          </w:p>
        </w:tc>
        <w:tc>
          <w:tcPr>
            <w:tcW w:w="2268" w:type="dxa"/>
            <w:tcMar>
              <w:top w:w="15" w:type="dxa"/>
              <w:left w:w="91" w:type="dxa"/>
              <w:bottom w:w="0" w:type="dxa"/>
              <w:right w:w="91" w:type="dxa"/>
            </w:tcMar>
            <w:vAlign w:val="center"/>
            <w:hideMark/>
          </w:tcPr>
          <w:p w14:paraId="2179D56B"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tcMar>
              <w:top w:w="15" w:type="dxa"/>
              <w:left w:w="91" w:type="dxa"/>
              <w:bottom w:w="0" w:type="dxa"/>
              <w:right w:w="91" w:type="dxa"/>
            </w:tcMar>
            <w:vAlign w:val="center"/>
            <w:hideMark/>
          </w:tcPr>
          <w:p w14:paraId="59FD2C42"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(7)</w:t>
            </w:r>
          </w:p>
        </w:tc>
      </w:tr>
      <w:tr w:rsidR="00D160D3" w:rsidRPr="00595F42" w14:paraId="1E717868" w14:textId="77777777" w:rsidTr="00C24F0C">
        <w:trPr>
          <w:trHeight w:val="8"/>
        </w:trPr>
        <w:tc>
          <w:tcPr>
            <w:tcW w:w="957" w:type="dxa"/>
            <w:shd w:val="clear" w:color="auto" w:fill="E9E9E9"/>
            <w:tcMar>
              <w:top w:w="15" w:type="dxa"/>
              <w:left w:w="91" w:type="dxa"/>
              <w:bottom w:w="0" w:type="dxa"/>
              <w:right w:w="91" w:type="dxa"/>
            </w:tcMar>
            <w:vAlign w:val="center"/>
            <w:hideMark/>
          </w:tcPr>
          <w:p w14:paraId="375E9CFF"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PT</w:t>
            </w:r>
          </w:p>
        </w:tc>
        <w:tc>
          <w:tcPr>
            <w:tcW w:w="2835" w:type="dxa"/>
            <w:shd w:val="clear" w:color="auto" w:fill="E9E9E9"/>
            <w:tcMar>
              <w:top w:w="15" w:type="dxa"/>
              <w:left w:w="91" w:type="dxa"/>
              <w:bottom w:w="0" w:type="dxa"/>
              <w:right w:w="91" w:type="dxa"/>
            </w:tcMar>
            <w:vAlign w:val="center"/>
            <w:hideMark/>
          </w:tcPr>
          <w:p w14:paraId="456F7DCA"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c>
          <w:tcPr>
            <w:tcW w:w="2268" w:type="dxa"/>
            <w:shd w:val="clear" w:color="auto" w:fill="E9E9E9"/>
            <w:tcMar>
              <w:top w:w="15" w:type="dxa"/>
              <w:left w:w="91" w:type="dxa"/>
              <w:bottom w:w="0" w:type="dxa"/>
              <w:right w:w="91" w:type="dxa"/>
            </w:tcMar>
            <w:vAlign w:val="center"/>
            <w:hideMark/>
          </w:tcPr>
          <w:p w14:paraId="61397EC7"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shd w:val="clear" w:color="auto" w:fill="E9E9E9"/>
            <w:tcMar>
              <w:top w:w="15" w:type="dxa"/>
              <w:left w:w="91" w:type="dxa"/>
              <w:bottom w:w="0" w:type="dxa"/>
              <w:right w:w="91" w:type="dxa"/>
            </w:tcMar>
            <w:vAlign w:val="center"/>
            <w:hideMark/>
          </w:tcPr>
          <w:p w14:paraId="75C194AC"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r>
      <w:tr w:rsidR="00D160D3" w:rsidRPr="00595F42" w14:paraId="6A1B8CF4" w14:textId="77777777" w:rsidTr="00C24F0C">
        <w:trPr>
          <w:trHeight w:val="8"/>
        </w:trPr>
        <w:tc>
          <w:tcPr>
            <w:tcW w:w="957" w:type="dxa"/>
            <w:tcMar>
              <w:top w:w="15" w:type="dxa"/>
              <w:left w:w="91" w:type="dxa"/>
              <w:bottom w:w="0" w:type="dxa"/>
              <w:right w:w="91" w:type="dxa"/>
            </w:tcMar>
            <w:vAlign w:val="center"/>
            <w:hideMark/>
          </w:tcPr>
          <w:p w14:paraId="0224F33E"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RO</w:t>
            </w:r>
          </w:p>
        </w:tc>
        <w:tc>
          <w:tcPr>
            <w:tcW w:w="2835" w:type="dxa"/>
            <w:tcMar>
              <w:top w:w="15" w:type="dxa"/>
              <w:left w:w="91" w:type="dxa"/>
              <w:bottom w:w="0" w:type="dxa"/>
              <w:right w:w="91" w:type="dxa"/>
            </w:tcMar>
            <w:vAlign w:val="center"/>
            <w:hideMark/>
          </w:tcPr>
          <w:p w14:paraId="7B586974"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themeColor="text1"/>
                <w:sz w:val="18"/>
              </w:rPr>
              <w:t>2 (6)</w:t>
            </w:r>
          </w:p>
        </w:tc>
        <w:tc>
          <w:tcPr>
            <w:tcW w:w="2268" w:type="dxa"/>
            <w:tcMar>
              <w:top w:w="15" w:type="dxa"/>
              <w:left w:w="91" w:type="dxa"/>
              <w:bottom w:w="0" w:type="dxa"/>
              <w:right w:w="91" w:type="dxa"/>
            </w:tcMar>
            <w:vAlign w:val="center"/>
            <w:hideMark/>
          </w:tcPr>
          <w:p w14:paraId="09D2798F"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tcMar>
              <w:top w:w="15" w:type="dxa"/>
              <w:left w:w="91" w:type="dxa"/>
              <w:bottom w:w="0" w:type="dxa"/>
              <w:right w:w="91" w:type="dxa"/>
            </w:tcMar>
            <w:vAlign w:val="center"/>
            <w:hideMark/>
          </w:tcPr>
          <w:p w14:paraId="6A8E2482"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2 (6)</w:t>
            </w:r>
          </w:p>
        </w:tc>
      </w:tr>
      <w:tr w:rsidR="00D160D3" w:rsidRPr="00595F42" w14:paraId="29CD0EEF" w14:textId="77777777" w:rsidTr="00C24F0C">
        <w:trPr>
          <w:trHeight w:val="8"/>
        </w:trPr>
        <w:tc>
          <w:tcPr>
            <w:tcW w:w="957" w:type="dxa"/>
            <w:shd w:val="clear" w:color="auto" w:fill="E9E9E9"/>
            <w:tcMar>
              <w:top w:w="15" w:type="dxa"/>
              <w:left w:w="91" w:type="dxa"/>
              <w:bottom w:w="0" w:type="dxa"/>
              <w:right w:w="91" w:type="dxa"/>
            </w:tcMar>
            <w:vAlign w:val="center"/>
            <w:hideMark/>
          </w:tcPr>
          <w:p w14:paraId="3DFB64E7"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SE</w:t>
            </w:r>
          </w:p>
        </w:tc>
        <w:tc>
          <w:tcPr>
            <w:tcW w:w="2835" w:type="dxa"/>
            <w:shd w:val="clear" w:color="auto" w:fill="E9E9E9"/>
            <w:tcMar>
              <w:top w:w="15" w:type="dxa"/>
              <w:left w:w="91" w:type="dxa"/>
              <w:bottom w:w="0" w:type="dxa"/>
              <w:right w:w="91" w:type="dxa"/>
            </w:tcMar>
            <w:vAlign w:val="center"/>
            <w:hideMark/>
          </w:tcPr>
          <w:p w14:paraId="6398A20E"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c>
          <w:tcPr>
            <w:tcW w:w="2268" w:type="dxa"/>
            <w:shd w:val="clear" w:color="auto" w:fill="E9E9E9"/>
            <w:tcMar>
              <w:top w:w="15" w:type="dxa"/>
              <w:left w:w="91" w:type="dxa"/>
              <w:bottom w:w="0" w:type="dxa"/>
              <w:right w:w="91" w:type="dxa"/>
            </w:tcMar>
            <w:vAlign w:val="center"/>
            <w:hideMark/>
          </w:tcPr>
          <w:p w14:paraId="718DE666"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shd w:val="clear" w:color="auto" w:fill="E9E9E9"/>
            <w:tcMar>
              <w:top w:w="15" w:type="dxa"/>
              <w:left w:w="91" w:type="dxa"/>
              <w:bottom w:w="0" w:type="dxa"/>
              <w:right w:w="91" w:type="dxa"/>
            </w:tcMar>
            <w:vAlign w:val="center"/>
            <w:hideMark/>
          </w:tcPr>
          <w:p w14:paraId="6BCCC5CC"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1 (1)</w:t>
            </w:r>
          </w:p>
        </w:tc>
      </w:tr>
      <w:tr w:rsidR="00D160D3" w:rsidRPr="00595F42" w14:paraId="087693F5" w14:textId="77777777" w:rsidTr="00C24F0C">
        <w:trPr>
          <w:trHeight w:val="8"/>
        </w:trPr>
        <w:tc>
          <w:tcPr>
            <w:tcW w:w="957" w:type="dxa"/>
            <w:tcMar>
              <w:top w:w="15" w:type="dxa"/>
              <w:left w:w="91" w:type="dxa"/>
              <w:bottom w:w="0" w:type="dxa"/>
              <w:right w:w="91" w:type="dxa"/>
            </w:tcMar>
            <w:vAlign w:val="center"/>
            <w:hideMark/>
          </w:tcPr>
          <w:p w14:paraId="3AC2A8FD" w14:textId="77777777" w:rsidR="00D160D3" w:rsidRPr="00595F42" w:rsidRDefault="00D160D3" w:rsidP="00C70B62">
            <w:pPr>
              <w:spacing w:after="0" w:line="240" w:lineRule="auto"/>
              <w:rPr>
                <w:rFonts w:ascii="Segoe UI" w:eastAsia="Calibri" w:hAnsi="Segoe UI" w:cs="Segoe UI"/>
                <w:noProof/>
                <w:color w:val="000000"/>
                <w:sz w:val="18"/>
                <w:szCs w:val="18"/>
              </w:rPr>
            </w:pPr>
            <w:r w:rsidRPr="00595F42">
              <w:rPr>
                <w:rFonts w:ascii="Segoe UI" w:hAnsi="Segoe UI"/>
                <w:b/>
                <w:noProof/>
                <w:color w:val="000000"/>
                <w:sz w:val="18"/>
              </w:rPr>
              <w:t>SK</w:t>
            </w:r>
          </w:p>
        </w:tc>
        <w:tc>
          <w:tcPr>
            <w:tcW w:w="2835" w:type="dxa"/>
            <w:tcMar>
              <w:top w:w="15" w:type="dxa"/>
              <w:left w:w="91" w:type="dxa"/>
              <w:bottom w:w="0" w:type="dxa"/>
              <w:right w:w="91" w:type="dxa"/>
            </w:tcMar>
            <w:vAlign w:val="center"/>
            <w:hideMark/>
          </w:tcPr>
          <w:p w14:paraId="32E69EE7" w14:textId="4B25555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themeColor="text1"/>
                <w:sz w:val="18"/>
              </w:rPr>
              <w:t>2 (2)</w:t>
            </w:r>
          </w:p>
        </w:tc>
        <w:tc>
          <w:tcPr>
            <w:tcW w:w="2268" w:type="dxa"/>
            <w:tcMar>
              <w:top w:w="15" w:type="dxa"/>
              <w:left w:w="91" w:type="dxa"/>
              <w:bottom w:w="0" w:type="dxa"/>
              <w:right w:w="91" w:type="dxa"/>
            </w:tcMar>
            <w:vAlign w:val="center"/>
            <w:hideMark/>
          </w:tcPr>
          <w:p w14:paraId="546ACED8" w14:textId="77777777" w:rsidR="00D160D3" w:rsidRPr="00595F42" w:rsidRDefault="00D160D3" w:rsidP="00C70B62">
            <w:pPr>
              <w:spacing w:after="0" w:line="240" w:lineRule="auto"/>
              <w:rPr>
                <w:rFonts w:ascii="Segoe UI" w:eastAsia="Calibri" w:hAnsi="Segoe UI" w:cs="Segoe UI"/>
                <w:noProof/>
                <w:color w:val="000000"/>
                <w:sz w:val="18"/>
                <w:szCs w:val="18"/>
              </w:rPr>
            </w:pPr>
          </w:p>
        </w:tc>
        <w:tc>
          <w:tcPr>
            <w:tcW w:w="1843" w:type="dxa"/>
            <w:tcMar>
              <w:top w:w="15" w:type="dxa"/>
              <w:left w:w="91" w:type="dxa"/>
              <w:bottom w:w="0" w:type="dxa"/>
              <w:right w:w="91" w:type="dxa"/>
            </w:tcMar>
            <w:vAlign w:val="center"/>
            <w:hideMark/>
          </w:tcPr>
          <w:p w14:paraId="208E26E3" w14:textId="77777777" w:rsidR="00D160D3" w:rsidRPr="00595F42" w:rsidRDefault="00D160D3" w:rsidP="00C70B62">
            <w:pPr>
              <w:spacing w:after="0" w:line="240" w:lineRule="auto"/>
              <w:jc w:val="center"/>
              <w:rPr>
                <w:rFonts w:ascii="Segoe UI" w:eastAsia="Calibri" w:hAnsi="Segoe UI" w:cs="Segoe UI"/>
                <w:noProof/>
                <w:color w:val="000000"/>
                <w:sz w:val="18"/>
                <w:szCs w:val="18"/>
              </w:rPr>
            </w:pPr>
            <w:r w:rsidRPr="00595F42">
              <w:rPr>
                <w:rFonts w:ascii="Segoe UI" w:hAnsi="Segoe UI"/>
                <w:noProof/>
                <w:color w:val="000000"/>
                <w:sz w:val="18"/>
              </w:rPr>
              <w:t>2 (2)</w:t>
            </w:r>
          </w:p>
        </w:tc>
      </w:tr>
      <w:tr w:rsidR="00D160D3" w:rsidRPr="00595F42" w14:paraId="569749AA" w14:textId="77777777" w:rsidTr="00C24F0C">
        <w:trPr>
          <w:trHeight w:val="8"/>
        </w:trPr>
        <w:tc>
          <w:tcPr>
            <w:tcW w:w="957" w:type="dxa"/>
            <w:tcBorders>
              <w:top w:val="nil"/>
              <w:left w:val="nil"/>
              <w:bottom w:val="single" w:sz="8" w:space="0" w:color="4D4D4D"/>
              <w:right w:val="nil"/>
            </w:tcBorders>
            <w:shd w:val="clear" w:color="auto" w:fill="E9E9E9"/>
            <w:tcMar>
              <w:top w:w="15" w:type="dxa"/>
              <w:left w:w="91" w:type="dxa"/>
              <w:bottom w:w="0" w:type="dxa"/>
              <w:right w:w="91" w:type="dxa"/>
            </w:tcMar>
            <w:vAlign w:val="center"/>
            <w:hideMark/>
          </w:tcPr>
          <w:p w14:paraId="4816C80A" w14:textId="77777777" w:rsidR="00D160D3" w:rsidRPr="00595F42" w:rsidRDefault="00D160D3" w:rsidP="00C70B62">
            <w:pPr>
              <w:spacing w:after="0" w:line="240" w:lineRule="auto"/>
              <w:rPr>
                <w:rFonts w:ascii="Segoe UI" w:eastAsia="Calibri" w:hAnsi="Segoe UI" w:cs="Segoe UI"/>
                <w:b/>
                <w:bCs/>
                <w:noProof/>
                <w:color w:val="000000"/>
                <w:sz w:val="18"/>
                <w:szCs w:val="18"/>
              </w:rPr>
            </w:pPr>
            <w:r w:rsidRPr="00595F42">
              <w:rPr>
                <w:rFonts w:ascii="Segoe UI" w:hAnsi="Segoe UI"/>
                <w:b/>
                <w:noProof/>
                <w:color w:val="000000"/>
                <w:sz w:val="18"/>
              </w:rPr>
              <w:t>OGÓŁEM</w:t>
            </w:r>
          </w:p>
        </w:tc>
        <w:tc>
          <w:tcPr>
            <w:tcW w:w="2835" w:type="dxa"/>
            <w:tcBorders>
              <w:top w:val="nil"/>
              <w:left w:val="nil"/>
              <w:bottom w:val="single" w:sz="8" w:space="0" w:color="4D4D4D"/>
              <w:right w:val="nil"/>
            </w:tcBorders>
            <w:shd w:val="clear" w:color="auto" w:fill="E9E9E9"/>
            <w:tcMar>
              <w:top w:w="15" w:type="dxa"/>
              <w:left w:w="91" w:type="dxa"/>
              <w:bottom w:w="0" w:type="dxa"/>
              <w:right w:w="91" w:type="dxa"/>
            </w:tcMar>
            <w:vAlign w:val="center"/>
            <w:hideMark/>
          </w:tcPr>
          <w:p w14:paraId="3383B73A" w14:textId="32BF2F01" w:rsidR="00D160D3" w:rsidRPr="00595F42" w:rsidRDefault="00D160D3" w:rsidP="00C70B62">
            <w:pPr>
              <w:spacing w:after="0" w:line="240" w:lineRule="auto"/>
              <w:jc w:val="center"/>
              <w:rPr>
                <w:rFonts w:ascii="Segoe UI" w:eastAsia="Calibri" w:hAnsi="Segoe UI" w:cs="Segoe UI"/>
                <w:b/>
                <w:bCs/>
                <w:noProof/>
                <w:color w:val="000000"/>
                <w:sz w:val="18"/>
                <w:szCs w:val="18"/>
              </w:rPr>
            </w:pPr>
            <w:r w:rsidRPr="00595F42">
              <w:rPr>
                <w:rFonts w:ascii="Segoe UI" w:hAnsi="Segoe UI"/>
                <w:b/>
                <w:noProof/>
                <w:color w:val="000000" w:themeColor="text1"/>
                <w:sz w:val="18"/>
              </w:rPr>
              <w:t>22 (52)</w:t>
            </w:r>
          </w:p>
        </w:tc>
        <w:tc>
          <w:tcPr>
            <w:tcW w:w="2268" w:type="dxa"/>
            <w:tcBorders>
              <w:top w:val="nil"/>
              <w:left w:val="nil"/>
              <w:bottom w:val="single" w:sz="8" w:space="0" w:color="4D4D4D"/>
              <w:right w:val="nil"/>
            </w:tcBorders>
            <w:shd w:val="clear" w:color="auto" w:fill="E9E9E9"/>
            <w:tcMar>
              <w:top w:w="15" w:type="dxa"/>
              <w:left w:w="91" w:type="dxa"/>
              <w:bottom w:w="0" w:type="dxa"/>
              <w:right w:w="91" w:type="dxa"/>
            </w:tcMar>
            <w:vAlign w:val="center"/>
            <w:hideMark/>
          </w:tcPr>
          <w:p w14:paraId="5F18F174" w14:textId="6B7B0138" w:rsidR="00D160D3" w:rsidRPr="00595F42" w:rsidRDefault="00D160D3" w:rsidP="00C70B62">
            <w:pPr>
              <w:spacing w:after="0" w:line="240" w:lineRule="auto"/>
              <w:jc w:val="center"/>
              <w:rPr>
                <w:rFonts w:ascii="Segoe UI" w:eastAsia="Calibri" w:hAnsi="Segoe UI" w:cs="Segoe UI"/>
                <w:b/>
                <w:bCs/>
                <w:noProof/>
                <w:color w:val="000000"/>
                <w:sz w:val="18"/>
                <w:szCs w:val="18"/>
              </w:rPr>
            </w:pPr>
            <w:r w:rsidRPr="00595F42">
              <w:rPr>
                <w:rFonts w:ascii="Segoe UI" w:hAnsi="Segoe UI"/>
                <w:b/>
                <w:noProof/>
                <w:color w:val="000000"/>
                <w:sz w:val="18"/>
              </w:rPr>
              <w:t>37 (83)</w:t>
            </w:r>
          </w:p>
        </w:tc>
        <w:tc>
          <w:tcPr>
            <w:tcW w:w="1843" w:type="dxa"/>
            <w:tcBorders>
              <w:top w:val="nil"/>
              <w:left w:val="nil"/>
              <w:bottom w:val="single" w:sz="8" w:space="0" w:color="4D4D4D"/>
              <w:right w:val="nil"/>
            </w:tcBorders>
            <w:shd w:val="clear" w:color="auto" w:fill="E9E9E9"/>
            <w:tcMar>
              <w:top w:w="15" w:type="dxa"/>
              <w:left w:w="91" w:type="dxa"/>
              <w:bottom w:w="0" w:type="dxa"/>
              <w:right w:w="91" w:type="dxa"/>
            </w:tcMar>
            <w:vAlign w:val="center"/>
            <w:hideMark/>
          </w:tcPr>
          <w:p w14:paraId="5AF3D09F" w14:textId="77777777" w:rsidR="00D160D3" w:rsidRPr="00595F42" w:rsidRDefault="00D160D3" w:rsidP="00C70B62">
            <w:pPr>
              <w:spacing w:after="0" w:line="240" w:lineRule="auto"/>
              <w:jc w:val="center"/>
              <w:rPr>
                <w:rFonts w:ascii="Segoe UI" w:eastAsia="Calibri" w:hAnsi="Segoe UI" w:cs="Segoe UI"/>
                <w:b/>
                <w:bCs/>
                <w:noProof/>
                <w:color w:val="000000"/>
                <w:sz w:val="18"/>
                <w:szCs w:val="18"/>
              </w:rPr>
            </w:pPr>
            <w:r w:rsidRPr="00595F42">
              <w:rPr>
                <w:rFonts w:ascii="Segoe UI" w:hAnsi="Segoe UI"/>
                <w:b/>
                <w:noProof/>
                <w:color w:val="000000"/>
                <w:sz w:val="18"/>
              </w:rPr>
              <w:t>59 (135)</w:t>
            </w:r>
          </w:p>
        </w:tc>
      </w:tr>
    </w:tbl>
    <w:p w14:paraId="4D3D352F" w14:textId="6CBF5E68" w:rsidR="00C70B62" w:rsidRPr="00595F42" w:rsidRDefault="00C70B62" w:rsidP="00C70B62">
      <w:pPr>
        <w:spacing w:after="0" w:line="240" w:lineRule="auto"/>
        <w:rPr>
          <w:rFonts w:ascii="Times New Roman" w:eastAsia="Calibri" w:hAnsi="Times New Roman" w:cs="Times New Roman"/>
          <w:noProof/>
          <w:color w:val="000000"/>
          <w:sz w:val="20"/>
          <w:szCs w:val="20"/>
        </w:rPr>
      </w:pPr>
    </w:p>
    <w:p w14:paraId="7A12E516" w14:textId="77777777" w:rsidR="00C70B62" w:rsidRPr="00595F42" w:rsidRDefault="00C70B62" w:rsidP="005D42B6">
      <w:pPr>
        <w:spacing w:after="80" w:line="257" w:lineRule="auto"/>
        <w:jc w:val="both"/>
        <w:rPr>
          <w:rFonts w:ascii="Times New Roman" w:eastAsia="Times New Roman" w:hAnsi="Times New Roman" w:cs="Times New Roman"/>
          <w:noProof/>
          <w:sz w:val="24"/>
          <w:szCs w:val="20"/>
          <w:lang w:eastAsia="en-IE"/>
        </w:rPr>
      </w:pPr>
    </w:p>
    <w:p w14:paraId="63BF6104" w14:textId="6074F686" w:rsidR="005D42B6" w:rsidRPr="00595F42" w:rsidRDefault="005D42B6" w:rsidP="005D42B6">
      <w:pPr>
        <w:spacing w:after="80" w:line="257" w:lineRule="auto"/>
        <w:jc w:val="both"/>
        <w:rPr>
          <w:rFonts w:ascii="Times New Roman" w:eastAsia="Times New Roman" w:hAnsi="Times New Roman" w:cs="Times New Roman"/>
          <w:noProof/>
          <w:sz w:val="24"/>
          <w:szCs w:val="24"/>
        </w:rPr>
      </w:pPr>
      <w:r w:rsidRPr="00595F42">
        <w:rPr>
          <w:rFonts w:ascii="Times New Roman" w:hAnsi="Times New Roman"/>
          <w:noProof/>
          <w:sz w:val="24"/>
        </w:rPr>
        <w:t>Aby wesprzeć państwa członkowskie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wyd</w:t>
      </w:r>
      <w:r w:rsidRPr="00595F42">
        <w:rPr>
          <w:rFonts w:ascii="Times New Roman" w:hAnsi="Times New Roman"/>
          <w:noProof/>
          <w:sz w:val="24"/>
        </w:rPr>
        <w:t>awaniu projektów certyfikacji, Komisja zorganizowała specjalne posiedzenia Grupy Koordynacyjnej ds. Gazu, aby zapewnić praktyczne wskazówki ubiegającym się</w:t>
      </w:r>
      <w:r w:rsidR="00595F42" w:rsidRPr="00595F42">
        <w:rPr>
          <w:rFonts w:ascii="Times New Roman" w:hAnsi="Times New Roman"/>
          <w:noProof/>
          <w:sz w:val="24"/>
        </w:rPr>
        <w:t xml:space="preserve"> o</w:t>
      </w:r>
      <w:r w:rsidR="00595F42">
        <w:rPr>
          <w:rFonts w:ascii="Times New Roman" w:hAnsi="Times New Roman"/>
          <w:noProof/>
          <w:sz w:val="24"/>
        </w:rPr>
        <w:t> </w:t>
      </w:r>
      <w:r w:rsidR="00595F42" w:rsidRPr="00595F42">
        <w:rPr>
          <w:rFonts w:ascii="Times New Roman" w:hAnsi="Times New Roman"/>
          <w:noProof/>
          <w:sz w:val="24"/>
        </w:rPr>
        <w:t>cer</w:t>
      </w:r>
      <w:r w:rsidRPr="00595F42">
        <w:rPr>
          <w:rFonts w:ascii="Times New Roman" w:hAnsi="Times New Roman"/>
          <w:noProof/>
          <w:sz w:val="24"/>
        </w:rPr>
        <w:t>tyfikację operatorom systemu magazynowania</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wła</w:t>
      </w:r>
      <w:r w:rsidRPr="00595F42">
        <w:rPr>
          <w:rFonts w:ascii="Times New Roman" w:hAnsi="Times New Roman"/>
          <w:noProof/>
          <w:sz w:val="24"/>
        </w:rPr>
        <w:t xml:space="preserve">ścicielom instalacji magazynowania gazu. Komisja zwróciła uwagę, że certyfikacja powinna przyczynić się do zmniejszenia zagrożenia dla bezpieczeństwa dostaw gazu na poziomie regionalnym, krajowym, lub ogólnounijnym, wynikającego między innymi z: </w:t>
      </w:r>
    </w:p>
    <w:p w14:paraId="3FF9BFF4" w14:textId="509A7E5F" w:rsidR="005D42B6" w:rsidRPr="00595F42" w:rsidRDefault="005D42B6" w:rsidP="001F044F">
      <w:pPr>
        <w:pStyle w:val="ListParagraph"/>
        <w:numPr>
          <w:ilvl w:val="0"/>
          <w:numId w:val="39"/>
        </w:numPr>
        <w:spacing w:after="80" w:line="257" w:lineRule="auto"/>
        <w:jc w:val="both"/>
        <w:rPr>
          <w:rFonts w:ascii="Times New Roman" w:eastAsia="Times New Roman" w:hAnsi="Times New Roman" w:cs="Times New Roman"/>
          <w:noProof/>
          <w:sz w:val="24"/>
          <w:szCs w:val="20"/>
        </w:rPr>
      </w:pPr>
      <w:r w:rsidRPr="00595F42">
        <w:rPr>
          <w:rFonts w:ascii="Times New Roman" w:hAnsi="Times New Roman"/>
          <w:noProof/>
          <w:sz w:val="24"/>
        </w:rPr>
        <w:t>własności, dostaw lub innych stosunków handlowych, które mogłyby negatywnie wpłynąć na motywację</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zdo</w:t>
      </w:r>
      <w:r w:rsidRPr="00595F42">
        <w:rPr>
          <w:rFonts w:ascii="Times New Roman" w:hAnsi="Times New Roman"/>
          <w:noProof/>
          <w:sz w:val="24"/>
        </w:rPr>
        <w:t>lność operatora systemu magazynowania do napełnienia podziemnego magazynu gazu;</w:t>
      </w:r>
    </w:p>
    <w:p w14:paraId="6B45C3E3" w14:textId="1FFEE10B" w:rsidR="005D42B6" w:rsidRPr="00595F42" w:rsidRDefault="005D42B6" w:rsidP="001F044F">
      <w:pPr>
        <w:pStyle w:val="ListParagraph"/>
        <w:numPr>
          <w:ilvl w:val="0"/>
          <w:numId w:val="39"/>
        </w:numPr>
        <w:spacing w:after="80" w:line="257" w:lineRule="auto"/>
        <w:jc w:val="both"/>
        <w:rPr>
          <w:rFonts w:ascii="Times New Roman" w:eastAsia="Times New Roman" w:hAnsi="Times New Roman" w:cs="Times New Roman"/>
          <w:noProof/>
          <w:sz w:val="24"/>
          <w:szCs w:val="24"/>
        </w:rPr>
      </w:pPr>
      <w:r w:rsidRPr="00595F42">
        <w:rPr>
          <w:rFonts w:ascii="Times New Roman" w:hAnsi="Times New Roman"/>
          <w:noProof/>
          <w:sz w:val="24"/>
        </w:rPr>
        <w:t>praw</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zob</w:t>
      </w:r>
      <w:r w:rsidRPr="00595F42">
        <w:rPr>
          <w:rFonts w:ascii="Times New Roman" w:hAnsi="Times New Roman"/>
          <w:noProof/>
          <w:sz w:val="24"/>
        </w:rPr>
        <w:t>owiązań Unii wobec państwa trzeciego, wynikających</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pra</w:t>
      </w:r>
      <w:r w:rsidRPr="00595F42">
        <w:rPr>
          <w:rFonts w:ascii="Times New Roman" w:hAnsi="Times New Roman"/>
          <w:noProof/>
          <w:sz w:val="24"/>
        </w:rPr>
        <w:t>wa międzynarodowego,</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tym</w:t>
      </w:r>
      <w:r w:rsidRPr="00595F42">
        <w:rPr>
          <w:rFonts w:ascii="Times New Roman" w:hAnsi="Times New Roman"/>
          <w:noProof/>
          <w:sz w:val="24"/>
        </w:rPr>
        <w:t xml:space="preserve"> również</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umo</w:t>
      </w:r>
      <w:r w:rsidRPr="00595F42">
        <w:rPr>
          <w:rFonts w:ascii="Times New Roman" w:hAnsi="Times New Roman"/>
          <w:noProof/>
          <w:sz w:val="24"/>
        </w:rPr>
        <w:t>wy zawartej</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jed</w:t>
      </w:r>
      <w:r w:rsidRPr="00595F42">
        <w:rPr>
          <w:rFonts w:ascii="Times New Roman" w:hAnsi="Times New Roman"/>
          <w:noProof/>
          <w:sz w:val="24"/>
        </w:rPr>
        <w:t>nym lub większą liczbą państw trzecich, której stroną jest Unia</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któ</w:t>
      </w:r>
      <w:r w:rsidRPr="00595F42">
        <w:rPr>
          <w:rFonts w:ascii="Times New Roman" w:hAnsi="Times New Roman"/>
          <w:noProof/>
          <w:sz w:val="24"/>
        </w:rPr>
        <w:t xml:space="preserve">ra dotyczy kwestii bezpieczeństwa dostaw energii; </w:t>
      </w:r>
    </w:p>
    <w:p w14:paraId="6E78C9E8" w14:textId="3C15C366" w:rsidR="005D42B6" w:rsidRPr="00595F42" w:rsidRDefault="005D42B6" w:rsidP="001F044F">
      <w:pPr>
        <w:pStyle w:val="ListParagraph"/>
        <w:numPr>
          <w:ilvl w:val="0"/>
          <w:numId w:val="39"/>
        </w:numPr>
        <w:spacing w:after="80" w:line="257" w:lineRule="auto"/>
        <w:jc w:val="both"/>
        <w:rPr>
          <w:rFonts w:ascii="Times New Roman" w:eastAsia="Times New Roman" w:hAnsi="Times New Roman" w:cs="Times New Roman"/>
          <w:noProof/>
          <w:sz w:val="24"/>
          <w:szCs w:val="20"/>
        </w:rPr>
      </w:pPr>
      <w:r w:rsidRPr="00595F42">
        <w:rPr>
          <w:rFonts w:ascii="Times New Roman" w:hAnsi="Times New Roman"/>
          <w:noProof/>
          <w:sz w:val="24"/>
        </w:rPr>
        <w:t>praw</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zob</w:t>
      </w:r>
      <w:r w:rsidRPr="00595F42">
        <w:rPr>
          <w:rFonts w:ascii="Times New Roman" w:hAnsi="Times New Roman"/>
          <w:noProof/>
          <w:sz w:val="24"/>
        </w:rPr>
        <w:t>owiązań danych państw członkowskich wobec państwa trzeciego, wynikających</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umó</w:t>
      </w:r>
      <w:r w:rsidRPr="00595F42">
        <w:rPr>
          <w:rFonts w:ascii="Times New Roman" w:hAnsi="Times New Roman"/>
          <w:noProof/>
          <w:sz w:val="24"/>
        </w:rPr>
        <w:t>w zawartych przez dane państwa członkowskie</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jed</w:t>
      </w:r>
      <w:r w:rsidRPr="00595F42">
        <w:rPr>
          <w:rFonts w:ascii="Times New Roman" w:hAnsi="Times New Roman"/>
          <w:noProof/>
          <w:sz w:val="24"/>
        </w:rPr>
        <w:t>nym lub większą liczbą państw trzecich,</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jak</w:t>
      </w:r>
      <w:r w:rsidRPr="00595F42">
        <w:rPr>
          <w:rFonts w:ascii="Times New Roman" w:hAnsi="Times New Roman"/>
          <w:noProof/>
          <w:sz w:val="24"/>
        </w:rPr>
        <w:t>im umowy te są zgodne</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pra</w:t>
      </w:r>
      <w:r w:rsidRPr="00595F42">
        <w:rPr>
          <w:rFonts w:ascii="Times New Roman" w:hAnsi="Times New Roman"/>
          <w:noProof/>
          <w:sz w:val="24"/>
        </w:rPr>
        <w:t>wem unijnym; lub</w:t>
      </w:r>
    </w:p>
    <w:p w14:paraId="2AE6BF98" w14:textId="71CF3405" w:rsidR="005D42B6" w:rsidRPr="00595F42" w:rsidRDefault="005D42B6" w:rsidP="001F044F">
      <w:pPr>
        <w:pStyle w:val="ListParagraph"/>
        <w:numPr>
          <w:ilvl w:val="0"/>
          <w:numId w:val="39"/>
        </w:numPr>
        <w:spacing w:after="80" w:line="257" w:lineRule="auto"/>
        <w:jc w:val="both"/>
        <w:rPr>
          <w:rFonts w:ascii="Times New Roman" w:eastAsia="Times New Roman" w:hAnsi="Times New Roman" w:cs="Times New Roman"/>
          <w:noProof/>
          <w:sz w:val="24"/>
          <w:szCs w:val="20"/>
        </w:rPr>
      </w:pPr>
      <w:r w:rsidRPr="00595F42">
        <w:rPr>
          <w:rFonts w:ascii="Times New Roman" w:hAnsi="Times New Roman"/>
          <w:noProof/>
          <w:sz w:val="24"/>
        </w:rPr>
        <w:t>wszelkich innych szczególnych faktów</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oko</w:t>
      </w:r>
      <w:r w:rsidRPr="00595F42">
        <w:rPr>
          <w:rFonts w:ascii="Times New Roman" w:hAnsi="Times New Roman"/>
          <w:noProof/>
          <w:sz w:val="24"/>
        </w:rPr>
        <w:t>liczności danej sprawy.</w:t>
      </w:r>
    </w:p>
    <w:p w14:paraId="16391A4D" w14:textId="5BC640AC" w:rsidR="005D42B6" w:rsidRPr="00595F42" w:rsidRDefault="005D42B6" w:rsidP="00F07D14">
      <w:pPr>
        <w:keepNext/>
        <w:numPr>
          <w:ilvl w:val="0"/>
          <w:numId w:val="43"/>
        </w:numPr>
        <w:spacing w:before="240" w:after="80" w:line="240" w:lineRule="auto"/>
        <w:ind w:left="1440"/>
        <w:jc w:val="both"/>
        <w:outlineLvl w:val="0"/>
        <w:rPr>
          <w:rFonts w:ascii="Times New Roman" w:eastAsia="Times New Roman" w:hAnsi="Times New Roman" w:cs="Times New Roman"/>
          <w:b/>
          <w:smallCaps/>
          <w:noProof/>
          <w:sz w:val="24"/>
          <w:szCs w:val="20"/>
        </w:rPr>
      </w:pPr>
      <w:r w:rsidRPr="00595F42">
        <w:rPr>
          <w:rFonts w:ascii="Times New Roman" w:hAnsi="Times New Roman"/>
          <w:b/>
          <w:smallCaps/>
          <w:noProof/>
          <w:sz w:val="24"/>
        </w:rPr>
        <w:t>Zgodność</w:t>
      </w:r>
      <w:r w:rsidR="00595F42" w:rsidRPr="00595F42">
        <w:rPr>
          <w:rFonts w:ascii="Times New Roman" w:hAnsi="Times New Roman"/>
          <w:b/>
          <w:smallCaps/>
          <w:noProof/>
          <w:sz w:val="24"/>
        </w:rPr>
        <w:t xml:space="preserve"> z</w:t>
      </w:r>
      <w:r w:rsidR="00595F42">
        <w:rPr>
          <w:rFonts w:ascii="Times New Roman" w:hAnsi="Times New Roman"/>
          <w:b/>
          <w:smallCaps/>
          <w:noProof/>
          <w:sz w:val="24"/>
        </w:rPr>
        <w:t> </w:t>
      </w:r>
      <w:r w:rsidR="00595F42" w:rsidRPr="00595F42">
        <w:rPr>
          <w:rFonts w:ascii="Times New Roman" w:hAnsi="Times New Roman"/>
          <w:b/>
          <w:smallCaps/>
          <w:noProof/>
          <w:sz w:val="24"/>
        </w:rPr>
        <w:t>cel</w:t>
      </w:r>
      <w:r w:rsidRPr="00595F42">
        <w:rPr>
          <w:rFonts w:ascii="Times New Roman" w:hAnsi="Times New Roman"/>
          <w:b/>
          <w:smallCaps/>
          <w:noProof/>
          <w:sz w:val="24"/>
        </w:rPr>
        <w:t>ami</w:t>
      </w:r>
      <w:r w:rsidR="00595F42" w:rsidRPr="00595F42">
        <w:rPr>
          <w:rFonts w:ascii="Times New Roman" w:hAnsi="Times New Roman"/>
          <w:b/>
          <w:smallCaps/>
          <w:noProof/>
          <w:sz w:val="24"/>
        </w:rPr>
        <w:t xml:space="preserve"> w</w:t>
      </w:r>
      <w:r w:rsidR="00595F42">
        <w:rPr>
          <w:rFonts w:ascii="Times New Roman" w:hAnsi="Times New Roman"/>
          <w:b/>
          <w:smallCaps/>
          <w:noProof/>
          <w:sz w:val="24"/>
        </w:rPr>
        <w:t> </w:t>
      </w:r>
      <w:r w:rsidR="00595F42" w:rsidRPr="00595F42">
        <w:rPr>
          <w:rFonts w:ascii="Times New Roman" w:hAnsi="Times New Roman"/>
          <w:b/>
          <w:smallCaps/>
          <w:noProof/>
          <w:sz w:val="24"/>
        </w:rPr>
        <w:t>zak</w:t>
      </w:r>
      <w:r w:rsidRPr="00595F42">
        <w:rPr>
          <w:rFonts w:ascii="Times New Roman" w:hAnsi="Times New Roman"/>
          <w:b/>
          <w:smallCaps/>
          <w:noProof/>
          <w:sz w:val="24"/>
        </w:rPr>
        <w:t xml:space="preserve">resie napełnienia magazynów </w:t>
      </w:r>
    </w:p>
    <w:p w14:paraId="11FBC041" w14:textId="0A01869B" w:rsidR="00D64C25" w:rsidRPr="00595F42" w:rsidRDefault="003058AA" w:rsidP="005D42B6">
      <w:pPr>
        <w:spacing w:after="8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themeColor="text1"/>
          <w:sz w:val="24"/>
        </w:rPr>
        <w:t>W celu zapewnienia bezpieczeństwa dostaw gazu na przestrzeni lat oraz osiągnięcia celu</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zak</w:t>
      </w:r>
      <w:r w:rsidRPr="00595F42">
        <w:rPr>
          <w:rFonts w:ascii="Times New Roman" w:hAnsi="Times New Roman"/>
          <w:noProof/>
          <w:color w:val="000000" w:themeColor="text1"/>
          <w:sz w:val="24"/>
        </w:rPr>
        <w:t>resie magazynowania gazu na poziomie 90</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 1 listopada każdego roku,</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roz</w:t>
      </w:r>
      <w:r w:rsidRPr="00595F42">
        <w:rPr>
          <w:rFonts w:ascii="Times New Roman" w:hAnsi="Times New Roman"/>
          <w:noProof/>
          <w:color w:val="000000" w:themeColor="text1"/>
          <w:sz w:val="24"/>
        </w:rPr>
        <w:t>porządzeniu</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spr</w:t>
      </w:r>
      <w:r w:rsidRPr="00595F42">
        <w:rPr>
          <w:rFonts w:ascii="Times New Roman" w:hAnsi="Times New Roman"/>
          <w:noProof/>
          <w:color w:val="000000" w:themeColor="text1"/>
          <w:sz w:val="24"/>
        </w:rPr>
        <w:t>awie magazynowania gazu przyznano Komisji uprawnienia wykonawcze do ustalania trajektorii napełniania dla każdego państwa członkowskiego posiadającego podziemne magazyny gazu od</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2023</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r.</w:t>
      </w:r>
      <w:r w:rsidR="00595F42" w:rsidRPr="00595F42">
        <w:rPr>
          <w:rFonts w:ascii="Times New Roman" w:hAnsi="Times New Roman"/>
          <w:noProof/>
          <w:color w:val="000000" w:themeColor="text1"/>
          <w:sz w:val="24"/>
        </w:rPr>
        <w:t xml:space="preserve"> i</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kol</w:t>
      </w:r>
      <w:r w:rsidRPr="00595F42">
        <w:rPr>
          <w:rFonts w:ascii="Times New Roman" w:hAnsi="Times New Roman"/>
          <w:noProof/>
          <w:color w:val="000000" w:themeColor="text1"/>
          <w:sz w:val="24"/>
        </w:rPr>
        <w:t>ejnych latach na podstawie projektu trajektorii napełniania przedłożonego przez każde takie państwo członkowskie. W 2023</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r., zgodnie</w:t>
      </w:r>
      <w:r w:rsidR="00595F42" w:rsidRPr="00595F42">
        <w:rPr>
          <w:rFonts w:ascii="Times New Roman" w:hAnsi="Times New Roman"/>
          <w:noProof/>
          <w:color w:val="000000" w:themeColor="text1"/>
          <w:sz w:val="24"/>
        </w:rPr>
        <w:t xml:space="preserve"> z</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art</w:t>
      </w:r>
      <w:r w:rsidRPr="00595F42">
        <w:rPr>
          <w:rFonts w:ascii="Times New Roman" w:hAnsi="Times New Roman"/>
          <w:noProof/>
          <w:color w:val="000000" w:themeColor="text1"/>
          <w:sz w:val="24"/>
        </w:rPr>
        <w:t>.</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6a rozporządzenia (UE) 2017/1938 dodanym rozporządzeniem</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spr</w:t>
      </w:r>
      <w:r w:rsidRPr="00595F42">
        <w:rPr>
          <w:rFonts w:ascii="Times New Roman" w:hAnsi="Times New Roman"/>
          <w:noProof/>
          <w:color w:val="000000" w:themeColor="text1"/>
          <w:sz w:val="24"/>
        </w:rPr>
        <w:t xml:space="preserve">awie magazynowania gazu, </w:t>
      </w:r>
      <w:r w:rsidRPr="00595F42">
        <w:rPr>
          <w:rFonts w:ascii="Times New Roman" w:hAnsi="Times New Roman"/>
          <w:noProof/>
          <w:color w:val="000000"/>
          <w:sz w:val="24"/>
        </w:rPr>
        <w:t>wszystkie państwa członkowskie osiągnęły cele</w:t>
      </w:r>
      <w:r w:rsidR="00F302BD" w:rsidRPr="00595F42">
        <w:rPr>
          <w:rFonts w:ascii="Times New Roman" w:hAnsi="Times New Roman"/>
          <w:noProof/>
          <w:color w:val="000000"/>
          <w:sz w:val="24"/>
        </w:rPr>
        <w:t xml:space="preserve"> </w:t>
      </w:r>
      <w:r w:rsidRPr="00595F42">
        <w:rPr>
          <w:rFonts w:ascii="Times New Roman" w:hAnsi="Times New Roman"/>
          <w:noProof/>
          <w:color w:val="000000"/>
          <w:sz w:val="24"/>
        </w:rPr>
        <w:t>pośrednie określone na</w:t>
      </w:r>
      <w:r w:rsidR="00595F42" w:rsidRPr="00595F42">
        <w:rPr>
          <w:rFonts w:ascii="Times New Roman" w:hAnsi="Times New Roman"/>
          <w:noProof/>
          <w:color w:val="000000"/>
          <w:sz w:val="24"/>
        </w:rPr>
        <w:t> </w:t>
      </w:r>
      <w:r w:rsidRPr="00595F42">
        <w:rPr>
          <w:rFonts w:ascii="Times New Roman" w:hAnsi="Times New Roman"/>
          <w:noProof/>
          <w:color w:val="000000"/>
          <w:sz w:val="24"/>
        </w:rPr>
        <w:t>2023</w:t>
      </w:r>
      <w:r w:rsidR="00595F42" w:rsidRPr="00595F42">
        <w:rPr>
          <w:rFonts w:ascii="Times New Roman" w:hAnsi="Times New Roman"/>
          <w:noProof/>
          <w:color w:val="000000"/>
          <w:sz w:val="24"/>
        </w:rPr>
        <w:t> </w:t>
      </w:r>
      <w:r w:rsidRPr="00595F42">
        <w:rPr>
          <w:rFonts w:ascii="Times New Roman" w:hAnsi="Times New Roman"/>
          <w:noProof/>
          <w:color w:val="000000"/>
          <w:sz w:val="24"/>
        </w:rPr>
        <w:t>r.</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roz</w:t>
      </w:r>
      <w:r w:rsidRPr="00595F42">
        <w:rPr>
          <w:rFonts w:ascii="Times New Roman" w:hAnsi="Times New Roman"/>
          <w:noProof/>
          <w:color w:val="000000"/>
          <w:sz w:val="24"/>
        </w:rPr>
        <w:t>porządzeniu wykonawczym (UE) 2022/2301 przyjętym 23 listopada 2022</w:t>
      </w:r>
      <w:r w:rsidR="00595F42" w:rsidRPr="00595F42">
        <w:rPr>
          <w:rFonts w:ascii="Times New Roman" w:hAnsi="Times New Roman"/>
          <w:noProof/>
          <w:color w:val="000000"/>
          <w:sz w:val="24"/>
        </w:rPr>
        <w:t> </w:t>
      </w:r>
      <w:r w:rsidRPr="00595F42">
        <w:rPr>
          <w:rFonts w:ascii="Times New Roman" w:hAnsi="Times New Roman"/>
          <w:noProof/>
          <w:color w:val="000000"/>
          <w:sz w:val="24"/>
        </w:rPr>
        <w:t>r.</w:t>
      </w:r>
      <w:r w:rsidRPr="00595F42">
        <w:rPr>
          <w:rFonts w:ascii="Times New Roman" w:hAnsi="Times New Roman"/>
          <w:noProof/>
          <w:color w:val="000000" w:themeColor="text1"/>
          <w:sz w:val="24"/>
        </w:rPr>
        <w:t xml:space="preserve"> </w:t>
      </w:r>
      <w:r w:rsidRPr="00595F42">
        <w:rPr>
          <w:rFonts w:ascii="Times New Roman" w:hAnsi="Times New Roman"/>
          <w:noProof/>
          <w:sz w:val="24"/>
        </w:rPr>
        <w:t>Kilka państw członkowskich osiągnęło poziom 100</w:t>
      </w:r>
      <w:r w:rsidR="00595F42" w:rsidRPr="00595F42">
        <w:rPr>
          <w:rFonts w:ascii="Times New Roman" w:hAnsi="Times New Roman"/>
          <w:noProof/>
          <w:sz w:val="24"/>
        </w:rPr>
        <w:t> </w:t>
      </w:r>
      <w:r w:rsidRPr="00595F42">
        <w:rPr>
          <w:rFonts w:ascii="Times New Roman" w:hAnsi="Times New Roman"/>
          <w:noProof/>
          <w:sz w:val="24"/>
        </w:rPr>
        <w:t>% (lub przekroczyło zadeklarowaną zdolność</w:t>
      </w:r>
      <w:r w:rsidR="005D42B6" w:rsidRPr="00595F42">
        <w:rPr>
          <w:rFonts w:ascii="Times New Roman" w:eastAsia="Times New Roman" w:hAnsi="Times New Roman" w:cs="Times New Roman"/>
          <w:noProof/>
          <w:color w:val="000000"/>
          <w:sz w:val="24"/>
          <w:szCs w:val="24"/>
          <w:vertAlign w:val="superscript"/>
          <w:lang w:eastAsia="en-IE"/>
        </w:rPr>
        <w:footnoteReference w:id="7"/>
      </w:r>
      <w:r w:rsidRPr="00595F42">
        <w:rPr>
          <w:rFonts w:ascii="Times New Roman" w:hAnsi="Times New Roman"/>
          <w:noProof/>
          <w:sz w:val="24"/>
        </w:rPr>
        <w:t>) przed 1 listopada 2023</w:t>
      </w:r>
      <w:r w:rsidR="00595F42" w:rsidRPr="00595F42">
        <w:rPr>
          <w:rFonts w:ascii="Times New Roman" w:hAnsi="Times New Roman"/>
          <w:noProof/>
          <w:sz w:val="24"/>
        </w:rPr>
        <w:t> </w:t>
      </w:r>
      <w:r w:rsidRPr="00595F42">
        <w:rPr>
          <w:rFonts w:ascii="Times New Roman" w:hAnsi="Times New Roman"/>
          <w:noProof/>
          <w:sz w:val="24"/>
        </w:rPr>
        <w:t>r</w:t>
      </w:r>
      <w:r w:rsidR="00595F42" w:rsidRPr="00595F42">
        <w:rPr>
          <w:rFonts w:ascii="Times New Roman" w:hAnsi="Times New Roman"/>
          <w:noProof/>
          <w:sz w:val="24"/>
        </w:rPr>
        <w:t>.</w:t>
      </w:r>
      <w:r w:rsidR="00595F42" w:rsidRPr="00595F42">
        <w:rPr>
          <w:rFonts w:ascii="Times New Roman" w:hAnsi="Times New Roman"/>
          <w:noProof/>
          <w:color w:val="000000"/>
          <w:sz w:val="24"/>
        </w:rPr>
        <w:t xml:space="preserve"> W</w:t>
      </w:r>
      <w:r w:rsidR="00595F42">
        <w:rPr>
          <w:rFonts w:ascii="Times New Roman" w:hAnsi="Times New Roman"/>
          <w:noProof/>
          <w:sz w:val="24"/>
        </w:rPr>
        <w:t> </w:t>
      </w:r>
      <w:r w:rsidR="00595F42" w:rsidRPr="00595F42">
        <w:rPr>
          <w:rFonts w:ascii="Times New Roman" w:hAnsi="Times New Roman"/>
          <w:noProof/>
          <w:color w:val="000000"/>
          <w:sz w:val="24"/>
        </w:rPr>
        <w:t>zwi</w:t>
      </w:r>
      <w:r w:rsidRPr="00595F42">
        <w:rPr>
          <w:rFonts w:ascii="Times New Roman" w:hAnsi="Times New Roman"/>
          <w:noProof/>
          <w:color w:val="000000"/>
          <w:sz w:val="24"/>
        </w:rPr>
        <w:t>ązku</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tym w</w:t>
      </w:r>
      <w:r w:rsidR="00595F42">
        <w:rPr>
          <w:rFonts w:ascii="Times New Roman" w:hAnsi="Times New Roman"/>
          <w:noProof/>
          <w:color w:val="000000"/>
          <w:sz w:val="24"/>
        </w:rPr>
        <w:t> </w:t>
      </w:r>
      <w:r w:rsidR="00595F42" w:rsidRPr="00595F42">
        <w:rPr>
          <w:rFonts w:ascii="Times New Roman" w:hAnsi="Times New Roman"/>
          <w:noProof/>
          <w:color w:val="000000"/>
          <w:sz w:val="24"/>
        </w:rPr>
        <w:t>2</w:t>
      </w:r>
      <w:r w:rsidRPr="00595F42">
        <w:rPr>
          <w:rFonts w:ascii="Times New Roman" w:hAnsi="Times New Roman"/>
          <w:noProof/>
          <w:color w:val="000000"/>
          <w:sz w:val="24"/>
        </w:rPr>
        <w:t>023</w:t>
      </w:r>
      <w:r w:rsidR="00595F42" w:rsidRPr="00595F42">
        <w:rPr>
          <w:rFonts w:ascii="Times New Roman" w:hAnsi="Times New Roman"/>
          <w:noProof/>
          <w:color w:val="000000"/>
          <w:sz w:val="24"/>
        </w:rPr>
        <w:t> </w:t>
      </w:r>
      <w:r w:rsidRPr="00595F42">
        <w:rPr>
          <w:rFonts w:ascii="Times New Roman" w:hAnsi="Times New Roman"/>
          <w:noProof/>
          <w:color w:val="000000"/>
          <w:sz w:val="24"/>
        </w:rPr>
        <w:t>r. Komisja nie musiała przedsiębrać środków</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cel</w:t>
      </w:r>
      <w:r w:rsidRPr="00595F42">
        <w:rPr>
          <w:rFonts w:ascii="Times New Roman" w:hAnsi="Times New Roman"/>
          <w:noProof/>
          <w:color w:val="000000"/>
          <w:sz w:val="24"/>
        </w:rPr>
        <w:t>u zapewnienia zgodności</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tra</w:t>
      </w:r>
      <w:r w:rsidRPr="00595F42">
        <w:rPr>
          <w:rFonts w:ascii="Times New Roman" w:hAnsi="Times New Roman"/>
          <w:noProof/>
          <w:color w:val="000000"/>
          <w:sz w:val="24"/>
        </w:rPr>
        <w:t>jektoriami napełniania</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z</w:t>
      </w:r>
      <w:r w:rsidR="00595F42">
        <w:rPr>
          <w:rFonts w:ascii="Times New Roman" w:hAnsi="Times New Roman"/>
          <w:noProof/>
          <w:color w:val="000000"/>
          <w:sz w:val="24"/>
        </w:rPr>
        <w:t> </w:t>
      </w:r>
      <w:r w:rsidR="00595F42" w:rsidRPr="00595F42">
        <w:rPr>
          <w:rFonts w:ascii="Times New Roman" w:hAnsi="Times New Roman"/>
          <w:noProof/>
          <w:color w:val="000000"/>
          <w:sz w:val="24"/>
        </w:rPr>
        <w:t>cel</w:t>
      </w:r>
      <w:r w:rsidRPr="00595F42">
        <w:rPr>
          <w:rFonts w:ascii="Times New Roman" w:hAnsi="Times New Roman"/>
          <w:noProof/>
          <w:color w:val="000000"/>
          <w:sz w:val="24"/>
        </w:rPr>
        <w:t>ami</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zak</w:t>
      </w:r>
      <w:r w:rsidRPr="00595F42">
        <w:rPr>
          <w:rFonts w:ascii="Times New Roman" w:hAnsi="Times New Roman"/>
          <w:noProof/>
          <w:color w:val="000000"/>
          <w:sz w:val="24"/>
        </w:rPr>
        <w:t xml:space="preserve">resie napełnienia. </w:t>
      </w:r>
      <w:bookmarkStart w:id="8" w:name="_Ref153968321"/>
    </w:p>
    <w:p w14:paraId="67CA77DF" w14:textId="77777777" w:rsidR="00F45CB1" w:rsidRPr="00595F42" w:rsidRDefault="00F45CB1" w:rsidP="005D42B6">
      <w:pPr>
        <w:spacing w:after="80" w:line="240" w:lineRule="auto"/>
        <w:jc w:val="both"/>
        <w:rPr>
          <w:rFonts w:ascii="Times New Roman" w:eastAsia="Times New Roman" w:hAnsi="Times New Roman" w:cs="Times New Roman"/>
          <w:noProof/>
          <w:color w:val="000000"/>
          <w:sz w:val="24"/>
          <w:szCs w:val="24"/>
          <w:lang w:eastAsia="en-IE"/>
        </w:rPr>
      </w:pPr>
    </w:p>
    <w:p w14:paraId="0B47BC01" w14:textId="77777777" w:rsidR="000D7182" w:rsidRPr="00595F42" w:rsidRDefault="000D7182">
      <w:pPr>
        <w:rPr>
          <w:rFonts w:ascii="Times New Roman" w:eastAsia="Times New Roman" w:hAnsi="Times New Roman" w:cs="Times New Roman"/>
          <w:b/>
          <w:bCs/>
          <w:noProof/>
          <w:sz w:val="20"/>
          <w:szCs w:val="20"/>
        </w:rPr>
      </w:pPr>
      <w:r w:rsidRPr="00595F42">
        <w:rPr>
          <w:noProof/>
        </w:rPr>
        <w:br w:type="page"/>
      </w:r>
    </w:p>
    <w:p w14:paraId="1FB1DD23" w14:textId="34F7AFC3" w:rsidR="00F45CB1" w:rsidRPr="00595F42" w:rsidRDefault="005D42B6" w:rsidP="007D1226">
      <w:pPr>
        <w:spacing w:after="120" w:line="240" w:lineRule="auto"/>
        <w:rPr>
          <w:rFonts w:ascii="Times New Roman" w:eastAsia="Calibri" w:hAnsi="Times New Roman" w:cs="Times New Roman"/>
          <w:b/>
          <w:bCs/>
          <w:noProof/>
          <w:sz w:val="20"/>
          <w:szCs w:val="20"/>
        </w:rPr>
      </w:pPr>
      <w:r w:rsidRPr="00595F42">
        <w:rPr>
          <w:rFonts w:ascii="Times New Roman" w:hAnsi="Times New Roman"/>
          <w:b/>
          <w:noProof/>
          <w:sz w:val="20"/>
        </w:rPr>
        <w:t xml:space="preserve">Tabela </w:t>
      </w:r>
      <w:r w:rsidRPr="00595F42">
        <w:rPr>
          <w:rFonts w:ascii="Times New Roman" w:eastAsia="Times New Roman" w:hAnsi="Times New Roman" w:cs="Times New Roman"/>
          <w:b/>
          <w:noProof/>
          <w:sz w:val="20"/>
        </w:rPr>
        <w:fldChar w:fldCharType="begin"/>
      </w:r>
      <w:r w:rsidRPr="00595F42">
        <w:rPr>
          <w:rFonts w:ascii="Times New Roman" w:eastAsia="Times New Roman" w:hAnsi="Times New Roman" w:cs="Times New Roman"/>
          <w:b/>
          <w:noProof/>
          <w:sz w:val="20"/>
        </w:rPr>
        <w:instrText xml:space="preserve"> SEQ Table \* ARABIC </w:instrText>
      </w:r>
      <w:r w:rsidRPr="00595F42">
        <w:rPr>
          <w:rFonts w:ascii="Times New Roman" w:eastAsia="Times New Roman" w:hAnsi="Times New Roman" w:cs="Times New Roman"/>
          <w:b/>
          <w:noProof/>
          <w:sz w:val="20"/>
        </w:rPr>
        <w:fldChar w:fldCharType="separate"/>
      </w:r>
      <w:r w:rsidR="00063A2B" w:rsidRPr="00595F42">
        <w:rPr>
          <w:rFonts w:ascii="Times New Roman" w:eastAsia="Times New Roman" w:hAnsi="Times New Roman" w:cs="Times New Roman"/>
          <w:b/>
          <w:noProof/>
          <w:sz w:val="20"/>
        </w:rPr>
        <w:t>3</w:t>
      </w:r>
      <w:r w:rsidRPr="00595F42">
        <w:rPr>
          <w:rFonts w:ascii="Times New Roman" w:eastAsia="Times New Roman" w:hAnsi="Times New Roman" w:cs="Times New Roman"/>
          <w:b/>
          <w:noProof/>
          <w:sz w:val="20"/>
        </w:rPr>
        <w:fldChar w:fldCharType="end"/>
      </w:r>
      <w:bookmarkEnd w:id="8"/>
      <w:r w:rsidRPr="00595F42">
        <w:rPr>
          <w:rFonts w:ascii="Times New Roman" w:hAnsi="Times New Roman"/>
          <w:b/>
          <w:noProof/>
          <w:sz w:val="20"/>
        </w:rPr>
        <w:t xml:space="preserve"> – Zgodność</w:t>
      </w:r>
      <w:r w:rsidR="00595F42" w:rsidRPr="00595F42">
        <w:rPr>
          <w:rFonts w:ascii="Times New Roman" w:hAnsi="Times New Roman"/>
          <w:b/>
          <w:noProof/>
          <w:sz w:val="20"/>
        </w:rPr>
        <w:t xml:space="preserve"> z</w:t>
      </w:r>
      <w:r w:rsidR="00595F42">
        <w:rPr>
          <w:rFonts w:ascii="Times New Roman" w:hAnsi="Times New Roman"/>
          <w:b/>
          <w:noProof/>
          <w:sz w:val="20"/>
        </w:rPr>
        <w:t> </w:t>
      </w:r>
      <w:r w:rsidR="00595F42" w:rsidRPr="00595F42">
        <w:rPr>
          <w:rFonts w:ascii="Times New Roman" w:hAnsi="Times New Roman"/>
          <w:b/>
          <w:noProof/>
          <w:sz w:val="20"/>
        </w:rPr>
        <w:t>cel</w:t>
      </w:r>
      <w:r w:rsidRPr="00595F42">
        <w:rPr>
          <w:rFonts w:ascii="Times New Roman" w:hAnsi="Times New Roman"/>
          <w:b/>
          <w:noProof/>
          <w:sz w:val="20"/>
        </w:rPr>
        <w:t>ami</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zak</w:t>
      </w:r>
      <w:r w:rsidRPr="00595F42">
        <w:rPr>
          <w:rFonts w:ascii="Times New Roman" w:hAnsi="Times New Roman"/>
          <w:b/>
          <w:noProof/>
          <w:sz w:val="20"/>
        </w:rPr>
        <w:t>resie napełnienia określonymi</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roz</w:t>
      </w:r>
      <w:r w:rsidRPr="00595F42">
        <w:rPr>
          <w:rFonts w:ascii="Times New Roman" w:hAnsi="Times New Roman"/>
          <w:b/>
          <w:noProof/>
          <w:sz w:val="20"/>
        </w:rPr>
        <w:t>porządzeniu</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spr</w:t>
      </w:r>
      <w:r w:rsidRPr="00595F42">
        <w:rPr>
          <w:rFonts w:ascii="Times New Roman" w:hAnsi="Times New Roman"/>
          <w:b/>
          <w:noProof/>
          <w:sz w:val="20"/>
        </w:rPr>
        <w:t>awie magazynowania gazu na</w:t>
      </w:r>
      <w:r w:rsidR="00595F42" w:rsidRPr="00595F42">
        <w:rPr>
          <w:rFonts w:ascii="Times New Roman" w:hAnsi="Times New Roman"/>
          <w:b/>
          <w:noProof/>
          <w:sz w:val="20"/>
        </w:rPr>
        <w:t> </w:t>
      </w:r>
      <w:r w:rsidRPr="00595F42">
        <w:rPr>
          <w:rFonts w:ascii="Times New Roman" w:hAnsi="Times New Roman"/>
          <w:b/>
          <w:noProof/>
          <w:sz w:val="20"/>
        </w:rPr>
        <w:t>2023</w:t>
      </w:r>
      <w:r w:rsidR="00595F42" w:rsidRPr="00595F42">
        <w:rPr>
          <w:rFonts w:ascii="Times New Roman" w:hAnsi="Times New Roman"/>
          <w:b/>
          <w:noProof/>
          <w:sz w:val="20"/>
        </w:rPr>
        <w:t> </w:t>
      </w:r>
      <w:r w:rsidRPr="00595F42">
        <w:rPr>
          <w:rFonts w:ascii="Times New Roman" w:hAnsi="Times New Roman"/>
          <w:b/>
          <w:noProof/>
          <w:sz w:val="20"/>
        </w:rPr>
        <w:t>r.</w:t>
      </w:r>
    </w:p>
    <w:p w14:paraId="738C2C56" w14:textId="170F2E42" w:rsidR="001F044F" w:rsidRPr="00595F42" w:rsidRDefault="00D67912" w:rsidP="005D42B6">
      <w:pPr>
        <w:spacing w:after="120" w:line="240" w:lineRule="auto"/>
        <w:jc w:val="both"/>
        <w:rPr>
          <w:rFonts w:ascii="Times New Roman" w:eastAsia="Times New Roman" w:hAnsi="Times New Roman" w:cs="Times New Roman"/>
          <w:i/>
          <w:iCs/>
          <w:noProof/>
          <w:color w:val="000000"/>
          <w:sz w:val="20"/>
          <w:szCs w:val="20"/>
        </w:rPr>
      </w:pPr>
      <w:r w:rsidRPr="00595F42">
        <w:rPr>
          <w:noProof/>
          <w:lang w:val="en-GB" w:eastAsia="en-GB"/>
        </w:rPr>
        <w:drawing>
          <wp:inline distT="0" distB="0" distL="0" distR="0" wp14:anchorId="3A0E4BE9" wp14:editId="17D70919">
            <wp:extent cx="5943600" cy="34613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461385"/>
                    </a:xfrm>
                    <a:prstGeom prst="rect">
                      <a:avLst/>
                    </a:prstGeom>
                    <a:noFill/>
                    <a:ln>
                      <a:noFill/>
                    </a:ln>
                  </pic:spPr>
                </pic:pic>
              </a:graphicData>
            </a:graphic>
          </wp:inline>
        </w:drawing>
      </w:r>
      <w:r w:rsidR="005D42B6" w:rsidRPr="00595F42">
        <w:rPr>
          <w:rFonts w:ascii="Times New Roman" w:hAnsi="Times New Roman"/>
          <w:i/>
          <w:noProof/>
          <w:color w:val="000000"/>
          <w:sz w:val="20"/>
        </w:rPr>
        <w:t>Źródło: poziomy napełnienia na podstawie GIE AGSI+</w:t>
      </w:r>
    </w:p>
    <w:p w14:paraId="7F41D0D4" w14:textId="6F16587F" w:rsidR="005D42B6" w:rsidRPr="00595F42" w:rsidRDefault="005757BB" w:rsidP="005D42B6">
      <w:pPr>
        <w:spacing w:after="120" w:line="240" w:lineRule="auto"/>
        <w:jc w:val="both"/>
        <w:rPr>
          <w:rFonts w:ascii="Times New Roman" w:eastAsia="Times New Roman" w:hAnsi="Times New Roman" w:cs="Times New Roman"/>
          <w:noProof/>
          <w:sz w:val="24"/>
          <w:szCs w:val="24"/>
        </w:rPr>
      </w:pPr>
      <w:r w:rsidRPr="00595F42">
        <w:rPr>
          <w:rFonts w:ascii="Times New Roman" w:hAnsi="Times New Roman"/>
          <w:noProof/>
          <w:color w:val="000000"/>
          <w:sz w:val="24"/>
        </w:rPr>
        <w:t>20 listopada 2023</w:t>
      </w:r>
      <w:r w:rsidR="00595F42" w:rsidRPr="00595F42">
        <w:rPr>
          <w:rFonts w:ascii="Times New Roman" w:hAnsi="Times New Roman"/>
          <w:noProof/>
          <w:color w:val="000000"/>
          <w:sz w:val="24"/>
        </w:rPr>
        <w:t> </w:t>
      </w:r>
      <w:r w:rsidRPr="00595F42">
        <w:rPr>
          <w:rFonts w:ascii="Times New Roman" w:hAnsi="Times New Roman"/>
          <w:noProof/>
          <w:color w:val="000000"/>
          <w:sz w:val="24"/>
        </w:rPr>
        <w:t>r. Komisja określiła</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dro</w:t>
      </w:r>
      <w:r w:rsidRPr="00595F42">
        <w:rPr>
          <w:rFonts w:ascii="Times New Roman" w:hAnsi="Times New Roman"/>
          <w:noProof/>
          <w:color w:val="000000"/>
          <w:sz w:val="24"/>
        </w:rPr>
        <w:t>dze rozporządzenia wykonawczego</w:t>
      </w:r>
      <w:r w:rsidR="005D42B6" w:rsidRPr="00595F42">
        <w:rPr>
          <w:rFonts w:ascii="Times New Roman" w:eastAsia="Times New Roman" w:hAnsi="Times New Roman" w:cs="Times New Roman"/>
          <w:noProof/>
          <w:color w:val="000000"/>
          <w:sz w:val="24"/>
          <w:szCs w:val="24"/>
          <w:vertAlign w:val="superscript"/>
          <w:lang w:eastAsia="en-IE"/>
        </w:rPr>
        <w:footnoteReference w:id="8"/>
      </w:r>
      <w:r w:rsidRPr="00595F42">
        <w:rPr>
          <w:rFonts w:ascii="Times New Roman" w:hAnsi="Times New Roman"/>
          <w:noProof/>
          <w:color w:val="000000"/>
          <w:sz w:val="24"/>
        </w:rPr>
        <w:t xml:space="preserve"> pośrednie cele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zak</w:t>
      </w:r>
      <w:r w:rsidRPr="00595F42">
        <w:rPr>
          <w:rFonts w:ascii="Times New Roman" w:hAnsi="Times New Roman"/>
          <w:noProof/>
          <w:color w:val="000000"/>
          <w:sz w:val="24"/>
        </w:rPr>
        <w:t>resie napełnienia magazynów gazu, które państwa członkowskie muszą osiągnąć</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2</w:t>
      </w:r>
      <w:r w:rsidRPr="00595F42">
        <w:rPr>
          <w:rFonts w:ascii="Times New Roman" w:hAnsi="Times New Roman"/>
          <w:noProof/>
          <w:color w:val="000000"/>
          <w:sz w:val="24"/>
        </w:rPr>
        <w:t>024</w:t>
      </w:r>
      <w:r w:rsidR="00595F42" w:rsidRPr="00595F42">
        <w:rPr>
          <w:rFonts w:ascii="Times New Roman" w:hAnsi="Times New Roman"/>
          <w:noProof/>
          <w:color w:val="000000"/>
          <w:sz w:val="24"/>
        </w:rPr>
        <w:t> </w:t>
      </w:r>
      <w:r w:rsidRPr="00595F42">
        <w:rPr>
          <w:rFonts w:ascii="Times New Roman" w:hAnsi="Times New Roman"/>
          <w:noProof/>
          <w:color w:val="000000"/>
          <w:sz w:val="24"/>
        </w:rPr>
        <w:t>r. Jak przewidziano</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art</w:t>
      </w:r>
      <w:r w:rsidRPr="00595F42">
        <w:rPr>
          <w:rFonts w:ascii="Times New Roman" w:hAnsi="Times New Roman"/>
          <w:noProof/>
          <w:color w:val="000000"/>
          <w:sz w:val="24"/>
        </w:rPr>
        <w:t>.</w:t>
      </w:r>
      <w:r w:rsidR="00595F42" w:rsidRPr="00595F42">
        <w:rPr>
          <w:rFonts w:ascii="Times New Roman" w:hAnsi="Times New Roman"/>
          <w:noProof/>
          <w:color w:val="000000"/>
          <w:sz w:val="24"/>
        </w:rPr>
        <w:t> </w:t>
      </w:r>
      <w:r w:rsidRPr="00595F42">
        <w:rPr>
          <w:rFonts w:ascii="Times New Roman" w:hAnsi="Times New Roman"/>
          <w:noProof/>
          <w:color w:val="000000"/>
          <w:sz w:val="24"/>
        </w:rPr>
        <w:t>6a ust.</w:t>
      </w:r>
      <w:r w:rsidR="00595F42" w:rsidRPr="00595F42">
        <w:rPr>
          <w:rFonts w:ascii="Times New Roman" w:hAnsi="Times New Roman"/>
          <w:noProof/>
          <w:color w:val="000000"/>
          <w:sz w:val="24"/>
        </w:rPr>
        <w:t> </w:t>
      </w:r>
      <w:r w:rsidRPr="00595F42">
        <w:rPr>
          <w:rFonts w:ascii="Times New Roman" w:hAnsi="Times New Roman"/>
          <w:noProof/>
          <w:color w:val="000000"/>
          <w:sz w:val="24"/>
        </w:rPr>
        <w:t>7 rozporządzenia (UE) 2017/1938 dodanym rozporządzeniem</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spr</w:t>
      </w:r>
      <w:r w:rsidRPr="00595F42">
        <w:rPr>
          <w:rFonts w:ascii="Times New Roman" w:hAnsi="Times New Roman"/>
          <w:noProof/>
          <w:color w:val="000000"/>
          <w:sz w:val="24"/>
        </w:rPr>
        <w:t>awie magazynowania gazu,</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roz</w:t>
      </w:r>
      <w:r w:rsidRPr="00595F42">
        <w:rPr>
          <w:rFonts w:ascii="Times New Roman" w:hAnsi="Times New Roman"/>
          <w:noProof/>
          <w:color w:val="000000"/>
          <w:sz w:val="24"/>
        </w:rPr>
        <w:t>porządzeniu wykonawczym określono cele pośrednie na każdy</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nas</w:t>
      </w:r>
      <w:r w:rsidRPr="00595F42">
        <w:rPr>
          <w:rFonts w:ascii="Times New Roman" w:hAnsi="Times New Roman"/>
          <w:noProof/>
          <w:color w:val="000000"/>
          <w:sz w:val="24"/>
        </w:rPr>
        <w:t>tępujących dni: 1 lutego, 1 maja, 1 lipca</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1</w:t>
      </w:r>
      <w:r w:rsidRPr="00595F42">
        <w:rPr>
          <w:rFonts w:ascii="Times New Roman" w:hAnsi="Times New Roman"/>
          <w:noProof/>
          <w:color w:val="000000"/>
          <w:sz w:val="24"/>
        </w:rPr>
        <w:t xml:space="preserve"> września 2024</w:t>
      </w:r>
      <w:r w:rsidR="00595F42" w:rsidRPr="00595F42">
        <w:rPr>
          <w:rFonts w:ascii="Times New Roman" w:hAnsi="Times New Roman"/>
          <w:noProof/>
          <w:color w:val="000000"/>
          <w:sz w:val="24"/>
        </w:rPr>
        <w:t> </w:t>
      </w:r>
      <w:r w:rsidRPr="00595F42">
        <w:rPr>
          <w:rFonts w:ascii="Times New Roman" w:hAnsi="Times New Roman"/>
          <w:noProof/>
          <w:color w:val="000000"/>
          <w:sz w:val="24"/>
        </w:rPr>
        <w:t>r. dla państw członkowskich, które posiadają podziemne magazyny znajdujące się na ich terytorium</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bez</w:t>
      </w:r>
      <w:r w:rsidRPr="00595F42">
        <w:rPr>
          <w:rFonts w:ascii="Times New Roman" w:hAnsi="Times New Roman"/>
          <w:noProof/>
          <w:color w:val="000000"/>
          <w:sz w:val="24"/>
        </w:rPr>
        <w:t>pośrednio połączone</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obs</w:t>
      </w:r>
      <w:r w:rsidRPr="00595F42">
        <w:rPr>
          <w:rFonts w:ascii="Times New Roman" w:hAnsi="Times New Roman"/>
          <w:noProof/>
          <w:color w:val="000000"/>
          <w:sz w:val="24"/>
        </w:rPr>
        <w:t xml:space="preserve">zarem rynku danego państwa. </w:t>
      </w:r>
      <w:r w:rsidRPr="00595F42">
        <w:rPr>
          <w:rFonts w:ascii="Times New Roman" w:hAnsi="Times New Roman"/>
          <w:noProof/>
          <w:sz w:val="24"/>
        </w:rPr>
        <w:t>Cele te określono</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opa</w:t>
      </w:r>
      <w:r w:rsidRPr="00595F42">
        <w:rPr>
          <w:rFonts w:ascii="Times New Roman" w:hAnsi="Times New Roman"/>
          <w:noProof/>
          <w:sz w:val="24"/>
        </w:rPr>
        <w:t>rciu</w:t>
      </w:r>
      <w:r w:rsidR="00595F42" w:rsidRPr="00595F42">
        <w:rPr>
          <w:rFonts w:ascii="Times New Roman" w:hAnsi="Times New Roman"/>
          <w:noProof/>
          <w:sz w:val="24"/>
        </w:rPr>
        <w:t xml:space="preserve"> o</w:t>
      </w:r>
      <w:r w:rsidR="00595F42">
        <w:rPr>
          <w:rFonts w:ascii="Times New Roman" w:hAnsi="Times New Roman"/>
          <w:noProof/>
          <w:sz w:val="24"/>
        </w:rPr>
        <w:t> </w:t>
      </w:r>
      <w:r w:rsidR="00595F42" w:rsidRPr="00595F42">
        <w:rPr>
          <w:rFonts w:ascii="Times New Roman" w:hAnsi="Times New Roman"/>
          <w:noProof/>
          <w:sz w:val="24"/>
        </w:rPr>
        <w:t>pro</w:t>
      </w:r>
      <w:r w:rsidRPr="00595F42">
        <w:rPr>
          <w:rFonts w:ascii="Times New Roman" w:hAnsi="Times New Roman"/>
          <w:noProof/>
          <w:sz w:val="24"/>
        </w:rPr>
        <w:t>pozycje państw członkowskich, wskaźniki napełnienia</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pop</w:t>
      </w:r>
      <w:r w:rsidRPr="00595F42">
        <w:rPr>
          <w:rFonts w:ascii="Times New Roman" w:hAnsi="Times New Roman"/>
          <w:noProof/>
          <w:sz w:val="24"/>
        </w:rPr>
        <w:t>rzednich 5 lat oraz ocenę Komisji dotyczącą ogólnej sytuacji</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bezpieczeństwa dostaw gazu</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słu</w:t>
      </w:r>
      <w:r w:rsidRPr="00595F42">
        <w:rPr>
          <w:rFonts w:ascii="Times New Roman" w:hAnsi="Times New Roman"/>
          <w:noProof/>
          <w:sz w:val="24"/>
        </w:rPr>
        <w:t>żą one zapewnieniu osiągnięcia ogólnego celu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napełnienia magazynów na poziomie 90</w:t>
      </w:r>
      <w:r w:rsidR="00595F42" w:rsidRPr="00595F42">
        <w:rPr>
          <w:rFonts w:ascii="Times New Roman" w:hAnsi="Times New Roman"/>
          <w:noProof/>
          <w:sz w:val="24"/>
        </w:rPr>
        <w:t> </w:t>
      </w:r>
      <w:r w:rsidRPr="00595F42">
        <w:rPr>
          <w:rFonts w:ascii="Times New Roman" w:hAnsi="Times New Roman"/>
          <w:noProof/>
          <w:sz w:val="24"/>
        </w:rPr>
        <w:t>% do</w:t>
      </w:r>
      <w:r w:rsidR="00595F42" w:rsidRPr="00595F42">
        <w:rPr>
          <w:rFonts w:ascii="Times New Roman" w:hAnsi="Times New Roman"/>
          <w:noProof/>
          <w:sz w:val="24"/>
        </w:rPr>
        <w:t> </w:t>
      </w:r>
      <w:r w:rsidRPr="00595F42">
        <w:rPr>
          <w:rFonts w:ascii="Times New Roman" w:hAnsi="Times New Roman"/>
          <w:noProof/>
          <w:sz w:val="24"/>
        </w:rPr>
        <w:t>1 listopada 2024</w:t>
      </w:r>
      <w:r w:rsidR="00595F42" w:rsidRPr="00595F42">
        <w:rPr>
          <w:rFonts w:ascii="Times New Roman" w:hAnsi="Times New Roman"/>
          <w:noProof/>
          <w:sz w:val="24"/>
        </w:rPr>
        <w:t> </w:t>
      </w:r>
      <w:r w:rsidRPr="00595F42">
        <w:rPr>
          <w:rFonts w:ascii="Times New Roman" w:hAnsi="Times New Roman"/>
          <w:noProof/>
          <w:sz w:val="24"/>
        </w:rPr>
        <w:t>r.</w:t>
      </w:r>
    </w:p>
    <w:p w14:paraId="1AF54D94" w14:textId="77777777" w:rsidR="005D42B6" w:rsidRPr="00595F42" w:rsidRDefault="005D42B6" w:rsidP="005D42B6">
      <w:pPr>
        <w:spacing w:after="0" w:line="240" w:lineRule="auto"/>
        <w:rPr>
          <w:rFonts w:ascii="Times New Roman" w:eastAsia="Times New Roman" w:hAnsi="Times New Roman" w:cs="Times New Roman"/>
          <w:b/>
          <w:bCs/>
          <w:iCs/>
          <w:noProof/>
          <w:sz w:val="20"/>
          <w:szCs w:val="20"/>
        </w:rPr>
      </w:pPr>
      <w:r w:rsidRPr="00595F42">
        <w:rPr>
          <w:noProof/>
        </w:rPr>
        <w:br w:type="page"/>
      </w:r>
    </w:p>
    <w:p w14:paraId="4FADE448" w14:textId="1321065C" w:rsidR="005D42B6" w:rsidRPr="00595F42" w:rsidRDefault="52663728" w:rsidP="007D1226">
      <w:pPr>
        <w:spacing w:after="120" w:line="240" w:lineRule="auto"/>
        <w:rPr>
          <w:rFonts w:ascii="Times New Roman" w:eastAsia="Yu Mincho" w:hAnsi="Times New Roman" w:cs="Times New Roman"/>
          <w:b/>
          <w:bCs/>
          <w:noProof/>
          <w:sz w:val="20"/>
          <w:szCs w:val="20"/>
        </w:rPr>
      </w:pPr>
      <w:r w:rsidRPr="00595F42">
        <w:rPr>
          <w:rFonts w:ascii="Times New Roman" w:hAnsi="Times New Roman"/>
          <w:b/>
          <w:noProof/>
          <w:sz w:val="20"/>
        </w:rPr>
        <w:t xml:space="preserve">Tabela </w:t>
      </w:r>
      <w:r w:rsidR="005D42B6" w:rsidRPr="00595F42">
        <w:rPr>
          <w:rFonts w:ascii="Times New Roman" w:eastAsia="Times New Roman" w:hAnsi="Times New Roman" w:cs="Times New Roman"/>
          <w:b/>
          <w:noProof/>
          <w:sz w:val="20"/>
        </w:rPr>
        <w:fldChar w:fldCharType="begin"/>
      </w:r>
      <w:r w:rsidR="005D42B6" w:rsidRPr="00595F42">
        <w:rPr>
          <w:rFonts w:ascii="Times New Roman" w:eastAsia="Times New Roman" w:hAnsi="Times New Roman" w:cs="Times New Roman"/>
          <w:b/>
          <w:noProof/>
          <w:sz w:val="20"/>
        </w:rPr>
        <w:instrText xml:space="preserve"> SEQ Table \* ARABIC </w:instrText>
      </w:r>
      <w:r w:rsidR="005D42B6" w:rsidRPr="00595F42">
        <w:rPr>
          <w:rFonts w:ascii="Times New Roman" w:eastAsia="Times New Roman" w:hAnsi="Times New Roman" w:cs="Times New Roman"/>
          <w:b/>
          <w:noProof/>
          <w:sz w:val="20"/>
        </w:rPr>
        <w:fldChar w:fldCharType="separate"/>
      </w:r>
      <w:r w:rsidR="00063A2B" w:rsidRPr="00595F42">
        <w:rPr>
          <w:rFonts w:ascii="Times New Roman" w:eastAsia="Times New Roman" w:hAnsi="Times New Roman" w:cs="Times New Roman"/>
          <w:b/>
          <w:noProof/>
          <w:sz w:val="20"/>
        </w:rPr>
        <w:t>4</w:t>
      </w:r>
      <w:r w:rsidR="005D42B6" w:rsidRPr="00595F42">
        <w:rPr>
          <w:rFonts w:ascii="Times New Roman" w:eastAsia="Times New Roman" w:hAnsi="Times New Roman" w:cs="Times New Roman"/>
          <w:b/>
          <w:noProof/>
          <w:sz w:val="20"/>
        </w:rPr>
        <w:fldChar w:fldCharType="end"/>
      </w:r>
      <w:r w:rsidRPr="00595F42">
        <w:rPr>
          <w:rFonts w:ascii="Times New Roman" w:hAnsi="Times New Roman"/>
          <w:b/>
          <w:noProof/>
          <w:sz w:val="20"/>
        </w:rPr>
        <w:t xml:space="preserve"> – Cele pośrednie na 2024 r. dla państw członkowskich posiadających podziemne magazyny gazu, przyjęte rozporządzeniem wykonawczym Komisji (UE) 2023/2633</w:t>
      </w:r>
      <w:r w:rsidR="005D42B6" w:rsidRPr="00595F42">
        <w:rPr>
          <w:rFonts w:ascii="Times New Roman" w:eastAsia="Times New Roman" w:hAnsi="Times New Roman" w:cs="Times New Roman"/>
          <w:b/>
          <w:bCs/>
          <w:noProof/>
          <w:sz w:val="20"/>
          <w:szCs w:val="20"/>
          <w:vertAlign w:val="superscript"/>
          <w:lang w:eastAsia="en-IE"/>
        </w:rPr>
        <w:footnoteReference w:id="9"/>
      </w:r>
      <w:r w:rsidRPr="00595F42">
        <w:rPr>
          <w:rFonts w:ascii="Times New Roman" w:hAnsi="Times New Roman"/>
          <w:b/>
          <w:noProof/>
          <w:sz w:val="20"/>
        </w:rPr>
        <w:t>.</w:t>
      </w:r>
    </w:p>
    <w:p w14:paraId="2B794288" w14:textId="1F1E3F79" w:rsidR="00D67912" w:rsidRPr="00595F42" w:rsidRDefault="00D67912" w:rsidP="009D79FE">
      <w:pPr>
        <w:spacing w:after="0" w:line="240" w:lineRule="auto"/>
        <w:rPr>
          <w:rFonts w:ascii="Times New Roman" w:eastAsia="Times New Roman" w:hAnsi="Times New Roman" w:cs="Times New Roman"/>
          <w:i/>
          <w:noProof/>
          <w:szCs w:val="20"/>
        </w:rPr>
      </w:pPr>
      <w:r w:rsidRPr="00595F42">
        <w:rPr>
          <w:noProof/>
          <w:lang w:val="en-GB" w:eastAsia="en-GB"/>
        </w:rPr>
        <w:drawing>
          <wp:inline distT="0" distB="0" distL="0" distR="0" wp14:anchorId="22096827" wp14:editId="5F145E15">
            <wp:extent cx="5943600" cy="39071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907155"/>
                    </a:xfrm>
                    <a:prstGeom prst="rect">
                      <a:avLst/>
                    </a:prstGeom>
                    <a:noFill/>
                    <a:ln>
                      <a:noFill/>
                    </a:ln>
                  </pic:spPr>
                </pic:pic>
              </a:graphicData>
            </a:graphic>
          </wp:inline>
        </w:drawing>
      </w:r>
    </w:p>
    <w:p w14:paraId="02921AE8" w14:textId="6B4C8D20" w:rsidR="005D42B6" w:rsidRPr="00595F42" w:rsidRDefault="005D42B6" w:rsidP="00F07D14">
      <w:pPr>
        <w:keepNext/>
        <w:numPr>
          <w:ilvl w:val="0"/>
          <w:numId w:val="43"/>
        </w:numPr>
        <w:spacing w:before="240" w:after="240" w:line="240" w:lineRule="auto"/>
        <w:ind w:left="1485" w:hanging="283"/>
        <w:jc w:val="both"/>
        <w:outlineLvl w:val="0"/>
        <w:rPr>
          <w:rFonts w:ascii="Times New Roman" w:eastAsia="Times New Roman" w:hAnsi="Times New Roman" w:cs="Times New Roman"/>
          <w:b/>
          <w:smallCaps/>
          <w:noProof/>
          <w:sz w:val="24"/>
          <w:szCs w:val="20"/>
        </w:rPr>
      </w:pPr>
      <w:r w:rsidRPr="00595F42">
        <w:rPr>
          <w:rFonts w:ascii="Times New Roman" w:hAnsi="Times New Roman"/>
          <w:b/>
          <w:smallCaps/>
          <w:noProof/>
          <w:sz w:val="24"/>
        </w:rPr>
        <w:t>Wdrożenie rozporządzenia</w:t>
      </w:r>
      <w:r w:rsidR="00595F42" w:rsidRPr="00595F42">
        <w:rPr>
          <w:rFonts w:ascii="Times New Roman" w:hAnsi="Times New Roman"/>
          <w:b/>
          <w:smallCaps/>
          <w:noProof/>
          <w:sz w:val="24"/>
        </w:rPr>
        <w:t xml:space="preserve"> w</w:t>
      </w:r>
      <w:r w:rsidR="00595F42">
        <w:rPr>
          <w:rFonts w:ascii="Times New Roman" w:hAnsi="Times New Roman"/>
          <w:b/>
          <w:smallCaps/>
          <w:noProof/>
          <w:sz w:val="24"/>
        </w:rPr>
        <w:t> </w:t>
      </w:r>
      <w:r w:rsidR="00595F42" w:rsidRPr="00595F42">
        <w:rPr>
          <w:rFonts w:ascii="Times New Roman" w:hAnsi="Times New Roman"/>
          <w:b/>
          <w:smallCaps/>
          <w:noProof/>
          <w:sz w:val="24"/>
        </w:rPr>
        <w:t>spr</w:t>
      </w:r>
      <w:r w:rsidRPr="00595F42">
        <w:rPr>
          <w:rFonts w:ascii="Times New Roman" w:hAnsi="Times New Roman"/>
          <w:b/>
          <w:smallCaps/>
          <w:noProof/>
          <w:sz w:val="24"/>
        </w:rPr>
        <w:t>awie magazynowania gazu</w:t>
      </w:r>
      <w:r w:rsidR="00595F42" w:rsidRPr="00595F42">
        <w:rPr>
          <w:rFonts w:ascii="Times New Roman" w:hAnsi="Times New Roman"/>
          <w:b/>
          <w:smallCaps/>
          <w:noProof/>
          <w:sz w:val="24"/>
        </w:rPr>
        <w:t xml:space="preserve"> w</w:t>
      </w:r>
      <w:r w:rsidR="00595F42">
        <w:rPr>
          <w:rFonts w:ascii="Times New Roman" w:hAnsi="Times New Roman"/>
          <w:b/>
          <w:smallCaps/>
          <w:noProof/>
          <w:sz w:val="24"/>
        </w:rPr>
        <w:t> </w:t>
      </w:r>
      <w:r w:rsidR="00595F42" w:rsidRPr="00595F42">
        <w:rPr>
          <w:rFonts w:ascii="Times New Roman" w:hAnsi="Times New Roman"/>
          <w:b/>
          <w:smallCaps/>
          <w:noProof/>
          <w:sz w:val="24"/>
        </w:rPr>
        <w:t>2</w:t>
      </w:r>
      <w:r w:rsidRPr="00595F42">
        <w:rPr>
          <w:rFonts w:ascii="Times New Roman" w:hAnsi="Times New Roman"/>
          <w:b/>
          <w:smallCaps/>
          <w:noProof/>
          <w:sz w:val="24"/>
        </w:rPr>
        <w:t>024</w:t>
      </w:r>
      <w:r w:rsidR="00595F42" w:rsidRPr="00595F42">
        <w:rPr>
          <w:rFonts w:ascii="Times New Roman" w:hAnsi="Times New Roman"/>
          <w:b/>
          <w:smallCaps/>
          <w:noProof/>
          <w:sz w:val="24"/>
        </w:rPr>
        <w:t> </w:t>
      </w:r>
      <w:r w:rsidRPr="00595F42">
        <w:rPr>
          <w:rFonts w:ascii="Times New Roman" w:hAnsi="Times New Roman"/>
          <w:b/>
          <w:smallCaps/>
          <w:noProof/>
          <w:sz w:val="24"/>
        </w:rPr>
        <w:t>r.</w:t>
      </w:r>
    </w:p>
    <w:p w14:paraId="4F0328C3" w14:textId="49EAB07B" w:rsidR="005D42B6" w:rsidRPr="00595F42" w:rsidRDefault="005D42B6" w:rsidP="005D42B6">
      <w:pPr>
        <w:spacing w:after="12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Cele pośrednie trajektorii napełniania opierają się na wkładzie państw członkowskich</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oce</w:t>
      </w:r>
      <w:r w:rsidRPr="00595F42">
        <w:rPr>
          <w:rFonts w:ascii="Times New Roman" w:hAnsi="Times New Roman"/>
          <w:noProof/>
          <w:sz w:val="24"/>
        </w:rPr>
        <w:t>nie przez Komisję ogólnej sytuacji</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bezpieczeństwa dostaw.</w:t>
      </w:r>
      <w:r w:rsidRPr="00595F42">
        <w:rPr>
          <w:noProof/>
        </w:rPr>
        <w:br/>
      </w:r>
      <w:r w:rsidRPr="00595F42">
        <w:rPr>
          <w:rFonts w:ascii="Times New Roman" w:hAnsi="Times New Roman"/>
          <w:noProof/>
          <w:sz w:val="24"/>
        </w:rPr>
        <w:t>Trajektorie napełniania państw członkowskich zaproponowane na</w:t>
      </w:r>
      <w:r w:rsidR="00595F42" w:rsidRPr="00595F42">
        <w:rPr>
          <w:rFonts w:ascii="Times New Roman" w:hAnsi="Times New Roman"/>
          <w:noProof/>
          <w:sz w:val="24"/>
        </w:rPr>
        <w:t> </w:t>
      </w:r>
      <w:r w:rsidRPr="00595F42">
        <w:rPr>
          <w:rFonts w:ascii="Times New Roman" w:hAnsi="Times New Roman"/>
          <w:noProof/>
          <w:sz w:val="24"/>
        </w:rPr>
        <w:t>2024</w:t>
      </w:r>
      <w:r w:rsidR="00595F42" w:rsidRPr="00595F42">
        <w:rPr>
          <w:rFonts w:ascii="Times New Roman" w:hAnsi="Times New Roman"/>
          <w:noProof/>
          <w:sz w:val="24"/>
        </w:rPr>
        <w:t> </w:t>
      </w:r>
      <w:r w:rsidRPr="00595F42">
        <w:rPr>
          <w:rFonts w:ascii="Times New Roman" w:hAnsi="Times New Roman"/>
          <w:noProof/>
          <w:sz w:val="24"/>
        </w:rPr>
        <w:t>r. były podobne do trajektorii przyjętych</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2</w:t>
      </w:r>
      <w:r w:rsidRPr="00595F42">
        <w:rPr>
          <w:rFonts w:ascii="Times New Roman" w:hAnsi="Times New Roman"/>
          <w:noProof/>
          <w:sz w:val="24"/>
        </w:rPr>
        <w:t>023</w:t>
      </w:r>
      <w:r w:rsidR="00595F42" w:rsidRPr="00595F42">
        <w:rPr>
          <w:rFonts w:ascii="Times New Roman" w:hAnsi="Times New Roman"/>
          <w:noProof/>
          <w:sz w:val="24"/>
        </w:rPr>
        <w:t> </w:t>
      </w:r>
      <w:r w:rsidRPr="00595F42">
        <w:rPr>
          <w:rFonts w:ascii="Times New Roman" w:hAnsi="Times New Roman"/>
          <w:noProof/>
          <w:sz w:val="24"/>
        </w:rPr>
        <w:t>r</w:t>
      </w:r>
      <w:r w:rsidR="00595F42" w:rsidRPr="00595F42">
        <w:rPr>
          <w:rFonts w:ascii="Times New Roman" w:hAnsi="Times New Roman"/>
          <w:noProof/>
          <w:sz w:val="24"/>
        </w:rPr>
        <w:t>.</w:t>
      </w:r>
      <w:r w:rsidR="00595F42" w:rsidRPr="00595F42">
        <w:rPr>
          <w:noProof/>
        </w:rPr>
        <w:t xml:space="preserve"> </w:t>
      </w:r>
      <w:r w:rsidR="00595F42" w:rsidRPr="00595F42">
        <w:rPr>
          <w:rFonts w:ascii="Times New Roman" w:hAnsi="Times New Roman"/>
          <w:noProof/>
          <w:sz w:val="24"/>
        </w:rPr>
        <w:t>Z</w:t>
      </w:r>
      <w:r w:rsidR="00595F42">
        <w:rPr>
          <w:rFonts w:ascii="Times New Roman" w:hAnsi="Times New Roman"/>
          <w:noProof/>
          <w:sz w:val="24"/>
        </w:rPr>
        <w:t> </w:t>
      </w:r>
      <w:r w:rsidR="00595F42" w:rsidRPr="00595F42">
        <w:rPr>
          <w:rFonts w:ascii="Times New Roman" w:hAnsi="Times New Roman"/>
          <w:noProof/>
          <w:sz w:val="24"/>
        </w:rPr>
        <w:t>oce</w:t>
      </w:r>
      <w:r w:rsidRPr="00595F42">
        <w:rPr>
          <w:rFonts w:ascii="Times New Roman" w:hAnsi="Times New Roman"/>
          <w:noProof/>
          <w:sz w:val="24"/>
        </w:rPr>
        <w:t>ny bezpieczeństwa dostaw gazu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rok</w:t>
      </w:r>
      <w:r w:rsidRPr="00595F42">
        <w:rPr>
          <w:rFonts w:ascii="Times New Roman" w:hAnsi="Times New Roman"/>
          <w:noProof/>
          <w:sz w:val="24"/>
        </w:rPr>
        <w:t>u gazowym 2023–2024 (od</w:t>
      </w:r>
      <w:r w:rsidR="00595F42" w:rsidRPr="00595F42">
        <w:rPr>
          <w:rFonts w:ascii="Times New Roman" w:hAnsi="Times New Roman"/>
          <w:noProof/>
          <w:sz w:val="24"/>
        </w:rPr>
        <w:t> </w:t>
      </w:r>
      <w:r w:rsidRPr="00595F42">
        <w:rPr>
          <w:rFonts w:ascii="Times New Roman" w:hAnsi="Times New Roman"/>
          <w:noProof/>
          <w:sz w:val="24"/>
        </w:rPr>
        <w:t>1 października 2023</w:t>
      </w:r>
      <w:r w:rsidR="00595F42" w:rsidRPr="00595F42">
        <w:rPr>
          <w:rFonts w:ascii="Times New Roman" w:hAnsi="Times New Roman"/>
          <w:noProof/>
          <w:sz w:val="24"/>
        </w:rPr>
        <w:t> </w:t>
      </w:r>
      <w:r w:rsidRPr="00595F42">
        <w:rPr>
          <w:rFonts w:ascii="Times New Roman" w:hAnsi="Times New Roman"/>
          <w:noProof/>
          <w:sz w:val="24"/>
        </w:rPr>
        <w:t>r. do</w:t>
      </w:r>
      <w:r w:rsidR="00595F42" w:rsidRPr="00595F42">
        <w:rPr>
          <w:rFonts w:ascii="Times New Roman" w:hAnsi="Times New Roman"/>
          <w:noProof/>
          <w:sz w:val="24"/>
        </w:rPr>
        <w:t> </w:t>
      </w:r>
      <w:r w:rsidRPr="00595F42">
        <w:rPr>
          <w:rFonts w:ascii="Times New Roman" w:hAnsi="Times New Roman"/>
          <w:noProof/>
          <w:sz w:val="24"/>
        </w:rPr>
        <w:t>30 września 2024</w:t>
      </w:r>
      <w:r w:rsidR="00595F42" w:rsidRPr="00595F42">
        <w:rPr>
          <w:rFonts w:ascii="Times New Roman" w:hAnsi="Times New Roman"/>
          <w:noProof/>
          <w:sz w:val="24"/>
        </w:rPr>
        <w:t> </w:t>
      </w:r>
      <w:r w:rsidRPr="00595F42">
        <w:rPr>
          <w:rFonts w:ascii="Times New Roman" w:hAnsi="Times New Roman"/>
          <w:noProof/>
          <w:sz w:val="24"/>
        </w:rPr>
        <w:t xml:space="preserve">r.), opartej przede wszystkim na wynikach </w:t>
      </w:r>
      <w:hyperlink r:id="rId26">
        <w:r w:rsidRPr="00595F42">
          <w:rPr>
            <w:rFonts w:ascii="Times New Roman" w:hAnsi="Times New Roman"/>
            <w:noProof/>
            <w:color w:val="0563C1"/>
            <w:sz w:val="24"/>
            <w:u w:val="single"/>
          </w:rPr>
          <w:t>prognozy ENTSOG dotyczącej dostaw zimą 2023/2024</w:t>
        </w:r>
      </w:hyperlink>
      <w:r w:rsidRPr="00595F42">
        <w:rPr>
          <w:rFonts w:ascii="Times New Roman" w:hAnsi="Times New Roman"/>
          <w:noProof/>
          <w:sz w:val="24"/>
        </w:rPr>
        <w:t>, wynika, że cele pośrednie pierwotnie zaproponowane przez państwa członkowskie mogą wymagać korekty</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gór</w:t>
      </w:r>
      <w:r w:rsidRPr="00595F42">
        <w:rPr>
          <w:rFonts w:ascii="Times New Roman" w:hAnsi="Times New Roman"/>
          <w:noProof/>
          <w:sz w:val="24"/>
        </w:rPr>
        <w:t>ę, jeżeli warunki podaży</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pop</w:t>
      </w:r>
      <w:r w:rsidRPr="00595F42">
        <w:rPr>
          <w:rFonts w:ascii="Times New Roman" w:hAnsi="Times New Roman"/>
          <w:noProof/>
          <w:sz w:val="24"/>
        </w:rPr>
        <w:t>ytu zmienią się</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por</w:t>
      </w:r>
      <w:r w:rsidRPr="00595F42">
        <w:rPr>
          <w:rFonts w:ascii="Times New Roman" w:hAnsi="Times New Roman"/>
          <w:noProof/>
          <w:sz w:val="24"/>
        </w:rPr>
        <w:t>ównaniu</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rok</w:t>
      </w:r>
      <w:r w:rsidRPr="00595F42">
        <w:rPr>
          <w:rFonts w:ascii="Times New Roman" w:hAnsi="Times New Roman"/>
          <w:noProof/>
          <w:sz w:val="24"/>
        </w:rPr>
        <w:t>iem poprzednim. Ponadto, postępując zgodnie</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rad</w:t>
      </w:r>
      <w:r w:rsidRPr="00595F42">
        <w:rPr>
          <w:rFonts w:ascii="Times New Roman" w:hAnsi="Times New Roman"/>
          <w:noProof/>
          <w:sz w:val="24"/>
        </w:rPr>
        <w:t>ą członków Grupy Koordynacyjnej ds. Gazu, aby utrzymać cele pośrednie na poziomie 2022–2023 zgodnie</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pro</w:t>
      </w:r>
      <w:r w:rsidRPr="00595F42">
        <w:rPr>
          <w:rFonts w:ascii="Times New Roman" w:hAnsi="Times New Roman"/>
          <w:noProof/>
          <w:sz w:val="24"/>
        </w:rPr>
        <w:t>pozycjami państw członkowskich</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zap</w:t>
      </w:r>
      <w:r w:rsidRPr="00595F42">
        <w:rPr>
          <w:rFonts w:ascii="Times New Roman" w:hAnsi="Times New Roman"/>
          <w:noProof/>
          <w:sz w:val="24"/>
        </w:rPr>
        <w:t>ewnić maksymalną elastyczność rynku, Komisja jasno stwierdziła, że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cel</w:t>
      </w:r>
      <w:r w:rsidRPr="00595F42">
        <w:rPr>
          <w:rFonts w:ascii="Times New Roman" w:hAnsi="Times New Roman"/>
          <w:noProof/>
          <w:sz w:val="24"/>
        </w:rPr>
        <w:t xml:space="preserve">u zapewnienia tego samego poziomu bezpieczeństwa dostaw należy kontynuować działania na rzecz zmniejszenia popytu. </w:t>
      </w:r>
    </w:p>
    <w:p w14:paraId="3CECC1DE" w14:textId="32247FD8" w:rsidR="00727C0C" w:rsidRPr="00595F42" w:rsidRDefault="5BCD55D3" w:rsidP="1AF23F63">
      <w:pPr>
        <w:spacing w:after="120" w:line="240" w:lineRule="auto"/>
        <w:jc w:val="both"/>
        <w:rPr>
          <w:rFonts w:ascii="Times New Roman" w:eastAsia="Times New Roman" w:hAnsi="Times New Roman" w:cs="Times New Roman"/>
          <w:noProof/>
          <w:sz w:val="24"/>
          <w:szCs w:val="24"/>
        </w:rPr>
      </w:pPr>
      <w:r w:rsidRPr="00595F42">
        <w:rPr>
          <w:rFonts w:ascii="Times New Roman" w:hAnsi="Times New Roman"/>
          <w:noProof/>
          <w:sz w:val="24"/>
        </w:rPr>
        <w:t>Na podstawie analizy</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wyk</w:t>
      </w:r>
      <w:r w:rsidRPr="00595F42">
        <w:rPr>
          <w:rFonts w:ascii="Times New Roman" w:hAnsi="Times New Roman"/>
          <w:noProof/>
          <w:sz w:val="24"/>
        </w:rPr>
        <w:t>orzystaniem prognozy ENTSOG</w:t>
      </w:r>
      <w:r w:rsidR="00403802" w:rsidRPr="00595F42">
        <w:rPr>
          <w:rStyle w:val="FootnoteReference"/>
          <w:rFonts w:ascii="Times New Roman" w:eastAsia="Times New Roman" w:hAnsi="Times New Roman" w:cs="Times New Roman"/>
          <w:noProof/>
          <w:sz w:val="24"/>
          <w:szCs w:val="24"/>
          <w:lang w:eastAsia="en-IE"/>
        </w:rPr>
        <w:footnoteReference w:id="10"/>
      </w:r>
      <w:r w:rsidRPr="00595F42">
        <w:rPr>
          <w:rFonts w:ascii="Times New Roman" w:hAnsi="Times New Roman"/>
          <w:noProof/>
          <w:sz w:val="24"/>
        </w:rPr>
        <w:t xml:space="preserve"> Komisja oszacowała (zob. motyw 8 aktu wykonawczego</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lis</w:t>
      </w:r>
      <w:r w:rsidRPr="00595F42">
        <w:rPr>
          <w:rFonts w:ascii="Times New Roman" w:hAnsi="Times New Roman"/>
          <w:noProof/>
          <w:sz w:val="24"/>
        </w:rPr>
        <w:t>topada 2023</w:t>
      </w:r>
      <w:r w:rsidR="00595F42" w:rsidRPr="00595F42">
        <w:rPr>
          <w:rFonts w:ascii="Times New Roman" w:hAnsi="Times New Roman"/>
          <w:noProof/>
          <w:sz w:val="24"/>
        </w:rPr>
        <w:t> </w:t>
      </w:r>
      <w:r w:rsidRPr="00595F42">
        <w:rPr>
          <w:rFonts w:ascii="Times New Roman" w:hAnsi="Times New Roman"/>
          <w:noProof/>
          <w:sz w:val="24"/>
        </w:rPr>
        <w:t>r.), że UE powinna osiągnąć poziom co najmniej 45 %</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maj</w:t>
      </w:r>
      <w:r w:rsidRPr="00595F42">
        <w:rPr>
          <w:rFonts w:ascii="Times New Roman" w:hAnsi="Times New Roman"/>
          <w:noProof/>
          <w:sz w:val="24"/>
        </w:rPr>
        <w:t>u 2024</w:t>
      </w:r>
      <w:r w:rsidR="00595F42" w:rsidRPr="00595F42">
        <w:rPr>
          <w:rFonts w:ascii="Times New Roman" w:hAnsi="Times New Roman"/>
          <w:noProof/>
          <w:sz w:val="24"/>
        </w:rPr>
        <w:t> </w:t>
      </w:r>
      <w:r w:rsidRPr="00595F42">
        <w:rPr>
          <w:rFonts w:ascii="Times New Roman" w:hAnsi="Times New Roman"/>
          <w:noProof/>
          <w:sz w:val="24"/>
        </w:rPr>
        <w:t>r., aby ułatwić uzupełnienie zapasów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prz</w:t>
      </w:r>
      <w:r w:rsidRPr="00595F42">
        <w:rPr>
          <w:rFonts w:ascii="Times New Roman" w:hAnsi="Times New Roman"/>
          <w:noProof/>
          <w:sz w:val="24"/>
        </w:rPr>
        <w:t>ypadku większego popytu lub zmniejszonej podaży latem 2024</w:t>
      </w:r>
      <w:r w:rsidR="00595F42" w:rsidRPr="00595F42">
        <w:rPr>
          <w:rFonts w:ascii="Times New Roman" w:hAnsi="Times New Roman"/>
          <w:noProof/>
          <w:sz w:val="24"/>
        </w:rPr>
        <w:t> </w:t>
      </w:r>
      <w:r w:rsidRPr="00595F42">
        <w:rPr>
          <w:rFonts w:ascii="Times New Roman" w:hAnsi="Times New Roman"/>
          <w:noProof/>
          <w:sz w:val="24"/>
        </w:rPr>
        <w:t>r. Nieosiągnięcie tego celu może stwarzać poważne ryzyko nieosiągnięcia celu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magazynowania na poziomie 90 % 1 listopada 2024</w:t>
      </w:r>
      <w:r w:rsidR="00595F42" w:rsidRPr="00595F42">
        <w:rPr>
          <w:rFonts w:ascii="Times New Roman" w:hAnsi="Times New Roman"/>
          <w:noProof/>
          <w:sz w:val="24"/>
        </w:rPr>
        <w:t> </w:t>
      </w:r>
      <w:r w:rsidRPr="00595F42">
        <w:rPr>
          <w:rFonts w:ascii="Times New Roman" w:hAnsi="Times New Roman"/>
          <w:noProof/>
          <w:sz w:val="24"/>
        </w:rPr>
        <w:t>r.</w:t>
      </w:r>
      <w:r w:rsidR="00595F42" w:rsidRPr="00595F42">
        <w:rPr>
          <w:rFonts w:ascii="Times New Roman" w:hAnsi="Times New Roman"/>
          <w:noProof/>
          <w:sz w:val="24"/>
        </w:rPr>
        <w:t xml:space="preserve"> </w:t>
      </w:r>
      <w:r w:rsidRPr="00595F42">
        <w:rPr>
          <w:rFonts w:ascii="Times New Roman" w:hAnsi="Times New Roman"/>
          <w:noProof/>
          <w:sz w:val="24"/>
        </w:rPr>
        <w:t>Ten cel pośredni zapewnia elastyczność niezbędną do osiągnięcia celu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napełnienia wynoszącego 90 % do</w:t>
      </w:r>
      <w:r w:rsidR="00595F42" w:rsidRPr="00595F42">
        <w:rPr>
          <w:rFonts w:ascii="Times New Roman" w:hAnsi="Times New Roman"/>
          <w:noProof/>
          <w:sz w:val="24"/>
        </w:rPr>
        <w:t> </w:t>
      </w:r>
      <w:r w:rsidRPr="00595F42">
        <w:rPr>
          <w:rFonts w:ascii="Times New Roman" w:hAnsi="Times New Roman"/>
          <w:noProof/>
          <w:sz w:val="24"/>
        </w:rPr>
        <w:t>1 listopada 2024</w:t>
      </w:r>
      <w:r w:rsidR="00595F42" w:rsidRPr="00595F42">
        <w:rPr>
          <w:rFonts w:ascii="Times New Roman" w:hAnsi="Times New Roman"/>
          <w:noProof/>
          <w:sz w:val="24"/>
        </w:rPr>
        <w:t> </w:t>
      </w:r>
      <w:r w:rsidRPr="00595F42">
        <w:rPr>
          <w:rFonts w:ascii="Times New Roman" w:hAnsi="Times New Roman"/>
          <w:noProof/>
          <w:sz w:val="24"/>
        </w:rPr>
        <w:t>r., nawet bez dostaw</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Ros</w:t>
      </w:r>
      <w:r w:rsidRPr="00595F42">
        <w:rPr>
          <w:rFonts w:ascii="Times New Roman" w:hAnsi="Times New Roman"/>
          <w:noProof/>
          <w:sz w:val="24"/>
        </w:rPr>
        <w:t>ji</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okr</w:t>
      </w:r>
      <w:r w:rsidRPr="00595F42">
        <w:rPr>
          <w:rFonts w:ascii="Times New Roman" w:hAnsi="Times New Roman"/>
          <w:noProof/>
          <w:sz w:val="24"/>
        </w:rPr>
        <w:t>esie letnim,</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zas</w:t>
      </w:r>
      <w:r w:rsidRPr="00595F42">
        <w:rPr>
          <w:rFonts w:ascii="Times New Roman" w:hAnsi="Times New Roman"/>
          <w:noProof/>
          <w:sz w:val="24"/>
        </w:rPr>
        <w:t>trzeżeniem utrzymania innych dostaw na obecnym poziomie</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prz</w:t>
      </w:r>
      <w:r w:rsidRPr="00595F42">
        <w:rPr>
          <w:rFonts w:ascii="Times New Roman" w:hAnsi="Times New Roman"/>
          <w:noProof/>
          <w:sz w:val="24"/>
        </w:rPr>
        <w:t>y trwałym zmniejszeniu zapotrzebowania na gaz (rys.</w:t>
      </w:r>
      <w:r w:rsidR="00595F42" w:rsidRPr="00595F42">
        <w:rPr>
          <w:rFonts w:ascii="Times New Roman" w:hAnsi="Times New Roman"/>
          <w:noProof/>
          <w:sz w:val="24"/>
        </w:rPr>
        <w:t> </w:t>
      </w:r>
      <w:r w:rsidRPr="00595F42">
        <w:rPr>
          <w:rFonts w:ascii="Times New Roman" w:hAnsi="Times New Roman"/>
          <w:noProof/>
          <w:sz w:val="24"/>
        </w:rPr>
        <w:t xml:space="preserve">3). </w:t>
      </w:r>
    </w:p>
    <w:p w14:paraId="761DAB1B" w14:textId="77777777" w:rsidR="009E0BE4" w:rsidRPr="00595F42" w:rsidRDefault="009E0BE4" w:rsidP="1AF23F63">
      <w:pPr>
        <w:spacing w:after="120" w:line="240" w:lineRule="auto"/>
        <w:jc w:val="both"/>
        <w:rPr>
          <w:rFonts w:ascii="Times New Roman" w:eastAsia="Times New Roman" w:hAnsi="Times New Roman" w:cs="Times New Roman"/>
          <w:noProof/>
          <w:sz w:val="24"/>
          <w:szCs w:val="24"/>
          <w:lang w:eastAsia="en-IE"/>
        </w:rPr>
      </w:pPr>
    </w:p>
    <w:p w14:paraId="387F39F7" w14:textId="5BB6ACB5" w:rsidR="009E0BE4" w:rsidRPr="00595F42" w:rsidRDefault="009E0BE4" w:rsidP="007D1226">
      <w:pPr>
        <w:spacing w:after="120" w:line="240" w:lineRule="auto"/>
        <w:jc w:val="both"/>
        <w:rPr>
          <w:rFonts w:ascii="Times New Roman" w:eastAsia="Times New Roman" w:hAnsi="Times New Roman" w:cs="Times New Roman"/>
          <w:b/>
          <w:bCs/>
          <w:iCs/>
          <w:noProof/>
          <w:sz w:val="20"/>
          <w:szCs w:val="20"/>
        </w:rPr>
      </w:pPr>
      <w:r w:rsidRPr="00595F42">
        <w:rPr>
          <w:rFonts w:ascii="Times New Roman" w:hAnsi="Times New Roman"/>
          <w:b/>
          <w:noProof/>
          <w:sz w:val="20"/>
        </w:rPr>
        <w:t xml:space="preserve">Rysunek </w:t>
      </w:r>
      <w:r w:rsidRPr="00595F42">
        <w:rPr>
          <w:rFonts w:ascii="Times New Roman" w:eastAsia="Times New Roman" w:hAnsi="Times New Roman" w:cs="Times New Roman"/>
          <w:b/>
          <w:noProof/>
          <w:sz w:val="20"/>
        </w:rPr>
        <w:fldChar w:fldCharType="begin"/>
      </w:r>
      <w:r w:rsidRPr="00595F42">
        <w:rPr>
          <w:rFonts w:ascii="Times New Roman" w:eastAsia="Times New Roman" w:hAnsi="Times New Roman" w:cs="Times New Roman"/>
          <w:b/>
          <w:noProof/>
          <w:sz w:val="20"/>
        </w:rPr>
        <w:instrText xml:space="preserve"> SEQ Figure \* ARABIC </w:instrText>
      </w:r>
      <w:r w:rsidRPr="00595F42">
        <w:rPr>
          <w:rFonts w:ascii="Times New Roman" w:eastAsia="Times New Roman" w:hAnsi="Times New Roman" w:cs="Times New Roman"/>
          <w:b/>
          <w:noProof/>
          <w:sz w:val="20"/>
        </w:rPr>
        <w:fldChar w:fldCharType="separate"/>
      </w:r>
      <w:r w:rsidRPr="00595F42">
        <w:rPr>
          <w:rFonts w:ascii="Times New Roman" w:eastAsia="Times New Roman" w:hAnsi="Times New Roman" w:cs="Times New Roman"/>
          <w:b/>
          <w:noProof/>
          <w:sz w:val="20"/>
        </w:rPr>
        <w:t>3</w:t>
      </w:r>
      <w:r w:rsidRPr="00595F42">
        <w:rPr>
          <w:rFonts w:ascii="Times New Roman" w:eastAsia="Times New Roman" w:hAnsi="Times New Roman" w:cs="Times New Roman"/>
          <w:b/>
          <w:noProof/>
          <w:sz w:val="20"/>
        </w:rPr>
        <w:fldChar w:fldCharType="end"/>
      </w:r>
      <w:r w:rsidRPr="00595F42">
        <w:rPr>
          <w:rFonts w:ascii="Times New Roman" w:hAnsi="Times New Roman"/>
          <w:b/>
          <w:noProof/>
          <w:sz w:val="20"/>
        </w:rPr>
        <w:t>: Kształtowanie się poziomu napełnienia europejskich PMG</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war</w:t>
      </w:r>
      <w:r w:rsidRPr="00595F42">
        <w:rPr>
          <w:rFonts w:ascii="Times New Roman" w:hAnsi="Times New Roman"/>
          <w:b/>
          <w:noProof/>
          <w:sz w:val="20"/>
        </w:rPr>
        <w:t>unkach całkowitego zakłócenia dostaw</w:t>
      </w:r>
      <w:r w:rsidR="00595F42" w:rsidRPr="00595F42">
        <w:rPr>
          <w:rFonts w:ascii="Times New Roman" w:hAnsi="Times New Roman"/>
          <w:b/>
          <w:noProof/>
          <w:sz w:val="20"/>
        </w:rPr>
        <w:t xml:space="preserve"> z</w:t>
      </w:r>
      <w:r w:rsidR="00595F42">
        <w:rPr>
          <w:rFonts w:ascii="Times New Roman" w:hAnsi="Times New Roman"/>
          <w:b/>
          <w:noProof/>
          <w:sz w:val="20"/>
        </w:rPr>
        <w:t> </w:t>
      </w:r>
      <w:r w:rsidR="00595F42" w:rsidRPr="00595F42">
        <w:rPr>
          <w:rFonts w:ascii="Times New Roman" w:hAnsi="Times New Roman"/>
          <w:b/>
          <w:noProof/>
          <w:sz w:val="20"/>
        </w:rPr>
        <w:t>Ros</w:t>
      </w:r>
      <w:r w:rsidRPr="00595F42">
        <w:rPr>
          <w:rFonts w:ascii="Times New Roman" w:hAnsi="Times New Roman"/>
          <w:b/>
          <w:noProof/>
          <w:sz w:val="20"/>
        </w:rPr>
        <w:t>ji</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sce</w:t>
      </w:r>
      <w:r w:rsidRPr="00595F42">
        <w:rPr>
          <w:rFonts w:ascii="Times New Roman" w:hAnsi="Times New Roman"/>
          <w:b/>
          <w:noProof/>
          <w:sz w:val="20"/>
        </w:rPr>
        <w:t>nariuszu odniesienia</w:t>
      </w:r>
      <w:r w:rsidR="00595F42" w:rsidRPr="00595F42">
        <w:rPr>
          <w:rFonts w:ascii="Times New Roman" w:hAnsi="Times New Roman"/>
          <w:b/>
          <w:noProof/>
          <w:sz w:val="20"/>
        </w:rPr>
        <w:t xml:space="preserve"> z</w:t>
      </w:r>
      <w:r w:rsidR="00595F42">
        <w:rPr>
          <w:rFonts w:ascii="Times New Roman" w:hAnsi="Times New Roman"/>
          <w:b/>
          <w:noProof/>
          <w:sz w:val="20"/>
        </w:rPr>
        <w:t> </w:t>
      </w:r>
      <w:r w:rsidR="00595F42" w:rsidRPr="00595F42">
        <w:rPr>
          <w:rFonts w:ascii="Times New Roman" w:hAnsi="Times New Roman"/>
          <w:b/>
          <w:noProof/>
          <w:sz w:val="20"/>
        </w:rPr>
        <w:t>pot</w:t>
      </w:r>
      <w:r w:rsidRPr="00595F42">
        <w:rPr>
          <w:rFonts w:ascii="Times New Roman" w:hAnsi="Times New Roman"/>
          <w:b/>
          <w:noProof/>
          <w:sz w:val="20"/>
        </w:rPr>
        <w:t>encjałem dostaw LNG zaobserwowanym</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lat</w:t>
      </w:r>
      <w:r w:rsidRPr="00595F42">
        <w:rPr>
          <w:rFonts w:ascii="Times New Roman" w:hAnsi="Times New Roman"/>
          <w:b/>
          <w:noProof/>
          <w:sz w:val="20"/>
        </w:rPr>
        <w:t>ach 2022–2023 oraz niskimi celami dotyczącymi LNG (obniżonymi</w:t>
      </w:r>
      <w:r w:rsidR="00595F42" w:rsidRPr="00595F42">
        <w:rPr>
          <w:rFonts w:ascii="Times New Roman" w:hAnsi="Times New Roman"/>
          <w:b/>
          <w:noProof/>
          <w:sz w:val="20"/>
        </w:rPr>
        <w:t xml:space="preserve"> o</w:t>
      </w:r>
      <w:r w:rsidR="00595F42">
        <w:rPr>
          <w:rFonts w:ascii="Times New Roman" w:hAnsi="Times New Roman"/>
          <w:b/>
          <w:noProof/>
          <w:sz w:val="20"/>
        </w:rPr>
        <w:t> </w:t>
      </w:r>
      <w:r w:rsidR="00595F42" w:rsidRPr="00595F42">
        <w:rPr>
          <w:rFonts w:ascii="Times New Roman" w:hAnsi="Times New Roman"/>
          <w:b/>
          <w:noProof/>
          <w:sz w:val="20"/>
        </w:rPr>
        <w:t>4</w:t>
      </w:r>
      <w:r w:rsidRPr="00595F42">
        <w:rPr>
          <w:rFonts w:ascii="Times New Roman" w:hAnsi="Times New Roman"/>
          <w:b/>
          <w:noProof/>
          <w:sz w:val="20"/>
        </w:rPr>
        <w:t>0 %) na luty</w:t>
      </w:r>
      <w:r w:rsidR="00595F42" w:rsidRPr="00595F42">
        <w:rPr>
          <w:rFonts w:ascii="Times New Roman" w:hAnsi="Times New Roman"/>
          <w:b/>
          <w:noProof/>
          <w:sz w:val="20"/>
        </w:rPr>
        <w:t xml:space="preserve"> i</w:t>
      </w:r>
      <w:r w:rsidR="00595F42">
        <w:rPr>
          <w:rFonts w:ascii="Times New Roman" w:hAnsi="Times New Roman"/>
          <w:b/>
          <w:noProof/>
          <w:sz w:val="20"/>
        </w:rPr>
        <w:t> </w:t>
      </w:r>
      <w:r w:rsidR="00595F42" w:rsidRPr="00595F42">
        <w:rPr>
          <w:rFonts w:ascii="Times New Roman" w:hAnsi="Times New Roman"/>
          <w:b/>
          <w:noProof/>
          <w:sz w:val="20"/>
        </w:rPr>
        <w:t>maj</w:t>
      </w:r>
      <w:r w:rsidRPr="00595F42">
        <w:rPr>
          <w:rFonts w:ascii="Times New Roman" w:hAnsi="Times New Roman"/>
          <w:b/>
          <w:noProof/>
          <w:sz w:val="20"/>
        </w:rPr>
        <w:t>, których celem jest osiągnięcie łącznie 45 % poziomu napełnienia</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maj</w:t>
      </w:r>
      <w:r w:rsidRPr="00595F42">
        <w:rPr>
          <w:rFonts w:ascii="Times New Roman" w:hAnsi="Times New Roman"/>
          <w:b/>
          <w:noProof/>
          <w:sz w:val="20"/>
        </w:rPr>
        <w:t>u.</w:t>
      </w:r>
    </w:p>
    <w:p w14:paraId="203962E8" w14:textId="37D62002" w:rsidR="47E9FAA3" w:rsidRPr="00595F42" w:rsidRDefault="0075160D" w:rsidP="70462C3E">
      <w:pPr>
        <w:spacing w:after="120" w:line="240" w:lineRule="auto"/>
        <w:jc w:val="both"/>
        <w:rPr>
          <w:rFonts w:ascii="Times New Roman" w:hAnsi="Times New Roman" w:cs="Times New Roman"/>
          <w:i/>
          <w:iCs/>
          <w:noProof/>
          <w:sz w:val="20"/>
          <w:szCs w:val="20"/>
        </w:rPr>
      </w:pPr>
      <w:r w:rsidRPr="00595F42">
        <w:rPr>
          <w:noProof/>
          <w:lang w:val="en-GB" w:eastAsia="en-GB"/>
        </w:rPr>
        <w:drawing>
          <wp:inline distT="0" distB="0" distL="0" distR="0" wp14:anchorId="76BBDC94" wp14:editId="39C41A2C">
            <wp:extent cx="5943600" cy="401701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4017010"/>
                    </a:xfrm>
                    <a:prstGeom prst="rect">
                      <a:avLst/>
                    </a:prstGeom>
                    <a:noFill/>
                    <a:ln>
                      <a:noFill/>
                    </a:ln>
                  </pic:spPr>
                </pic:pic>
              </a:graphicData>
            </a:graphic>
          </wp:inline>
        </w:drawing>
      </w:r>
      <w:r w:rsidR="47E9FAA3" w:rsidRPr="00595F42">
        <w:rPr>
          <w:rFonts w:ascii="Times New Roman" w:hAnsi="Times New Roman"/>
          <w:i/>
          <w:noProof/>
          <w:sz w:val="20"/>
        </w:rPr>
        <w:t xml:space="preserve">Źródło: Prognoza ENTSOG dotycząca dostaw zimą 2023–2024 </w:t>
      </w:r>
    </w:p>
    <w:p w14:paraId="36975701" w14:textId="77777777" w:rsidR="009D79FE" w:rsidRPr="00595F42" w:rsidRDefault="009D79FE" w:rsidP="005D42B6">
      <w:pPr>
        <w:spacing w:after="80" w:line="240" w:lineRule="auto"/>
        <w:jc w:val="both"/>
        <w:rPr>
          <w:rFonts w:ascii="Times New Roman" w:eastAsia="Times New Roman" w:hAnsi="Times New Roman" w:cs="Times New Roman"/>
          <w:b/>
          <w:bCs/>
          <w:noProof/>
          <w:sz w:val="24"/>
          <w:szCs w:val="24"/>
          <w:lang w:eastAsia="en-IE"/>
        </w:rPr>
      </w:pPr>
    </w:p>
    <w:p w14:paraId="64B2E2CE" w14:textId="37E06534" w:rsidR="005D42B6" w:rsidRPr="00595F42" w:rsidRDefault="005D42B6" w:rsidP="005D42B6">
      <w:pPr>
        <w:spacing w:after="80" w:line="240" w:lineRule="auto"/>
        <w:jc w:val="both"/>
        <w:rPr>
          <w:rFonts w:ascii="Times New Roman" w:eastAsia="Times New Roman" w:hAnsi="Times New Roman" w:cs="Times New Roman"/>
          <w:b/>
          <w:bCs/>
          <w:noProof/>
          <w:sz w:val="24"/>
          <w:szCs w:val="24"/>
        </w:rPr>
      </w:pPr>
      <w:r w:rsidRPr="00595F42">
        <w:rPr>
          <w:rFonts w:ascii="Times New Roman" w:hAnsi="Times New Roman"/>
          <w:b/>
          <w:noProof/>
          <w:sz w:val="24"/>
        </w:rPr>
        <w:t>Prognoza Wspólnoty Energetycznej</w:t>
      </w:r>
    </w:p>
    <w:p w14:paraId="3DB3E542" w14:textId="4742348A" w:rsidR="005D42B6" w:rsidRPr="00595F42" w:rsidRDefault="005D42B6" w:rsidP="005D42B6">
      <w:pPr>
        <w:spacing w:after="80" w:line="257" w:lineRule="auto"/>
        <w:jc w:val="both"/>
        <w:rPr>
          <w:rFonts w:ascii="Times New Roman" w:eastAsia="Times New Roman" w:hAnsi="Times New Roman" w:cs="Times New Roman"/>
          <w:noProof/>
          <w:sz w:val="24"/>
          <w:szCs w:val="24"/>
        </w:rPr>
      </w:pPr>
      <w:r w:rsidRPr="00595F42">
        <w:rPr>
          <w:rFonts w:ascii="Times New Roman" w:hAnsi="Times New Roman"/>
          <w:noProof/>
          <w:sz w:val="24"/>
        </w:rPr>
        <w:t>Zgodnie</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roz</w:t>
      </w:r>
      <w:r w:rsidRPr="00595F42">
        <w:rPr>
          <w:rFonts w:ascii="Times New Roman" w:hAnsi="Times New Roman"/>
          <w:noProof/>
          <w:sz w:val="24"/>
        </w:rPr>
        <w:t>wojem sytuacji w UE Wspólnota Energetyczna</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bez</w:t>
      </w:r>
      <w:r w:rsidRPr="00595F42">
        <w:rPr>
          <w:rFonts w:ascii="Times New Roman" w:hAnsi="Times New Roman"/>
          <w:noProof/>
          <w:sz w:val="24"/>
        </w:rPr>
        <w:t>precedensowym tempie dokonała transpozycji rozporządzenia (UE) 2022/1032</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spr</w:t>
      </w:r>
      <w:r w:rsidRPr="00595F42">
        <w:rPr>
          <w:rFonts w:ascii="Times New Roman" w:hAnsi="Times New Roman"/>
          <w:noProof/>
          <w:sz w:val="24"/>
        </w:rPr>
        <w:t>awie magazynowania gazu. Nakłada ono na umawiające się strony obowiązek zapewnienia, aby do</w:t>
      </w:r>
      <w:r w:rsidR="00595F42" w:rsidRPr="00595F42">
        <w:rPr>
          <w:rFonts w:ascii="Times New Roman" w:hAnsi="Times New Roman"/>
          <w:noProof/>
          <w:sz w:val="24"/>
        </w:rPr>
        <w:t> </w:t>
      </w:r>
      <w:r w:rsidRPr="00595F42">
        <w:rPr>
          <w:rFonts w:ascii="Times New Roman" w:hAnsi="Times New Roman"/>
          <w:noProof/>
          <w:sz w:val="24"/>
        </w:rPr>
        <w:t>1 listopada ich magazyny były napełnione w co najmniej 90</w:t>
      </w:r>
      <w:r w:rsidR="00595F42" w:rsidRPr="00595F42">
        <w:rPr>
          <w:rFonts w:ascii="Times New Roman" w:hAnsi="Times New Roman"/>
          <w:noProof/>
          <w:sz w:val="24"/>
        </w:rPr>
        <w:t> </w:t>
      </w:r>
      <w:r w:rsidRPr="00595F42">
        <w:rPr>
          <w:rFonts w:ascii="Times New Roman" w:hAnsi="Times New Roman"/>
          <w:noProof/>
          <w:sz w:val="24"/>
        </w:rPr>
        <w:t xml:space="preserve">%. Rozporządzenie nakłada również na umawiające się strony obowiązek zapewnienia certyfikacji operatorów systemów magazynowania znajdujących się na ich terytorium. </w:t>
      </w:r>
    </w:p>
    <w:p w14:paraId="396EE873" w14:textId="0102F70D" w:rsidR="005D42B6" w:rsidRPr="00595F42" w:rsidRDefault="005D42B6" w:rsidP="005D42B6">
      <w:pPr>
        <w:spacing w:after="80" w:line="257" w:lineRule="auto"/>
        <w:jc w:val="both"/>
        <w:rPr>
          <w:rFonts w:ascii="Times New Roman" w:eastAsia="Times New Roman" w:hAnsi="Times New Roman" w:cs="Times New Roman"/>
          <w:noProof/>
          <w:sz w:val="24"/>
          <w:szCs w:val="24"/>
        </w:rPr>
      </w:pPr>
      <w:r w:rsidRPr="00595F42">
        <w:rPr>
          <w:rFonts w:ascii="Times New Roman" w:hAnsi="Times New Roman"/>
          <w:noProof/>
          <w:sz w:val="24"/>
        </w:rPr>
        <w:t xml:space="preserve">Zgodnie ze </w:t>
      </w:r>
      <w:hyperlink r:id="rId28" w:history="1">
        <w:r w:rsidRPr="00595F42">
          <w:rPr>
            <w:rFonts w:ascii="Times New Roman" w:hAnsi="Times New Roman"/>
            <w:noProof/>
            <w:color w:val="0563C1"/>
            <w:sz w:val="24"/>
            <w:u w:val="single"/>
          </w:rPr>
          <w:t>sprawozdaniem Sekretariatu Wspólnoty Energetycznej</w:t>
        </w:r>
        <w:r w:rsidR="00595F42" w:rsidRPr="00595F42">
          <w:rPr>
            <w:rFonts w:ascii="Times New Roman" w:hAnsi="Times New Roman"/>
            <w:noProof/>
            <w:color w:val="0563C1"/>
            <w:sz w:val="24"/>
            <w:u w:val="single"/>
          </w:rPr>
          <w:t xml:space="preserve"> z</w:t>
        </w:r>
        <w:r w:rsidR="00595F42">
          <w:rPr>
            <w:rFonts w:ascii="Times New Roman" w:hAnsi="Times New Roman"/>
            <w:noProof/>
            <w:color w:val="0563C1"/>
            <w:sz w:val="24"/>
            <w:u w:val="single"/>
          </w:rPr>
          <w:t> </w:t>
        </w:r>
        <w:r w:rsidR="00595F42" w:rsidRPr="00595F42">
          <w:rPr>
            <w:rFonts w:ascii="Times New Roman" w:hAnsi="Times New Roman"/>
            <w:noProof/>
            <w:color w:val="0563C1"/>
            <w:sz w:val="24"/>
            <w:u w:val="single"/>
          </w:rPr>
          <w:t>wyk</w:t>
        </w:r>
        <w:r w:rsidRPr="00595F42">
          <w:rPr>
            <w:rFonts w:ascii="Times New Roman" w:hAnsi="Times New Roman"/>
            <w:noProof/>
            <w:color w:val="0563C1"/>
            <w:sz w:val="24"/>
            <w:u w:val="single"/>
          </w:rPr>
          <w:t>onania rozporządzenia</w:t>
        </w:r>
        <w:r w:rsidR="00595F42" w:rsidRPr="00595F42">
          <w:rPr>
            <w:rFonts w:ascii="Times New Roman" w:hAnsi="Times New Roman"/>
            <w:noProof/>
            <w:color w:val="0563C1"/>
            <w:sz w:val="24"/>
            <w:u w:val="single"/>
          </w:rPr>
          <w:t xml:space="preserve"> w</w:t>
        </w:r>
        <w:r w:rsidR="00595F42">
          <w:rPr>
            <w:rFonts w:ascii="Times New Roman" w:hAnsi="Times New Roman"/>
            <w:noProof/>
            <w:color w:val="0563C1"/>
            <w:sz w:val="24"/>
            <w:u w:val="single"/>
          </w:rPr>
          <w:t> </w:t>
        </w:r>
        <w:r w:rsidR="00595F42" w:rsidRPr="00595F42">
          <w:rPr>
            <w:rFonts w:ascii="Times New Roman" w:hAnsi="Times New Roman"/>
            <w:noProof/>
            <w:color w:val="0563C1"/>
            <w:sz w:val="24"/>
            <w:u w:val="single"/>
          </w:rPr>
          <w:t>spr</w:t>
        </w:r>
        <w:r w:rsidRPr="00595F42">
          <w:rPr>
            <w:rFonts w:ascii="Times New Roman" w:hAnsi="Times New Roman"/>
            <w:noProof/>
            <w:color w:val="0563C1"/>
            <w:sz w:val="24"/>
            <w:u w:val="single"/>
          </w:rPr>
          <w:t>awie magazynowania gazu</w:t>
        </w:r>
      </w:hyperlink>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1</w:t>
      </w:r>
      <w:r w:rsidRPr="00595F42">
        <w:rPr>
          <w:rFonts w:ascii="Times New Roman" w:hAnsi="Times New Roman"/>
          <w:noProof/>
          <w:sz w:val="24"/>
        </w:rPr>
        <w:t xml:space="preserve"> czerwca 2023</w:t>
      </w:r>
      <w:r w:rsidR="00595F42" w:rsidRPr="00595F42">
        <w:rPr>
          <w:rFonts w:ascii="Times New Roman" w:hAnsi="Times New Roman"/>
          <w:noProof/>
          <w:sz w:val="24"/>
        </w:rPr>
        <w:t> </w:t>
      </w:r>
      <w:r w:rsidRPr="00595F42">
        <w:rPr>
          <w:rFonts w:ascii="Times New Roman" w:hAnsi="Times New Roman"/>
          <w:noProof/>
          <w:sz w:val="24"/>
        </w:rPr>
        <w:t>r. Serbia</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Ukr</w:t>
      </w:r>
      <w:r w:rsidRPr="00595F42">
        <w:rPr>
          <w:rFonts w:ascii="Times New Roman" w:hAnsi="Times New Roman"/>
          <w:noProof/>
          <w:sz w:val="24"/>
        </w:rPr>
        <w:t>aina, będące umawiającymi się stronami posiadającymi magazyny gazu, osiągnęły cele,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tym</w:t>
      </w:r>
      <w:r w:rsidRPr="00595F42">
        <w:rPr>
          <w:rFonts w:ascii="Times New Roman" w:hAnsi="Times New Roman"/>
          <w:noProof/>
          <w:sz w:val="24"/>
        </w:rPr>
        <w:t xml:space="preserve"> cele pośrednie</w:t>
      </w:r>
      <w:r w:rsidR="00595F42" w:rsidRPr="00595F42">
        <w:rPr>
          <w:rFonts w:ascii="Times New Roman" w:hAnsi="Times New Roman"/>
          <w:noProof/>
          <w:sz w:val="24"/>
        </w:rPr>
        <w:t>. W</w:t>
      </w:r>
      <w:r w:rsidR="00595F42">
        <w:rPr>
          <w:rFonts w:ascii="Times New Roman" w:hAnsi="Times New Roman"/>
          <w:noProof/>
          <w:sz w:val="24"/>
        </w:rPr>
        <w:t> </w:t>
      </w:r>
      <w:r w:rsidR="00595F42" w:rsidRPr="00595F42">
        <w:rPr>
          <w:rFonts w:ascii="Times New Roman" w:hAnsi="Times New Roman"/>
          <w:noProof/>
          <w:sz w:val="24"/>
        </w:rPr>
        <w:t>spr</w:t>
      </w:r>
      <w:r w:rsidRPr="00595F42">
        <w:rPr>
          <w:rFonts w:ascii="Times New Roman" w:hAnsi="Times New Roman"/>
          <w:noProof/>
          <w:sz w:val="24"/>
        </w:rPr>
        <w:t>awozdaniu umawiające się strony nieposiadające magazynów wezwano do podjęcia dodatkowych starań</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cel</w:t>
      </w:r>
      <w:r w:rsidRPr="00595F42">
        <w:rPr>
          <w:rFonts w:ascii="Times New Roman" w:hAnsi="Times New Roman"/>
          <w:noProof/>
          <w:sz w:val="24"/>
        </w:rPr>
        <w:t>u wdrożenia obowiązków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magazynowania</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wyk</w:t>
      </w:r>
      <w:r w:rsidRPr="00595F42">
        <w:rPr>
          <w:rFonts w:ascii="Times New Roman" w:hAnsi="Times New Roman"/>
          <w:noProof/>
          <w:sz w:val="24"/>
        </w:rPr>
        <w:t>orzystania dostępnych instrumentów, takich jak podpisanie porozumień</w:t>
      </w:r>
      <w:r w:rsidR="00595F42" w:rsidRPr="00595F42">
        <w:rPr>
          <w:rFonts w:ascii="Times New Roman" w:hAnsi="Times New Roman"/>
          <w:noProof/>
          <w:sz w:val="24"/>
        </w:rPr>
        <w:t xml:space="preserve"> o</w:t>
      </w:r>
      <w:r w:rsidR="00595F42">
        <w:rPr>
          <w:rFonts w:ascii="Times New Roman" w:hAnsi="Times New Roman"/>
          <w:noProof/>
          <w:sz w:val="24"/>
        </w:rPr>
        <w:t> </w:t>
      </w:r>
      <w:r w:rsidR="00595F42" w:rsidRPr="00595F42">
        <w:rPr>
          <w:rFonts w:ascii="Times New Roman" w:hAnsi="Times New Roman"/>
          <w:noProof/>
          <w:sz w:val="24"/>
        </w:rPr>
        <w:t>pod</w:t>
      </w:r>
      <w:r w:rsidRPr="00595F42">
        <w:rPr>
          <w:rFonts w:ascii="Times New Roman" w:hAnsi="Times New Roman"/>
          <w:noProof/>
          <w:sz w:val="24"/>
        </w:rPr>
        <w:t>ziale obciążenia</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zap</w:t>
      </w:r>
      <w:r w:rsidRPr="00595F42">
        <w:rPr>
          <w:rFonts w:ascii="Times New Roman" w:hAnsi="Times New Roman"/>
          <w:noProof/>
          <w:sz w:val="24"/>
        </w:rPr>
        <w:t>ewnienie posiadania przez nie zdolności magazynowania dla części swojego rocznego zapotrzebowania (co najmniej 15</w:t>
      </w:r>
      <w:r w:rsidR="00595F42" w:rsidRPr="00595F42">
        <w:rPr>
          <w:rFonts w:ascii="Times New Roman" w:hAnsi="Times New Roman"/>
          <w:noProof/>
          <w:sz w:val="24"/>
        </w:rPr>
        <w:t> </w:t>
      </w:r>
      <w:r w:rsidRPr="00595F42">
        <w:rPr>
          <w:rFonts w:ascii="Times New Roman" w:hAnsi="Times New Roman"/>
          <w:noProof/>
          <w:sz w:val="24"/>
        </w:rPr>
        <w:t>%)</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sąs</w:t>
      </w:r>
      <w:r w:rsidRPr="00595F42">
        <w:rPr>
          <w:rFonts w:ascii="Times New Roman" w:hAnsi="Times New Roman"/>
          <w:noProof/>
          <w:sz w:val="24"/>
        </w:rPr>
        <w:t>iadujących państwach.</w:t>
      </w:r>
    </w:p>
    <w:p w14:paraId="2FE1F355" w14:textId="52BC85F6" w:rsidR="0047483A" w:rsidRPr="00595F42" w:rsidRDefault="00BE4F5D" w:rsidP="007D1226">
      <w:pPr>
        <w:spacing w:after="0" w:line="257" w:lineRule="auto"/>
        <w:jc w:val="both"/>
        <w:rPr>
          <w:rFonts w:ascii="Times New Roman" w:eastAsia="Times New Roman" w:hAnsi="Times New Roman" w:cs="Times New Roman"/>
          <w:noProof/>
          <w:sz w:val="24"/>
          <w:szCs w:val="20"/>
        </w:rPr>
      </w:pPr>
      <w:r w:rsidRPr="00595F42">
        <w:rPr>
          <w:rFonts w:ascii="Times New Roman" w:hAnsi="Times New Roman"/>
          <w:noProof/>
          <w:sz w:val="24"/>
        </w:rPr>
        <w:t>Ukraina dokonała transpozycji większości wymogów określonych</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roz</w:t>
      </w:r>
      <w:r w:rsidRPr="00595F42">
        <w:rPr>
          <w:rFonts w:ascii="Times New Roman" w:hAnsi="Times New Roman"/>
          <w:noProof/>
          <w:sz w:val="24"/>
        </w:rPr>
        <w:t>porządzeniu (UE) 2022/1032, wypełniła obowiązki dotyczące operatora systemu magazynowania</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poz</w:t>
      </w:r>
      <w:r w:rsidRPr="00595F42">
        <w:rPr>
          <w:rFonts w:ascii="Times New Roman" w:hAnsi="Times New Roman"/>
          <w:noProof/>
          <w:sz w:val="24"/>
        </w:rPr>
        <w:t>iomów trajektorii gazu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mag</w:t>
      </w:r>
      <w:r w:rsidRPr="00595F42">
        <w:rPr>
          <w:rFonts w:ascii="Times New Roman" w:hAnsi="Times New Roman"/>
          <w:noProof/>
          <w:sz w:val="24"/>
        </w:rPr>
        <w:t>azynach. Jeżeli chodzi</w:t>
      </w:r>
      <w:r w:rsidR="00595F42" w:rsidRPr="00595F42">
        <w:rPr>
          <w:rFonts w:ascii="Times New Roman" w:hAnsi="Times New Roman"/>
          <w:noProof/>
          <w:sz w:val="24"/>
        </w:rPr>
        <w:t xml:space="preserve"> o</w:t>
      </w:r>
      <w:r w:rsidR="00595F42">
        <w:rPr>
          <w:rFonts w:ascii="Times New Roman" w:hAnsi="Times New Roman"/>
          <w:noProof/>
          <w:sz w:val="24"/>
        </w:rPr>
        <w:t> </w:t>
      </w:r>
      <w:r w:rsidR="00595F42" w:rsidRPr="00595F42">
        <w:rPr>
          <w:rFonts w:ascii="Times New Roman" w:hAnsi="Times New Roman"/>
          <w:noProof/>
          <w:sz w:val="24"/>
        </w:rPr>
        <w:t>cer</w:t>
      </w:r>
      <w:r w:rsidRPr="00595F42">
        <w:rPr>
          <w:rFonts w:ascii="Times New Roman" w:hAnsi="Times New Roman"/>
          <w:noProof/>
          <w:sz w:val="24"/>
        </w:rPr>
        <w:t>tyfikację operatorów systemów magazynowania we Wspólnocie Energetycznej, jedynie Ukraina</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Ser</w:t>
      </w:r>
      <w:r w:rsidRPr="00595F42">
        <w:rPr>
          <w:rFonts w:ascii="Times New Roman" w:hAnsi="Times New Roman"/>
          <w:noProof/>
          <w:sz w:val="24"/>
        </w:rPr>
        <w:t>bia posiadają zdolności magazynowania. W Ukrainie Ukrtransgaz został certyfikowany</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kwi</w:t>
      </w:r>
      <w:r w:rsidRPr="00595F42">
        <w:rPr>
          <w:rFonts w:ascii="Times New Roman" w:hAnsi="Times New Roman"/>
          <w:noProof/>
          <w:sz w:val="24"/>
        </w:rPr>
        <w:t>etniu 2023</w:t>
      </w:r>
      <w:r w:rsidR="00595F42" w:rsidRPr="00595F42">
        <w:rPr>
          <w:rFonts w:ascii="Times New Roman" w:hAnsi="Times New Roman"/>
          <w:noProof/>
          <w:sz w:val="24"/>
        </w:rPr>
        <w:t> </w:t>
      </w:r>
      <w:r w:rsidRPr="00595F42">
        <w:rPr>
          <w:rFonts w:ascii="Times New Roman" w:hAnsi="Times New Roman"/>
          <w:noProof/>
          <w:sz w:val="24"/>
        </w:rPr>
        <w:t>r.,</w:t>
      </w:r>
      <w:r w:rsidR="00595F42" w:rsidRPr="00595F42">
        <w:rPr>
          <w:rFonts w:ascii="Times New Roman" w:hAnsi="Times New Roman"/>
          <w:noProof/>
          <w:sz w:val="24"/>
        </w:rPr>
        <w:t xml:space="preserve"> a</w:t>
      </w:r>
      <w:r w:rsidR="00595F42">
        <w:rPr>
          <w:rFonts w:ascii="Times New Roman" w:hAnsi="Times New Roman"/>
          <w:noProof/>
          <w:sz w:val="24"/>
        </w:rPr>
        <w:t> </w:t>
      </w:r>
      <w:r w:rsidR="00595F42" w:rsidRPr="00595F42">
        <w:rPr>
          <w:rFonts w:ascii="Times New Roman" w:hAnsi="Times New Roman"/>
          <w:noProof/>
          <w:sz w:val="24"/>
        </w:rPr>
        <w:t>Ser</w:t>
      </w:r>
      <w:r w:rsidRPr="00595F42">
        <w:rPr>
          <w:rFonts w:ascii="Times New Roman" w:hAnsi="Times New Roman"/>
          <w:noProof/>
          <w:sz w:val="24"/>
        </w:rPr>
        <w:t>bia nie dokonała jeszcze transpozycji rozporządzenia jako podstawy prawnej certyfikacji. Ponadto ukraińscy operatorzy systemów magazynowania</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sys</w:t>
      </w:r>
      <w:r w:rsidRPr="00595F42">
        <w:rPr>
          <w:rFonts w:ascii="Times New Roman" w:hAnsi="Times New Roman"/>
          <w:noProof/>
          <w:sz w:val="24"/>
        </w:rPr>
        <w:t>temów przesyłowych przeprowadzili test warunków skrajnych</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magazynowania na podstawie zestawu wybranych scenariuszy mających na celu ustalenie, czy gaz magazynowany przez zagranicznych przedsiębiorców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ram</w:t>
      </w:r>
      <w:r w:rsidRPr="00595F42">
        <w:rPr>
          <w:rFonts w:ascii="Times New Roman" w:hAnsi="Times New Roman"/>
          <w:noProof/>
          <w:sz w:val="24"/>
        </w:rPr>
        <w:t>ach systemu składu celnego mógłby zostać ewakuowany do właścicieli</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syt</w:t>
      </w:r>
      <w:r w:rsidRPr="00595F42">
        <w:rPr>
          <w:rFonts w:ascii="Times New Roman" w:hAnsi="Times New Roman"/>
          <w:noProof/>
          <w:sz w:val="24"/>
        </w:rPr>
        <w:t>uacji kryzysowej.</w:t>
      </w:r>
    </w:p>
    <w:p w14:paraId="79CC3343" w14:textId="3529A536" w:rsidR="005D42B6" w:rsidRPr="00595F42" w:rsidRDefault="005D42B6" w:rsidP="007D1226">
      <w:pPr>
        <w:spacing w:after="0" w:line="257" w:lineRule="auto"/>
        <w:jc w:val="both"/>
        <w:rPr>
          <w:rFonts w:ascii="Times New Roman" w:eastAsia="Times New Roman" w:hAnsi="Times New Roman" w:cs="Times New Roman"/>
          <w:noProof/>
          <w:sz w:val="24"/>
          <w:szCs w:val="20"/>
        </w:rPr>
      </w:pPr>
      <w:r w:rsidRPr="00595F42">
        <w:rPr>
          <w:rFonts w:ascii="Times New Roman" w:hAnsi="Times New Roman"/>
          <w:noProof/>
          <w:sz w:val="24"/>
        </w:rPr>
        <w:t>13 listopada 2023</w:t>
      </w:r>
      <w:r w:rsidR="00595F42" w:rsidRPr="00595F42">
        <w:rPr>
          <w:rFonts w:ascii="Times New Roman" w:hAnsi="Times New Roman"/>
          <w:noProof/>
          <w:sz w:val="24"/>
        </w:rPr>
        <w:t> </w:t>
      </w:r>
      <w:r w:rsidRPr="00595F42">
        <w:rPr>
          <w:rFonts w:ascii="Times New Roman" w:hAnsi="Times New Roman"/>
          <w:noProof/>
          <w:sz w:val="24"/>
        </w:rPr>
        <w:t>r. Sekretariat Wspólnoty Energetycznej przyjął kompleksowe trajektorie napełniania magazynów na</w:t>
      </w:r>
      <w:r w:rsidR="00595F42" w:rsidRPr="00595F42">
        <w:rPr>
          <w:rFonts w:ascii="Times New Roman" w:hAnsi="Times New Roman"/>
          <w:noProof/>
          <w:sz w:val="24"/>
        </w:rPr>
        <w:t> </w:t>
      </w:r>
      <w:r w:rsidRPr="00595F42">
        <w:rPr>
          <w:rFonts w:ascii="Times New Roman" w:hAnsi="Times New Roman"/>
          <w:noProof/>
          <w:sz w:val="24"/>
        </w:rPr>
        <w:t>2024</w:t>
      </w:r>
      <w:r w:rsidR="00595F42" w:rsidRPr="00595F42">
        <w:rPr>
          <w:rFonts w:ascii="Times New Roman" w:hAnsi="Times New Roman"/>
          <w:noProof/>
          <w:sz w:val="24"/>
        </w:rPr>
        <w:t> </w:t>
      </w:r>
      <w:r w:rsidRPr="00595F42">
        <w:rPr>
          <w:rFonts w:ascii="Times New Roman" w:hAnsi="Times New Roman"/>
          <w:noProof/>
          <w:sz w:val="24"/>
        </w:rPr>
        <w:t xml:space="preserve">r. </w:t>
      </w:r>
    </w:p>
    <w:p w14:paraId="29D78C73" w14:textId="2C851F16" w:rsidR="005D42B6" w:rsidRPr="00595F42" w:rsidRDefault="005D42B6" w:rsidP="00F07D14">
      <w:pPr>
        <w:keepNext/>
        <w:numPr>
          <w:ilvl w:val="0"/>
          <w:numId w:val="43"/>
        </w:numPr>
        <w:spacing w:before="240" w:after="80" w:line="240" w:lineRule="auto"/>
        <w:ind w:left="1485" w:hanging="283"/>
        <w:jc w:val="both"/>
        <w:outlineLvl w:val="0"/>
        <w:rPr>
          <w:rFonts w:ascii="Times New Roman" w:eastAsia="Times New Roman" w:hAnsi="Times New Roman" w:cs="Times New Roman"/>
          <w:b/>
          <w:smallCaps/>
          <w:noProof/>
          <w:sz w:val="24"/>
          <w:szCs w:val="20"/>
        </w:rPr>
      </w:pPr>
      <w:r w:rsidRPr="00595F42">
        <w:rPr>
          <w:rFonts w:ascii="Times New Roman" w:hAnsi="Times New Roman"/>
          <w:b/>
          <w:smallCaps/>
          <w:noProof/>
          <w:sz w:val="24"/>
        </w:rPr>
        <w:t>Analiza potencjalnego wpływu rozporządzenia na ceny gazu</w:t>
      </w:r>
    </w:p>
    <w:p w14:paraId="4D33DC09" w14:textId="5F154A21" w:rsidR="005D42B6" w:rsidRPr="00595F42" w:rsidRDefault="005D42B6" w:rsidP="005D42B6">
      <w:pPr>
        <w:spacing w:after="80" w:line="240" w:lineRule="auto"/>
        <w:jc w:val="both"/>
        <w:rPr>
          <w:rFonts w:ascii="Times New Roman" w:eastAsia="Arial" w:hAnsi="Times New Roman" w:cs="Times New Roman"/>
          <w:noProof/>
          <w:color w:val="333333"/>
          <w:sz w:val="24"/>
          <w:szCs w:val="24"/>
        </w:rPr>
      </w:pPr>
      <w:r w:rsidRPr="00595F42">
        <w:rPr>
          <w:rFonts w:ascii="Times New Roman" w:hAnsi="Times New Roman"/>
          <w:noProof/>
          <w:color w:val="333333"/>
          <w:sz w:val="24"/>
        </w:rPr>
        <w:t>Magazyny mają kluczowe znaczenie dla złagodzenia napięć na rynkach, ponieważ mogą dostarczyć na rynek duże ilości</w:t>
      </w:r>
      <w:r w:rsidR="00595F42" w:rsidRPr="00595F42">
        <w:rPr>
          <w:rFonts w:ascii="Times New Roman" w:hAnsi="Times New Roman"/>
          <w:noProof/>
          <w:color w:val="333333"/>
          <w:sz w:val="24"/>
        </w:rPr>
        <w:t xml:space="preserve"> w</w:t>
      </w:r>
      <w:r w:rsidR="00595F42">
        <w:rPr>
          <w:rFonts w:ascii="Times New Roman" w:hAnsi="Times New Roman"/>
          <w:noProof/>
          <w:color w:val="333333"/>
          <w:sz w:val="24"/>
        </w:rPr>
        <w:t> </w:t>
      </w:r>
      <w:r w:rsidR="00595F42" w:rsidRPr="00595F42">
        <w:rPr>
          <w:rFonts w:ascii="Times New Roman" w:hAnsi="Times New Roman"/>
          <w:noProof/>
          <w:color w:val="333333"/>
          <w:sz w:val="24"/>
        </w:rPr>
        <w:t>prz</w:t>
      </w:r>
      <w:r w:rsidRPr="00595F42">
        <w:rPr>
          <w:rFonts w:ascii="Times New Roman" w:hAnsi="Times New Roman"/>
          <w:noProof/>
          <w:color w:val="333333"/>
          <w:sz w:val="24"/>
        </w:rPr>
        <w:t>ypadku ograniczonej podaży,</w:t>
      </w:r>
      <w:r w:rsidR="00595F42" w:rsidRPr="00595F42">
        <w:rPr>
          <w:rFonts w:ascii="Times New Roman" w:hAnsi="Times New Roman"/>
          <w:noProof/>
          <w:color w:val="333333"/>
          <w:sz w:val="24"/>
        </w:rPr>
        <w:t xml:space="preserve"> a</w:t>
      </w:r>
      <w:r w:rsidR="00595F42">
        <w:rPr>
          <w:rFonts w:ascii="Times New Roman" w:hAnsi="Times New Roman"/>
          <w:noProof/>
          <w:color w:val="333333"/>
          <w:sz w:val="24"/>
        </w:rPr>
        <w:t> </w:t>
      </w:r>
      <w:r w:rsidR="00595F42" w:rsidRPr="00595F42">
        <w:rPr>
          <w:rFonts w:ascii="Times New Roman" w:hAnsi="Times New Roman"/>
          <w:noProof/>
          <w:color w:val="333333"/>
          <w:sz w:val="24"/>
        </w:rPr>
        <w:t>tym</w:t>
      </w:r>
      <w:r w:rsidRPr="00595F42">
        <w:rPr>
          <w:rFonts w:ascii="Times New Roman" w:hAnsi="Times New Roman"/>
          <w:noProof/>
          <w:color w:val="333333"/>
          <w:sz w:val="24"/>
        </w:rPr>
        <w:t xml:space="preserve"> samym łagodzić wahania</w:t>
      </w:r>
      <w:r w:rsidR="00595F42" w:rsidRPr="00595F42">
        <w:rPr>
          <w:rFonts w:ascii="Times New Roman" w:hAnsi="Times New Roman"/>
          <w:noProof/>
          <w:color w:val="333333"/>
          <w:sz w:val="24"/>
        </w:rPr>
        <w:t xml:space="preserve"> i</w:t>
      </w:r>
      <w:r w:rsidR="00595F42">
        <w:rPr>
          <w:rFonts w:ascii="Times New Roman" w:hAnsi="Times New Roman"/>
          <w:noProof/>
          <w:color w:val="333333"/>
          <w:sz w:val="24"/>
        </w:rPr>
        <w:t> </w:t>
      </w:r>
      <w:r w:rsidR="00595F42" w:rsidRPr="00595F42">
        <w:rPr>
          <w:rFonts w:ascii="Times New Roman" w:hAnsi="Times New Roman"/>
          <w:noProof/>
          <w:color w:val="333333"/>
          <w:sz w:val="24"/>
        </w:rPr>
        <w:t>sko</w:t>
      </w:r>
      <w:r w:rsidRPr="00595F42">
        <w:rPr>
          <w:rFonts w:ascii="Times New Roman" w:hAnsi="Times New Roman"/>
          <w:noProof/>
          <w:color w:val="333333"/>
          <w:sz w:val="24"/>
        </w:rPr>
        <w:t>ki cen.</w:t>
      </w:r>
    </w:p>
    <w:p w14:paraId="598D3151" w14:textId="6FB4F1E3" w:rsidR="005D42B6" w:rsidRPr="00595F42" w:rsidRDefault="005D42B6" w:rsidP="005D42B6">
      <w:pPr>
        <w:spacing w:after="80" w:line="257" w:lineRule="auto"/>
        <w:jc w:val="both"/>
        <w:rPr>
          <w:rFonts w:ascii="Times New Roman" w:eastAsia="Arial" w:hAnsi="Times New Roman" w:cs="Times New Roman"/>
          <w:noProof/>
          <w:color w:val="000000"/>
          <w:sz w:val="24"/>
          <w:szCs w:val="24"/>
        </w:rPr>
      </w:pPr>
      <w:r w:rsidRPr="00595F42">
        <w:rPr>
          <w:rFonts w:ascii="Times New Roman" w:hAnsi="Times New Roman"/>
          <w:noProof/>
          <w:color w:val="000000"/>
          <w:sz w:val="24"/>
        </w:rPr>
        <w:t>W perspektywie krótkoterminowej zapotrzebowanie jest zwykle nieelastyczne cenowo</w:t>
      </w:r>
      <w:r w:rsidR="00595F42" w:rsidRPr="00595F42">
        <w:rPr>
          <w:rFonts w:ascii="Times New Roman" w:hAnsi="Times New Roman"/>
          <w:noProof/>
          <w:color w:val="000000"/>
          <w:sz w:val="24"/>
        </w:rPr>
        <w:t>. W</w:t>
      </w:r>
      <w:r w:rsidR="00595F42">
        <w:rPr>
          <w:rFonts w:ascii="Times New Roman" w:hAnsi="Times New Roman"/>
          <w:noProof/>
          <w:color w:val="000000"/>
          <w:sz w:val="24"/>
        </w:rPr>
        <w:t> </w:t>
      </w:r>
      <w:r w:rsidR="00595F42" w:rsidRPr="00595F42">
        <w:rPr>
          <w:rFonts w:ascii="Times New Roman" w:hAnsi="Times New Roman"/>
          <w:noProof/>
          <w:color w:val="000000"/>
          <w:sz w:val="24"/>
        </w:rPr>
        <w:t>zwi</w:t>
      </w:r>
      <w:r w:rsidRPr="00595F42">
        <w:rPr>
          <w:rFonts w:ascii="Times New Roman" w:hAnsi="Times New Roman"/>
          <w:noProof/>
          <w:color w:val="000000"/>
          <w:sz w:val="24"/>
        </w:rPr>
        <w:t>ązku</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tym</w:t>
      </w:r>
      <w:r w:rsidRPr="00595F42">
        <w:rPr>
          <w:rFonts w:ascii="Times New Roman" w:hAnsi="Times New Roman"/>
          <w:noProof/>
          <w:color w:val="000000"/>
          <w:sz w:val="24"/>
        </w:rPr>
        <w:t xml:space="preserve"> napięta sytuacja na rynku spowodowana niedoborem dostaw może szybko przełożyć się na znaczny wzrost cen</w:t>
      </w:r>
      <w:r w:rsidR="00595F42" w:rsidRPr="00595F42">
        <w:rPr>
          <w:rFonts w:ascii="Times New Roman" w:hAnsi="Times New Roman"/>
          <w:noProof/>
          <w:color w:val="000000"/>
          <w:sz w:val="24"/>
        </w:rPr>
        <w:t>. W</w:t>
      </w:r>
      <w:r w:rsidR="00595F42">
        <w:rPr>
          <w:rFonts w:ascii="Times New Roman" w:hAnsi="Times New Roman"/>
          <w:noProof/>
          <w:color w:val="000000"/>
          <w:sz w:val="24"/>
        </w:rPr>
        <w:t> </w:t>
      </w:r>
      <w:r w:rsidR="00595F42" w:rsidRPr="00595F42">
        <w:rPr>
          <w:rFonts w:ascii="Times New Roman" w:hAnsi="Times New Roman"/>
          <w:noProof/>
          <w:color w:val="000000"/>
          <w:sz w:val="24"/>
        </w:rPr>
        <w:t>tym</w:t>
      </w:r>
      <w:r w:rsidRPr="00595F42">
        <w:rPr>
          <w:rFonts w:ascii="Times New Roman" w:hAnsi="Times New Roman"/>
          <w:noProof/>
          <w:color w:val="000000"/>
          <w:sz w:val="24"/>
        </w:rPr>
        <w:t xml:space="preserve"> kontekście dostępność źródeł elastyczności, takich jak magazynowanie, ma zasadnicze znaczenie dla zwiększenia krótkoterminowych dostępnych dostaw</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zac</w:t>
      </w:r>
      <w:r w:rsidRPr="00595F42">
        <w:rPr>
          <w:rFonts w:ascii="Times New Roman" w:hAnsi="Times New Roman"/>
          <w:noProof/>
          <w:color w:val="000000"/>
          <w:sz w:val="24"/>
        </w:rPr>
        <w:t>howania równowagi między popytem</w:t>
      </w:r>
      <w:r w:rsidR="00595F42" w:rsidRPr="00595F42">
        <w:rPr>
          <w:rFonts w:ascii="Times New Roman" w:hAnsi="Times New Roman"/>
          <w:noProof/>
          <w:color w:val="000000"/>
          <w:sz w:val="24"/>
        </w:rPr>
        <w:t xml:space="preserve"> a</w:t>
      </w:r>
      <w:r w:rsidR="00595F42">
        <w:rPr>
          <w:rFonts w:ascii="Times New Roman" w:hAnsi="Times New Roman"/>
          <w:noProof/>
          <w:color w:val="000000"/>
          <w:sz w:val="24"/>
        </w:rPr>
        <w:t> </w:t>
      </w:r>
      <w:r w:rsidR="00595F42" w:rsidRPr="00595F42">
        <w:rPr>
          <w:rFonts w:ascii="Times New Roman" w:hAnsi="Times New Roman"/>
          <w:noProof/>
          <w:color w:val="000000"/>
          <w:sz w:val="24"/>
        </w:rPr>
        <w:t>pod</w:t>
      </w:r>
      <w:r w:rsidRPr="00595F42">
        <w:rPr>
          <w:rFonts w:ascii="Times New Roman" w:hAnsi="Times New Roman"/>
          <w:noProof/>
          <w:color w:val="000000"/>
          <w:sz w:val="24"/>
        </w:rPr>
        <w:t>ażą</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sys</w:t>
      </w:r>
      <w:r w:rsidRPr="00595F42">
        <w:rPr>
          <w:rFonts w:ascii="Times New Roman" w:hAnsi="Times New Roman"/>
          <w:noProof/>
          <w:color w:val="000000"/>
          <w:sz w:val="24"/>
        </w:rPr>
        <w:t xml:space="preserve">temie. </w:t>
      </w:r>
    </w:p>
    <w:p w14:paraId="18A9C76C" w14:textId="6CA93406" w:rsidR="005D42B6" w:rsidRPr="00595F42" w:rsidRDefault="005D42B6" w:rsidP="005D42B6">
      <w:pPr>
        <w:spacing w:after="80" w:line="257" w:lineRule="auto"/>
        <w:jc w:val="both"/>
        <w:rPr>
          <w:rFonts w:ascii="Times New Roman" w:eastAsia="Arial" w:hAnsi="Times New Roman" w:cs="Times New Roman"/>
          <w:noProof/>
          <w:color w:val="000000"/>
          <w:sz w:val="24"/>
          <w:szCs w:val="24"/>
        </w:rPr>
      </w:pPr>
      <w:r w:rsidRPr="00595F42">
        <w:rPr>
          <w:rFonts w:ascii="Times New Roman" w:hAnsi="Times New Roman"/>
          <w:noProof/>
          <w:color w:val="000000"/>
          <w:sz w:val="24"/>
        </w:rPr>
        <w:t>Rola magazynowania</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łag</w:t>
      </w:r>
      <w:r w:rsidRPr="00595F42">
        <w:rPr>
          <w:rFonts w:ascii="Times New Roman" w:hAnsi="Times New Roman"/>
          <w:noProof/>
          <w:color w:val="000000"/>
          <w:sz w:val="24"/>
        </w:rPr>
        <w:t>odzeniu presji cenowej jest powszechnie uznawana</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bra</w:t>
      </w:r>
      <w:r w:rsidRPr="00595F42">
        <w:rPr>
          <w:rFonts w:ascii="Times New Roman" w:hAnsi="Times New Roman"/>
          <w:noProof/>
          <w:color w:val="000000"/>
          <w:sz w:val="24"/>
        </w:rPr>
        <w:t>nży</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w</w:t>
      </w:r>
      <w:r w:rsidR="00595F42">
        <w:rPr>
          <w:rFonts w:ascii="Times New Roman" w:hAnsi="Times New Roman"/>
          <w:noProof/>
          <w:color w:val="000000"/>
          <w:sz w:val="24"/>
        </w:rPr>
        <w:t> </w:t>
      </w:r>
      <w:r w:rsidR="00595F42" w:rsidRPr="00595F42">
        <w:rPr>
          <w:rFonts w:ascii="Times New Roman" w:hAnsi="Times New Roman"/>
          <w:noProof/>
          <w:color w:val="000000"/>
          <w:sz w:val="24"/>
        </w:rPr>
        <w:t>lit</w:t>
      </w:r>
      <w:r w:rsidRPr="00595F42">
        <w:rPr>
          <w:rFonts w:ascii="Times New Roman" w:hAnsi="Times New Roman"/>
          <w:noProof/>
          <w:color w:val="000000"/>
          <w:sz w:val="24"/>
        </w:rPr>
        <w:t xml:space="preserve">eraturze ekonomicznej. </w:t>
      </w:r>
    </w:p>
    <w:p w14:paraId="4454294A" w14:textId="6B18EEDE" w:rsidR="005D42B6" w:rsidRPr="00595F42" w:rsidRDefault="005D42B6" w:rsidP="005D42B6">
      <w:pPr>
        <w:spacing w:after="80" w:line="257" w:lineRule="auto"/>
        <w:jc w:val="both"/>
        <w:rPr>
          <w:rFonts w:ascii="Times New Roman" w:eastAsia="Arial" w:hAnsi="Times New Roman" w:cs="Times New Roman"/>
          <w:noProof/>
          <w:color w:val="000000"/>
          <w:sz w:val="24"/>
          <w:szCs w:val="24"/>
        </w:rPr>
      </w:pPr>
      <w:r w:rsidRPr="00595F42">
        <w:rPr>
          <w:rFonts w:ascii="Times New Roman" w:hAnsi="Times New Roman"/>
          <w:noProof/>
          <w:color w:val="000000"/>
          <w:sz w:val="24"/>
        </w:rPr>
        <w:t xml:space="preserve">Na przykład Międzynarodowa Agencja Energetyczna zauważyła w </w:t>
      </w:r>
      <w:hyperlink r:id="rId29" w:history="1">
        <w:r w:rsidRPr="00595F42">
          <w:rPr>
            <w:rFonts w:ascii="Times New Roman" w:hAnsi="Times New Roman"/>
            <w:noProof/>
            <w:color w:val="0563C1"/>
            <w:sz w:val="24"/>
            <w:u w:val="single"/>
          </w:rPr>
          <w:t>sprawozdaniu średniookresowym dotyczącym gazu za</w:t>
        </w:r>
        <w:r w:rsidR="00595F42" w:rsidRPr="00595F42">
          <w:rPr>
            <w:rFonts w:ascii="Times New Roman" w:hAnsi="Times New Roman"/>
            <w:noProof/>
            <w:color w:val="0563C1"/>
            <w:sz w:val="24"/>
            <w:u w:val="single"/>
          </w:rPr>
          <w:t> </w:t>
        </w:r>
        <w:r w:rsidRPr="00595F42">
          <w:rPr>
            <w:rFonts w:ascii="Times New Roman" w:hAnsi="Times New Roman"/>
            <w:noProof/>
            <w:color w:val="0563C1"/>
            <w:sz w:val="24"/>
            <w:u w:val="single"/>
          </w:rPr>
          <w:t>2023</w:t>
        </w:r>
        <w:r w:rsidR="00595F42" w:rsidRPr="00595F42">
          <w:rPr>
            <w:rFonts w:ascii="Times New Roman" w:hAnsi="Times New Roman"/>
            <w:noProof/>
            <w:color w:val="0563C1"/>
            <w:sz w:val="24"/>
            <w:u w:val="single"/>
          </w:rPr>
          <w:t> </w:t>
        </w:r>
        <w:r w:rsidRPr="00595F42">
          <w:rPr>
            <w:rFonts w:ascii="Times New Roman" w:hAnsi="Times New Roman"/>
            <w:noProof/>
            <w:color w:val="0563C1"/>
            <w:sz w:val="24"/>
            <w:u w:val="single"/>
          </w:rPr>
          <w:t>r.</w:t>
        </w:r>
      </w:hyperlink>
      <w:r w:rsidRPr="00595F42">
        <w:rPr>
          <w:rFonts w:ascii="Times New Roman" w:hAnsi="Times New Roman"/>
          <w:noProof/>
          <w:color w:val="000000"/>
          <w:sz w:val="24"/>
        </w:rPr>
        <w:t>, że wysoki poziom napełnienia magazynów</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poł</w:t>
      </w:r>
      <w:r w:rsidRPr="00595F42">
        <w:rPr>
          <w:rFonts w:ascii="Times New Roman" w:hAnsi="Times New Roman"/>
          <w:noProof/>
          <w:color w:val="000000"/>
          <w:sz w:val="24"/>
        </w:rPr>
        <w:t>ączeniu</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ogr</w:t>
      </w:r>
      <w:r w:rsidRPr="00595F42">
        <w:rPr>
          <w:rFonts w:ascii="Times New Roman" w:hAnsi="Times New Roman"/>
          <w:noProof/>
          <w:color w:val="000000"/>
          <w:sz w:val="24"/>
        </w:rPr>
        <w:t>aniczonym popytem „odbiły się na cenach gazu na rynku transakcji natychmiastowych</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Eur</w:t>
      </w:r>
      <w:r w:rsidRPr="00595F42">
        <w:rPr>
          <w:rFonts w:ascii="Times New Roman" w:hAnsi="Times New Roman"/>
          <w:noProof/>
          <w:color w:val="000000"/>
          <w:sz w:val="24"/>
        </w:rPr>
        <w:t>opie”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trz</w:t>
      </w:r>
      <w:r w:rsidRPr="00595F42">
        <w:rPr>
          <w:rFonts w:ascii="Times New Roman" w:hAnsi="Times New Roman"/>
          <w:noProof/>
          <w:color w:val="000000"/>
          <w:sz w:val="24"/>
        </w:rPr>
        <w:t>ecim kwartale 2023</w:t>
      </w:r>
      <w:r w:rsidR="00595F42" w:rsidRPr="00595F42">
        <w:rPr>
          <w:rFonts w:ascii="Times New Roman" w:hAnsi="Times New Roman"/>
          <w:noProof/>
          <w:color w:val="000000"/>
          <w:sz w:val="24"/>
        </w:rPr>
        <w:t> </w:t>
      </w:r>
      <w:r w:rsidRPr="00595F42">
        <w:rPr>
          <w:rFonts w:ascii="Times New Roman" w:hAnsi="Times New Roman"/>
          <w:noProof/>
          <w:color w:val="000000"/>
          <w:sz w:val="24"/>
        </w:rPr>
        <w:t xml:space="preserve">r. Podobnie w </w:t>
      </w:r>
      <w:hyperlink r:id="rId30" w:history="1">
        <w:r w:rsidRPr="00595F42">
          <w:rPr>
            <w:rFonts w:ascii="Times New Roman" w:hAnsi="Times New Roman"/>
            <w:noProof/>
            <w:color w:val="0563C1"/>
            <w:sz w:val="24"/>
            <w:u w:val="single"/>
          </w:rPr>
          <w:t>sprawozdaniu</w:t>
        </w:r>
      </w:hyperlink>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cze</w:t>
      </w:r>
      <w:r w:rsidRPr="00595F42">
        <w:rPr>
          <w:rFonts w:ascii="Times New Roman" w:hAnsi="Times New Roman"/>
          <w:noProof/>
          <w:color w:val="000000"/>
          <w:sz w:val="24"/>
        </w:rPr>
        <w:t>rwca 2023</w:t>
      </w:r>
      <w:r w:rsidR="00595F42" w:rsidRPr="00595F42">
        <w:rPr>
          <w:rFonts w:ascii="Times New Roman" w:hAnsi="Times New Roman"/>
          <w:noProof/>
          <w:color w:val="000000"/>
          <w:sz w:val="24"/>
        </w:rPr>
        <w:t> </w:t>
      </w:r>
      <w:r w:rsidRPr="00595F42">
        <w:rPr>
          <w:rFonts w:ascii="Times New Roman" w:hAnsi="Times New Roman"/>
          <w:noProof/>
          <w:color w:val="000000"/>
          <w:sz w:val="24"/>
        </w:rPr>
        <w:t>r. ACER wskazał, że „poziomy napełnienia magazynów są znacznie powyżej średniej</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ost</w:t>
      </w:r>
      <w:r w:rsidRPr="00595F42">
        <w:rPr>
          <w:rFonts w:ascii="Times New Roman" w:hAnsi="Times New Roman"/>
          <w:noProof/>
          <w:color w:val="000000"/>
          <w:sz w:val="24"/>
        </w:rPr>
        <w:t>atnich lat</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prz</w:t>
      </w:r>
      <w:r w:rsidRPr="00595F42">
        <w:rPr>
          <w:rFonts w:ascii="Times New Roman" w:hAnsi="Times New Roman"/>
          <w:noProof/>
          <w:color w:val="000000"/>
          <w:sz w:val="24"/>
        </w:rPr>
        <w:t xml:space="preserve">yczyniły się do obniżenia cen”. </w:t>
      </w:r>
    </w:p>
    <w:p w14:paraId="6BC0D86B" w14:textId="3DDE21F3" w:rsidR="005D42B6" w:rsidRPr="00595F42" w:rsidRDefault="52663728" w:rsidP="005D42B6">
      <w:pPr>
        <w:spacing w:after="80" w:line="257" w:lineRule="auto"/>
        <w:jc w:val="both"/>
        <w:rPr>
          <w:rFonts w:ascii="Times New Roman" w:eastAsia="Arial" w:hAnsi="Times New Roman" w:cs="Times New Roman"/>
          <w:noProof/>
          <w:color w:val="000000"/>
          <w:sz w:val="24"/>
          <w:szCs w:val="24"/>
        </w:rPr>
      </w:pPr>
      <w:r w:rsidRPr="00595F42">
        <w:rPr>
          <w:rFonts w:ascii="Times New Roman" w:hAnsi="Times New Roman"/>
          <w:noProof/>
          <w:color w:val="000000"/>
          <w:sz w:val="24"/>
        </w:rPr>
        <w:t>W kilku artykułach ekonomicznych oceniano wpływ magazynowania gazu na ceny. Na przykład Brown</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Yüc</w:t>
      </w:r>
      <w:r w:rsidRPr="00595F42">
        <w:rPr>
          <w:rFonts w:ascii="Times New Roman" w:hAnsi="Times New Roman"/>
          <w:noProof/>
          <w:color w:val="000000"/>
          <w:sz w:val="24"/>
        </w:rPr>
        <w:t>el (What Drives Natural Gas Prices, 2008) przeanalizowali dane dotyczące gazu w USA</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lat</w:t>
      </w:r>
      <w:r w:rsidRPr="00595F42">
        <w:rPr>
          <w:rFonts w:ascii="Times New Roman" w:hAnsi="Times New Roman"/>
          <w:noProof/>
          <w:color w:val="000000"/>
          <w:sz w:val="24"/>
        </w:rPr>
        <w:t>ach 1997–2007</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stw</w:t>
      </w:r>
      <w:r w:rsidRPr="00595F42">
        <w:rPr>
          <w:rFonts w:ascii="Times New Roman" w:hAnsi="Times New Roman"/>
          <w:noProof/>
          <w:color w:val="000000"/>
          <w:sz w:val="24"/>
        </w:rPr>
        <w:t>ierdzili, że magazynowanie powyżej sezonowej normy obniża ceny gazu ziemnego. Hulshof i in. (2015)</w:t>
      </w:r>
      <w:r w:rsidR="005D42B6" w:rsidRPr="00595F42">
        <w:rPr>
          <w:rFonts w:ascii="Times New Roman" w:eastAsia="Arial" w:hAnsi="Times New Roman" w:cs="Times New Roman"/>
          <w:noProof/>
          <w:color w:val="000000"/>
          <w:sz w:val="24"/>
          <w:szCs w:val="24"/>
          <w:vertAlign w:val="superscript"/>
          <w:lang w:eastAsia="en-IE"/>
        </w:rPr>
        <w:footnoteReference w:id="11"/>
      </w:r>
      <w:r w:rsidR="00595F42" w:rsidRPr="00595F42">
        <w:rPr>
          <w:rFonts w:ascii="Times New Roman" w:hAnsi="Times New Roman"/>
          <w:noProof/>
          <w:color w:val="000000"/>
          <w:sz w:val="24"/>
          <w:vertAlign w:val="superscript"/>
        </w:rPr>
        <w:t xml:space="preserve"> </w:t>
      </w:r>
      <w:r w:rsidRPr="00595F42">
        <w:rPr>
          <w:rFonts w:ascii="Times New Roman" w:hAnsi="Times New Roman"/>
          <w:noProof/>
          <w:color w:val="000000"/>
          <w:sz w:val="24"/>
        </w:rPr>
        <w:t>przeanalizowali ceny kontraktów TTF</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ter</w:t>
      </w:r>
      <w:r w:rsidRPr="00595F42">
        <w:rPr>
          <w:rFonts w:ascii="Times New Roman" w:hAnsi="Times New Roman"/>
          <w:noProof/>
          <w:color w:val="000000"/>
          <w:sz w:val="24"/>
        </w:rPr>
        <w:t>minem wykonania</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nas</w:t>
      </w:r>
      <w:r w:rsidRPr="00595F42">
        <w:rPr>
          <w:rFonts w:ascii="Times New Roman" w:hAnsi="Times New Roman"/>
          <w:noProof/>
          <w:color w:val="000000"/>
          <w:sz w:val="24"/>
        </w:rPr>
        <w:t>tępnym dniu na rynku transakcji natychmiastowych</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lat</w:t>
      </w:r>
      <w:r w:rsidRPr="00595F42">
        <w:rPr>
          <w:rFonts w:ascii="Times New Roman" w:hAnsi="Times New Roman"/>
          <w:noProof/>
          <w:color w:val="000000"/>
          <w:sz w:val="24"/>
        </w:rPr>
        <w:t>ach 2011–2014</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pod</w:t>
      </w:r>
      <w:r w:rsidRPr="00595F42">
        <w:rPr>
          <w:rFonts w:ascii="Times New Roman" w:hAnsi="Times New Roman"/>
          <w:noProof/>
          <w:color w:val="000000"/>
          <w:sz w:val="24"/>
        </w:rPr>
        <w:t>obnie stwierdzili, że gdy stopień napełnienia magazynów jest poniżej średniej, ceny na rynku transakcji natychmiastowych są zwykle wyższe. Obadi</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Kor</w:t>
      </w:r>
      <w:r w:rsidRPr="00595F42">
        <w:rPr>
          <w:rFonts w:ascii="Times New Roman" w:hAnsi="Times New Roman"/>
          <w:noProof/>
          <w:color w:val="000000"/>
          <w:sz w:val="24"/>
        </w:rPr>
        <w:t>cek (2020)</w:t>
      </w:r>
      <w:r w:rsidR="005D42B6" w:rsidRPr="00595F42">
        <w:rPr>
          <w:rFonts w:ascii="Times New Roman" w:eastAsia="Arial" w:hAnsi="Times New Roman" w:cs="Times New Roman"/>
          <w:noProof/>
          <w:color w:val="000000"/>
          <w:sz w:val="24"/>
          <w:szCs w:val="24"/>
          <w:vertAlign w:val="superscript"/>
          <w:lang w:eastAsia="en-IE"/>
        </w:rPr>
        <w:footnoteReference w:id="12"/>
      </w:r>
      <w:r w:rsidRPr="00595F42">
        <w:rPr>
          <w:rFonts w:ascii="Times New Roman" w:hAnsi="Times New Roman"/>
          <w:noProof/>
          <w:color w:val="000000"/>
          <w:sz w:val="24"/>
        </w:rPr>
        <w:t xml:space="preserve"> przeanalizowali również ceny kontraktów TTF</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lat</w:t>
      </w:r>
      <w:r w:rsidRPr="00595F42">
        <w:rPr>
          <w:rFonts w:ascii="Times New Roman" w:hAnsi="Times New Roman"/>
          <w:noProof/>
          <w:color w:val="000000"/>
          <w:sz w:val="24"/>
        </w:rPr>
        <w:t>ach 2016–2019</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stw</w:t>
      </w:r>
      <w:r w:rsidRPr="00595F42">
        <w:rPr>
          <w:rFonts w:ascii="Times New Roman" w:hAnsi="Times New Roman"/>
          <w:noProof/>
          <w:color w:val="000000"/>
          <w:sz w:val="24"/>
        </w:rPr>
        <w:t>ierdzili, że poziomy magazynowania poniżej średniej historycznej skutkują zacieśnieniem rynków, co nieuchronnie prowadzi do presji na wzrost cen.</w:t>
      </w:r>
      <w:r w:rsidRPr="00595F42">
        <w:rPr>
          <w:rFonts w:ascii="Times New Roman" w:hAnsi="Times New Roman"/>
          <w:noProof/>
          <w:color w:val="000000" w:themeColor="text1"/>
          <w:sz w:val="24"/>
        </w:rPr>
        <w:t xml:space="preserve"> </w:t>
      </w:r>
    </w:p>
    <w:p w14:paraId="603B6739" w14:textId="78768A77" w:rsidR="005D42B6" w:rsidRPr="00595F42" w:rsidRDefault="005D42B6" w:rsidP="005D42B6">
      <w:pPr>
        <w:spacing w:after="80" w:line="257" w:lineRule="auto"/>
        <w:jc w:val="both"/>
        <w:rPr>
          <w:rFonts w:ascii="Times New Roman" w:eastAsia="Arial" w:hAnsi="Times New Roman" w:cs="Times New Roman"/>
          <w:noProof/>
          <w:color w:val="000000"/>
          <w:sz w:val="24"/>
          <w:szCs w:val="24"/>
        </w:rPr>
      </w:pPr>
      <w:r w:rsidRPr="00595F42">
        <w:rPr>
          <w:rFonts w:ascii="Times New Roman" w:hAnsi="Times New Roman"/>
          <w:noProof/>
          <w:color w:val="000000"/>
          <w:sz w:val="24"/>
        </w:rPr>
        <w:t>Jak pokazano na poniższym wykresie,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ost</w:t>
      </w:r>
      <w:r w:rsidRPr="00595F42">
        <w:rPr>
          <w:rFonts w:ascii="Times New Roman" w:hAnsi="Times New Roman"/>
          <w:noProof/>
          <w:color w:val="000000"/>
          <w:sz w:val="24"/>
        </w:rPr>
        <w:t>atnich miesiącach hurtowe ceny gazu wahały się między 30</w:t>
      </w:r>
      <w:r w:rsidR="00595F42" w:rsidRPr="00595F42">
        <w:rPr>
          <w:rFonts w:ascii="Times New Roman" w:hAnsi="Times New Roman"/>
          <w:noProof/>
          <w:color w:val="000000"/>
          <w:sz w:val="24"/>
        </w:rPr>
        <w:t xml:space="preserve"> a</w:t>
      </w:r>
      <w:r w:rsidR="00595F42">
        <w:rPr>
          <w:rFonts w:ascii="Times New Roman" w:hAnsi="Times New Roman"/>
          <w:noProof/>
          <w:color w:val="000000"/>
          <w:sz w:val="24"/>
        </w:rPr>
        <w:t> </w:t>
      </w:r>
      <w:r w:rsidR="00595F42" w:rsidRPr="00595F42">
        <w:rPr>
          <w:rFonts w:ascii="Times New Roman" w:hAnsi="Times New Roman"/>
          <w:noProof/>
          <w:color w:val="000000"/>
          <w:sz w:val="24"/>
        </w:rPr>
        <w:t>5</w:t>
      </w:r>
      <w:r w:rsidRPr="00595F42">
        <w:rPr>
          <w:rFonts w:ascii="Times New Roman" w:hAnsi="Times New Roman"/>
          <w:noProof/>
          <w:color w:val="000000"/>
          <w:sz w:val="24"/>
        </w:rPr>
        <w:t xml:space="preserve">0 EUR/MWh. </w:t>
      </w:r>
      <w:r w:rsidRPr="00595F42">
        <w:rPr>
          <w:rFonts w:ascii="Times New Roman" w:hAnsi="Times New Roman"/>
          <w:noProof/>
          <w:sz w:val="24"/>
        </w:rPr>
        <w:t>Chociaż ceny są nadal znacznie wyższe niż przed kryzysem, znacznie spadły od szczytu kryzysu latem 2022</w:t>
      </w:r>
      <w:r w:rsidR="00595F42" w:rsidRPr="00595F42">
        <w:rPr>
          <w:rFonts w:ascii="Times New Roman" w:hAnsi="Times New Roman"/>
          <w:noProof/>
          <w:sz w:val="24"/>
        </w:rPr>
        <w:t> </w:t>
      </w:r>
      <w:r w:rsidRPr="00595F42">
        <w:rPr>
          <w:rFonts w:ascii="Times New Roman" w:hAnsi="Times New Roman"/>
          <w:noProof/>
          <w:sz w:val="24"/>
        </w:rPr>
        <w:t>r., kiedy to osiągnęły bezprecedensowy poziom powyżej 300 EUR/MWh.</w:t>
      </w:r>
      <w:r w:rsidRPr="00595F42">
        <w:rPr>
          <w:rFonts w:ascii="Times New Roman" w:hAnsi="Times New Roman"/>
          <w:noProof/>
          <w:color w:val="000000"/>
          <w:sz w:val="24"/>
        </w:rPr>
        <w:t xml:space="preserve"> </w:t>
      </w:r>
    </w:p>
    <w:p w14:paraId="2CFCB932" w14:textId="1E0DBCE3" w:rsidR="00C70B62" w:rsidRPr="00595F42" w:rsidRDefault="005D42B6" w:rsidP="005D42B6">
      <w:pPr>
        <w:spacing w:after="80" w:line="257" w:lineRule="auto"/>
        <w:jc w:val="both"/>
        <w:rPr>
          <w:rFonts w:ascii="Times New Roman" w:eastAsia="Arial" w:hAnsi="Times New Roman" w:cs="Times New Roman"/>
          <w:noProof/>
          <w:color w:val="000000"/>
          <w:sz w:val="24"/>
          <w:szCs w:val="24"/>
        </w:rPr>
      </w:pPr>
      <w:r w:rsidRPr="00595F42">
        <w:rPr>
          <w:rFonts w:ascii="Times New Roman" w:hAnsi="Times New Roman"/>
          <w:noProof/>
          <w:color w:val="000000"/>
          <w:sz w:val="24"/>
        </w:rPr>
        <w:t>Państwa członkowskie</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Kom</w:t>
      </w:r>
      <w:r w:rsidRPr="00595F42">
        <w:rPr>
          <w:rFonts w:ascii="Times New Roman" w:hAnsi="Times New Roman"/>
          <w:noProof/>
          <w:color w:val="000000"/>
          <w:sz w:val="24"/>
        </w:rPr>
        <w:t>isja wprowadziły kompleksowy pakiet środków, które wspólnie przyczyniły się do poprawy sytuacji na rynku</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pom</w:t>
      </w:r>
      <w:r w:rsidRPr="00595F42">
        <w:rPr>
          <w:rFonts w:ascii="Times New Roman" w:hAnsi="Times New Roman"/>
          <w:noProof/>
          <w:color w:val="000000"/>
          <w:sz w:val="24"/>
        </w:rPr>
        <w:t>ogły zmniejszyć presję cenową. Zobowiązanie do magazynowania minimalnych wolumenów gazu przed zimą, określone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roz</w:t>
      </w:r>
      <w:r w:rsidRPr="00595F42">
        <w:rPr>
          <w:rFonts w:ascii="Times New Roman" w:hAnsi="Times New Roman"/>
          <w:noProof/>
          <w:color w:val="000000"/>
          <w:sz w:val="24"/>
        </w:rPr>
        <w:t>porządzeniu (UE) 2022/1032, odegrało ważną rolę</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tym</w:t>
      </w:r>
      <w:r w:rsidRPr="00595F42">
        <w:rPr>
          <w:rFonts w:ascii="Times New Roman" w:hAnsi="Times New Roman"/>
          <w:noProof/>
          <w:color w:val="000000"/>
          <w:sz w:val="24"/>
        </w:rPr>
        <w:t xml:space="preserve"> zestawie inicjatyw,</w:t>
      </w:r>
      <w:r w:rsidR="00595F42" w:rsidRPr="00595F42">
        <w:rPr>
          <w:rFonts w:ascii="Times New Roman" w:hAnsi="Times New Roman"/>
          <w:noProof/>
          <w:color w:val="000000"/>
          <w:sz w:val="24"/>
        </w:rPr>
        <w:t xml:space="preserve"> a</w:t>
      </w:r>
      <w:r w:rsidR="00595F42">
        <w:rPr>
          <w:rFonts w:ascii="Times New Roman" w:hAnsi="Times New Roman"/>
          <w:noProof/>
          <w:color w:val="000000"/>
          <w:sz w:val="24"/>
        </w:rPr>
        <w:t> </w:t>
      </w:r>
      <w:r w:rsidR="00595F42" w:rsidRPr="00595F42">
        <w:rPr>
          <w:rFonts w:ascii="Times New Roman" w:hAnsi="Times New Roman"/>
          <w:noProof/>
          <w:color w:val="000000"/>
          <w:sz w:val="24"/>
        </w:rPr>
        <w:t>bar</w:t>
      </w:r>
      <w:r w:rsidRPr="00595F42">
        <w:rPr>
          <w:rFonts w:ascii="Times New Roman" w:hAnsi="Times New Roman"/>
          <w:noProof/>
          <w:color w:val="000000"/>
          <w:sz w:val="24"/>
        </w:rPr>
        <w:t>dzo wysoki poziom napełnienia magazynów obserwowany od końca jesieni 2022</w:t>
      </w:r>
      <w:r w:rsidR="00595F42" w:rsidRPr="00595F42">
        <w:rPr>
          <w:rFonts w:ascii="Times New Roman" w:hAnsi="Times New Roman"/>
          <w:noProof/>
          <w:color w:val="000000"/>
          <w:sz w:val="24"/>
        </w:rPr>
        <w:t> </w:t>
      </w:r>
      <w:r w:rsidRPr="00595F42">
        <w:rPr>
          <w:rFonts w:ascii="Times New Roman" w:hAnsi="Times New Roman"/>
          <w:noProof/>
          <w:color w:val="000000"/>
          <w:sz w:val="24"/>
        </w:rPr>
        <w:t>r. był kluczowym (choć nie jedynym) czynnikiem wpływającym na złagodzenie napięcia na rynku</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obn</w:t>
      </w:r>
      <w:r w:rsidRPr="00595F42">
        <w:rPr>
          <w:rFonts w:ascii="Times New Roman" w:hAnsi="Times New Roman"/>
          <w:noProof/>
          <w:color w:val="000000"/>
          <w:sz w:val="24"/>
        </w:rPr>
        <w:t>iżenie cen gazu.</w:t>
      </w:r>
    </w:p>
    <w:p w14:paraId="0E64AB0C" w14:textId="77777777" w:rsidR="001F044F" w:rsidRPr="00595F42" w:rsidRDefault="001F044F" w:rsidP="005D42B6">
      <w:pPr>
        <w:spacing w:after="80" w:line="257" w:lineRule="auto"/>
        <w:jc w:val="both"/>
        <w:rPr>
          <w:rFonts w:ascii="Times New Roman" w:eastAsia="Arial" w:hAnsi="Times New Roman" w:cs="Times New Roman"/>
          <w:noProof/>
          <w:color w:val="000000"/>
          <w:sz w:val="24"/>
          <w:szCs w:val="24"/>
          <w:lang w:eastAsia="en-IE"/>
        </w:rPr>
      </w:pPr>
    </w:p>
    <w:p w14:paraId="658B56CC" w14:textId="73BB7356" w:rsidR="005D42B6" w:rsidRPr="00595F42" w:rsidRDefault="7728F074" w:rsidP="009D79FE">
      <w:pPr>
        <w:spacing w:after="80" w:line="257" w:lineRule="auto"/>
        <w:rPr>
          <w:rFonts w:ascii="Times New Roman" w:eastAsia="Times New Roman" w:hAnsi="Times New Roman" w:cs="Times New Roman"/>
          <w:b/>
          <w:bCs/>
          <w:iCs/>
          <w:noProof/>
          <w:sz w:val="20"/>
          <w:szCs w:val="20"/>
        </w:rPr>
      </w:pPr>
      <w:r w:rsidRPr="00595F42">
        <w:rPr>
          <w:rFonts w:ascii="Times New Roman" w:hAnsi="Times New Roman"/>
          <w:b/>
          <w:noProof/>
          <w:sz w:val="20"/>
        </w:rPr>
        <w:t>Rysunek 4 – Ceny kontraktów TTF</w:t>
      </w:r>
      <w:r w:rsidR="00595F42" w:rsidRPr="00595F42">
        <w:rPr>
          <w:rFonts w:ascii="Times New Roman" w:hAnsi="Times New Roman"/>
          <w:b/>
          <w:noProof/>
          <w:sz w:val="20"/>
        </w:rPr>
        <w:t xml:space="preserve"> z</w:t>
      </w:r>
      <w:r w:rsidR="00595F42">
        <w:rPr>
          <w:rFonts w:ascii="Times New Roman" w:hAnsi="Times New Roman"/>
          <w:b/>
          <w:noProof/>
          <w:sz w:val="20"/>
        </w:rPr>
        <w:t> </w:t>
      </w:r>
      <w:r w:rsidR="00595F42" w:rsidRPr="00595F42">
        <w:rPr>
          <w:rFonts w:ascii="Times New Roman" w:hAnsi="Times New Roman"/>
          <w:b/>
          <w:noProof/>
          <w:sz w:val="20"/>
        </w:rPr>
        <w:t>ter</w:t>
      </w:r>
      <w:r w:rsidRPr="00595F42">
        <w:rPr>
          <w:rFonts w:ascii="Times New Roman" w:hAnsi="Times New Roman"/>
          <w:b/>
          <w:noProof/>
          <w:sz w:val="20"/>
        </w:rPr>
        <w:t>minem wykonania</w:t>
      </w:r>
      <w:r w:rsidR="00595F42" w:rsidRPr="00595F42">
        <w:rPr>
          <w:rFonts w:ascii="Times New Roman" w:hAnsi="Times New Roman"/>
          <w:b/>
          <w:noProof/>
          <w:sz w:val="20"/>
        </w:rPr>
        <w:t xml:space="preserve"> w</w:t>
      </w:r>
      <w:r w:rsidR="00595F42">
        <w:rPr>
          <w:rFonts w:ascii="Times New Roman" w:hAnsi="Times New Roman"/>
          <w:b/>
          <w:noProof/>
          <w:sz w:val="20"/>
        </w:rPr>
        <w:t> </w:t>
      </w:r>
      <w:r w:rsidR="00595F42" w:rsidRPr="00595F42">
        <w:rPr>
          <w:rFonts w:ascii="Times New Roman" w:hAnsi="Times New Roman"/>
          <w:b/>
          <w:noProof/>
          <w:sz w:val="20"/>
        </w:rPr>
        <w:t>nas</w:t>
      </w:r>
      <w:r w:rsidRPr="00595F42">
        <w:rPr>
          <w:rFonts w:ascii="Times New Roman" w:hAnsi="Times New Roman"/>
          <w:b/>
          <w:noProof/>
          <w:sz w:val="20"/>
        </w:rPr>
        <w:t>tępnym miesiącu – od stycznia 2021</w:t>
      </w:r>
      <w:r w:rsidR="00595F42" w:rsidRPr="00595F42">
        <w:rPr>
          <w:rFonts w:ascii="Times New Roman" w:hAnsi="Times New Roman"/>
          <w:b/>
          <w:noProof/>
          <w:sz w:val="20"/>
        </w:rPr>
        <w:t> </w:t>
      </w:r>
      <w:r w:rsidRPr="00595F42">
        <w:rPr>
          <w:rFonts w:ascii="Times New Roman" w:hAnsi="Times New Roman"/>
          <w:b/>
          <w:noProof/>
          <w:sz w:val="20"/>
        </w:rPr>
        <w:t>r. do września 2023</w:t>
      </w:r>
      <w:r w:rsidR="00595F42" w:rsidRPr="00595F42">
        <w:rPr>
          <w:rFonts w:ascii="Times New Roman" w:hAnsi="Times New Roman"/>
          <w:b/>
          <w:noProof/>
          <w:sz w:val="20"/>
        </w:rPr>
        <w:t> </w:t>
      </w:r>
      <w:r w:rsidRPr="00595F42">
        <w:rPr>
          <w:rFonts w:ascii="Times New Roman" w:hAnsi="Times New Roman"/>
          <w:b/>
          <w:noProof/>
          <w:sz w:val="20"/>
        </w:rPr>
        <w:t>r.</w:t>
      </w:r>
    </w:p>
    <w:p w14:paraId="2D8DB650" w14:textId="77777777" w:rsidR="005D42B6" w:rsidRPr="00595F42" w:rsidRDefault="005D42B6" w:rsidP="009D79FE">
      <w:pPr>
        <w:spacing w:after="80" w:line="257" w:lineRule="auto"/>
        <w:rPr>
          <w:rFonts w:ascii="Calibri" w:eastAsia="Calibri" w:hAnsi="Calibri" w:cs="Calibri"/>
          <w:noProof/>
          <w:color w:val="000000"/>
          <w:sz w:val="24"/>
          <w:szCs w:val="20"/>
        </w:rPr>
      </w:pPr>
      <w:r w:rsidRPr="00595F42">
        <w:rPr>
          <w:rFonts w:ascii="Times New Roman" w:hAnsi="Times New Roman"/>
          <w:noProof/>
          <w:sz w:val="24"/>
          <w:lang w:val="en-GB" w:eastAsia="en-GB"/>
        </w:rPr>
        <w:drawing>
          <wp:inline distT="0" distB="0" distL="0" distR="0" wp14:anchorId="724E379D" wp14:editId="266AF21C">
            <wp:extent cx="4751296" cy="2895600"/>
            <wp:effectExtent l="0" t="0" r="0" b="0"/>
            <wp:docPr id="638601520" name="Picture 63860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601520"/>
                    <pic:cNvPicPr/>
                  </pic:nvPicPr>
                  <pic:blipFill>
                    <a:blip r:embed="rId31">
                      <a:extLst>
                        <a:ext uri="{28A0092B-C50C-407E-A947-70E740481C1C}">
                          <a14:useLocalDpi xmlns:a14="http://schemas.microsoft.com/office/drawing/2010/main" val="0"/>
                        </a:ext>
                      </a:extLst>
                    </a:blip>
                    <a:stretch>
                      <a:fillRect/>
                    </a:stretch>
                  </pic:blipFill>
                  <pic:spPr>
                    <a:xfrm>
                      <a:off x="0" y="0"/>
                      <a:ext cx="4756291" cy="2898644"/>
                    </a:xfrm>
                    <a:prstGeom prst="rect">
                      <a:avLst/>
                    </a:prstGeom>
                  </pic:spPr>
                </pic:pic>
              </a:graphicData>
            </a:graphic>
          </wp:inline>
        </w:drawing>
      </w:r>
    </w:p>
    <w:p w14:paraId="3097EB9D" w14:textId="77777777" w:rsidR="005D42B6" w:rsidRPr="00595F42" w:rsidRDefault="005D42B6" w:rsidP="005D42B6">
      <w:pPr>
        <w:spacing w:after="80" w:line="257" w:lineRule="auto"/>
        <w:jc w:val="both"/>
        <w:rPr>
          <w:rFonts w:ascii="Times New Roman" w:eastAsia="Arial" w:hAnsi="Times New Roman" w:cs="Times New Roman"/>
          <w:i/>
          <w:noProof/>
          <w:color w:val="333333"/>
          <w:sz w:val="20"/>
          <w:szCs w:val="20"/>
        </w:rPr>
      </w:pPr>
      <w:r w:rsidRPr="00595F42">
        <w:rPr>
          <w:rFonts w:ascii="Times New Roman" w:hAnsi="Times New Roman"/>
          <w:i/>
          <w:noProof/>
          <w:color w:val="333333"/>
          <w:sz w:val="20"/>
        </w:rPr>
        <w:t>Źródło: ENER na podstawie danych S&amp;P Global</w:t>
      </w:r>
    </w:p>
    <w:p w14:paraId="4F36A3A0" w14:textId="77777777" w:rsidR="005D42B6" w:rsidRPr="00595F42" w:rsidRDefault="005D42B6" w:rsidP="00F07D14">
      <w:pPr>
        <w:keepNext/>
        <w:numPr>
          <w:ilvl w:val="0"/>
          <w:numId w:val="43"/>
        </w:numPr>
        <w:spacing w:before="240" w:after="80" w:line="240" w:lineRule="auto"/>
        <w:ind w:left="1485" w:hanging="283"/>
        <w:jc w:val="both"/>
        <w:outlineLvl w:val="0"/>
        <w:rPr>
          <w:rFonts w:ascii="Times New Roman" w:eastAsia="Times New Roman" w:hAnsi="Times New Roman" w:cs="Times New Roman"/>
          <w:b/>
          <w:smallCaps/>
          <w:noProof/>
          <w:sz w:val="24"/>
          <w:szCs w:val="20"/>
        </w:rPr>
      </w:pPr>
      <w:r w:rsidRPr="00595F42">
        <w:rPr>
          <w:rFonts w:ascii="Times New Roman" w:hAnsi="Times New Roman"/>
          <w:b/>
          <w:smallCaps/>
          <w:noProof/>
          <w:sz w:val="24"/>
        </w:rPr>
        <w:t>Podsumowanie</w:t>
      </w:r>
    </w:p>
    <w:p w14:paraId="7E3016CD" w14:textId="1C2F49F1" w:rsidR="005D42B6" w:rsidRPr="00595F42" w:rsidRDefault="52663728" w:rsidP="005D42B6">
      <w:pPr>
        <w:spacing w:after="8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W 2023</w:t>
      </w:r>
      <w:r w:rsidR="00595F42" w:rsidRPr="00595F42">
        <w:rPr>
          <w:rFonts w:ascii="Times New Roman" w:hAnsi="Times New Roman"/>
          <w:noProof/>
          <w:color w:val="000000"/>
          <w:sz w:val="24"/>
        </w:rPr>
        <w:t> </w:t>
      </w:r>
      <w:r w:rsidRPr="00595F42">
        <w:rPr>
          <w:rFonts w:ascii="Times New Roman" w:hAnsi="Times New Roman"/>
          <w:noProof/>
          <w:color w:val="000000"/>
          <w:sz w:val="24"/>
        </w:rPr>
        <w:t>r. osiągnięto lub przekroczono wszystkie cele określone</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roz</w:t>
      </w:r>
      <w:r w:rsidRPr="00595F42">
        <w:rPr>
          <w:rFonts w:ascii="Times New Roman" w:hAnsi="Times New Roman"/>
          <w:noProof/>
          <w:color w:val="000000"/>
          <w:sz w:val="24"/>
        </w:rPr>
        <w:t>porządzeniu</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spr</w:t>
      </w:r>
      <w:r w:rsidRPr="00595F42">
        <w:rPr>
          <w:rFonts w:ascii="Times New Roman" w:hAnsi="Times New Roman"/>
          <w:noProof/>
          <w:color w:val="000000"/>
          <w:sz w:val="24"/>
        </w:rPr>
        <w:t xml:space="preserve">awie magazynowania gazu. </w:t>
      </w:r>
      <w:r w:rsidRPr="00595F42">
        <w:rPr>
          <w:rFonts w:ascii="Times New Roman" w:hAnsi="Times New Roman"/>
          <w:noProof/>
          <w:sz w:val="24"/>
        </w:rPr>
        <w:t>Cel</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magazynowania na poziomie 90 % osiągnięto do połowy sierpnia,</w:t>
      </w:r>
      <w:r w:rsidR="00595F42" w:rsidRPr="00595F42">
        <w:rPr>
          <w:rFonts w:ascii="Times New Roman" w:hAnsi="Times New Roman"/>
          <w:noProof/>
          <w:sz w:val="24"/>
        </w:rPr>
        <w:t xml:space="preserve"> a</w:t>
      </w:r>
      <w:r w:rsidR="00595F42">
        <w:rPr>
          <w:rFonts w:ascii="Times New Roman" w:hAnsi="Times New Roman"/>
          <w:noProof/>
          <w:sz w:val="24"/>
        </w:rPr>
        <w:t> </w:t>
      </w:r>
      <w:r w:rsidR="00595F42" w:rsidRPr="00595F42">
        <w:rPr>
          <w:rFonts w:ascii="Times New Roman" w:hAnsi="Times New Roman"/>
          <w:noProof/>
          <w:sz w:val="24"/>
        </w:rPr>
        <w:t>1</w:t>
      </w:r>
      <w:r w:rsidRPr="00595F42">
        <w:rPr>
          <w:rFonts w:ascii="Times New Roman" w:hAnsi="Times New Roman"/>
          <w:noProof/>
          <w:sz w:val="24"/>
        </w:rPr>
        <w:t xml:space="preserve"> listopada odnotowano poziomy magazynowania gazu przekraczające 99 %.</w:t>
      </w:r>
      <w:r w:rsidRPr="00595F42">
        <w:rPr>
          <w:rFonts w:ascii="Times New Roman" w:hAnsi="Times New Roman"/>
          <w:noProof/>
          <w:color w:val="000000"/>
          <w:sz w:val="24"/>
        </w:rPr>
        <w:t xml:space="preserve"> Na koniec 2023</w:t>
      </w:r>
      <w:r w:rsidR="00595F42" w:rsidRPr="00595F42">
        <w:rPr>
          <w:rFonts w:ascii="Times New Roman" w:hAnsi="Times New Roman"/>
          <w:noProof/>
          <w:color w:val="000000"/>
          <w:sz w:val="24"/>
        </w:rPr>
        <w:t> </w:t>
      </w:r>
      <w:r w:rsidRPr="00595F42">
        <w:rPr>
          <w:rFonts w:ascii="Times New Roman" w:hAnsi="Times New Roman"/>
          <w:noProof/>
          <w:color w:val="000000"/>
          <w:sz w:val="24"/>
        </w:rPr>
        <w:t>r. średni poziom napełnienia był bliski rekordowo wysokiego poziomu powyżej 85</w:t>
      </w:r>
      <w:r w:rsidR="00595F42" w:rsidRPr="00595F42">
        <w:rPr>
          <w:rFonts w:ascii="Times New Roman" w:hAnsi="Times New Roman"/>
          <w:noProof/>
          <w:color w:val="000000"/>
          <w:sz w:val="24"/>
        </w:rPr>
        <w:t> </w:t>
      </w:r>
      <w:r w:rsidRPr="00595F42">
        <w:rPr>
          <w:rFonts w:ascii="Times New Roman" w:hAnsi="Times New Roman"/>
          <w:noProof/>
          <w:color w:val="000000"/>
          <w:sz w:val="24"/>
        </w:rPr>
        <w:t>%</w:t>
      </w:r>
      <w:r w:rsidR="005D42B6" w:rsidRPr="00595F42">
        <w:rPr>
          <w:rFonts w:ascii="Times New Roman" w:eastAsia="Times New Roman" w:hAnsi="Times New Roman" w:cs="Times New Roman"/>
          <w:noProof/>
          <w:color w:val="000000"/>
          <w:sz w:val="24"/>
          <w:szCs w:val="24"/>
          <w:vertAlign w:val="superscript"/>
          <w:lang w:eastAsia="en-IE"/>
        </w:rPr>
        <w:footnoteReference w:id="13"/>
      </w:r>
      <w:r w:rsidRPr="00595F42">
        <w:rPr>
          <w:rFonts w:ascii="Times New Roman" w:hAnsi="Times New Roman"/>
          <w:noProof/>
          <w:color w:val="000000"/>
          <w:sz w:val="24"/>
        </w:rPr>
        <w:t xml:space="preserve">. </w:t>
      </w:r>
      <w:r w:rsidRPr="00595F42">
        <w:rPr>
          <w:rFonts w:ascii="Times New Roman" w:hAnsi="Times New Roman"/>
          <w:noProof/>
          <w:sz w:val="24"/>
        </w:rPr>
        <w:t>Środki wdrożone przez państwa członkowskie</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poł</w:t>
      </w:r>
      <w:r w:rsidRPr="00595F42">
        <w:rPr>
          <w:rFonts w:ascii="Times New Roman" w:hAnsi="Times New Roman"/>
          <w:noProof/>
          <w:sz w:val="24"/>
        </w:rPr>
        <w:t>ączeniu ze zmniejszeniem zapotrzebowania na gaz, zarówno pod względem poziomu, jak</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ter</w:t>
      </w:r>
      <w:r w:rsidRPr="00595F42">
        <w:rPr>
          <w:rFonts w:ascii="Times New Roman" w:hAnsi="Times New Roman"/>
          <w:noProof/>
          <w:sz w:val="24"/>
        </w:rPr>
        <w:t>minu, okazały się skuteczne, jeżeli chodzi</w:t>
      </w:r>
      <w:r w:rsidR="00595F42" w:rsidRPr="00595F42">
        <w:rPr>
          <w:rFonts w:ascii="Times New Roman" w:hAnsi="Times New Roman"/>
          <w:noProof/>
          <w:sz w:val="24"/>
        </w:rPr>
        <w:t xml:space="preserve"> o</w:t>
      </w:r>
      <w:r w:rsidR="00595F42">
        <w:rPr>
          <w:rFonts w:ascii="Times New Roman" w:hAnsi="Times New Roman"/>
          <w:noProof/>
          <w:sz w:val="24"/>
        </w:rPr>
        <w:t> </w:t>
      </w:r>
      <w:r w:rsidR="00595F42" w:rsidRPr="00595F42">
        <w:rPr>
          <w:rFonts w:ascii="Times New Roman" w:hAnsi="Times New Roman"/>
          <w:noProof/>
          <w:sz w:val="24"/>
        </w:rPr>
        <w:t>utr</w:t>
      </w:r>
      <w:r w:rsidRPr="00595F42">
        <w:rPr>
          <w:rFonts w:ascii="Times New Roman" w:hAnsi="Times New Roman"/>
          <w:noProof/>
          <w:sz w:val="24"/>
        </w:rPr>
        <w:t>zymanie przez uczestników rynku poziomów magazynowania na odpowiednim poziomie do</w:t>
      </w:r>
      <w:r w:rsidR="00595F42" w:rsidRPr="00595F42">
        <w:rPr>
          <w:rFonts w:ascii="Times New Roman" w:hAnsi="Times New Roman"/>
          <w:noProof/>
          <w:sz w:val="24"/>
        </w:rPr>
        <w:t> </w:t>
      </w:r>
      <w:r w:rsidRPr="00595F42">
        <w:rPr>
          <w:rFonts w:ascii="Times New Roman" w:hAnsi="Times New Roman"/>
          <w:noProof/>
          <w:sz w:val="24"/>
        </w:rPr>
        <w:t>2023</w:t>
      </w:r>
      <w:r w:rsidR="00595F42" w:rsidRPr="00595F42">
        <w:rPr>
          <w:rFonts w:ascii="Times New Roman" w:hAnsi="Times New Roman"/>
          <w:noProof/>
          <w:sz w:val="24"/>
        </w:rPr>
        <w:t> </w:t>
      </w:r>
      <w:r w:rsidRPr="00595F42">
        <w:rPr>
          <w:rFonts w:ascii="Times New Roman" w:hAnsi="Times New Roman"/>
          <w:noProof/>
          <w:sz w:val="24"/>
        </w:rPr>
        <w:t>r.</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osi</w:t>
      </w:r>
      <w:r w:rsidRPr="00595F42">
        <w:rPr>
          <w:rFonts w:ascii="Times New Roman" w:hAnsi="Times New Roman"/>
          <w:noProof/>
          <w:sz w:val="24"/>
        </w:rPr>
        <w:t>ągnięcie celu</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zak</w:t>
      </w:r>
      <w:r w:rsidRPr="00595F42">
        <w:rPr>
          <w:rFonts w:ascii="Times New Roman" w:hAnsi="Times New Roman"/>
          <w:noProof/>
          <w:sz w:val="24"/>
        </w:rPr>
        <w:t>resie magazynowania.</w:t>
      </w:r>
      <w:r w:rsidRPr="00595F42">
        <w:rPr>
          <w:rFonts w:ascii="Times New Roman" w:hAnsi="Times New Roman"/>
          <w:noProof/>
          <w:color w:val="000000"/>
          <w:sz w:val="24"/>
        </w:rPr>
        <w:t xml:space="preserve"> </w:t>
      </w:r>
      <w:r w:rsidRPr="00595F42">
        <w:rPr>
          <w:rFonts w:ascii="Times New Roman" w:hAnsi="Times New Roman"/>
          <w:noProof/>
          <w:sz w:val="24"/>
        </w:rPr>
        <w:t>Osiągnięcie celów przed terminem wynikającym</w:t>
      </w:r>
      <w:r w:rsidR="00595F42" w:rsidRPr="00595F42">
        <w:rPr>
          <w:rFonts w:ascii="Times New Roman" w:hAnsi="Times New Roman"/>
          <w:noProof/>
          <w:sz w:val="24"/>
        </w:rPr>
        <w:t xml:space="preserve"> z</w:t>
      </w:r>
      <w:r w:rsidR="00595F42">
        <w:rPr>
          <w:rFonts w:ascii="Times New Roman" w:hAnsi="Times New Roman"/>
          <w:noProof/>
          <w:sz w:val="24"/>
        </w:rPr>
        <w:t> </w:t>
      </w:r>
      <w:r w:rsidR="00595F42" w:rsidRPr="00595F42">
        <w:rPr>
          <w:rFonts w:ascii="Times New Roman" w:hAnsi="Times New Roman"/>
          <w:noProof/>
          <w:sz w:val="24"/>
        </w:rPr>
        <w:t>har</w:t>
      </w:r>
      <w:r w:rsidRPr="00595F42">
        <w:rPr>
          <w:rFonts w:ascii="Times New Roman" w:hAnsi="Times New Roman"/>
          <w:noProof/>
          <w:sz w:val="24"/>
        </w:rPr>
        <w:t>monogramu regulacyjnego umożliwiło nawet dalsze zatłoczenie dodatkowych 2,5 mld m³ do ukraińskich magazynów</w:t>
      </w:r>
      <w:r w:rsidR="00595F42" w:rsidRPr="00595F42">
        <w:rPr>
          <w:rFonts w:ascii="Times New Roman" w:hAnsi="Times New Roman"/>
          <w:noProof/>
          <w:sz w:val="24"/>
        </w:rPr>
        <w:t xml:space="preserve"> w</w:t>
      </w:r>
      <w:r w:rsidR="00595F42">
        <w:rPr>
          <w:rFonts w:ascii="Times New Roman" w:hAnsi="Times New Roman"/>
          <w:noProof/>
          <w:sz w:val="24"/>
        </w:rPr>
        <w:t> </w:t>
      </w:r>
      <w:r w:rsidR="00595F42" w:rsidRPr="00595F42">
        <w:rPr>
          <w:rFonts w:ascii="Times New Roman" w:hAnsi="Times New Roman"/>
          <w:noProof/>
          <w:sz w:val="24"/>
        </w:rPr>
        <w:t>okr</w:t>
      </w:r>
      <w:r w:rsidRPr="00595F42">
        <w:rPr>
          <w:rFonts w:ascii="Times New Roman" w:hAnsi="Times New Roman"/>
          <w:noProof/>
          <w:sz w:val="24"/>
        </w:rPr>
        <w:t>esie letnim, co wzajemnie wzmocniło bezpieczeństwo dostaw gazu do UE</w:t>
      </w:r>
      <w:r w:rsidR="00595F42" w:rsidRPr="00595F42">
        <w:rPr>
          <w:rFonts w:ascii="Times New Roman" w:hAnsi="Times New Roman"/>
          <w:noProof/>
          <w:sz w:val="24"/>
        </w:rPr>
        <w:t xml:space="preserve"> i</w:t>
      </w:r>
      <w:r w:rsidR="00595F42">
        <w:rPr>
          <w:rFonts w:ascii="Times New Roman" w:hAnsi="Times New Roman"/>
          <w:noProof/>
          <w:sz w:val="24"/>
        </w:rPr>
        <w:t> </w:t>
      </w:r>
      <w:r w:rsidR="00595F42" w:rsidRPr="00595F42">
        <w:rPr>
          <w:rFonts w:ascii="Times New Roman" w:hAnsi="Times New Roman"/>
          <w:noProof/>
          <w:sz w:val="24"/>
        </w:rPr>
        <w:t>Ukr</w:t>
      </w:r>
      <w:r w:rsidRPr="00595F42">
        <w:rPr>
          <w:rFonts w:ascii="Times New Roman" w:hAnsi="Times New Roman"/>
          <w:noProof/>
          <w:sz w:val="24"/>
        </w:rPr>
        <w:t>ainy.</w:t>
      </w:r>
      <w:r w:rsidRPr="00595F42">
        <w:rPr>
          <w:rFonts w:ascii="Times New Roman" w:hAnsi="Times New Roman"/>
          <w:noProof/>
          <w:color w:val="000000"/>
          <w:sz w:val="24"/>
        </w:rPr>
        <w:t xml:space="preserve"> </w:t>
      </w:r>
    </w:p>
    <w:p w14:paraId="15E7A2F9" w14:textId="7CA25ABF" w:rsidR="005D42B6" w:rsidRPr="00595F42" w:rsidRDefault="005D42B6" w:rsidP="005D42B6">
      <w:pPr>
        <w:spacing w:after="8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sz w:val="24"/>
        </w:rPr>
        <w:t>Mechanizm minimalnych celów pośrednich pozostawia państwom członkowskim dużą swobodę</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ust</w:t>
      </w:r>
      <w:r w:rsidRPr="00595F42">
        <w:rPr>
          <w:rFonts w:ascii="Times New Roman" w:hAnsi="Times New Roman"/>
          <w:noProof/>
          <w:color w:val="000000"/>
          <w:sz w:val="24"/>
        </w:rPr>
        <w:t>alaniu własnych środków</w:t>
      </w:r>
      <w:r w:rsidR="00595F42" w:rsidRPr="00595F42">
        <w:rPr>
          <w:rFonts w:ascii="Times New Roman" w:hAnsi="Times New Roman"/>
          <w:noProof/>
          <w:color w:val="000000"/>
          <w:sz w:val="24"/>
        </w:rPr>
        <w:t xml:space="preserve"> i</w:t>
      </w:r>
      <w:r w:rsidR="00595F42">
        <w:rPr>
          <w:rFonts w:ascii="Times New Roman" w:hAnsi="Times New Roman"/>
          <w:noProof/>
          <w:color w:val="000000"/>
          <w:sz w:val="24"/>
        </w:rPr>
        <w:t> </w:t>
      </w:r>
      <w:r w:rsidR="00595F42" w:rsidRPr="00595F42">
        <w:rPr>
          <w:rFonts w:ascii="Times New Roman" w:hAnsi="Times New Roman"/>
          <w:noProof/>
          <w:color w:val="000000"/>
          <w:sz w:val="24"/>
        </w:rPr>
        <w:t>har</w:t>
      </w:r>
      <w:r w:rsidRPr="00595F42">
        <w:rPr>
          <w:rFonts w:ascii="Times New Roman" w:hAnsi="Times New Roman"/>
          <w:noProof/>
          <w:color w:val="000000"/>
          <w:sz w:val="24"/>
        </w:rPr>
        <w:t>monogramów. Osiągnięcie celów określonych</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roz</w:t>
      </w:r>
      <w:r w:rsidRPr="00595F42">
        <w:rPr>
          <w:rFonts w:ascii="Times New Roman" w:hAnsi="Times New Roman"/>
          <w:noProof/>
          <w:color w:val="000000"/>
          <w:sz w:val="24"/>
        </w:rPr>
        <w:t>porządzeniu</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spr</w:t>
      </w:r>
      <w:r w:rsidRPr="00595F42">
        <w:rPr>
          <w:rFonts w:ascii="Times New Roman" w:hAnsi="Times New Roman"/>
          <w:noProof/>
          <w:color w:val="000000"/>
          <w:sz w:val="24"/>
        </w:rPr>
        <w:t>awie magazynowania gazu</w:t>
      </w:r>
      <w:r w:rsidR="00595F42" w:rsidRPr="00595F42">
        <w:rPr>
          <w:rFonts w:ascii="Times New Roman" w:hAnsi="Times New Roman"/>
          <w:noProof/>
          <w:color w:val="000000"/>
          <w:sz w:val="24"/>
        </w:rPr>
        <w:t xml:space="preserve"> w</w:t>
      </w:r>
      <w:r w:rsidR="00595F42">
        <w:rPr>
          <w:rFonts w:ascii="Times New Roman" w:hAnsi="Times New Roman"/>
          <w:noProof/>
          <w:color w:val="000000"/>
          <w:sz w:val="24"/>
        </w:rPr>
        <w:t> </w:t>
      </w:r>
      <w:r w:rsidR="00595F42" w:rsidRPr="00595F42">
        <w:rPr>
          <w:rFonts w:ascii="Times New Roman" w:hAnsi="Times New Roman"/>
          <w:noProof/>
          <w:color w:val="000000"/>
          <w:sz w:val="24"/>
        </w:rPr>
        <w:t>zna</w:t>
      </w:r>
      <w:r w:rsidRPr="00595F42">
        <w:rPr>
          <w:rFonts w:ascii="Times New Roman" w:hAnsi="Times New Roman"/>
          <w:noProof/>
          <w:color w:val="000000"/>
          <w:sz w:val="24"/>
        </w:rPr>
        <w:t>cznym stopniu przyczyniło się do zwiększenia bezpieczeństwa dostaw zimą 2023/2024, co</w:t>
      </w:r>
      <w:r w:rsidR="00595F42" w:rsidRPr="00595F42">
        <w:rPr>
          <w:rFonts w:ascii="Times New Roman" w:hAnsi="Times New Roman"/>
          <w:noProof/>
          <w:color w:val="000000"/>
          <w:sz w:val="24"/>
        </w:rPr>
        <w:t xml:space="preserve"> z</w:t>
      </w:r>
      <w:r w:rsidR="00595F42">
        <w:rPr>
          <w:rFonts w:ascii="Times New Roman" w:hAnsi="Times New Roman"/>
          <w:noProof/>
          <w:color w:val="000000"/>
          <w:sz w:val="24"/>
        </w:rPr>
        <w:t> </w:t>
      </w:r>
      <w:r w:rsidR="00595F42" w:rsidRPr="00595F42">
        <w:rPr>
          <w:rFonts w:ascii="Times New Roman" w:hAnsi="Times New Roman"/>
          <w:noProof/>
          <w:color w:val="000000"/>
          <w:sz w:val="24"/>
        </w:rPr>
        <w:t>kol</w:t>
      </w:r>
      <w:r w:rsidRPr="00595F42">
        <w:rPr>
          <w:rFonts w:ascii="Times New Roman" w:hAnsi="Times New Roman"/>
          <w:noProof/>
          <w:color w:val="000000"/>
          <w:sz w:val="24"/>
        </w:rPr>
        <w:t xml:space="preserve">ei pozwoliło na zmniejszenie premii za ryzyko na rynku gazu pod koniec roku. </w:t>
      </w:r>
    </w:p>
    <w:p w14:paraId="7263DE88" w14:textId="5077BCBB" w:rsidR="005D42B6" w:rsidRPr="00595F42" w:rsidRDefault="005D42B6" w:rsidP="005D42B6">
      <w:pPr>
        <w:spacing w:after="8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themeColor="text1"/>
          <w:sz w:val="24"/>
        </w:rPr>
        <w:t>Dzięki obowiązkowi certyfikacji magazynowania gazu rozporządzenie</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spr</w:t>
      </w:r>
      <w:r w:rsidRPr="00595F42">
        <w:rPr>
          <w:rFonts w:ascii="Times New Roman" w:hAnsi="Times New Roman"/>
          <w:noProof/>
          <w:color w:val="000000" w:themeColor="text1"/>
          <w:sz w:val="24"/>
        </w:rPr>
        <w:t>awie magazynowania gazu ma pomóc</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uni</w:t>
      </w:r>
      <w:r w:rsidRPr="00595F42">
        <w:rPr>
          <w:rFonts w:ascii="Times New Roman" w:hAnsi="Times New Roman"/>
          <w:noProof/>
          <w:color w:val="000000" w:themeColor="text1"/>
          <w:sz w:val="24"/>
        </w:rPr>
        <w:t>knięciu szkodliwego wpływu krajów trzecich na napełnianie instalacji magazynowania gazu</w:t>
      </w:r>
      <w:r w:rsidR="00595F42" w:rsidRPr="00595F42">
        <w:rPr>
          <w:rFonts w:ascii="Times New Roman" w:hAnsi="Times New Roman"/>
          <w:noProof/>
          <w:color w:val="000000" w:themeColor="text1"/>
          <w:sz w:val="24"/>
        </w:rPr>
        <w:t>.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prz</w:t>
      </w:r>
      <w:r w:rsidRPr="00595F42">
        <w:rPr>
          <w:rFonts w:ascii="Times New Roman" w:hAnsi="Times New Roman"/>
          <w:noProof/>
          <w:color w:val="000000" w:themeColor="text1"/>
          <w:sz w:val="24"/>
        </w:rPr>
        <w:t>ypadku znacznej części operatorów magazynów</w:t>
      </w:r>
      <w:r w:rsidR="00595F42" w:rsidRPr="00595F42">
        <w:rPr>
          <w:rFonts w:ascii="Times New Roman" w:hAnsi="Times New Roman"/>
          <w:noProof/>
          <w:color w:val="000000" w:themeColor="text1"/>
          <w:sz w:val="24"/>
        </w:rPr>
        <w:t xml:space="preserve"> i</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ins</w:t>
      </w:r>
      <w:r w:rsidRPr="00595F42">
        <w:rPr>
          <w:rFonts w:ascii="Times New Roman" w:hAnsi="Times New Roman"/>
          <w:noProof/>
          <w:color w:val="000000" w:themeColor="text1"/>
          <w:sz w:val="24"/>
        </w:rPr>
        <w:t>talacji magazynowych proces certyfikacji jest na zaawansowanym etapie. Komisja pozostaje</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kon</w:t>
      </w:r>
      <w:r w:rsidRPr="00595F42">
        <w:rPr>
          <w:rFonts w:ascii="Times New Roman" w:hAnsi="Times New Roman"/>
          <w:noProof/>
          <w:color w:val="000000" w:themeColor="text1"/>
          <w:sz w:val="24"/>
        </w:rPr>
        <w:t>takcie</w:t>
      </w:r>
      <w:r w:rsidR="00595F42" w:rsidRPr="00595F42">
        <w:rPr>
          <w:rFonts w:ascii="Times New Roman" w:hAnsi="Times New Roman"/>
          <w:noProof/>
          <w:color w:val="000000" w:themeColor="text1"/>
          <w:sz w:val="24"/>
        </w:rPr>
        <w:t xml:space="preserve"> z</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pań</w:t>
      </w:r>
      <w:r w:rsidRPr="00595F42">
        <w:rPr>
          <w:rFonts w:ascii="Times New Roman" w:hAnsi="Times New Roman"/>
          <w:noProof/>
          <w:color w:val="000000" w:themeColor="text1"/>
          <w:sz w:val="24"/>
        </w:rPr>
        <w:t>stwami członkowskimi, które muszą jeszcze przedłożyć projekty decyzji</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spr</w:t>
      </w:r>
      <w:r w:rsidRPr="00595F42">
        <w:rPr>
          <w:rFonts w:ascii="Times New Roman" w:hAnsi="Times New Roman"/>
          <w:noProof/>
          <w:color w:val="000000" w:themeColor="text1"/>
          <w:sz w:val="24"/>
        </w:rPr>
        <w:t>awie certyfikacji. Chociaż wiele certyfikacji jest nadal</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tok</w:t>
      </w:r>
      <w:r w:rsidRPr="00595F42">
        <w:rPr>
          <w:rFonts w:ascii="Times New Roman" w:hAnsi="Times New Roman"/>
          <w:noProof/>
          <w:color w:val="000000" w:themeColor="text1"/>
          <w:sz w:val="24"/>
        </w:rPr>
        <w:t xml:space="preserve">u, obecnie nie ma dostępnych dowodów na to, że własność magazynów lub operatorzy magazynów mogą stanowić bezpośrednie zagrożenie dla bezpieczeństwa dostaw gazu w UE. </w:t>
      </w:r>
    </w:p>
    <w:p w14:paraId="611E166C" w14:textId="41499EEF" w:rsidR="005D42B6" w:rsidRPr="00595F42" w:rsidRDefault="005D42B6" w:rsidP="005D42B6">
      <w:pPr>
        <w:spacing w:after="0" w:line="240" w:lineRule="auto"/>
        <w:jc w:val="both"/>
        <w:rPr>
          <w:rFonts w:ascii="Times New Roman" w:eastAsia="Times New Roman" w:hAnsi="Times New Roman" w:cs="Times New Roman"/>
          <w:noProof/>
          <w:color w:val="000000"/>
          <w:sz w:val="24"/>
          <w:szCs w:val="24"/>
        </w:rPr>
      </w:pPr>
      <w:r w:rsidRPr="00595F42">
        <w:rPr>
          <w:rFonts w:ascii="Times New Roman" w:hAnsi="Times New Roman"/>
          <w:noProof/>
          <w:color w:val="000000" w:themeColor="text1"/>
          <w:sz w:val="24"/>
        </w:rPr>
        <w:t>Powszechnie uznaje się, że poziomy magazynowania miały pozytywny wpływ na ceny gazu – choć trudno jest dokładnie ocenić,</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jak</w:t>
      </w:r>
      <w:r w:rsidRPr="00595F42">
        <w:rPr>
          <w:rFonts w:ascii="Times New Roman" w:hAnsi="Times New Roman"/>
          <w:noProof/>
          <w:color w:val="000000" w:themeColor="text1"/>
          <w:sz w:val="24"/>
        </w:rPr>
        <w:t>im stopniu. Trajektorie</w:t>
      </w:r>
      <w:r w:rsidR="00595F42" w:rsidRPr="00595F42">
        <w:rPr>
          <w:rFonts w:ascii="Times New Roman" w:hAnsi="Times New Roman"/>
          <w:noProof/>
          <w:color w:val="000000" w:themeColor="text1"/>
          <w:sz w:val="24"/>
        </w:rPr>
        <w:t xml:space="preserve"> i</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cel</w:t>
      </w:r>
      <w:r w:rsidRPr="00595F42">
        <w:rPr>
          <w:rFonts w:ascii="Times New Roman" w:hAnsi="Times New Roman"/>
          <w:noProof/>
          <w:color w:val="000000" w:themeColor="text1"/>
          <w:sz w:val="24"/>
        </w:rPr>
        <w:t>e określone</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roz</w:t>
      </w:r>
      <w:r w:rsidRPr="00595F42">
        <w:rPr>
          <w:rFonts w:ascii="Times New Roman" w:hAnsi="Times New Roman"/>
          <w:noProof/>
          <w:color w:val="000000" w:themeColor="text1"/>
          <w:sz w:val="24"/>
        </w:rPr>
        <w:t>porządzeniu przyczyniły się zatem do zmniejszenia presji na ceny gazu poprzez ustalenie minimalnych poziomów magazynowania, które</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2</w:t>
      </w:r>
      <w:r w:rsidRPr="00595F42">
        <w:rPr>
          <w:rFonts w:ascii="Times New Roman" w:hAnsi="Times New Roman"/>
          <w:noProof/>
          <w:color w:val="000000" w:themeColor="text1"/>
          <w:sz w:val="24"/>
        </w:rPr>
        <w:t>023</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r.</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zna</w:t>
      </w:r>
      <w:r w:rsidRPr="00595F42">
        <w:rPr>
          <w:rFonts w:ascii="Times New Roman" w:hAnsi="Times New Roman"/>
          <w:noProof/>
          <w:color w:val="000000" w:themeColor="text1"/>
          <w:sz w:val="24"/>
        </w:rPr>
        <w:t>cznej mierze przekroczono. Zmienność rynku gazu</w:t>
      </w:r>
      <w:r w:rsidR="00595F42" w:rsidRPr="00595F42">
        <w:rPr>
          <w:rFonts w:ascii="Times New Roman" w:hAnsi="Times New Roman"/>
          <w:noProof/>
          <w:color w:val="000000" w:themeColor="text1"/>
          <w:sz w:val="24"/>
        </w:rPr>
        <w:t xml:space="preserve"> i</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cen</w:t>
      </w:r>
      <w:r w:rsidRPr="00595F42">
        <w:rPr>
          <w:rFonts w:ascii="Times New Roman" w:hAnsi="Times New Roman"/>
          <w:noProof/>
          <w:color w:val="000000" w:themeColor="text1"/>
          <w:sz w:val="24"/>
        </w:rPr>
        <w:t>y gazu były</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2</w:t>
      </w:r>
      <w:r w:rsidRPr="00595F42">
        <w:rPr>
          <w:rFonts w:ascii="Times New Roman" w:hAnsi="Times New Roman"/>
          <w:noProof/>
          <w:color w:val="000000" w:themeColor="text1"/>
          <w:sz w:val="24"/>
        </w:rPr>
        <w:t>023</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r. znacznie niższe</w:t>
      </w:r>
      <w:r w:rsidR="00595F42" w:rsidRPr="00595F42">
        <w:rPr>
          <w:rFonts w:ascii="Times New Roman" w:hAnsi="Times New Roman"/>
          <w:noProof/>
          <w:color w:val="000000" w:themeColor="text1"/>
          <w:sz w:val="24"/>
        </w:rPr>
        <w:t xml:space="preserve"> w</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por</w:t>
      </w:r>
      <w:r w:rsidRPr="00595F42">
        <w:rPr>
          <w:rFonts w:ascii="Times New Roman" w:hAnsi="Times New Roman"/>
          <w:noProof/>
          <w:color w:val="000000" w:themeColor="text1"/>
          <w:sz w:val="24"/>
        </w:rPr>
        <w:t>ównaniu</w:t>
      </w:r>
      <w:r w:rsidR="00595F42" w:rsidRPr="00595F42">
        <w:rPr>
          <w:rFonts w:ascii="Times New Roman" w:hAnsi="Times New Roman"/>
          <w:noProof/>
          <w:color w:val="000000" w:themeColor="text1"/>
          <w:sz w:val="24"/>
        </w:rPr>
        <w:t xml:space="preserve"> z</w:t>
      </w:r>
      <w:r w:rsidR="00595F42">
        <w:rPr>
          <w:rFonts w:ascii="Times New Roman" w:hAnsi="Times New Roman"/>
          <w:noProof/>
          <w:color w:val="000000" w:themeColor="text1"/>
          <w:sz w:val="24"/>
        </w:rPr>
        <w:t> </w:t>
      </w:r>
      <w:r w:rsidR="00595F42" w:rsidRPr="00595F42">
        <w:rPr>
          <w:rFonts w:ascii="Times New Roman" w:hAnsi="Times New Roman"/>
          <w:noProof/>
          <w:color w:val="000000" w:themeColor="text1"/>
          <w:sz w:val="24"/>
        </w:rPr>
        <w:t>2</w:t>
      </w:r>
      <w:r w:rsidRPr="00595F42">
        <w:rPr>
          <w:rFonts w:ascii="Times New Roman" w:hAnsi="Times New Roman"/>
          <w:noProof/>
          <w:color w:val="000000" w:themeColor="text1"/>
          <w:sz w:val="24"/>
        </w:rPr>
        <w:t>022</w:t>
      </w:r>
      <w:r w:rsidR="00595F42" w:rsidRPr="00595F42">
        <w:rPr>
          <w:rFonts w:ascii="Times New Roman" w:hAnsi="Times New Roman"/>
          <w:noProof/>
          <w:color w:val="000000" w:themeColor="text1"/>
          <w:sz w:val="24"/>
        </w:rPr>
        <w:t> </w:t>
      </w:r>
      <w:r w:rsidRPr="00595F42">
        <w:rPr>
          <w:rFonts w:ascii="Times New Roman" w:hAnsi="Times New Roman"/>
          <w:noProof/>
          <w:color w:val="000000" w:themeColor="text1"/>
          <w:sz w:val="24"/>
        </w:rPr>
        <w:t>r. Ponadto należy wziąć pod uwagę skutki magazynowania wraz ze zmniejszeniem popytu. Zmniejszenie popytu będzie nadal kluczowym czynnikiem osiągnięcia wystarczającego poziomu napełnienia magazynów,</w:t>
      </w:r>
      <w:r w:rsidRPr="00595F42">
        <w:rPr>
          <w:noProof/>
        </w:rPr>
        <w:t xml:space="preserve"> </w:t>
      </w:r>
      <w:r w:rsidRPr="00595F42">
        <w:rPr>
          <w:rFonts w:ascii="Times New Roman" w:hAnsi="Times New Roman"/>
          <w:noProof/>
          <w:color w:val="000000" w:themeColor="text1"/>
          <w:sz w:val="24"/>
        </w:rPr>
        <w:t xml:space="preserve">co jest częścią tej samej architektury bezpieczeństwa dostaw co środki po stronie popytu. </w:t>
      </w:r>
      <w:bookmarkStart w:id="9" w:name="_Ref154046060"/>
      <w:bookmarkStart w:id="10" w:name="_Ref154046055"/>
    </w:p>
    <w:p w14:paraId="4004655E" w14:textId="77777777" w:rsidR="00727C0C" w:rsidRPr="00595F42" w:rsidRDefault="00727C0C">
      <w:pPr>
        <w:rPr>
          <w:rFonts w:ascii="Times New Roman" w:eastAsia="Times New Roman" w:hAnsi="Times New Roman" w:cs="Times New Roman"/>
          <w:i/>
          <w:noProof/>
          <w:sz w:val="24"/>
        </w:rPr>
      </w:pPr>
      <w:r w:rsidRPr="00595F42">
        <w:rPr>
          <w:noProof/>
        </w:rPr>
        <w:br w:type="page"/>
      </w:r>
    </w:p>
    <w:p w14:paraId="43649525" w14:textId="68890F62" w:rsidR="005D42B6" w:rsidRPr="00595F42" w:rsidRDefault="000D7182" w:rsidP="009E0BE4">
      <w:pPr>
        <w:spacing w:before="160" w:after="240" w:line="240" w:lineRule="auto"/>
        <w:jc w:val="center"/>
        <w:rPr>
          <w:rFonts w:ascii="Times New Roman" w:eastAsia="Times New Roman" w:hAnsi="Times New Roman" w:cs="Times New Roman"/>
          <w:b/>
          <w:bCs/>
          <w:iCs/>
          <w:noProof/>
          <w:sz w:val="24"/>
          <w:szCs w:val="24"/>
        </w:rPr>
      </w:pPr>
      <w:r w:rsidRPr="00595F42">
        <w:rPr>
          <w:rFonts w:ascii="Times New Roman" w:hAnsi="Times New Roman"/>
          <w:b/>
          <w:noProof/>
          <w:sz w:val="24"/>
        </w:rPr>
        <w:t>ZAŁĄCZNIK</w:t>
      </w:r>
      <w:bookmarkEnd w:id="9"/>
      <w:r w:rsidRPr="00595F42">
        <w:rPr>
          <w:rFonts w:ascii="Times New Roman" w:hAnsi="Times New Roman"/>
          <w:b/>
          <w:noProof/>
          <w:sz w:val="24"/>
        </w:rPr>
        <w:t xml:space="preserve"> – Szczegółowa tabela środków wdrożonych</w:t>
      </w:r>
      <w:r w:rsidR="00595F42" w:rsidRPr="00595F42">
        <w:rPr>
          <w:rFonts w:ascii="Times New Roman" w:hAnsi="Times New Roman"/>
          <w:b/>
          <w:noProof/>
          <w:sz w:val="24"/>
        </w:rPr>
        <w:t xml:space="preserve"> w</w:t>
      </w:r>
      <w:r w:rsidR="00595F42">
        <w:rPr>
          <w:rFonts w:ascii="Times New Roman" w:hAnsi="Times New Roman"/>
          <w:b/>
          <w:noProof/>
          <w:sz w:val="24"/>
        </w:rPr>
        <w:t> </w:t>
      </w:r>
      <w:r w:rsidR="00595F42" w:rsidRPr="00595F42">
        <w:rPr>
          <w:rFonts w:ascii="Times New Roman" w:hAnsi="Times New Roman"/>
          <w:b/>
          <w:noProof/>
          <w:sz w:val="24"/>
        </w:rPr>
        <w:t>pos</w:t>
      </w:r>
      <w:r w:rsidRPr="00595F42">
        <w:rPr>
          <w:rFonts w:ascii="Times New Roman" w:hAnsi="Times New Roman"/>
          <w:b/>
          <w:noProof/>
          <w:sz w:val="24"/>
        </w:rPr>
        <w:t>zczególnych państwach członkowskich posiadających PMG</w:t>
      </w:r>
      <w:bookmarkEnd w:id="10"/>
    </w:p>
    <w:tbl>
      <w:tblPr>
        <w:tblW w:w="9578" w:type="dxa"/>
        <w:tblInd w:w="-26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44"/>
        <w:gridCol w:w="567"/>
        <w:gridCol w:w="6767"/>
      </w:tblGrid>
      <w:tr w:rsidR="00407097" w:rsidRPr="00595F42" w14:paraId="7990B716" w14:textId="77777777" w:rsidTr="004A32F1">
        <w:tc>
          <w:tcPr>
            <w:tcW w:w="224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BA97E5" w14:textId="7B26006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Środek (zgodnie</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pro</w:t>
            </w:r>
            <w:r w:rsidRPr="00595F42">
              <w:rPr>
                <w:rFonts w:ascii="Times New Roman" w:hAnsi="Times New Roman"/>
                <w:noProof/>
                <w:sz w:val="20"/>
              </w:rPr>
              <w:t>pozycją zawartą</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art</w:t>
            </w:r>
            <w:r w:rsidRPr="00595F42">
              <w:rPr>
                <w:rFonts w:ascii="Times New Roman" w:hAnsi="Times New Roman"/>
                <w:noProof/>
                <w:sz w:val="20"/>
              </w:rPr>
              <w:t>.</w:t>
            </w:r>
            <w:r w:rsidR="00595F42" w:rsidRPr="00595F42">
              <w:rPr>
                <w:rFonts w:ascii="Times New Roman" w:hAnsi="Times New Roman"/>
                <w:noProof/>
                <w:sz w:val="20"/>
              </w:rPr>
              <w:t> </w:t>
            </w:r>
            <w:r w:rsidRPr="00595F42">
              <w:rPr>
                <w:rFonts w:ascii="Times New Roman" w:hAnsi="Times New Roman"/>
                <w:noProof/>
                <w:sz w:val="20"/>
              </w:rPr>
              <w:t xml:space="preserve">6b rozporządzenia) </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561E272"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PC</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38D003"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 xml:space="preserve">Opis </w:t>
            </w:r>
          </w:p>
        </w:tc>
      </w:tr>
      <w:tr w:rsidR="008051F6" w:rsidRPr="00595F42" w14:paraId="6839FF8C" w14:textId="77777777" w:rsidTr="005D42B6">
        <w:tc>
          <w:tcPr>
            <w:tcW w:w="2244" w:type="dxa"/>
            <w:tcBorders>
              <w:top w:val="single" w:sz="8" w:space="0" w:color="auto"/>
              <w:left w:val="single" w:sz="8" w:space="0" w:color="auto"/>
              <w:bottom w:val="single" w:sz="8" w:space="0" w:color="000000"/>
              <w:right w:val="single" w:sz="8" w:space="0" w:color="auto"/>
            </w:tcBorders>
            <w:tcMar>
              <w:top w:w="15" w:type="dxa"/>
              <w:left w:w="15" w:type="dxa"/>
              <w:bottom w:w="15" w:type="dxa"/>
              <w:right w:w="15" w:type="dxa"/>
            </w:tcMar>
            <w:vAlign w:val="center"/>
          </w:tcPr>
          <w:p w14:paraId="3FCCC971" w14:textId="4D62491F"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Minimalna ilość</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mag</w:t>
            </w:r>
            <w:r w:rsidRPr="00595F42">
              <w:rPr>
                <w:rFonts w:ascii="Times New Roman" w:hAnsi="Times New Roman"/>
                <w:noProof/>
                <w:sz w:val="20"/>
              </w:rPr>
              <w:t>azynach gazu</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E58D708"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AT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13E25B9" w14:textId="5C85C238"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Dostawcy gazu dla odbiorców chronionych są zobowiązani do spełnienia standardu</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zak</w:t>
            </w:r>
            <w:r w:rsidRPr="00595F42">
              <w:rPr>
                <w:rFonts w:ascii="Times New Roman" w:hAnsi="Times New Roman"/>
                <w:noProof/>
                <w:sz w:val="20"/>
              </w:rPr>
              <w:t>resie dostaw (art.</w:t>
            </w:r>
            <w:r w:rsidR="00595F42" w:rsidRPr="00595F42">
              <w:rPr>
                <w:rFonts w:ascii="Times New Roman" w:hAnsi="Times New Roman"/>
                <w:noProof/>
                <w:sz w:val="20"/>
              </w:rPr>
              <w:t> </w:t>
            </w:r>
            <w:r w:rsidRPr="00595F42">
              <w:rPr>
                <w:rFonts w:ascii="Times New Roman" w:hAnsi="Times New Roman"/>
                <w:noProof/>
                <w:sz w:val="20"/>
              </w:rPr>
              <w:t>6 rozporządzenia</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spr</w:t>
            </w:r>
            <w:r w:rsidRPr="00595F42">
              <w:rPr>
                <w:rFonts w:ascii="Times New Roman" w:hAnsi="Times New Roman"/>
                <w:noProof/>
                <w:sz w:val="20"/>
              </w:rPr>
              <w:t xml:space="preserve">awie bezpieczeństwa dostaw) </w:t>
            </w:r>
          </w:p>
        </w:tc>
      </w:tr>
      <w:tr w:rsidR="008051F6" w:rsidRPr="00595F42" w14:paraId="291FF65B" w14:textId="77777777" w:rsidTr="004A32F1">
        <w:tc>
          <w:tcPr>
            <w:tcW w:w="2244" w:type="dxa"/>
            <w:tcBorders>
              <w:left w:val="single" w:sz="0" w:space="0" w:color="auto"/>
              <w:right w:val="single" w:sz="0" w:space="0" w:color="auto"/>
            </w:tcBorders>
            <w:vAlign w:val="center"/>
          </w:tcPr>
          <w:p w14:paraId="140D99CB"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68D1C4DB"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BG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279E3AB" w14:textId="1BE37E1D"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Uczestnicy rynku, których klienci charakteryzują się nieregularnym zużyciem, są zobowiązani do utrzymywania rezerwy strategicznej związanej</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bez</w:t>
            </w:r>
            <w:r w:rsidRPr="00595F42">
              <w:rPr>
                <w:rFonts w:ascii="Times New Roman" w:hAnsi="Times New Roman"/>
                <w:noProof/>
                <w:sz w:val="20"/>
              </w:rPr>
              <w:t>pieczeństwem dostaw</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wah</w:t>
            </w:r>
            <w:r w:rsidRPr="00595F42">
              <w:rPr>
                <w:rFonts w:ascii="Times New Roman" w:hAnsi="Times New Roman"/>
                <w:noProof/>
                <w:sz w:val="20"/>
              </w:rPr>
              <w:t>aniami sezonowymi</w:t>
            </w:r>
          </w:p>
        </w:tc>
      </w:tr>
      <w:tr w:rsidR="008051F6" w:rsidRPr="00595F42" w14:paraId="1457941B" w14:textId="77777777" w:rsidTr="004A32F1">
        <w:tc>
          <w:tcPr>
            <w:tcW w:w="2244" w:type="dxa"/>
            <w:tcBorders>
              <w:left w:val="single" w:sz="0" w:space="0" w:color="auto"/>
              <w:right w:val="single" w:sz="0" w:space="0" w:color="auto"/>
            </w:tcBorders>
            <w:vAlign w:val="center"/>
          </w:tcPr>
          <w:p w14:paraId="4A3AD5BA"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4E262426"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CZ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845AF01"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Sprzedawcy gazu bezpośrednio dostarczający gaz są zobowiązani do utrzymywania zapasów gazu odpowiadających 30 dniom nadzwyczajnie wysokiego zapotrzebowania na gaz</w:t>
            </w:r>
          </w:p>
        </w:tc>
      </w:tr>
      <w:tr w:rsidR="008051F6" w:rsidRPr="00595F42" w14:paraId="281A6087" w14:textId="77777777" w:rsidTr="004A32F1">
        <w:tc>
          <w:tcPr>
            <w:tcW w:w="2244" w:type="dxa"/>
            <w:tcBorders>
              <w:left w:val="single" w:sz="0" w:space="0" w:color="auto"/>
              <w:right w:val="single" w:sz="0" w:space="0" w:color="auto"/>
            </w:tcBorders>
            <w:vAlign w:val="center"/>
          </w:tcPr>
          <w:p w14:paraId="7ED98202"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795D7B63"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ES</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2537E21" w14:textId="1C6335E6"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Dostawcy są zobowiązani do utrzymywania zapasów gazu odpowiadających 27,5 dnia ich zużycia</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pop</w:t>
            </w:r>
            <w:r w:rsidRPr="00595F42">
              <w:rPr>
                <w:rFonts w:ascii="Times New Roman" w:hAnsi="Times New Roman"/>
                <w:noProof/>
                <w:sz w:val="20"/>
              </w:rPr>
              <w:t>rzednim roku</w:t>
            </w:r>
          </w:p>
        </w:tc>
      </w:tr>
      <w:tr w:rsidR="008051F6" w:rsidRPr="00595F42" w14:paraId="09C81821" w14:textId="77777777" w:rsidTr="004A32F1">
        <w:tc>
          <w:tcPr>
            <w:tcW w:w="2244" w:type="dxa"/>
            <w:tcBorders>
              <w:left w:val="single" w:sz="0" w:space="0" w:color="auto"/>
              <w:right w:val="single" w:sz="0" w:space="0" w:color="auto"/>
            </w:tcBorders>
            <w:vAlign w:val="center"/>
          </w:tcPr>
          <w:p w14:paraId="16F5D8C9"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708A6445"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HU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8358F53" w14:textId="2D7713BF"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Powszechni dostawcy gazu są zobowiązani do utrzymywania zapasów bezpieczeństwa na podstawie szczytowego zużycia</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okr</w:t>
            </w:r>
            <w:r w:rsidRPr="00595F42">
              <w:rPr>
                <w:rFonts w:ascii="Times New Roman" w:hAnsi="Times New Roman"/>
                <w:noProof/>
                <w:sz w:val="20"/>
              </w:rPr>
              <w:t>esie zimowym</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ost</w:t>
            </w:r>
            <w:r w:rsidRPr="00595F42">
              <w:rPr>
                <w:rFonts w:ascii="Times New Roman" w:hAnsi="Times New Roman"/>
                <w:noProof/>
                <w:sz w:val="20"/>
              </w:rPr>
              <w:t>atnich 120 miesięcy</w:t>
            </w:r>
          </w:p>
        </w:tc>
      </w:tr>
      <w:tr w:rsidR="008051F6" w:rsidRPr="00595F42" w14:paraId="5EFA6284" w14:textId="77777777" w:rsidTr="004A32F1">
        <w:tc>
          <w:tcPr>
            <w:tcW w:w="2244" w:type="dxa"/>
            <w:tcBorders>
              <w:left w:val="single" w:sz="0" w:space="0" w:color="auto"/>
              <w:right w:val="single" w:sz="0" w:space="0" w:color="auto"/>
            </w:tcBorders>
            <w:vAlign w:val="center"/>
          </w:tcPr>
          <w:p w14:paraId="5C526D92"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61427418"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PT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D6CB8CD" w14:textId="4C825555"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Uczestnicy rynku są zobowiązani do utrzymywania bezpieczeństwa</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dod</w:t>
            </w:r>
            <w:r w:rsidRPr="00595F42">
              <w:rPr>
                <w:rFonts w:ascii="Times New Roman" w:hAnsi="Times New Roman"/>
                <w:noProof/>
                <w:sz w:val="20"/>
              </w:rPr>
              <w:t>atkowych rezerw</w:t>
            </w:r>
          </w:p>
        </w:tc>
      </w:tr>
      <w:tr w:rsidR="008051F6" w:rsidRPr="00595F42" w14:paraId="2C33CBA3" w14:textId="77777777" w:rsidTr="004A32F1">
        <w:tc>
          <w:tcPr>
            <w:tcW w:w="2244" w:type="dxa"/>
            <w:tcBorders>
              <w:left w:val="single" w:sz="0" w:space="0" w:color="auto"/>
              <w:right w:val="single" w:sz="0" w:space="0" w:color="auto"/>
            </w:tcBorders>
            <w:vAlign w:val="center"/>
          </w:tcPr>
          <w:p w14:paraId="46A25E2F"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5E04110E"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RO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D0F3A13" w14:textId="12965777" w:rsidR="005D42B6" w:rsidRPr="00595F42" w:rsidRDefault="005D42B6" w:rsidP="005D42B6">
            <w:pPr>
              <w:spacing w:after="0" w:line="240" w:lineRule="auto"/>
              <w:ind w:left="130" w:right="87"/>
              <w:jc w:val="both"/>
              <w:rPr>
                <w:rFonts w:ascii="Times New Roman" w:eastAsia="Calibri" w:hAnsi="Times New Roman" w:cs="Times New Roman"/>
                <w:noProof/>
                <w:sz w:val="20"/>
                <w:szCs w:val="20"/>
              </w:rPr>
            </w:pPr>
            <w:r w:rsidRPr="00595F42">
              <w:rPr>
                <w:rFonts w:ascii="Times New Roman" w:hAnsi="Times New Roman"/>
                <w:noProof/>
                <w:sz w:val="20"/>
              </w:rPr>
              <w:t xml:space="preserve"> Dostawcy gazu</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pro</w:t>
            </w:r>
            <w:r w:rsidRPr="00595F42">
              <w:rPr>
                <w:rFonts w:ascii="Times New Roman" w:hAnsi="Times New Roman"/>
                <w:noProof/>
                <w:sz w:val="20"/>
              </w:rPr>
              <w:t>ducenci ciepła są zobowiązani do tworzenia</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utr</w:t>
            </w:r>
            <w:r w:rsidRPr="00595F42">
              <w:rPr>
                <w:rFonts w:ascii="Times New Roman" w:hAnsi="Times New Roman"/>
                <w:noProof/>
                <w:sz w:val="20"/>
              </w:rPr>
              <w:t>zymywania zapasów gazu do końca października każdego roku</w:t>
            </w:r>
          </w:p>
        </w:tc>
      </w:tr>
      <w:tr w:rsidR="008051F6" w:rsidRPr="00595F42" w14:paraId="334DC5C4" w14:textId="77777777" w:rsidTr="005D42B6">
        <w:tc>
          <w:tcPr>
            <w:tcW w:w="2244" w:type="dxa"/>
            <w:tcBorders>
              <w:left w:val="single" w:sz="0" w:space="0" w:color="auto"/>
              <w:bottom w:val="single" w:sz="0" w:space="0" w:color="000000"/>
              <w:right w:val="single" w:sz="0" w:space="0" w:color="auto"/>
            </w:tcBorders>
            <w:vAlign w:val="center"/>
          </w:tcPr>
          <w:p w14:paraId="5A17F2CC"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63CA59FE"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SK </w:t>
            </w:r>
          </w:p>
        </w:tc>
        <w:tc>
          <w:tcPr>
            <w:tcW w:w="6767" w:type="dxa"/>
            <w:tcBorders>
              <w:top w:val="single" w:sz="8" w:space="0" w:color="auto"/>
              <w:left w:val="single" w:sz="8" w:space="0" w:color="auto"/>
              <w:bottom w:val="single" w:sz="8" w:space="0" w:color="000000"/>
              <w:right w:val="single" w:sz="8" w:space="0" w:color="000000"/>
            </w:tcBorders>
            <w:tcMar>
              <w:top w:w="15" w:type="dxa"/>
              <w:left w:w="15" w:type="dxa"/>
              <w:bottom w:w="15" w:type="dxa"/>
              <w:right w:w="15" w:type="dxa"/>
            </w:tcMar>
            <w:vAlign w:val="center"/>
          </w:tcPr>
          <w:p w14:paraId="64EB55F7" w14:textId="75AF80C2" w:rsidR="005D42B6" w:rsidRPr="00595F42" w:rsidRDefault="005D42B6" w:rsidP="005D42B6">
            <w:pPr>
              <w:spacing w:after="0" w:line="240" w:lineRule="auto"/>
              <w:ind w:left="130" w:right="87"/>
              <w:jc w:val="both"/>
              <w:rPr>
                <w:rFonts w:ascii="Times New Roman" w:eastAsia="Calibri" w:hAnsi="Times New Roman" w:cs="Times New Roman"/>
                <w:noProof/>
                <w:sz w:val="20"/>
                <w:szCs w:val="20"/>
              </w:rPr>
            </w:pPr>
            <w:r w:rsidRPr="00595F42">
              <w:rPr>
                <w:rFonts w:ascii="Times New Roman" w:hAnsi="Times New Roman"/>
                <w:noProof/>
                <w:sz w:val="20"/>
              </w:rPr>
              <w:t xml:space="preserve"> Zabezpieczenie ilości gazu</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cel</w:t>
            </w:r>
            <w:r w:rsidRPr="00595F42">
              <w:rPr>
                <w:rFonts w:ascii="Times New Roman" w:hAnsi="Times New Roman"/>
                <w:noProof/>
                <w:sz w:val="20"/>
              </w:rPr>
              <w:t>u spełnienia standardu</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zak</w:t>
            </w:r>
            <w:r w:rsidRPr="00595F42">
              <w:rPr>
                <w:rFonts w:ascii="Times New Roman" w:hAnsi="Times New Roman"/>
                <w:noProof/>
                <w:sz w:val="20"/>
              </w:rPr>
              <w:t>resie dostaw. Ministerstwo decyduje, czy ilości te muszą być przechowywane, czy też muszą być zabezpieczone umową</w:t>
            </w:r>
          </w:p>
        </w:tc>
      </w:tr>
      <w:tr w:rsidR="008051F6" w:rsidRPr="00595F42" w14:paraId="120A6552" w14:textId="77777777" w:rsidTr="005D42B6">
        <w:tc>
          <w:tcPr>
            <w:tcW w:w="2244"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49A8AC4C"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2. Oferowanie zdolności </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6E6AD02"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BE </w:t>
            </w:r>
          </w:p>
        </w:tc>
        <w:tc>
          <w:tcPr>
            <w:tcW w:w="6767" w:type="dxa"/>
            <w:tcBorders>
              <w:top w:val="single" w:sz="8" w:space="0" w:color="000000"/>
              <w:left w:val="single" w:sz="8" w:space="0" w:color="auto"/>
              <w:bottom w:val="single" w:sz="8" w:space="0" w:color="auto"/>
              <w:right w:val="single" w:sz="8" w:space="0" w:color="auto"/>
            </w:tcBorders>
            <w:tcMar>
              <w:top w:w="15" w:type="dxa"/>
              <w:left w:w="15" w:type="dxa"/>
              <w:bottom w:w="15" w:type="dxa"/>
              <w:right w:w="15" w:type="dxa"/>
            </w:tcMar>
            <w:vAlign w:val="center"/>
          </w:tcPr>
          <w:p w14:paraId="3A8817EB" w14:textId="6237949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Operatorzy systemów magazynowania są zobowiązani do oferowania swoich zdolności uczestnikom rynku</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dro</w:t>
            </w:r>
            <w:r w:rsidRPr="00595F42">
              <w:rPr>
                <w:rFonts w:ascii="Times New Roman" w:hAnsi="Times New Roman"/>
                <w:noProof/>
                <w:sz w:val="20"/>
              </w:rPr>
              <w:t xml:space="preserve">dze aukcji </w:t>
            </w:r>
          </w:p>
        </w:tc>
      </w:tr>
      <w:tr w:rsidR="008051F6" w:rsidRPr="00595F42" w14:paraId="5C52FAD6" w14:textId="77777777" w:rsidTr="005D42B6">
        <w:trPr>
          <w:trHeight w:val="368"/>
        </w:trPr>
        <w:tc>
          <w:tcPr>
            <w:tcW w:w="2244"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33DDB130"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AE35354"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DK</w:t>
            </w:r>
          </w:p>
        </w:tc>
        <w:tc>
          <w:tcPr>
            <w:tcW w:w="6767" w:type="dxa"/>
            <w:tcBorders>
              <w:top w:val="single" w:sz="8" w:space="0" w:color="000000"/>
              <w:left w:val="single" w:sz="8" w:space="0" w:color="auto"/>
              <w:bottom w:val="single" w:sz="8" w:space="0" w:color="auto"/>
              <w:right w:val="single" w:sz="8" w:space="0" w:color="auto"/>
            </w:tcBorders>
            <w:tcMar>
              <w:top w:w="15" w:type="dxa"/>
              <w:left w:w="15" w:type="dxa"/>
              <w:bottom w:w="15" w:type="dxa"/>
              <w:right w:w="15" w:type="dxa"/>
            </w:tcMar>
            <w:vAlign w:val="center"/>
          </w:tcPr>
          <w:p w14:paraId="5E00B600" w14:textId="3172AB5F"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Oferowanie zdolności</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dro</w:t>
            </w:r>
            <w:r w:rsidRPr="00595F42">
              <w:rPr>
                <w:rFonts w:ascii="Times New Roman" w:hAnsi="Times New Roman"/>
                <w:noProof/>
                <w:sz w:val="20"/>
              </w:rPr>
              <w:t>dze aukcji</w:t>
            </w:r>
            <w:r w:rsidRPr="00595F42">
              <w:rPr>
                <w:rFonts w:ascii="Times New Roman" w:hAnsi="Times New Roman"/>
                <w:noProof/>
                <w:sz w:val="20"/>
                <w:vertAlign w:val="superscript"/>
              </w:rPr>
              <w:t>*</w:t>
            </w:r>
          </w:p>
        </w:tc>
      </w:tr>
      <w:tr w:rsidR="008051F6" w:rsidRPr="00595F42" w14:paraId="794CACED" w14:textId="77777777" w:rsidTr="004A32F1">
        <w:tc>
          <w:tcPr>
            <w:tcW w:w="2244" w:type="dxa"/>
            <w:tcBorders>
              <w:left w:val="single" w:sz="0" w:space="0" w:color="auto"/>
              <w:right w:val="single" w:sz="0" w:space="0" w:color="auto"/>
            </w:tcBorders>
            <w:vAlign w:val="center"/>
          </w:tcPr>
          <w:p w14:paraId="766DBF9A"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6B5C6B4E"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ES</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38D92FC" w14:textId="03DDD326"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Obowiązek</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zak</w:t>
            </w:r>
            <w:r w:rsidRPr="00595F42">
              <w:rPr>
                <w:rFonts w:ascii="Times New Roman" w:hAnsi="Times New Roman"/>
                <w:noProof/>
                <w:sz w:val="20"/>
              </w:rPr>
              <w:t>resie zdolności jest bezpośrednio przypisany,</w:t>
            </w:r>
            <w:r w:rsidR="00595F42" w:rsidRPr="00595F42">
              <w:rPr>
                <w:rFonts w:ascii="Times New Roman" w:hAnsi="Times New Roman"/>
                <w:noProof/>
                <w:sz w:val="20"/>
              </w:rPr>
              <w:t xml:space="preserve"> a</w:t>
            </w:r>
            <w:r w:rsidR="00595F42">
              <w:rPr>
                <w:rFonts w:ascii="Times New Roman" w:hAnsi="Times New Roman"/>
                <w:noProof/>
                <w:sz w:val="20"/>
              </w:rPr>
              <w:t> </w:t>
            </w:r>
            <w:r w:rsidR="00595F42" w:rsidRPr="00595F42">
              <w:rPr>
                <w:rFonts w:ascii="Times New Roman" w:hAnsi="Times New Roman"/>
                <w:noProof/>
                <w:sz w:val="20"/>
              </w:rPr>
              <w:t>poz</w:t>
            </w:r>
            <w:r w:rsidRPr="00595F42">
              <w:rPr>
                <w:rFonts w:ascii="Times New Roman" w:hAnsi="Times New Roman"/>
                <w:noProof/>
                <w:sz w:val="20"/>
              </w:rPr>
              <w:t>ostała część jest przedmiotem aukcji</w:t>
            </w:r>
          </w:p>
        </w:tc>
      </w:tr>
      <w:tr w:rsidR="008051F6" w:rsidRPr="00595F42" w14:paraId="4FA00CD4" w14:textId="77777777" w:rsidTr="004A32F1">
        <w:tc>
          <w:tcPr>
            <w:tcW w:w="2244" w:type="dxa"/>
            <w:tcBorders>
              <w:left w:val="single" w:sz="0" w:space="0" w:color="auto"/>
              <w:right w:val="single" w:sz="0" w:space="0" w:color="auto"/>
            </w:tcBorders>
            <w:vAlign w:val="center"/>
          </w:tcPr>
          <w:p w14:paraId="0D930912"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5CCFAC83"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FR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61A078A" w14:textId="6615B116"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Posiadacze magazynów mają obowiązek magazynowania 85 % zarezerwowanej zdolności do</w:t>
            </w:r>
            <w:r w:rsidR="00595F42" w:rsidRPr="00595F42">
              <w:rPr>
                <w:rFonts w:ascii="Times New Roman" w:hAnsi="Times New Roman"/>
                <w:noProof/>
                <w:sz w:val="20"/>
              </w:rPr>
              <w:t> </w:t>
            </w:r>
            <w:r w:rsidRPr="00595F42">
              <w:rPr>
                <w:rFonts w:ascii="Times New Roman" w:hAnsi="Times New Roman"/>
                <w:noProof/>
                <w:sz w:val="20"/>
              </w:rPr>
              <w:t xml:space="preserve">1 listopada każdego roku. </w:t>
            </w:r>
          </w:p>
        </w:tc>
      </w:tr>
      <w:tr w:rsidR="008051F6" w:rsidRPr="00595F42" w14:paraId="1DC0FEBA" w14:textId="77777777" w:rsidTr="004A32F1">
        <w:tc>
          <w:tcPr>
            <w:tcW w:w="2244" w:type="dxa"/>
            <w:tcBorders>
              <w:left w:val="single" w:sz="0" w:space="0" w:color="auto"/>
              <w:right w:val="single" w:sz="0" w:space="0" w:color="auto"/>
            </w:tcBorders>
            <w:vAlign w:val="center"/>
          </w:tcPr>
          <w:p w14:paraId="4A18F6BC"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3ABE5C58"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IT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3E971D6" w14:textId="71154AF1"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 xml:space="preserve"> Większa liczba aukcji produktów</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mie</w:t>
            </w:r>
            <w:r w:rsidRPr="00595F42">
              <w:rPr>
                <w:rFonts w:ascii="Times New Roman" w:hAnsi="Times New Roman"/>
                <w:noProof/>
                <w:sz w:val="20"/>
              </w:rPr>
              <w:t>sięczną zdolnością magazynowania</w:t>
            </w:r>
          </w:p>
        </w:tc>
      </w:tr>
      <w:tr w:rsidR="008051F6" w:rsidRPr="00595F42" w14:paraId="03882F9B" w14:textId="77777777" w:rsidTr="004A32F1">
        <w:tc>
          <w:tcPr>
            <w:tcW w:w="2244" w:type="dxa"/>
            <w:tcBorders>
              <w:left w:val="single" w:sz="0" w:space="0" w:color="auto"/>
              <w:bottom w:val="single" w:sz="0" w:space="0" w:color="auto"/>
              <w:right w:val="single" w:sz="0" w:space="0" w:color="auto"/>
            </w:tcBorders>
            <w:vAlign w:val="center"/>
          </w:tcPr>
          <w:p w14:paraId="0FF8F333"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5C96A5E5"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PT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A672F24" w14:textId="5298E384"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Uczestnicy rynku są zobowiązani do rezerwowania zdolności wyłącznie na potrzeby bezpieczeństwa</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dod</w:t>
            </w:r>
            <w:r w:rsidRPr="00595F42">
              <w:rPr>
                <w:rFonts w:ascii="Times New Roman" w:hAnsi="Times New Roman"/>
                <w:noProof/>
                <w:sz w:val="20"/>
              </w:rPr>
              <w:t>atkowych rezerw</w:t>
            </w:r>
          </w:p>
        </w:tc>
      </w:tr>
      <w:tr w:rsidR="008051F6" w:rsidRPr="00595F42" w14:paraId="3AB36D8E" w14:textId="77777777" w:rsidTr="004A32F1">
        <w:tc>
          <w:tcPr>
            <w:tcW w:w="2244"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A96F147"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3.1. Zapasy bilansujące zarządzane przez OSP </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BB2EB77"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IT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9FFF054" w14:textId="4E5D2F6C" w:rsidR="005D42B6" w:rsidRPr="00595F42" w:rsidRDefault="005D42B6" w:rsidP="005D42B6">
            <w:pPr>
              <w:spacing w:after="0" w:line="240" w:lineRule="auto"/>
              <w:ind w:left="130" w:right="87"/>
              <w:jc w:val="both"/>
              <w:rPr>
                <w:rFonts w:ascii="Times New Roman" w:eastAsia="Times New Roman" w:hAnsi="Times New Roman" w:cs="Times New Roman"/>
                <w:noProof/>
                <w:color w:val="FF0000"/>
                <w:sz w:val="20"/>
                <w:szCs w:val="20"/>
              </w:rPr>
            </w:pPr>
            <w:r w:rsidRPr="00595F42">
              <w:rPr>
                <w:rFonts w:ascii="Times New Roman" w:hAnsi="Times New Roman"/>
                <w:noProof/>
                <w:sz w:val="20"/>
              </w:rPr>
              <w:t>Udzielanie zamówień gazu</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zat</w:t>
            </w:r>
            <w:r w:rsidRPr="00595F42">
              <w:rPr>
                <w:rFonts w:ascii="Times New Roman" w:hAnsi="Times New Roman"/>
                <w:noProof/>
                <w:sz w:val="20"/>
              </w:rPr>
              <w:t>łaczanie na potrzeby działalności związanej</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prz</w:t>
            </w:r>
            <w:r w:rsidRPr="00595F42">
              <w:rPr>
                <w:rFonts w:ascii="Times New Roman" w:hAnsi="Times New Roman"/>
                <w:noProof/>
                <w:sz w:val="20"/>
              </w:rPr>
              <w:t>esyłem</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mag</w:t>
            </w:r>
            <w:r w:rsidRPr="00595F42">
              <w:rPr>
                <w:rFonts w:ascii="Times New Roman" w:hAnsi="Times New Roman"/>
                <w:noProof/>
                <w:sz w:val="20"/>
              </w:rPr>
              <w:t>azynowaniem</w:t>
            </w:r>
          </w:p>
        </w:tc>
      </w:tr>
      <w:tr w:rsidR="008051F6" w:rsidRPr="00595F42" w14:paraId="056471D1" w14:textId="77777777" w:rsidTr="005D42B6">
        <w:trPr>
          <w:trHeight w:val="572"/>
        </w:trPr>
        <w:tc>
          <w:tcPr>
            <w:tcW w:w="2244" w:type="dxa"/>
            <w:tcBorders>
              <w:top w:val="single" w:sz="8" w:space="0" w:color="auto"/>
              <w:left w:val="single" w:sz="8" w:space="0" w:color="000000"/>
              <w:bottom w:val="single" w:sz="8" w:space="0" w:color="000000"/>
              <w:right w:val="single" w:sz="8" w:space="0" w:color="000000"/>
            </w:tcBorders>
            <w:tcMar>
              <w:top w:w="15" w:type="dxa"/>
              <w:left w:w="15" w:type="dxa"/>
              <w:bottom w:w="15" w:type="dxa"/>
              <w:right w:w="15" w:type="dxa"/>
            </w:tcMar>
            <w:vAlign w:val="center"/>
          </w:tcPr>
          <w:p w14:paraId="107EAC6B"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3.2. Obowiązki nałożone na wyznaczone podmioty </w:t>
            </w: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66A93174"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CZ</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DB0BE8" w14:textId="37C9A13B"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Użytkownicy magazynów są zobowiązani do przechowywania wystarczającej ilości gazu zgodnie</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tra</w:t>
            </w:r>
            <w:r w:rsidRPr="00595F42">
              <w:rPr>
                <w:rFonts w:ascii="Times New Roman" w:hAnsi="Times New Roman"/>
                <w:noProof/>
                <w:sz w:val="20"/>
              </w:rPr>
              <w:t>jektoriami napełniania</w:t>
            </w:r>
          </w:p>
        </w:tc>
      </w:tr>
      <w:tr w:rsidR="008051F6" w:rsidRPr="00595F42" w14:paraId="26ECAA99" w14:textId="77777777" w:rsidTr="005D42B6">
        <w:tc>
          <w:tcPr>
            <w:tcW w:w="2244" w:type="dxa"/>
            <w:tcBorders>
              <w:top w:val="single" w:sz="8" w:space="0" w:color="auto"/>
              <w:left w:val="single" w:sz="8" w:space="0" w:color="000000"/>
              <w:bottom w:val="single" w:sz="8" w:space="0" w:color="000000"/>
              <w:right w:val="single" w:sz="8" w:space="0" w:color="000000"/>
            </w:tcBorders>
            <w:tcMar>
              <w:top w:w="15" w:type="dxa"/>
              <w:left w:w="15" w:type="dxa"/>
              <w:bottom w:w="15" w:type="dxa"/>
              <w:right w:w="15" w:type="dxa"/>
            </w:tcMar>
            <w:vAlign w:val="center"/>
          </w:tcPr>
          <w:p w14:paraId="796F0AAE"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33F9B869"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DE</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E247016" w14:textId="51174DE9"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Obowiązki THE</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zak</w:t>
            </w:r>
            <w:r w:rsidRPr="00595F42">
              <w:rPr>
                <w:rFonts w:ascii="Times New Roman" w:hAnsi="Times New Roman"/>
                <w:noProof/>
                <w:sz w:val="20"/>
              </w:rPr>
              <w:t>resie organizowania ofert na możliwości magazynowania</w:t>
            </w:r>
          </w:p>
        </w:tc>
      </w:tr>
      <w:tr w:rsidR="008051F6" w:rsidRPr="00595F42" w14:paraId="5E5228AE" w14:textId="77777777" w:rsidTr="005D42B6">
        <w:tc>
          <w:tcPr>
            <w:tcW w:w="2244" w:type="dxa"/>
            <w:tcBorders>
              <w:top w:val="single" w:sz="8" w:space="0" w:color="auto"/>
              <w:left w:val="single" w:sz="8" w:space="0" w:color="000000"/>
              <w:bottom w:val="single" w:sz="8" w:space="0" w:color="000000"/>
              <w:right w:val="single" w:sz="8" w:space="0" w:color="000000"/>
            </w:tcBorders>
            <w:tcMar>
              <w:top w:w="15" w:type="dxa"/>
              <w:left w:w="15" w:type="dxa"/>
              <w:bottom w:w="15" w:type="dxa"/>
              <w:right w:w="15" w:type="dxa"/>
            </w:tcMar>
            <w:vAlign w:val="center"/>
          </w:tcPr>
          <w:p w14:paraId="605988AC"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65DD0733"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DK</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B6A0BC3" w14:textId="2A16CE2D"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Energinet jest odpowiedzialny za wypełnianie wymogów dotyczących napełniania</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mag</w:t>
            </w:r>
            <w:r w:rsidRPr="00595F42">
              <w:rPr>
                <w:rFonts w:ascii="Times New Roman" w:hAnsi="Times New Roman"/>
                <w:noProof/>
                <w:sz w:val="20"/>
              </w:rPr>
              <w:t>azynowania awaryjnego</w:t>
            </w:r>
          </w:p>
        </w:tc>
      </w:tr>
      <w:tr w:rsidR="008051F6" w:rsidRPr="00595F42" w14:paraId="7CACA670" w14:textId="77777777" w:rsidTr="005D42B6">
        <w:tc>
          <w:tcPr>
            <w:tcW w:w="2244" w:type="dxa"/>
            <w:tcBorders>
              <w:left w:val="single" w:sz="8" w:space="0" w:color="000000"/>
              <w:right w:val="single" w:sz="8" w:space="0" w:color="000000"/>
            </w:tcBorders>
            <w:vAlign w:val="center"/>
          </w:tcPr>
          <w:p w14:paraId="10EF8A55"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509AA0AA"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IT</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7128607" w14:textId="461CA4C8"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Jedynie</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prz</w:t>
            </w:r>
            <w:r w:rsidRPr="00595F42">
              <w:rPr>
                <w:rFonts w:ascii="Times New Roman" w:hAnsi="Times New Roman"/>
                <w:noProof/>
                <w:sz w:val="20"/>
              </w:rPr>
              <w:t xml:space="preserve">ypadku aktywowania stanu kryzysowego </w:t>
            </w:r>
          </w:p>
        </w:tc>
      </w:tr>
      <w:tr w:rsidR="008051F6" w:rsidRPr="00595F42" w14:paraId="71DE0A86" w14:textId="77777777" w:rsidTr="005D42B6">
        <w:tc>
          <w:tcPr>
            <w:tcW w:w="2244" w:type="dxa"/>
            <w:tcBorders>
              <w:left w:val="single" w:sz="8" w:space="0" w:color="000000"/>
              <w:bottom w:val="single" w:sz="8" w:space="0" w:color="auto"/>
              <w:right w:val="single" w:sz="8" w:space="0" w:color="000000"/>
            </w:tcBorders>
            <w:tcMar>
              <w:top w:w="15" w:type="dxa"/>
              <w:left w:w="15" w:type="dxa"/>
              <w:bottom w:w="15" w:type="dxa"/>
              <w:right w:w="15" w:type="dxa"/>
            </w:tcMar>
            <w:vAlign w:val="center"/>
          </w:tcPr>
          <w:p w14:paraId="067A061C"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1249178C"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PL</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9191241" w14:textId="6D36D70E"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Dostawcy gazu</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odb</w:t>
            </w:r>
            <w:r w:rsidRPr="00595F42">
              <w:rPr>
                <w:rFonts w:ascii="Times New Roman" w:hAnsi="Times New Roman"/>
                <w:noProof/>
                <w:sz w:val="20"/>
              </w:rPr>
              <w:t>iorcy końcowi importujący gaz muszą utrzymywać obowiązkowe zapasy gazu obejmujące 30 dni importu</w:t>
            </w:r>
          </w:p>
        </w:tc>
      </w:tr>
      <w:tr w:rsidR="008051F6" w:rsidRPr="00595F42" w14:paraId="5264BB5C" w14:textId="77777777" w:rsidTr="004A32F1">
        <w:tc>
          <w:tcPr>
            <w:tcW w:w="2244"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6E469862"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4. Instrumenty skoordynowane </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550E269" w14:textId="67F10E5C"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B0AA4E5" w14:textId="25C0CE3E"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p>
        </w:tc>
      </w:tr>
      <w:tr w:rsidR="00407097" w:rsidRPr="00595F42" w14:paraId="4DA74339" w14:textId="77777777" w:rsidTr="004A32F1">
        <w:tc>
          <w:tcPr>
            <w:tcW w:w="224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748DE9"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5. Dobrowolne mechanizmy wspólnego udzielania zamówień </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B752D82" w14:textId="70B4ECCC"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95FDCD2" w14:textId="67ED4ADD"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p>
        </w:tc>
      </w:tr>
      <w:tr w:rsidR="00407097" w:rsidRPr="00595F42" w14:paraId="7F3683BA" w14:textId="77777777" w:rsidTr="004A32F1">
        <w:tc>
          <w:tcPr>
            <w:tcW w:w="224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4CAC0DE"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6. Zachęty finansowe dla uczestników rynku </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155D25A"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BE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4738809" w14:textId="155DEAC3"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Zachęcanie uczestników rynku do napełniania magazynów gazem</w:t>
            </w:r>
            <w:r w:rsidRPr="00595F42">
              <w:rPr>
                <w:rFonts w:ascii="Times New Roman" w:hAnsi="Times New Roman"/>
                <w:noProof/>
                <w:sz w:val="20"/>
                <w:vertAlign w:val="superscript"/>
              </w:rPr>
              <w:t>*</w:t>
            </w:r>
          </w:p>
        </w:tc>
      </w:tr>
      <w:tr w:rsidR="008051F6" w:rsidRPr="00595F42" w14:paraId="4E578D36" w14:textId="77777777" w:rsidTr="004A32F1">
        <w:tc>
          <w:tcPr>
            <w:tcW w:w="2244" w:type="dxa"/>
            <w:tcBorders>
              <w:left w:val="single" w:sz="0" w:space="0" w:color="auto"/>
              <w:right w:val="single" w:sz="0" w:space="0" w:color="auto"/>
            </w:tcBorders>
            <w:vAlign w:val="center"/>
          </w:tcPr>
          <w:p w14:paraId="69687B31"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684AF41E"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CZ</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E8423A1" w14:textId="06542E80"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Zachęty finansowe dla CEZ za dostarczenia gazu</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nid</w:t>
            </w:r>
            <w:r w:rsidRPr="00595F42">
              <w:rPr>
                <w:rFonts w:ascii="Times New Roman" w:hAnsi="Times New Roman"/>
                <w:noProof/>
                <w:sz w:val="20"/>
              </w:rPr>
              <w:t>erlandzkiego terminalu LNG</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Eem</w:t>
            </w:r>
            <w:r w:rsidRPr="00595F42">
              <w:rPr>
                <w:rFonts w:ascii="Times New Roman" w:hAnsi="Times New Roman"/>
                <w:noProof/>
                <w:sz w:val="20"/>
              </w:rPr>
              <w:t>shaven do czeskiego VTP (3 mld m³/r)</w:t>
            </w:r>
          </w:p>
        </w:tc>
      </w:tr>
      <w:tr w:rsidR="008051F6" w:rsidRPr="00595F42" w14:paraId="17EF606C" w14:textId="77777777" w:rsidTr="004A32F1">
        <w:tc>
          <w:tcPr>
            <w:tcW w:w="2244" w:type="dxa"/>
            <w:tcBorders>
              <w:left w:val="single" w:sz="0" w:space="0" w:color="auto"/>
              <w:right w:val="single" w:sz="0" w:space="0" w:color="auto"/>
            </w:tcBorders>
            <w:vAlign w:val="center"/>
          </w:tcPr>
          <w:p w14:paraId="0FD13387"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67B26C86"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DK</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2FA5082" w14:textId="4F03F296"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Zachęcanie uczestników rynku do napełniania magazynów gazem</w:t>
            </w:r>
            <w:r w:rsidRPr="00595F42">
              <w:rPr>
                <w:rFonts w:ascii="Times New Roman" w:hAnsi="Times New Roman"/>
                <w:noProof/>
                <w:sz w:val="20"/>
                <w:vertAlign w:val="superscript"/>
              </w:rPr>
              <w:t>*</w:t>
            </w:r>
          </w:p>
        </w:tc>
      </w:tr>
      <w:tr w:rsidR="008051F6" w:rsidRPr="00595F42" w14:paraId="241B7FB3" w14:textId="77777777" w:rsidTr="004A32F1">
        <w:tc>
          <w:tcPr>
            <w:tcW w:w="2244" w:type="dxa"/>
            <w:tcBorders>
              <w:left w:val="single" w:sz="0" w:space="0" w:color="auto"/>
              <w:right w:val="single" w:sz="0" w:space="0" w:color="auto"/>
            </w:tcBorders>
            <w:vAlign w:val="center"/>
          </w:tcPr>
          <w:p w14:paraId="5552D6DD"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6609CF00"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ES</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157105D" w14:textId="26635CF8"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Koszty podmiotu zarządzającego systemem technicznym są odzyskiwane</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bud</w:t>
            </w:r>
            <w:r w:rsidRPr="00595F42">
              <w:rPr>
                <w:rFonts w:ascii="Times New Roman" w:hAnsi="Times New Roman"/>
                <w:noProof/>
                <w:sz w:val="20"/>
              </w:rPr>
              <w:t>żetu państwa i od uczestników rynku</w:t>
            </w:r>
          </w:p>
        </w:tc>
      </w:tr>
      <w:tr w:rsidR="008051F6" w:rsidRPr="00595F42" w14:paraId="444904A6" w14:textId="77777777" w:rsidTr="004A32F1">
        <w:tc>
          <w:tcPr>
            <w:tcW w:w="2244" w:type="dxa"/>
            <w:tcBorders>
              <w:left w:val="single" w:sz="0" w:space="0" w:color="auto"/>
              <w:right w:val="single" w:sz="0" w:space="0" w:color="auto"/>
            </w:tcBorders>
            <w:vAlign w:val="center"/>
          </w:tcPr>
          <w:p w14:paraId="4DFECD8B"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43202D54" w14:textId="657E43B9"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IT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477D591"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 xml:space="preserve"> Kontrakty na transakcje różnicowe. Zapewnienie premii za zapasy. Sankcje za zapasy poniżej poziomu przypisanego przez operatora magazynu</w:t>
            </w:r>
            <w:r w:rsidRPr="00595F42">
              <w:rPr>
                <w:rFonts w:ascii="Times New Roman" w:hAnsi="Times New Roman"/>
                <w:noProof/>
                <w:sz w:val="20"/>
                <w:vertAlign w:val="superscript"/>
              </w:rPr>
              <w:t>*</w:t>
            </w:r>
          </w:p>
        </w:tc>
      </w:tr>
      <w:tr w:rsidR="008051F6" w:rsidRPr="00595F42" w14:paraId="4816CC00" w14:textId="77777777" w:rsidTr="004A32F1">
        <w:tc>
          <w:tcPr>
            <w:tcW w:w="2244" w:type="dxa"/>
            <w:tcBorders>
              <w:left w:val="single" w:sz="0" w:space="0" w:color="auto"/>
              <w:bottom w:val="single" w:sz="0" w:space="0" w:color="auto"/>
              <w:right w:val="single" w:sz="0" w:space="0" w:color="auto"/>
            </w:tcBorders>
            <w:vAlign w:val="center"/>
          </w:tcPr>
          <w:p w14:paraId="40444080"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156B536E"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NL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16C7023" w14:textId="08C74271"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Program dotacji przedłużony na lata 2023–2024 (rodzaj ubezpieczenia na wypadek, gdyby warunki rynkowe nie były korzystne</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sez</w:t>
            </w:r>
            <w:r w:rsidRPr="00595F42">
              <w:rPr>
                <w:rFonts w:ascii="Times New Roman" w:hAnsi="Times New Roman"/>
                <w:noProof/>
                <w:sz w:val="20"/>
              </w:rPr>
              <w:t xml:space="preserve">onie zatłaczania) Nie dotyczy PMG Bergermeer </w:t>
            </w:r>
          </w:p>
        </w:tc>
      </w:tr>
      <w:tr w:rsidR="008051F6" w:rsidRPr="00595F42" w14:paraId="7F45DFBF" w14:textId="77777777" w:rsidTr="005D42B6">
        <w:tc>
          <w:tcPr>
            <w:tcW w:w="2244"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14:paraId="2D9CFB4F"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7. Niewykorzystane zarezerwowane zdolności </w:t>
            </w: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7A61E155"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AT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80E7FB4"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 xml:space="preserve">Zobowiązanie posiadaczy zdolności do wykorzystania lub uwolnienia niewykorzystanych zarezerwowanych zdolności </w:t>
            </w:r>
          </w:p>
        </w:tc>
      </w:tr>
      <w:tr w:rsidR="008051F6" w:rsidRPr="00595F42" w14:paraId="337482F3" w14:textId="77777777" w:rsidTr="005D42B6">
        <w:tc>
          <w:tcPr>
            <w:tcW w:w="2244" w:type="dxa"/>
            <w:tcBorders>
              <w:left w:val="single" w:sz="8" w:space="0" w:color="000000"/>
              <w:right w:val="single" w:sz="8" w:space="0" w:color="000000"/>
            </w:tcBorders>
            <w:vAlign w:val="center"/>
          </w:tcPr>
          <w:p w14:paraId="36A5ADE7"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0D0D5927"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BE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421E5AA"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 xml:space="preserve">Środek zatwierdzony przez krajowy organ regulacyjny (zasada „wykorzystaj lub strać”) </w:t>
            </w:r>
          </w:p>
        </w:tc>
      </w:tr>
      <w:tr w:rsidR="008051F6" w:rsidRPr="00595F42" w14:paraId="299B9C7E" w14:textId="77777777" w:rsidTr="005D42B6">
        <w:tc>
          <w:tcPr>
            <w:tcW w:w="2244" w:type="dxa"/>
            <w:tcBorders>
              <w:left w:val="single" w:sz="8" w:space="0" w:color="000000"/>
              <w:right w:val="single" w:sz="8" w:space="0" w:color="000000"/>
            </w:tcBorders>
            <w:vAlign w:val="center"/>
          </w:tcPr>
          <w:p w14:paraId="17D0761A"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334F8469"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CZ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C977622" w14:textId="082AABEA"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Uwolnienie zarezerwowanej zdolności</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pow</w:t>
            </w:r>
            <w:r w:rsidRPr="00595F42">
              <w:rPr>
                <w:rFonts w:ascii="Times New Roman" w:hAnsi="Times New Roman"/>
                <w:noProof/>
                <w:sz w:val="20"/>
              </w:rPr>
              <w:t>rotem na rynek, jeżeli jest ona</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nie</w:t>
            </w:r>
            <w:r w:rsidRPr="00595F42">
              <w:rPr>
                <w:rFonts w:ascii="Times New Roman" w:hAnsi="Times New Roman"/>
                <w:noProof/>
                <w:sz w:val="20"/>
              </w:rPr>
              <w:t xml:space="preserve">wystarczającym stopniu wykorzystywana przez użytkownika instalacji magazynowania </w:t>
            </w:r>
          </w:p>
        </w:tc>
      </w:tr>
      <w:tr w:rsidR="008051F6" w:rsidRPr="00595F42" w14:paraId="22688119" w14:textId="77777777" w:rsidTr="005D42B6">
        <w:tc>
          <w:tcPr>
            <w:tcW w:w="2244" w:type="dxa"/>
            <w:tcBorders>
              <w:left w:val="single" w:sz="8" w:space="0" w:color="000000"/>
              <w:right w:val="single" w:sz="8" w:space="0" w:color="000000"/>
            </w:tcBorders>
            <w:vAlign w:val="center"/>
          </w:tcPr>
          <w:p w14:paraId="51CF52B5"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19A4C7CB"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DE</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19168A6"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 xml:space="preserve">Operatorzy systemu magazynowania uwalniają zarezerwowaną, ale niewykorzystaną zdolność do THE </w:t>
            </w:r>
          </w:p>
        </w:tc>
      </w:tr>
      <w:tr w:rsidR="008051F6" w:rsidRPr="00595F42" w14:paraId="3657AABD" w14:textId="77777777" w:rsidTr="005D42B6">
        <w:tc>
          <w:tcPr>
            <w:tcW w:w="2244" w:type="dxa"/>
            <w:tcBorders>
              <w:left w:val="single" w:sz="8" w:space="0" w:color="000000"/>
              <w:right w:val="single" w:sz="8" w:space="0" w:color="000000"/>
            </w:tcBorders>
            <w:vAlign w:val="center"/>
          </w:tcPr>
          <w:p w14:paraId="1E2D58ED"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4CB94274"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ES</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A374B7B" w14:textId="10D781A0"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Mechanizm nadsubskrypcji</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wyk</w:t>
            </w:r>
            <w:r w:rsidRPr="00595F42">
              <w:rPr>
                <w:rFonts w:ascii="Times New Roman" w:hAnsi="Times New Roman"/>
                <w:noProof/>
                <w:sz w:val="20"/>
              </w:rPr>
              <w:t>upu</w:t>
            </w:r>
          </w:p>
        </w:tc>
      </w:tr>
      <w:tr w:rsidR="008051F6" w:rsidRPr="00595F42" w14:paraId="27A894BB" w14:textId="77777777" w:rsidTr="005D42B6">
        <w:tc>
          <w:tcPr>
            <w:tcW w:w="2244" w:type="dxa"/>
            <w:tcBorders>
              <w:left w:val="single" w:sz="8" w:space="0" w:color="000000"/>
              <w:bottom w:val="single" w:sz="8" w:space="0" w:color="auto"/>
              <w:right w:val="single" w:sz="8" w:space="0" w:color="000000"/>
            </w:tcBorders>
            <w:tcMar>
              <w:top w:w="15" w:type="dxa"/>
              <w:left w:w="15" w:type="dxa"/>
              <w:bottom w:w="15" w:type="dxa"/>
              <w:right w:w="15" w:type="dxa"/>
            </w:tcMar>
            <w:vAlign w:val="center"/>
          </w:tcPr>
          <w:p w14:paraId="5C3DF4A4"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4FDF2B91"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HR</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F973A69"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Automatyczne przekazywanie niewykorzystanej zdolności innym przedsiębiorstwom magazynującym lub państwowemu przedsiębiorstwu energetycznemu HEP</w:t>
            </w:r>
            <w:r w:rsidRPr="00595F42">
              <w:rPr>
                <w:rFonts w:ascii="Times New Roman" w:hAnsi="Times New Roman"/>
                <w:noProof/>
                <w:sz w:val="20"/>
                <w:vertAlign w:val="superscript"/>
              </w:rPr>
              <w:t>*</w:t>
            </w:r>
          </w:p>
        </w:tc>
      </w:tr>
      <w:tr w:rsidR="008051F6" w:rsidRPr="00595F42" w14:paraId="52A3A199" w14:textId="77777777" w:rsidTr="004A32F1">
        <w:tc>
          <w:tcPr>
            <w:tcW w:w="2244"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095E8176"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8. Strategiczne zapasy </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9992FD6"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AT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4CCDF69"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 xml:space="preserve">20 TWh strategicznych rezerw gazu przeznaczonych wyłącznie do celów bezpieczeństwa dostaw </w:t>
            </w:r>
          </w:p>
        </w:tc>
      </w:tr>
      <w:tr w:rsidR="008051F6" w:rsidRPr="00595F42" w14:paraId="223257DE" w14:textId="77777777" w:rsidTr="004A32F1">
        <w:tc>
          <w:tcPr>
            <w:tcW w:w="2244" w:type="dxa"/>
            <w:tcBorders>
              <w:left w:val="single" w:sz="0" w:space="0" w:color="auto"/>
              <w:right w:val="single" w:sz="0" w:space="0" w:color="auto"/>
            </w:tcBorders>
            <w:vAlign w:val="center"/>
          </w:tcPr>
          <w:p w14:paraId="6A7B5E58"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19DF482A"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BG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5E01FD8" w14:textId="17A6DEF4"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Bulgartransgaz jest zobowiązany do utrzymania maksymalnie 70 mln m³ związanych</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bez</w:t>
            </w:r>
            <w:r w:rsidRPr="00595F42">
              <w:rPr>
                <w:rFonts w:ascii="Times New Roman" w:hAnsi="Times New Roman"/>
                <w:noProof/>
                <w:sz w:val="20"/>
              </w:rPr>
              <w:t xml:space="preserve">pieczeństwem dostaw </w:t>
            </w:r>
          </w:p>
        </w:tc>
      </w:tr>
      <w:tr w:rsidR="008051F6" w:rsidRPr="00595F42" w14:paraId="1559E40C" w14:textId="77777777" w:rsidTr="004A32F1">
        <w:tc>
          <w:tcPr>
            <w:tcW w:w="2244" w:type="dxa"/>
            <w:tcBorders>
              <w:left w:val="single" w:sz="0" w:space="0" w:color="auto"/>
              <w:right w:val="single" w:sz="0" w:space="0" w:color="auto"/>
            </w:tcBorders>
            <w:vAlign w:val="center"/>
          </w:tcPr>
          <w:p w14:paraId="0061B48C"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3F580A9E"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CZ</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F9C2C3D" w14:textId="3DC5095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ASMR jest zobowiązany do utrzymywania zapasów gazu, które mają być wykorzystywane</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prz</w:t>
            </w:r>
            <w:r w:rsidRPr="00595F42">
              <w:rPr>
                <w:rFonts w:ascii="Times New Roman" w:hAnsi="Times New Roman"/>
                <w:noProof/>
                <w:sz w:val="20"/>
              </w:rPr>
              <w:t>ypadku kryzysu</w:t>
            </w:r>
          </w:p>
        </w:tc>
      </w:tr>
      <w:tr w:rsidR="008051F6" w:rsidRPr="00595F42" w14:paraId="6C48E994" w14:textId="77777777" w:rsidTr="004A32F1">
        <w:tc>
          <w:tcPr>
            <w:tcW w:w="2244" w:type="dxa"/>
            <w:tcBorders>
              <w:left w:val="single" w:sz="0" w:space="0" w:color="auto"/>
              <w:right w:val="single" w:sz="0" w:space="0" w:color="auto"/>
            </w:tcBorders>
            <w:vAlign w:val="center"/>
          </w:tcPr>
          <w:p w14:paraId="348E6991"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5674A4E9"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DE</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3E75230" w14:textId="2916E3CC"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Część możliwości magazynowania oferowanych przez THE utrzymywana</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mag</w:t>
            </w:r>
            <w:r w:rsidRPr="00595F42">
              <w:rPr>
                <w:rFonts w:ascii="Times New Roman" w:hAnsi="Times New Roman"/>
                <w:noProof/>
                <w:sz w:val="20"/>
              </w:rPr>
              <w:t>azynie</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opc</w:t>
            </w:r>
            <w:r w:rsidRPr="00595F42">
              <w:rPr>
                <w:rFonts w:ascii="Times New Roman" w:hAnsi="Times New Roman"/>
                <w:noProof/>
                <w:sz w:val="20"/>
              </w:rPr>
              <w:t>ją call-off</w:t>
            </w:r>
          </w:p>
        </w:tc>
      </w:tr>
      <w:tr w:rsidR="008051F6" w:rsidRPr="00595F42" w14:paraId="3C84658D" w14:textId="77777777" w:rsidTr="004A32F1">
        <w:tc>
          <w:tcPr>
            <w:tcW w:w="2244" w:type="dxa"/>
            <w:tcBorders>
              <w:left w:val="single" w:sz="0" w:space="0" w:color="auto"/>
              <w:right w:val="single" w:sz="0" w:space="0" w:color="auto"/>
            </w:tcBorders>
            <w:vAlign w:val="center"/>
          </w:tcPr>
          <w:p w14:paraId="4435D36B"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5FFC8510"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DK</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589A4CE"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Państwowy operator systemu przesyłowego posiada zapasy strategiczne</w:t>
            </w:r>
            <w:r w:rsidRPr="00595F42">
              <w:rPr>
                <w:rFonts w:ascii="Times New Roman" w:hAnsi="Times New Roman"/>
                <w:noProof/>
                <w:sz w:val="20"/>
                <w:vertAlign w:val="superscript"/>
              </w:rPr>
              <w:t>*</w:t>
            </w:r>
            <w:r w:rsidRPr="00595F42">
              <w:rPr>
                <w:rFonts w:ascii="Times New Roman" w:hAnsi="Times New Roman"/>
                <w:noProof/>
                <w:color w:val="FF0000"/>
                <w:sz w:val="20"/>
              </w:rPr>
              <w:t xml:space="preserve"> </w:t>
            </w:r>
          </w:p>
        </w:tc>
      </w:tr>
      <w:tr w:rsidR="008051F6" w:rsidRPr="00595F42" w14:paraId="033421A6" w14:textId="77777777" w:rsidTr="004A32F1">
        <w:tc>
          <w:tcPr>
            <w:tcW w:w="2244" w:type="dxa"/>
            <w:tcBorders>
              <w:left w:val="single" w:sz="0" w:space="0" w:color="auto"/>
              <w:right w:val="single" w:sz="0" w:space="0" w:color="auto"/>
            </w:tcBorders>
            <w:vAlign w:val="center"/>
          </w:tcPr>
          <w:p w14:paraId="3E38AFA9"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1FB7AD47"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ES</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47F5030" w14:textId="4273948C"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Zapasy gazu</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2</w:t>
            </w:r>
            <w:r w:rsidRPr="00595F42">
              <w:rPr>
                <w:rFonts w:ascii="Times New Roman" w:hAnsi="Times New Roman"/>
                <w:noProof/>
                <w:sz w:val="20"/>
              </w:rPr>
              <w:t>0 na</w:t>
            </w:r>
            <w:r w:rsidR="00595F42" w:rsidRPr="00595F42">
              <w:rPr>
                <w:rFonts w:ascii="Times New Roman" w:hAnsi="Times New Roman"/>
                <w:noProof/>
                <w:sz w:val="20"/>
              </w:rPr>
              <w:t> </w:t>
            </w:r>
            <w:r w:rsidRPr="00595F42">
              <w:rPr>
                <w:rFonts w:ascii="Times New Roman" w:hAnsi="Times New Roman"/>
                <w:noProof/>
                <w:sz w:val="20"/>
              </w:rPr>
              <w:t>27,5 dnia, które są obowiązkiem minimalnym</w:t>
            </w:r>
          </w:p>
        </w:tc>
      </w:tr>
      <w:tr w:rsidR="008051F6" w:rsidRPr="00595F42" w14:paraId="2011F152" w14:textId="77777777" w:rsidTr="004A32F1">
        <w:tc>
          <w:tcPr>
            <w:tcW w:w="2244" w:type="dxa"/>
            <w:tcBorders>
              <w:left w:val="single" w:sz="0" w:space="0" w:color="auto"/>
              <w:bottom w:val="single" w:sz="0" w:space="0" w:color="auto"/>
              <w:right w:val="single" w:sz="0" w:space="0" w:color="auto"/>
            </w:tcBorders>
            <w:vAlign w:val="center"/>
          </w:tcPr>
          <w:p w14:paraId="01FB997A"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2C3B8B55"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HU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5CF439" w14:textId="37F90B3D"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Utrzymywanie dwóch odrębnych rezerw gazu: zapasów bezpieczeństwa gazu ziemnego</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spe</w:t>
            </w:r>
            <w:r w:rsidRPr="00595F42">
              <w:rPr>
                <w:rFonts w:ascii="Times New Roman" w:hAnsi="Times New Roman"/>
                <w:noProof/>
                <w:sz w:val="20"/>
              </w:rPr>
              <w:t>cjalnych zapasów gazu ziemnego</w:t>
            </w:r>
          </w:p>
        </w:tc>
      </w:tr>
      <w:tr w:rsidR="008051F6" w:rsidRPr="00595F42" w14:paraId="013BB07B" w14:textId="77777777" w:rsidTr="004A32F1">
        <w:tc>
          <w:tcPr>
            <w:tcW w:w="2244" w:type="dxa"/>
            <w:tcBorders>
              <w:left w:val="single" w:sz="0" w:space="0" w:color="auto"/>
              <w:right w:val="single" w:sz="0" w:space="0" w:color="auto"/>
            </w:tcBorders>
            <w:vAlign w:val="center"/>
          </w:tcPr>
          <w:p w14:paraId="6B639C9F"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677C64B0"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IT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A2FA78E" w14:textId="683106BD"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49,3 TWh (4,62 mld m³) rezerw strategicznych, które można wycofać tylko</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prz</w:t>
            </w:r>
            <w:r w:rsidRPr="00595F42">
              <w:rPr>
                <w:rFonts w:ascii="Times New Roman" w:hAnsi="Times New Roman"/>
                <w:noProof/>
                <w:sz w:val="20"/>
              </w:rPr>
              <w:t>ypadku stanu nadzwyczajnego</w:t>
            </w:r>
          </w:p>
        </w:tc>
      </w:tr>
      <w:tr w:rsidR="008051F6" w:rsidRPr="00595F42" w14:paraId="06E40E45" w14:textId="77777777" w:rsidTr="004A32F1">
        <w:tc>
          <w:tcPr>
            <w:tcW w:w="2244" w:type="dxa"/>
            <w:tcBorders>
              <w:left w:val="single" w:sz="0" w:space="0" w:color="auto"/>
              <w:bottom w:val="single" w:sz="0" w:space="0" w:color="auto"/>
              <w:right w:val="single" w:sz="0" w:space="0" w:color="auto"/>
            </w:tcBorders>
            <w:vAlign w:val="center"/>
          </w:tcPr>
          <w:p w14:paraId="69EE1381"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6D6F3E3D"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LV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B3918F" w14:textId="04BFAF11"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Rezerwa strategiczna na</w:t>
            </w:r>
            <w:r w:rsidR="00595F42" w:rsidRPr="00595F42">
              <w:rPr>
                <w:rFonts w:ascii="Times New Roman" w:hAnsi="Times New Roman"/>
                <w:noProof/>
                <w:sz w:val="20"/>
              </w:rPr>
              <w:t> </w:t>
            </w:r>
            <w:r w:rsidRPr="00595F42">
              <w:rPr>
                <w:rFonts w:ascii="Times New Roman" w:hAnsi="Times New Roman"/>
                <w:noProof/>
                <w:sz w:val="20"/>
              </w:rPr>
              <w:t>2023</w:t>
            </w:r>
            <w:r w:rsidR="00595F42" w:rsidRPr="00595F42">
              <w:rPr>
                <w:rFonts w:ascii="Times New Roman" w:hAnsi="Times New Roman"/>
                <w:noProof/>
                <w:sz w:val="20"/>
              </w:rPr>
              <w:t> </w:t>
            </w:r>
            <w:r w:rsidRPr="00595F42">
              <w:rPr>
                <w:rFonts w:ascii="Times New Roman" w:hAnsi="Times New Roman"/>
                <w:noProof/>
                <w:sz w:val="20"/>
              </w:rPr>
              <w:t>r. określona</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ust</w:t>
            </w:r>
            <w:r w:rsidRPr="00595F42">
              <w:rPr>
                <w:rFonts w:ascii="Times New Roman" w:hAnsi="Times New Roman"/>
                <w:noProof/>
                <w:sz w:val="20"/>
              </w:rPr>
              <w:t xml:space="preserve">awie: 1,8–2,2 TWh </w:t>
            </w:r>
          </w:p>
        </w:tc>
      </w:tr>
      <w:tr w:rsidR="008051F6" w:rsidRPr="00595F42" w14:paraId="33CD56F1" w14:textId="77777777" w:rsidTr="005D42B6">
        <w:tc>
          <w:tcPr>
            <w:tcW w:w="2244"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14:paraId="76040F15"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9. Wyznaczenie specjalnego podmiotu </w:t>
            </w: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14C3844E"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ES</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BB75890" w14:textId="4D29A313"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Podmiot zarządzający systemem technicznym (Enagás GTS) ma wypełniać obowiązki związane</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zap</w:t>
            </w:r>
            <w:r w:rsidRPr="00595F42">
              <w:rPr>
                <w:rFonts w:ascii="Times New Roman" w:hAnsi="Times New Roman"/>
                <w:noProof/>
                <w:sz w:val="20"/>
              </w:rPr>
              <w:t>asami gazu</w:t>
            </w:r>
          </w:p>
        </w:tc>
      </w:tr>
      <w:tr w:rsidR="008051F6" w:rsidRPr="00595F42" w14:paraId="4DF39DA2" w14:textId="77777777" w:rsidTr="005D42B6">
        <w:tc>
          <w:tcPr>
            <w:tcW w:w="2244"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14:paraId="678D3217"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2EC794B1"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DE</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9A01933" w14:textId="4795C749"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THE ma nabywać</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zat</w:t>
            </w:r>
            <w:r w:rsidRPr="00595F42">
              <w:rPr>
                <w:rFonts w:ascii="Times New Roman" w:hAnsi="Times New Roman"/>
                <w:noProof/>
                <w:sz w:val="20"/>
              </w:rPr>
              <w:t>łaczać własny gaz, aby zrealizować cele</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zak</w:t>
            </w:r>
            <w:r w:rsidRPr="00595F42">
              <w:rPr>
                <w:rFonts w:ascii="Times New Roman" w:hAnsi="Times New Roman"/>
                <w:noProof/>
                <w:sz w:val="20"/>
              </w:rPr>
              <w:t>resie napełnienia</w:t>
            </w:r>
          </w:p>
        </w:tc>
      </w:tr>
      <w:tr w:rsidR="008051F6" w:rsidRPr="00595F42" w14:paraId="3B4DB1FE" w14:textId="77777777" w:rsidTr="005D42B6">
        <w:tc>
          <w:tcPr>
            <w:tcW w:w="2244" w:type="dxa"/>
            <w:tcBorders>
              <w:left w:val="single" w:sz="8" w:space="0" w:color="000000"/>
              <w:right w:val="single" w:sz="8" w:space="0" w:color="000000"/>
            </w:tcBorders>
            <w:vAlign w:val="center"/>
          </w:tcPr>
          <w:p w14:paraId="15F31D1B"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2AB052B3"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IT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617837" w14:textId="404C2CDA"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Zadaniem Snam i GSE jest zapewnienie wystarczającej ilości gazu</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mag</w:t>
            </w:r>
            <w:r w:rsidRPr="00595F42">
              <w:rPr>
                <w:rFonts w:ascii="Times New Roman" w:hAnsi="Times New Roman"/>
                <w:noProof/>
                <w:sz w:val="20"/>
              </w:rPr>
              <w:t>azynach</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okr</w:t>
            </w:r>
            <w:r w:rsidRPr="00595F42">
              <w:rPr>
                <w:rFonts w:ascii="Times New Roman" w:hAnsi="Times New Roman"/>
                <w:noProof/>
                <w:sz w:val="20"/>
              </w:rPr>
              <w:t>esie zimowym</w:t>
            </w:r>
          </w:p>
        </w:tc>
      </w:tr>
      <w:tr w:rsidR="008051F6" w:rsidRPr="00595F42" w14:paraId="1FF6BCD9" w14:textId="77777777" w:rsidTr="005D42B6">
        <w:tc>
          <w:tcPr>
            <w:tcW w:w="2244" w:type="dxa"/>
            <w:tcBorders>
              <w:left w:val="single" w:sz="8" w:space="0" w:color="000000"/>
              <w:right w:val="single" w:sz="8" w:space="0" w:color="000000"/>
            </w:tcBorders>
            <w:vAlign w:val="center"/>
          </w:tcPr>
          <w:p w14:paraId="2EB23936"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0649A197"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FR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1C8D095" w14:textId="4E15E928"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Operatorzy systemu magazynowania są odpowiedzialni za wypełnienie luki, aby osiągnąć cele</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zak</w:t>
            </w:r>
            <w:r w:rsidRPr="00595F42">
              <w:rPr>
                <w:rFonts w:ascii="Times New Roman" w:hAnsi="Times New Roman"/>
                <w:noProof/>
                <w:sz w:val="20"/>
              </w:rPr>
              <w:t xml:space="preserve">resie napełnienia, na wniosek rządu </w:t>
            </w:r>
          </w:p>
        </w:tc>
      </w:tr>
      <w:tr w:rsidR="008051F6" w:rsidRPr="00595F42" w14:paraId="16C78FA2" w14:textId="77777777" w:rsidTr="005D42B6">
        <w:tc>
          <w:tcPr>
            <w:tcW w:w="2244" w:type="dxa"/>
            <w:tcBorders>
              <w:left w:val="single" w:sz="8" w:space="0" w:color="000000"/>
              <w:right w:val="single" w:sz="8" w:space="0" w:color="000000"/>
            </w:tcBorders>
            <w:vAlign w:val="center"/>
          </w:tcPr>
          <w:p w14:paraId="57B786B4"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36B7983C"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NL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57FE67" w14:textId="318196F6"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Powołanie wyznaczonej osoby do napełnienia do</w:t>
            </w:r>
            <w:r w:rsidR="00595F42" w:rsidRPr="00595F42">
              <w:rPr>
                <w:rFonts w:ascii="Times New Roman" w:hAnsi="Times New Roman"/>
                <w:noProof/>
                <w:sz w:val="20"/>
              </w:rPr>
              <w:t> </w:t>
            </w:r>
            <w:r w:rsidRPr="00595F42">
              <w:rPr>
                <w:rFonts w:ascii="Times New Roman" w:hAnsi="Times New Roman"/>
                <w:noProof/>
                <w:sz w:val="20"/>
              </w:rPr>
              <w:t xml:space="preserve">20 TWh PMG Bergermeer (rzeczywiste magazynowanie 14,1 TWh) </w:t>
            </w:r>
          </w:p>
        </w:tc>
      </w:tr>
      <w:tr w:rsidR="008051F6" w:rsidRPr="00595F42" w14:paraId="5E4811E3" w14:textId="77777777" w:rsidTr="005D42B6">
        <w:tc>
          <w:tcPr>
            <w:tcW w:w="2244" w:type="dxa"/>
            <w:tcBorders>
              <w:left w:val="single" w:sz="8" w:space="0" w:color="000000"/>
              <w:bottom w:val="single" w:sz="8" w:space="0" w:color="auto"/>
              <w:right w:val="single" w:sz="8" w:space="0" w:color="000000"/>
            </w:tcBorders>
            <w:tcMar>
              <w:top w:w="15" w:type="dxa"/>
              <w:left w:w="15" w:type="dxa"/>
              <w:bottom w:w="15" w:type="dxa"/>
              <w:right w:w="15" w:type="dxa"/>
            </w:tcMar>
            <w:vAlign w:val="center"/>
          </w:tcPr>
          <w:p w14:paraId="00DE0802"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single" w:sz="8" w:space="0" w:color="000000"/>
              <w:bottom w:val="single" w:sz="8" w:space="0" w:color="auto"/>
              <w:right w:val="single" w:sz="8" w:space="0" w:color="auto"/>
            </w:tcBorders>
            <w:tcMar>
              <w:top w:w="15" w:type="dxa"/>
              <w:left w:w="15" w:type="dxa"/>
              <w:bottom w:w="15" w:type="dxa"/>
              <w:right w:w="15" w:type="dxa"/>
            </w:tcMar>
            <w:vAlign w:val="center"/>
          </w:tcPr>
          <w:p w14:paraId="60E5D325"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SE</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BE228E7" w14:textId="4EC4E170"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Swedegas jest odpowiedzialny za zapewnienie realizacji celów</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zak</w:t>
            </w:r>
            <w:r w:rsidRPr="00595F42">
              <w:rPr>
                <w:rFonts w:ascii="Times New Roman" w:hAnsi="Times New Roman"/>
                <w:noProof/>
                <w:sz w:val="20"/>
              </w:rPr>
              <w:t>resie napełnienia</w:t>
            </w:r>
          </w:p>
        </w:tc>
      </w:tr>
      <w:tr w:rsidR="008051F6" w:rsidRPr="00595F42" w14:paraId="619B1194" w14:textId="77777777" w:rsidTr="004A32F1">
        <w:tc>
          <w:tcPr>
            <w:tcW w:w="2244"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0DE327EE"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10. Obniżki taryf za magazynowanie </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E7F8F9B"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BE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EB50559" w14:textId="096829DA"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Oferowanie zdolności po cenach wywoławczych</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obn</w:t>
            </w:r>
            <w:r w:rsidRPr="00595F42">
              <w:rPr>
                <w:rFonts w:ascii="Times New Roman" w:hAnsi="Times New Roman"/>
                <w:noProof/>
                <w:sz w:val="20"/>
              </w:rPr>
              <w:t>iżką</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por</w:t>
            </w:r>
            <w:r w:rsidRPr="00595F42">
              <w:rPr>
                <w:rFonts w:ascii="Times New Roman" w:hAnsi="Times New Roman"/>
                <w:noProof/>
                <w:sz w:val="20"/>
              </w:rPr>
              <w:t>ównaniu</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tar</w:t>
            </w:r>
            <w:r w:rsidRPr="00595F42">
              <w:rPr>
                <w:rFonts w:ascii="Times New Roman" w:hAnsi="Times New Roman"/>
                <w:noProof/>
                <w:sz w:val="20"/>
              </w:rPr>
              <w:t>yfą regulowaną</w:t>
            </w:r>
          </w:p>
        </w:tc>
      </w:tr>
      <w:tr w:rsidR="008051F6" w:rsidRPr="00595F42" w14:paraId="34713581" w14:textId="77777777" w:rsidTr="004A32F1">
        <w:tc>
          <w:tcPr>
            <w:tcW w:w="2244" w:type="dxa"/>
            <w:tcBorders>
              <w:left w:val="single" w:sz="0" w:space="0" w:color="auto"/>
              <w:bottom w:val="single" w:sz="0" w:space="0" w:color="auto"/>
              <w:right w:val="single" w:sz="0" w:space="0" w:color="auto"/>
            </w:tcBorders>
            <w:vAlign w:val="center"/>
          </w:tcPr>
          <w:p w14:paraId="14FE4A56"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7A768A79"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ES</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0AB3DDE" w14:textId="0CFC55C8"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Obniżki oferowane uczestnikom rynku, którzy wywiązują się</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obo</w:t>
            </w:r>
            <w:r w:rsidRPr="00595F42">
              <w:rPr>
                <w:rFonts w:ascii="Times New Roman" w:hAnsi="Times New Roman"/>
                <w:noProof/>
                <w:sz w:val="20"/>
              </w:rPr>
              <w:t>wiązku dotyczącego minimalnych zapasów, oraz dla użytkowników magazynów, którzy nabyli zdolność</w:t>
            </w:r>
            <w:r w:rsidR="00595F42" w:rsidRPr="00595F42">
              <w:rPr>
                <w:rFonts w:ascii="Times New Roman" w:hAnsi="Times New Roman"/>
                <w:noProof/>
                <w:sz w:val="20"/>
              </w:rPr>
              <w:t xml:space="preserve"> w</w:t>
            </w:r>
            <w:r w:rsidR="00595F42">
              <w:rPr>
                <w:rFonts w:ascii="Times New Roman" w:hAnsi="Times New Roman"/>
                <w:noProof/>
                <w:sz w:val="20"/>
              </w:rPr>
              <w:t> </w:t>
            </w:r>
            <w:r w:rsidR="00595F42" w:rsidRPr="00595F42">
              <w:rPr>
                <w:rFonts w:ascii="Times New Roman" w:hAnsi="Times New Roman"/>
                <w:noProof/>
                <w:sz w:val="20"/>
              </w:rPr>
              <w:t>dro</w:t>
            </w:r>
            <w:r w:rsidRPr="00595F42">
              <w:rPr>
                <w:rFonts w:ascii="Times New Roman" w:hAnsi="Times New Roman"/>
                <w:noProof/>
                <w:sz w:val="20"/>
              </w:rPr>
              <w:t>dze aukcji</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1</w:t>
            </w:r>
            <w:r w:rsidRPr="00595F42">
              <w:rPr>
                <w:rFonts w:ascii="Times New Roman" w:hAnsi="Times New Roman"/>
                <w:noProof/>
                <w:sz w:val="20"/>
              </w:rPr>
              <w:t xml:space="preserve"> listopada wypełnili 90 % swojej zarezerwowanej zdolności</w:t>
            </w:r>
          </w:p>
        </w:tc>
      </w:tr>
      <w:tr w:rsidR="008051F6" w:rsidRPr="00595F42" w14:paraId="33EBEE10" w14:textId="77777777" w:rsidTr="004A32F1">
        <w:tc>
          <w:tcPr>
            <w:tcW w:w="2244"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761E771E" w14:textId="5D41876D"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rPr>
            </w:pPr>
            <w:r w:rsidRPr="00595F42">
              <w:rPr>
                <w:rFonts w:ascii="Times New Roman" w:hAnsi="Times New Roman"/>
                <w:noProof/>
                <w:sz w:val="20"/>
              </w:rPr>
              <w:t>11. Kapitał</w:t>
            </w:r>
            <w:r w:rsidR="00595F42" w:rsidRPr="00595F42">
              <w:rPr>
                <w:rFonts w:ascii="Times New Roman" w:hAnsi="Times New Roman"/>
                <w:noProof/>
                <w:sz w:val="20"/>
              </w:rPr>
              <w:t xml:space="preserve"> i</w:t>
            </w:r>
            <w:r w:rsidR="00595F42">
              <w:rPr>
                <w:rFonts w:ascii="Times New Roman" w:hAnsi="Times New Roman"/>
                <w:noProof/>
                <w:sz w:val="20"/>
              </w:rPr>
              <w:t> </w:t>
            </w:r>
            <w:r w:rsidR="00595F42" w:rsidRPr="00595F42">
              <w:rPr>
                <w:rFonts w:ascii="Times New Roman" w:hAnsi="Times New Roman"/>
                <w:noProof/>
                <w:sz w:val="20"/>
              </w:rPr>
              <w:t>wyd</w:t>
            </w:r>
            <w:r w:rsidRPr="00595F42">
              <w:rPr>
                <w:rFonts w:ascii="Times New Roman" w:hAnsi="Times New Roman"/>
                <w:noProof/>
                <w:sz w:val="20"/>
              </w:rPr>
              <w:t xml:space="preserve">atki operacyjne </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9CCB143"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BE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CB91875" w14:textId="77777777"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Rozwiązanie ostateczne</w:t>
            </w:r>
            <w:r w:rsidRPr="00595F42">
              <w:rPr>
                <w:rFonts w:ascii="Times New Roman" w:hAnsi="Times New Roman"/>
                <w:noProof/>
                <w:sz w:val="20"/>
                <w:vertAlign w:val="superscript"/>
              </w:rPr>
              <w:t>*</w:t>
            </w:r>
          </w:p>
        </w:tc>
      </w:tr>
      <w:tr w:rsidR="008051F6" w:rsidRPr="00595F42" w14:paraId="6C63C534" w14:textId="77777777" w:rsidTr="004A32F1">
        <w:tc>
          <w:tcPr>
            <w:tcW w:w="2244" w:type="dxa"/>
            <w:tcBorders>
              <w:left w:val="single" w:sz="0" w:space="0" w:color="auto"/>
              <w:bottom w:val="single" w:sz="0" w:space="0" w:color="auto"/>
              <w:right w:val="single" w:sz="0" w:space="0" w:color="auto"/>
            </w:tcBorders>
            <w:vAlign w:val="center"/>
          </w:tcPr>
          <w:p w14:paraId="7D18A012" w14:textId="77777777" w:rsidR="005D42B6" w:rsidRPr="00595F42" w:rsidRDefault="005D42B6" w:rsidP="005D42B6">
            <w:pPr>
              <w:tabs>
                <w:tab w:val="left" w:pos="1994"/>
              </w:tabs>
              <w:spacing w:after="0" w:line="240" w:lineRule="auto"/>
              <w:ind w:left="151" w:right="190"/>
              <w:jc w:val="both"/>
              <w:rPr>
                <w:rFonts w:ascii="Times New Roman" w:eastAsia="Times New Roman" w:hAnsi="Times New Roman" w:cs="Times New Roman"/>
                <w:noProof/>
                <w:sz w:val="20"/>
                <w:szCs w:val="20"/>
                <w:lang w:eastAsia="en-IE"/>
              </w:rPr>
            </w:pPr>
          </w:p>
        </w:tc>
        <w:tc>
          <w:tcPr>
            <w:tcW w:w="567"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34C1BE96" w14:textId="77777777" w:rsidR="005D42B6" w:rsidRPr="00595F42" w:rsidRDefault="005D42B6" w:rsidP="005D42B6">
            <w:pPr>
              <w:tabs>
                <w:tab w:val="left" w:pos="559"/>
              </w:tabs>
              <w:spacing w:after="0" w:line="240" w:lineRule="auto"/>
              <w:ind w:left="127" w:right="10"/>
              <w:jc w:val="both"/>
              <w:rPr>
                <w:rFonts w:ascii="Times New Roman" w:eastAsia="Times New Roman" w:hAnsi="Times New Roman" w:cs="Times New Roman"/>
                <w:noProof/>
                <w:sz w:val="20"/>
                <w:szCs w:val="20"/>
              </w:rPr>
            </w:pPr>
            <w:r w:rsidRPr="00595F42">
              <w:rPr>
                <w:rFonts w:ascii="Times New Roman" w:hAnsi="Times New Roman"/>
                <w:noProof/>
                <w:sz w:val="20"/>
              </w:rPr>
              <w:t xml:space="preserve">IT </w:t>
            </w:r>
          </w:p>
        </w:tc>
        <w:tc>
          <w:tcPr>
            <w:tcW w:w="676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7B957A3" w14:textId="2D117196" w:rsidR="005D42B6" w:rsidRPr="00595F42" w:rsidRDefault="005D42B6" w:rsidP="005D42B6">
            <w:pPr>
              <w:spacing w:after="0" w:line="240" w:lineRule="auto"/>
              <w:ind w:left="130" w:right="87"/>
              <w:jc w:val="both"/>
              <w:rPr>
                <w:rFonts w:ascii="Times New Roman" w:eastAsia="Times New Roman" w:hAnsi="Times New Roman" w:cs="Times New Roman"/>
                <w:noProof/>
                <w:sz w:val="20"/>
                <w:szCs w:val="20"/>
              </w:rPr>
            </w:pPr>
            <w:r w:rsidRPr="00595F42">
              <w:rPr>
                <w:rFonts w:ascii="Times New Roman" w:hAnsi="Times New Roman"/>
                <w:noProof/>
                <w:sz w:val="20"/>
              </w:rPr>
              <w:t>Stosuje się, jeżeli jakikolwiek koszt pozostaje niepokryty</w:t>
            </w:r>
            <w:r w:rsidR="00595F42" w:rsidRPr="00595F42">
              <w:rPr>
                <w:rFonts w:ascii="Times New Roman" w:hAnsi="Times New Roman"/>
                <w:noProof/>
                <w:sz w:val="20"/>
              </w:rPr>
              <w:t>. W</w:t>
            </w:r>
            <w:r w:rsidR="00595F42">
              <w:rPr>
                <w:rFonts w:ascii="Times New Roman" w:hAnsi="Times New Roman"/>
                <w:noProof/>
                <w:sz w:val="20"/>
              </w:rPr>
              <w:t> </w:t>
            </w:r>
            <w:r w:rsidR="00595F42" w:rsidRPr="00595F42">
              <w:rPr>
                <w:rFonts w:ascii="Times New Roman" w:hAnsi="Times New Roman"/>
                <w:noProof/>
                <w:sz w:val="20"/>
              </w:rPr>
              <w:t>prz</w:t>
            </w:r>
            <w:r w:rsidRPr="00595F42">
              <w:rPr>
                <w:rFonts w:ascii="Times New Roman" w:hAnsi="Times New Roman"/>
                <w:noProof/>
                <w:sz w:val="20"/>
              </w:rPr>
              <w:t>eciwnym razie system obniża plan taryfowy dla odbiorców końcowych, wykorzystując dodatkowe przychody</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auk</w:t>
            </w:r>
            <w:r w:rsidRPr="00595F42">
              <w:rPr>
                <w:rFonts w:ascii="Times New Roman" w:hAnsi="Times New Roman"/>
                <w:noProof/>
                <w:sz w:val="20"/>
              </w:rPr>
              <w:t>cji magazynowania.</w:t>
            </w:r>
          </w:p>
        </w:tc>
      </w:tr>
    </w:tbl>
    <w:p w14:paraId="4A91568C" w14:textId="3998A990" w:rsidR="005D42B6" w:rsidRPr="00595F42" w:rsidRDefault="005D42B6" w:rsidP="005D42B6">
      <w:pPr>
        <w:spacing w:after="0" w:line="240" w:lineRule="auto"/>
        <w:jc w:val="both"/>
        <w:rPr>
          <w:rFonts w:ascii="Times New Roman" w:eastAsia="Times New Roman" w:hAnsi="Times New Roman" w:cs="Times New Roman"/>
          <w:noProof/>
        </w:rPr>
      </w:pPr>
      <w:r w:rsidRPr="00595F42">
        <w:rPr>
          <w:rFonts w:ascii="Times New Roman" w:hAnsi="Times New Roman"/>
          <w:noProof/>
          <w:sz w:val="20"/>
          <w:vertAlign w:val="superscript"/>
        </w:rPr>
        <w:t>*</w:t>
      </w:r>
      <w:r w:rsidRPr="00595F42">
        <w:rPr>
          <w:rFonts w:ascii="Times New Roman" w:hAnsi="Times New Roman"/>
          <w:noProof/>
          <w:sz w:val="20"/>
        </w:rPr>
        <w:t xml:space="preserve">Środek zebrany przez Komisję, który nie jest częścią </w:t>
      </w:r>
      <w:hyperlink r:id="rId32">
        <w:r w:rsidRPr="00595F42">
          <w:rPr>
            <w:rFonts w:ascii="Times New Roman" w:hAnsi="Times New Roman"/>
            <w:noProof/>
            <w:color w:val="0563C1"/>
            <w:sz w:val="20"/>
            <w:u w:val="single"/>
          </w:rPr>
          <w:t>sprawozdania ACER dotyczącego magazynowania gazu za</w:t>
        </w:r>
        <w:r w:rsidR="00595F42" w:rsidRPr="00595F42">
          <w:rPr>
            <w:rFonts w:ascii="Times New Roman" w:hAnsi="Times New Roman"/>
            <w:noProof/>
            <w:color w:val="0563C1"/>
            <w:sz w:val="20"/>
            <w:u w:val="single"/>
          </w:rPr>
          <w:t> </w:t>
        </w:r>
        <w:r w:rsidRPr="00595F42">
          <w:rPr>
            <w:rFonts w:ascii="Times New Roman" w:hAnsi="Times New Roman"/>
            <w:noProof/>
            <w:color w:val="0563C1"/>
            <w:sz w:val="20"/>
            <w:u w:val="single"/>
          </w:rPr>
          <w:t>2023</w:t>
        </w:r>
        <w:r w:rsidR="00595F42" w:rsidRPr="00595F42">
          <w:rPr>
            <w:rFonts w:ascii="Times New Roman" w:hAnsi="Times New Roman"/>
            <w:noProof/>
            <w:color w:val="0563C1"/>
            <w:sz w:val="20"/>
            <w:u w:val="single"/>
          </w:rPr>
          <w:t> </w:t>
        </w:r>
        <w:r w:rsidRPr="00595F42">
          <w:rPr>
            <w:rFonts w:ascii="Times New Roman" w:hAnsi="Times New Roman"/>
            <w:noProof/>
            <w:color w:val="0563C1"/>
            <w:sz w:val="20"/>
            <w:u w:val="single"/>
          </w:rPr>
          <w:t>r.</w:t>
        </w:r>
      </w:hyperlink>
    </w:p>
    <w:p w14:paraId="3C4EE684" w14:textId="24F46FFE" w:rsidR="002B764A" w:rsidRPr="00595F42" w:rsidRDefault="005D42B6" w:rsidP="00F07D14">
      <w:pPr>
        <w:spacing w:after="120" w:line="240" w:lineRule="auto"/>
        <w:jc w:val="both"/>
        <w:rPr>
          <w:rFonts w:ascii="Times New Roman" w:eastAsia="Times New Roman" w:hAnsi="Times New Roman" w:cs="Times New Roman"/>
          <w:noProof/>
          <w:sz w:val="24"/>
          <w:szCs w:val="20"/>
        </w:rPr>
      </w:pPr>
      <w:r w:rsidRPr="00595F42">
        <w:rPr>
          <w:rFonts w:ascii="Times New Roman" w:hAnsi="Times New Roman"/>
          <w:noProof/>
          <w:sz w:val="20"/>
        </w:rPr>
        <w:t>Źródło: Odpowiedzi państw członkowskich na ankietę KE oraz sprawozdanie ACER dotyczące magazynowania gazu</w:t>
      </w:r>
      <w:r w:rsidR="00595F42" w:rsidRPr="00595F42">
        <w:rPr>
          <w:rFonts w:ascii="Times New Roman" w:hAnsi="Times New Roman"/>
          <w:noProof/>
          <w:sz w:val="20"/>
        </w:rPr>
        <w:t xml:space="preserve"> z</w:t>
      </w:r>
      <w:r w:rsidR="00595F42">
        <w:rPr>
          <w:rFonts w:ascii="Times New Roman" w:hAnsi="Times New Roman"/>
          <w:noProof/>
          <w:sz w:val="20"/>
        </w:rPr>
        <w:t> </w:t>
      </w:r>
      <w:r w:rsidR="00595F42" w:rsidRPr="00595F42">
        <w:rPr>
          <w:rFonts w:ascii="Times New Roman" w:hAnsi="Times New Roman"/>
          <w:noProof/>
          <w:sz w:val="20"/>
        </w:rPr>
        <w:t>2</w:t>
      </w:r>
      <w:r w:rsidRPr="00595F42">
        <w:rPr>
          <w:rFonts w:ascii="Times New Roman" w:hAnsi="Times New Roman"/>
          <w:noProof/>
          <w:sz w:val="20"/>
        </w:rPr>
        <w:t>023</w:t>
      </w:r>
      <w:r w:rsidR="00595F42" w:rsidRPr="00595F42">
        <w:rPr>
          <w:rFonts w:ascii="Times New Roman" w:hAnsi="Times New Roman"/>
          <w:noProof/>
          <w:sz w:val="20"/>
        </w:rPr>
        <w:t> </w:t>
      </w:r>
      <w:r w:rsidRPr="00595F42">
        <w:rPr>
          <w:rFonts w:ascii="Times New Roman" w:hAnsi="Times New Roman"/>
          <w:noProof/>
          <w:sz w:val="20"/>
        </w:rPr>
        <w:t>r.</w:t>
      </w:r>
    </w:p>
    <w:sectPr w:rsidR="002B764A" w:rsidRPr="00595F42" w:rsidSect="00227DA3">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77637" w14:textId="77777777" w:rsidR="0026256E" w:rsidRPr="00595F42" w:rsidRDefault="0026256E" w:rsidP="005750BF">
      <w:pPr>
        <w:spacing w:after="0" w:line="240" w:lineRule="auto"/>
      </w:pPr>
      <w:r w:rsidRPr="00595F42">
        <w:separator/>
      </w:r>
    </w:p>
  </w:endnote>
  <w:endnote w:type="continuationSeparator" w:id="0">
    <w:p w14:paraId="758CD8DE" w14:textId="77777777" w:rsidR="0026256E" w:rsidRPr="00595F42" w:rsidRDefault="0026256E" w:rsidP="005750BF">
      <w:pPr>
        <w:spacing w:after="0" w:line="240" w:lineRule="auto"/>
      </w:pPr>
      <w:r w:rsidRPr="00595F42">
        <w:continuationSeparator/>
      </w:r>
    </w:p>
  </w:endnote>
  <w:endnote w:type="continuationNotice" w:id="1">
    <w:p w14:paraId="48D9C0AA" w14:textId="77777777" w:rsidR="0026256E" w:rsidRPr="00595F42" w:rsidRDefault="002625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F6FD8" w14:textId="5E6DA9AF" w:rsidR="00FB787A" w:rsidRPr="00FB787A" w:rsidRDefault="00FB787A" w:rsidP="00FB787A">
    <w:pPr>
      <w:pStyle w:val="FooterCoverPage"/>
      <w:rPr>
        <w:rFonts w:ascii="Arial" w:hAnsi="Arial" w:cs="Arial"/>
        <w:b/>
        <w:sz w:val="48"/>
      </w:rPr>
    </w:pPr>
    <w:r w:rsidRPr="00FB787A">
      <w:rPr>
        <w:rFonts w:ascii="Arial" w:hAnsi="Arial" w:cs="Arial"/>
        <w:b/>
        <w:sz w:val="48"/>
      </w:rPr>
      <w:t>PL</w:t>
    </w:r>
    <w:r w:rsidRPr="00FB787A">
      <w:rPr>
        <w:rFonts w:ascii="Arial" w:hAnsi="Arial" w:cs="Arial"/>
        <w:b/>
        <w:sz w:val="48"/>
      </w:rPr>
      <w:tab/>
    </w:r>
    <w:r w:rsidRPr="00FB787A">
      <w:rPr>
        <w:rFonts w:ascii="Arial" w:hAnsi="Arial" w:cs="Arial"/>
        <w:b/>
        <w:sz w:val="48"/>
      </w:rPr>
      <w:tab/>
    </w:r>
    <w:r w:rsidRPr="00FB787A">
      <w:tab/>
    </w:r>
    <w:r w:rsidRPr="00FB787A">
      <w:rPr>
        <w:rFonts w:ascii="Arial" w:hAnsi="Arial" w:cs="Arial"/>
        <w:b/>
        <w:sz w:val="48"/>
      </w:rPr>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DFCBA" w14:textId="5E5EC401" w:rsidR="00FB787A" w:rsidRPr="00FB787A" w:rsidRDefault="00FB787A" w:rsidP="00FB787A">
    <w:pPr>
      <w:pStyle w:val="FooterCoverPage"/>
      <w:rPr>
        <w:rFonts w:ascii="Arial" w:hAnsi="Arial" w:cs="Arial"/>
        <w:b/>
        <w:sz w:val="48"/>
      </w:rPr>
    </w:pPr>
    <w:r w:rsidRPr="00FB787A">
      <w:rPr>
        <w:rFonts w:ascii="Arial" w:hAnsi="Arial" w:cs="Arial"/>
        <w:b/>
        <w:sz w:val="48"/>
      </w:rPr>
      <w:t>PL</w:t>
    </w:r>
    <w:r w:rsidRPr="00FB787A">
      <w:rPr>
        <w:rFonts w:ascii="Arial" w:hAnsi="Arial" w:cs="Arial"/>
        <w:b/>
        <w:sz w:val="48"/>
      </w:rPr>
      <w:tab/>
    </w:r>
    <w:r w:rsidRPr="00FB787A">
      <w:rPr>
        <w:rFonts w:ascii="Arial" w:hAnsi="Arial" w:cs="Arial"/>
        <w:b/>
        <w:sz w:val="48"/>
      </w:rPr>
      <w:tab/>
    </w:r>
    <w:r w:rsidRPr="00FB787A">
      <w:tab/>
    </w:r>
    <w:r w:rsidRPr="00FB787A">
      <w:rPr>
        <w:rFonts w:ascii="Arial" w:hAnsi="Arial" w:cs="Arial"/>
        <w:b/>
        <w:sz w:val="48"/>
      </w:rPr>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272E5" w14:textId="77777777" w:rsidR="00FB787A" w:rsidRPr="00FB787A" w:rsidRDefault="00FB787A" w:rsidP="00FB78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6D318" w14:textId="77777777" w:rsidR="00227DA3" w:rsidRDefault="00227D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352873"/>
      <w:docPartObj>
        <w:docPartGallery w:val="Page Numbers (Bottom of Page)"/>
        <w:docPartUnique/>
      </w:docPartObj>
    </w:sdtPr>
    <w:sdtEndPr>
      <w:rPr>
        <w:noProof/>
      </w:rPr>
    </w:sdtEndPr>
    <w:sdtContent>
      <w:p w14:paraId="18722797" w14:textId="1E7EEA62" w:rsidR="00227DA3" w:rsidRDefault="00227DA3">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FB787A">
          <w:rPr>
            <w:noProof/>
          </w:rPr>
          <w:t>1</w:t>
        </w:r>
        <w:r>
          <w:rPr>
            <w:color w:val="2B579A"/>
            <w:shd w:val="clear" w:color="auto" w:fill="E6E6E6"/>
          </w:rPr>
          <w:fldChar w:fldCharType="end"/>
        </w:r>
      </w:p>
    </w:sdtContent>
  </w:sdt>
  <w:p w14:paraId="6E659236" w14:textId="77777777" w:rsidR="00227DA3" w:rsidRDefault="00227D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A6E6F" w14:textId="77777777" w:rsidR="00227DA3" w:rsidRDefault="00227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6A9EE" w14:textId="77777777" w:rsidR="0026256E" w:rsidRPr="00595F42" w:rsidRDefault="0026256E" w:rsidP="005750BF">
      <w:pPr>
        <w:spacing w:after="0" w:line="240" w:lineRule="auto"/>
      </w:pPr>
      <w:r w:rsidRPr="00595F42">
        <w:separator/>
      </w:r>
    </w:p>
  </w:footnote>
  <w:footnote w:type="continuationSeparator" w:id="0">
    <w:p w14:paraId="75559B06" w14:textId="77777777" w:rsidR="0026256E" w:rsidRPr="00595F42" w:rsidRDefault="0026256E" w:rsidP="005750BF">
      <w:pPr>
        <w:spacing w:after="0" w:line="240" w:lineRule="auto"/>
      </w:pPr>
      <w:r w:rsidRPr="00595F42">
        <w:continuationSeparator/>
      </w:r>
    </w:p>
  </w:footnote>
  <w:footnote w:type="continuationNotice" w:id="1">
    <w:p w14:paraId="776208D0" w14:textId="77777777" w:rsidR="0026256E" w:rsidRPr="00595F42" w:rsidRDefault="0026256E">
      <w:pPr>
        <w:spacing w:after="0" w:line="240" w:lineRule="auto"/>
      </w:pPr>
    </w:p>
  </w:footnote>
  <w:footnote w:id="2">
    <w:p w14:paraId="106C25C9" w14:textId="6261B0A2" w:rsidR="00DE4593" w:rsidRPr="00595F42" w:rsidRDefault="00DE4593" w:rsidP="00C24F0C">
      <w:pPr>
        <w:pStyle w:val="FootnoteText"/>
        <w:jc w:val="both"/>
        <w:rPr>
          <w:rFonts w:ascii="Times New Roman" w:hAnsi="Times New Roman" w:cs="Times New Roman"/>
        </w:rPr>
      </w:pPr>
      <w:r w:rsidRPr="00595F42">
        <w:rPr>
          <w:rStyle w:val="FootnoteReference"/>
          <w:rFonts w:ascii="Times New Roman" w:hAnsi="Times New Roman" w:cs="Times New Roman"/>
        </w:rPr>
        <w:footnoteRef/>
      </w:r>
      <w:r w:rsidRPr="00595F42">
        <w:rPr>
          <w:rFonts w:ascii="Times New Roman" w:hAnsi="Times New Roman"/>
        </w:rPr>
        <w:t xml:space="preserve"> Zgodnie</w:t>
      </w:r>
      <w:r w:rsidR="00595F42" w:rsidRPr="00595F42">
        <w:rPr>
          <w:rFonts w:ascii="Times New Roman" w:hAnsi="Times New Roman"/>
        </w:rPr>
        <w:t xml:space="preserve"> z</w:t>
      </w:r>
      <w:r w:rsidR="00595F42">
        <w:rPr>
          <w:rFonts w:ascii="Times New Roman" w:hAnsi="Times New Roman"/>
        </w:rPr>
        <w:t> </w:t>
      </w:r>
      <w:r w:rsidR="00595F42" w:rsidRPr="00595F42">
        <w:rPr>
          <w:rFonts w:ascii="Times New Roman" w:hAnsi="Times New Roman"/>
        </w:rPr>
        <w:t>def</w:t>
      </w:r>
      <w:r w:rsidRPr="00595F42">
        <w:rPr>
          <w:rFonts w:ascii="Times New Roman" w:hAnsi="Times New Roman"/>
        </w:rPr>
        <w:t>inicją zawartą</w:t>
      </w:r>
      <w:r w:rsidR="00595F42" w:rsidRPr="00595F42">
        <w:rPr>
          <w:rFonts w:ascii="Times New Roman" w:hAnsi="Times New Roman"/>
        </w:rPr>
        <w:t xml:space="preserve"> w</w:t>
      </w:r>
      <w:r w:rsidR="00595F42">
        <w:rPr>
          <w:rFonts w:ascii="Times New Roman" w:hAnsi="Times New Roman"/>
        </w:rPr>
        <w:t> </w:t>
      </w:r>
      <w:r w:rsidR="00595F42" w:rsidRPr="00595F42">
        <w:rPr>
          <w:rFonts w:ascii="Times New Roman" w:hAnsi="Times New Roman"/>
        </w:rPr>
        <w:t>dyr</w:t>
      </w:r>
      <w:r w:rsidRPr="00595F42">
        <w:rPr>
          <w:rFonts w:ascii="Times New Roman" w:hAnsi="Times New Roman"/>
        </w:rPr>
        <w:t>ektywie (UE) 2022/2557</w:t>
      </w:r>
      <w:r w:rsidR="00595F42" w:rsidRPr="00595F42">
        <w:rPr>
          <w:rFonts w:ascii="Times New Roman" w:hAnsi="Times New Roman"/>
        </w:rPr>
        <w:t xml:space="preserve"> w</w:t>
      </w:r>
      <w:r w:rsidR="00595F42">
        <w:rPr>
          <w:rFonts w:ascii="Times New Roman" w:hAnsi="Times New Roman"/>
        </w:rPr>
        <w:t> </w:t>
      </w:r>
      <w:r w:rsidR="00595F42" w:rsidRPr="00595F42">
        <w:rPr>
          <w:rFonts w:ascii="Times New Roman" w:hAnsi="Times New Roman"/>
        </w:rPr>
        <w:t>spr</w:t>
      </w:r>
      <w:r w:rsidRPr="00595F42">
        <w:rPr>
          <w:rFonts w:ascii="Times New Roman" w:hAnsi="Times New Roman"/>
        </w:rPr>
        <w:t>awie odporności podmiotów krytycznych „infrastruktura krytyczna” oznacza składnik, obiekt, sprzęt, sieć lub system lub część składnika, obiektu, sprzętu, sieci lub systemu, niezbędne do świadczenia usługi kluczowej; zgodnie</w:t>
      </w:r>
      <w:r w:rsidR="00595F42" w:rsidRPr="00595F42">
        <w:rPr>
          <w:rFonts w:ascii="Times New Roman" w:hAnsi="Times New Roman"/>
        </w:rPr>
        <w:t xml:space="preserve"> z</w:t>
      </w:r>
      <w:r w:rsidR="00595F42">
        <w:rPr>
          <w:rFonts w:ascii="Times New Roman" w:hAnsi="Times New Roman"/>
        </w:rPr>
        <w:t> </w:t>
      </w:r>
      <w:r w:rsidR="00595F42" w:rsidRPr="00595F42">
        <w:rPr>
          <w:rFonts w:ascii="Times New Roman" w:hAnsi="Times New Roman"/>
        </w:rPr>
        <w:t>zał</w:t>
      </w:r>
      <w:r w:rsidRPr="00595F42">
        <w:rPr>
          <w:rFonts w:ascii="Times New Roman" w:hAnsi="Times New Roman"/>
        </w:rPr>
        <w:t>ącznikiem do tej dyrektywy operatorzy systemów magazynowania są ponadto objęci jej zakresem jako rodzaje podmiotów</w:t>
      </w:r>
      <w:r w:rsidR="00595F42" w:rsidRPr="00595F42">
        <w:rPr>
          <w:rFonts w:ascii="Times New Roman" w:hAnsi="Times New Roman"/>
        </w:rPr>
        <w:t xml:space="preserve"> w</w:t>
      </w:r>
      <w:r w:rsidR="00595F42">
        <w:rPr>
          <w:rFonts w:ascii="Times New Roman" w:hAnsi="Times New Roman"/>
        </w:rPr>
        <w:t> </w:t>
      </w:r>
      <w:r w:rsidR="00595F42" w:rsidRPr="00595F42">
        <w:rPr>
          <w:rFonts w:ascii="Times New Roman" w:hAnsi="Times New Roman"/>
        </w:rPr>
        <w:t>sek</w:t>
      </w:r>
      <w:r w:rsidRPr="00595F42">
        <w:rPr>
          <w:rFonts w:ascii="Times New Roman" w:hAnsi="Times New Roman"/>
        </w:rPr>
        <w:t xml:space="preserve">torze energii, podsektorze gazu. </w:t>
      </w:r>
    </w:p>
  </w:footnote>
  <w:footnote w:id="3">
    <w:p w14:paraId="69359DAB" w14:textId="25A7989A" w:rsidR="005D42B6" w:rsidRPr="00595F42" w:rsidRDefault="005D42B6" w:rsidP="005D42B6">
      <w:pPr>
        <w:pStyle w:val="FootnoteText"/>
      </w:pPr>
      <w:r w:rsidRPr="00595F42">
        <w:rPr>
          <w:rStyle w:val="FootnoteReference"/>
        </w:rPr>
        <w:footnoteRef/>
      </w:r>
      <w:r w:rsidRPr="00595F42">
        <w:t xml:space="preserve"> </w:t>
      </w:r>
      <w:r w:rsidRPr="00595F42">
        <w:rPr>
          <w:rFonts w:ascii="Times New Roman" w:hAnsi="Times New Roman"/>
        </w:rPr>
        <w:t>Rozporządzenie (UE) 2022/1032</w:t>
      </w:r>
      <w:r w:rsidR="00595F42" w:rsidRPr="00595F42">
        <w:rPr>
          <w:rFonts w:ascii="Times New Roman" w:hAnsi="Times New Roman"/>
        </w:rPr>
        <w:t xml:space="preserve"> w</w:t>
      </w:r>
      <w:r w:rsidR="00595F42">
        <w:rPr>
          <w:rFonts w:ascii="Times New Roman" w:hAnsi="Times New Roman"/>
        </w:rPr>
        <w:t> </w:t>
      </w:r>
      <w:r w:rsidR="00595F42" w:rsidRPr="00595F42">
        <w:rPr>
          <w:rFonts w:ascii="Times New Roman" w:hAnsi="Times New Roman"/>
        </w:rPr>
        <w:t>spr</w:t>
      </w:r>
      <w:r w:rsidRPr="00595F42">
        <w:rPr>
          <w:rFonts w:ascii="Times New Roman" w:hAnsi="Times New Roman"/>
        </w:rPr>
        <w:t>awie zmiany rozporządzeń (UE) 2017/1938 i (WE) nr</w:t>
      </w:r>
      <w:r w:rsidR="00595F42" w:rsidRPr="00595F42">
        <w:rPr>
          <w:rFonts w:ascii="Times New Roman" w:hAnsi="Times New Roman"/>
        </w:rPr>
        <w:t> </w:t>
      </w:r>
      <w:r w:rsidRPr="00595F42">
        <w:rPr>
          <w:rFonts w:ascii="Times New Roman" w:hAnsi="Times New Roman"/>
        </w:rPr>
        <w:t>715/2009.</w:t>
      </w:r>
    </w:p>
  </w:footnote>
  <w:footnote w:id="4">
    <w:p w14:paraId="6034835E" w14:textId="7F0ED354" w:rsidR="005E6D60" w:rsidRPr="00595F42" w:rsidRDefault="005E6D60">
      <w:pPr>
        <w:pStyle w:val="FootnoteText"/>
        <w:rPr>
          <w:rFonts w:ascii="Times New Roman" w:hAnsi="Times New Roman" w:cs="Times New Roman"/>
        </w:rPr>
      </w:pPr>
      <w:r w:rsidRPr="00595F42">
        <w:rPr>
          <w:rStyle w:val="FootnoteReference"/>
          <w:rFonts w:ascii="Times New Roman" w:hAnsi="Times New Roman" w:cs="Times New Roman"/>
        </w:rPr>
        <w:footnoteRef/>
      </w:r>
      <w:r w:rsidRPr="00595F42">
        <w:t xml:space="preserve"> </w:t>
      </w:r>
      <w:r w:rsidRPr="00595F42">
        <w:rPr>
          <w:rFonts w:ascii="Times New Roman" w:hAnsi="Times New Roman"/>
        </w:rPr>
        <w:t>OPINIA NR 11/2023 AGENCJI UNII EUROPEJSKIEJ DS. WSPÓŁPRACY ORGANÓW REGULACJI ENERGETYKI</w:t>
      </w:r>
      <w:r w:rsidR="00595F42" w:rsidRPr="00595F42">
        <w:rPr>
          <w:rFonts w:ascii="Times New Roman" w:hAnsi="Times New Roman"/>
        </w:rPr>
        <w:t xml:space="preserve"> z</w:t>
      </w:r>
      <w:r w:rsidR="00595F42">
        <w:rPr>
          <w:rFonts w:ascii="Times New Roman" w:hAnsi="Times New Roman"/>
        </w:rPr>
        <w:t> </w:t>
      </w:r>
      <w:r w:rsidR="00595F42" w:rsidRPr="00595F42">
        <w:rPr>
          <w:rFonts w:ascii="Times New Roman" w:hAnsi="Times New Roman"/>
        </w:rPr>
        <w:t>dni</w:t>
      </w:r>
      <w:r w:rsidRPr="00595F42">
        <w:rPr>
          <w:rFonts w:ascii="Times New Roman" w:hAnsi="Times New Roman"/>
        </w:rPr>
        <w:t>a 14 grudnia 2023</w:t>
      </w:r>
      <w:r w:rsidR="00595F42" w:rsidRPr="00595F42">
        <w:rPr>
          <w:rFonts w:ascii="Times New Roman" w:hAnsi="Times New Roman"/>
        </w:rPr>
        <w:t> </w:t>
      </w:r>
      <w:r w:rsidRPr="00595F42">
        <w:rPr>
          <w:rFonts w:ascii="Times New Roman" w:hAnsi="Times New Roman"/>
        </w:rPr>
        <w:t>r. na temat prognozy ENTSOG dotyczącej dostaw zimą 2023/2024</w:t>
      </w:r>
      <w:r w:rsidRPr="00595F42">
        <w:t xml:space="preserve">, </w:t>
      </w:r>
      <w:hyperlink r:id="rId1" w:history="1">
        <w:r w:rsidRPr="00595F42">
          <w:rPr>
            <w:rStyle w:val="Hyperlink"/>
            <w:rFonts w:ascii="Times New Roman" w:hAnsi="Times New Roman"/>
          </w:rPr>
          <w:t>ACER_Opinion_11-2023_on_ENTSOG_Winter_Supply_Outlook_2023-2024.pdf (europa.eu)</w:t>
        </w:r>
      </w:hyperlink>
      <w:r w:rsidRPr="00595F42">
        <w:rPr>
          <w:rFonts w:ascii="Times New Roman" w:hAnsi="Times New Roman"/>
        </w:rPr>
        <w:t>.</w:t>
      </w:r>
    </w:p>
  </w:footnote>
  <w:footnote w:id="5">
    <w:p w14:paraId="6192A191" w14:textId="0AB897A5" w:rsidR="000D7182" w:rsidRPr="00595F42" w:rsidRDefault="000D7182">
      <w:pPr>
        <w:pStyle w:val="FootnoteText"/>
        <w:rPr>
          <w:rFonts w:ascii="Times New Roman" w:hAnsi="Times New Roman" w:cs="Times New Roman"/>
          <w:sz w:val="18"/>
          <w:szCs w:val="18"/>
        </w:rPr>
      </w:pPr>
      <w:r w:rsidRPr="00595F42">
        <w:rPr>
          <w:rStyle w:val="FootnoteReference"/>
          <w:rFonts w:ascii="Times New Roman" w:hAnsi="Times New Roman" w:cs="Times New Roman"/>
          <w:sz w:val="18"/>
          <w:szCs w:val="18"/>
        </w:rPr>
        <w:footnoteRef/>
      </w:r>
      <w:r w:rsidRPr="00595F42">
        <w:rPr>
          <w:rFonts w:ascii="Times New Roman" w:hAnsi="Times New Roman"/>
          <w:sz w:val="18"/>
        </w:rPr>
        <w:t xml:space="preserve"> </w:t>
      </w:r>
      <w:r w:rsidRPr="00595F42">
        <w:rPr>
          <w:rFonts w:ascii="Times New Roman" w:hAnsi="Times New Roman"/>
          <w:color w:val="000000"/>
          <w:sz w:val="18"/>
        </w:rPr>
        <w:t>Certyfikaty są wydawane przez operatora lub instalację magazynowania.</w:t>
      </w:r>
    </w:p>
  </w:footnote>
  <w:footnote w:id="6">
    <w:p w14:paraId="2703358B" w14:textId="7B8F191A" w:rsidR="000D7182" w:rsidRPr="00595F42" w:rsidRDefault="000D7182">
      <w:pPr>
        <w:pStyle w:val="FootnoteText"/>
      </w:pPr>
      <w:r w:rsidRPr="00595F42">
        <w:rPr>
          <w:rStyle w:val="FootnoteReference"/>
          <w:rFonts w:ascii="Times New Roman" w:hAnsi="Times New Roman" w:cs="Times New Roman"/>
          <w:sz w:val="18"/>
          <w:szCs w:val="18"/>
        </w:rPr>
        <w:footnoteRef/>
      </w:r>
      <w:r w:rsidR="00595F42" w:rsidRPr="00595F42">
        <w:rPr>
          <w:rFonts w:ascii="Times New Roman" w:hAnsi="Times New Roman"/>
          <w:sz w:val="18"/>
        </w:rPr>
        <w:t xml:space="preserve"> </w:t>
      </w:r>
      <w:r w:rsidRPr="00595F42">
        <w:rPr>
          <w:rFonts w:ascii="Times New Roman" w:hAnsi="Times New Roman"/>
          <w:color w:val="000000"/>
          <w:sz w:val="18"/>
        </w:rPr>
        <w:t>Na podstawie wymiany</w:t>
      </w:r>
      <w:r w:rsidR="00595F42" w:rsidRPr="00595F42">
        <w:rPr>
          <w:rFonts w:ascii="Times New Roman" w:hAnsi="Times New Roman"/>
          <w:color w:val="000000"/>
          <w:sz w:val="18"/>
        </w:rPr>
        <w:t xml:space="preserve"> z</w:t>
      </w:r>
      <w:r w:rsidR="00595F42">
        <w:rPr>
          <w:rFonts w:ascii="Times New Roman" w:hAnsi="Times New Roman"/>
          <w:color w:val="000000"/>
          <w:sz w:val="18"/>
        </w:rPr>
        <w:t> </w:t>
      </w:r>
      <w:r w:rsidR="00595F42" w:rsidRPr="00595F42">
        <w:rPr>
          <w:rFonts w:ascii="Times New Roman" w:hAnsi="Times New Roman"/>
          <w:color w:val="000000"/>
          <w:sz w:val="18"/>
        </w:rPr>
        <w:t>pań</w:t>
      </w:r>
      <w:r w:rsidRPr="00595F42">
        <w:rPr>
          <w:rFonts w:ascii="Times New Roman" w:hAnsi="Times New Roman"/>
          <w:color w:val="000000"/>
          <w:sz w:val="18"/>
        </w:rPr>
        <w:t xml:space="preserve">stwami członkowskimi, GIE AGSI+ oraz </w:t>
      </w:r>
      <w:hyperlink r:id="rId2" w:history="1">
        <w:r w:rsidRPr="00595F42">
          <w:rPr>
            <w:rFonts w:ascii="Times New Roman" w:hAnsi="Times New Roman"/>
            <w:color w:val="000000"/>
            <w:sz w:val="18"/>
            <w:u w:val="single"/>
          </w:rPr>
          <w:t xml:space="preserve">sprawozdania ACER i VIS </w:t>
        </w:r>
      </w:hyperlink>
      <w:hyperlink r:id="rId3" w:history="1">
        <w:r w:rsidRPr="00595F42">
          <w:rPr>
            <w:rFonts w:ascii="Times New Roman" w:hAnsi="Times New Roman"/>
            <w:color w:val="000000"/>
            <w:sz w:val="18"/>
            <w:u w:val="single"/>
          </w:rPr>
          <w:t>dotyczącego magazynowania gazu</w:t>
        </w:r>
        <w:r w:rsidR="00595F42" w:rsidRPr="00595F42">
          <w:rPr>
            <w:rFonts w:ascii="Times New Roman" w:hAnsi="Times New Roman"/>
            <w:color w:val="000000"/>
            <w:sz w:val="18"/>
            <w:u w:val="single"/>
          </w:rPr>
          <w:t xml:space="preserve"> z</w:t>
        </w:r>
        <w:r w:rsidR="00595F42">
          <w:rPr>
            <w:rFonts w:ascii="Times New Roman" w:hAnsi="Times New Roman"/>
            <w:color w:val="000000"/>
            <w:sz w:val="18"/>
            <w:u w:val="single"/>
          </w:rPr>
          <w:t> </w:t>
        </w:r>
        <w:r w:rsidR="00595F42" w:rsidRPr="00595F42">
          <w:rPr>
            <w:rFonts w:ascii="Times New Roman" w:hAnsi="Times New Roman"/>
            <w:color w:val="000000"/>
            <w:sz w:val="18"/>
            <w:u w:val="single"/>
          </w:rPr>
          <w:t>2</w:t>
        </w:r>
        <w:r w:rsidRPr="00595F42">
          <w:rPr>
            <w:rFonts w:ascii="Times New Roman" w:hAnsi="Times New Roman"/>
            <w:color w:val="000000"/>
            <w:sz w:val="18"/>
            <w:u w:val="single"/>
          </w:rPr>
          <w:t>023</w:t>
        </w:r>
        <w:r w:rsidR="00595F42" w:rsidRPr="00595F42">
          <w:rPr>
            <w:rFonts w:ascii="Times New Roman" w:hAnsi="Times New Roman"/>
            <w:color w:val="000000"/>
            <w:sz w:val="18"/>
            <w:u w:val="single"/>
          </w:rPr>
          <w:t> </w:t>
        </w:r>
        <w:r w:rsidRPr="00595F42">
          <w:rPr>
            <w:rFonts w:ascii="Times New Roman" w:hAnsi="Times New Roman"/>
            <w:color w:val="000000"/>
            <w:sz w:val="18"/>
            <w:u w:val="single"/>
          </w:rPr>
          <w:t>r.</w:t>
        </w:r>
      </w:hyperlink>
    </w:p>
  </w:footnote>
  <w:footnote w:id="7">
    <w:p w14:paraId="48EE9578" w14:textId="6456D520" w:rsidR="005D42B6" w:rsidRPr="00595F42" w:rsidRDefault="005D42B6" w:rsidP="005D42B6">
      <w:pPr>
        <w:pStyle w:val="FootnoteText"/>
      </w:pPr>
      <w:r w:rsidRPr="00595F42">
        <w:rPr>
          <w:rStyle w:val="FootnoteReference"/>
        </w:rPr>
        <w:footnoteRef/>
      </w:r>
      <w:r w:rsidR="00595F42" w:rsidRPr="00595F42">
        <w:t xml:space="preserve"> </w:t>
      </w:r>
      <w:r w:rsidRPr="00595F42">
        <w:rPr>
          <w:rFonts w:ascii="Times New Roman" w:hAnsi="Times New Roman"/>
          <w:color w:val="000000"/>
        </w:rPr>
        <w:t>Fizyczna zdolność magazynowania niektórych magazynów może,</w:t>
      </w:r>
      <w:r w:rsidR="00595F42" w:rsidRPr="00595F42">
        <w:rPr>
          <w:rFonts w:ascii="Times New Roman" w:hAnsi="Times New Roman"/>
          <w:color w:val="000000"/>
        </w:rPr>
        <w:t xml:space="preserve"> w</w:t>
      </w:r>
      <w:r w:rsidR="00595F42">
        <w:rPr>
          <w:rFonts w:ascii="Times New Roman" w:hAnsi="Times New Roman"/>
          <w:color w:val="000000"/>
        </w:rPr>
        <w:t> </w:t>
      </w:r>
      <w:r w:rsidR="00595F42" w:rsidRPr="00595F42">
        <w:rPr>
          <w:rFonts w:ascii="Times New Roman" w:hAnsi="Times New Roman"/>
          <w:color w:val="000000"/>
        </w:rPr>
        <w:t>okr</w:t>
      </w:r>
      <w:r w:rsidRPr="00595F42">
        <w:rPr>
          <w:rFonts w:ascii="Times New Roman" w:hAnsi="Times New Roman"/>
          <w:color w:val="000000"/>
        </w:rPr>
        <w:t>eślonych warunkach, być wyższa niż pojemność robocza gazu zgłaszana przez operatorów magazynów.</w:t>
      </w:r>
    </w:p>
  </w:footnote>
  <w:footnote w:id="8">
    <w:p w14:paraId="03E8E919" w14:textId="2B53A4E2" w:rsidR="005D42B6" w:rsidRPr="00595F42" w:rsidRDefault="005D42B6" w:rsidP="005D42B6">
      <w:pPr>
        <w:spacing w:after="0"/>
      </w:pPr>
      <w:r w:rsidRPr="00595F42">
        <w:rPr>
          <w:rStyle w:val="FootnoteReference"/>
        </w:rPr>
        <w:footnoteRef/>
      </w:r>
      <w:r w:rsidRPr="00595F42">
        <w:t xml:space="preserve"> </w:t>
      </w:r>
      <w:r w:rsidRPr="00595F42">
        <w:rPr>
          <w:rFonts w:ascii="Times New Roman" w:hAnsi="Times New Roman"/>
          <w:color w:val="000000"/>
          <w:sz w:val="20"/>
        </w:rPr>
        <w:t>Rozporządzenie wykonawcze Komisji (UE) 2023/2633</w:t>
      </w:r>
      <w:r w:rsidRPr="00595F42">
        <w:rPr>
          <w:color w:val="000000"/>
          <w:sz w:val="20"/>
        </w:rPr>
        <w:t>.</w:t>
      </w:r>
    </w:p>
  </w:footnote>
  <w:footnote w:id="9">
    <w:p w14:paraId="19432905" w14:textId="5240B1C1" w:rsidR="005D42B6" w:rsidRPr="00595F42" w:rsidRDefault="005D42B6" w:rsidP="005D42B6">
      <w:pPr>
        <w:pStyle w:val="FootnoteText"/>
      </w:pPr>
      <w:r w:rsidRPr="00595F42">
        <w:rPr>
          <w:rStyle w:val="FootnoteReference"/>
        </w:rPr>
        <w:footnoteRef/>
      </w:r>
      <w:r w:rsidRPr="00595F42">
        <w:t xml:space="preserve"> </w:t>
      </w:r>
      <w:r w:rsidRPr="00595F42">
        <w:rPr>
          <w:rFonts w:ascii="Times New Roman" w:hAnsi="Times New Roman"/>
        </w:rPr>
        <w:t>Tabela podlega proporcjonalnym obowiązkom każdego państwa członkowskiego na mocy rozporządzenia (UE) 2017/1938,</w:t>
      </w:r>
      <w:r w:rsidR="00595F42" w:rsidRPr="00595F42">
        <w:rPr>
          <w:rFonts w:ascii="Times New Roman" w:hAnsi="Times New Roman"/>
        </w:rPr>
        <w:t xml:space="preserve"> w</w:t>
      </w:r>
      <w:r w:rsidR="00595F42">
        <w:rPr>
          <w:rFonts w:ascii="Times New Roman" w:hAnsi="Times New Roman"/>
        </w:rPr>
        <w:t> </w:t>
      </w:r>
      <w:r w:rsidR="00595F42" w:rsidRPr="00595F42">
        <w:rPr>
          <w:rFonts w:ascii="Times New Roman" w:hAnsi="Times New Roman"/>
        </w:rPr>
        <w:t>szc</w:t>
      </w:r>
      <w:r w:rsidRPr="00595F42">
        <w:rPr>
          <w:rFonts w:ascii="Times New Roman" w:hAnsi="Times New Roman"/>
        </w:rPr>
        <w:t>zególności jego art. 6a, 6b</w:t>
      </w:r>
      <w:r w:rsidR="00595F42" w:rsidRPr="00595F42">
        <w:rPr>
          <w:rFonts w:ascii="Times New Roman" w:hAnsi="Times New Roman"/>
        </w:rPr>
        <w:t xml:space="preserve"> i</w:t>
      </w:r>
      <w:r w:rsidR="00595F42">
        <w:rPr>
          <w:rFonts w:ascii="Times New Roman" w:hAnsi="Times New Roman"/>
        </w:rPr>
        <w:t> </w:t>
      </w:r>
      <w:r w:rsidR="00595F42" w:rsidRPr="00595F42">
        <w:rPr>
          <w:rFonts w:ascii="Times New Roman" w:hAnsi="Times New Roman"/>
        </w:rPr>
        <w:t>6</w:t>
      </w:r>
      <w:r w:rsidRPr="00595F42">
        <w:rPr>
          <w:rFonts w:ascii="Times New Roman" w:hAnsi="Times New Roman"/>
        </w:rPr>
        <w:t>c.</w:t>
      </w:r>
    </w:p>
  </w:footnote>
  <w:footnote w:id="10">
    <w:p w14:paraId="4B10AD78" w14:textId="2596F454" w:rsidR="00403802" w:rsidRPr="00595F42" w:rsidRDefault="00403802" w:rsidP="00133BBC">
      <w:pPr>
        <w:pStyle w:val="FootnoteText"/>
        <w:jc w:val="both"/>
      </w:pPr>
      <w:r w:rsidRPr="00595F42">
        <w:rPr>
          <w:rStyle w:val="FootnoteReference"/>
        </w:rPr>
        <w:footnoteRef/>
      </w:r>
      <w:r w:rsidRPr="00595F42">
        <w:t xml:space="preserve"> </w:t>
      </w:r>
      <w:hyperlink r:id="rId4" w:history="1">
        <w:r w:rsidRPr="00595F42">
          <w:rPr>
            <w:rFonts w:ascii="Times New Roman" w:hAnsi="Times New Roman"/>
            <w:color w:val="0000FF"/>
            <w:u w:val="single"/>
          </w:rPr>
          <w:t>entsog.eu/sites/default/files/2023-10/SO0052-23_Winter Supply Outlook 2023-24 with Summer 2024 Overview.pdf</w:t>
        </w:r>
      </w:hyperlink>
      <w:r w:rsidRPr="00595F42">
        <w:rPr>
          <w:rFonts w:ascii="Times New Roman" w:hAnsi="Times New Roman"/>
          <w:color w:val="0000FF"/>
          <w:u w:val="single"/>
        </w:rPr>
        <w:t>.</w:t>
      </w:r>
    </w:p>
  </w:footnote>
  <w:footnote w:id="11">
    <w:p w14:paraId="5E3668A3" w14:textId="703C3146" w:rsidR="005D42B6" w:rsidRPr="00595F42" w:rsidRDefault="005D42B6" w:rsidP="005D42B6">
      <w:pPr>
        <w:pStyle w:val="FootnoteText"/>
        <w:rPr>
          <w:rFonts w:ascii="Times New Roman" w:hAnsi="Times New Roman" w:cs="Times New Roman"/>
        </w:rPr>
      </w:pPr>
      <w:r w:rsidRPr="00595F42">
        <w:rPr>
          <w:rStyle w:val="FootnoteReference"/>
        </w:rPr>
        <w:footnoteRef/>
      </w:r>
      <w:r w:rsidRPr="00595F42">
        <w:t xml:space="preserve"> </w:t>
      </w:r>
      <w:hyperlink r:id="rId5" w:history="1">
        <w:r w:rsidRPr="00595F42">
          <w:rPr>
            <w:rFonts w:ascii="Times New Roman" w:hAnsi="Times New Roman"/>
            <w:color w:val="0000FF"/>
            <w:u w:val="single"/>
          </w:rPr>
          <w:t>What Drives Natural Gas Prices? [Co wpływa na ceny gazu ziemnego?]</w:t>
        </w:r>
      </w:hyperlink>
      <w:hyperlink r:id="rId6" w:history="1">
        <w:r w:rsidRPr="00595F42">
          <w:rPr>
            <w:rFonts w:ascii="Times New Roman" w:hAnsi="Times New Roman"/>
            <w:color w:val="0000FF"/>
            <w:u w:val="single"/>
          </w:rPr>
          <w:t xml:space="preserve"> na JSTOR</w:t>
        </w:r>
      </w:hyperlink>
      <w:r w:rsidRPr="00595F42">
        <w:rPr>
          <w:rFonts w:ascii="Times New Roman" w:hAnsi="Times New Roman"/>
          <w:color w:val="0000FF"/>
          <w:u w:val="single"/>
        </w:rPr>
        <w:t>.</w:t>
      </w:r>
    </w:p>
  </w:footnote>
  <w:footnote w:id="12">
    <w:p w14:paraId="6859187E" w14:textId="6363CEB2" w:rsidR="005D42B6" w:rsidRPr="00595F42" w:rsidRDefault="005D42B6" w:rsidP="005D42B6">
      <w:pPr>
        <w:pStyle w:val="FootnoteText"/>
        <w:rPr>
          <w:rFonts w:ascii="Times New Roman" w:hAnsi="Times New Roman" w:cs="Times New Roman"/>
        </w:rPr>
      </w:pPr>
      <w:r w:rsidRPr="00595F42">
        <w:rPr>
          <w:rStyle w:val="FootnoteReference"/>
          <w:rFonts w:ascii="Times New Roman" w:hAnsi="Times New Roman" w:cs="Times New Roman"/>
        </w:rPr>
        <w:footnoteRef/>
      </w:r>
      <w:r w:rsidRPr="00595F42">
        <w:rPr>
          <w:rFonts w:ascii="Times New Roman" w:hAnsi="Times New Roman"/>
        </w:rPr>
        <w:t xml:space="preserve"> </w:t>
      </w:r>
      <w:hyperlink r:id="rId7" w:history="1">
        <w:r w:rsidRPr="00595F42">
          <w:rPr>
            <w:rFonts w:ascii="Times New Roman" w:hAnsi="Times New Roman"/>
            <w:color w:val="0000FF"/>
            <w:u w:val="single"/>
          </w:rPr>
          <w:t>EconPaper:</w:t>
        </w:r>
      </w:hyperlink>
      <w:hyperlink r:id="rId8" w:history="1">
        <w:r w:rsidRPr="00595F42">
          <w:rPr>
            <w:rFonts w:ascii="Times New Roman" w:hAnsi="Times New Roman"/>
            <w:color w:val="0000FF"/>
            <w:u w:val="single"/>
          </w:rPr>
          <w:t xml:space="preserve"> Examining the Drivers of Natural Gas Price in Europe - Focus on the Role of Speculators [Analiza czynników wpływających na ceny gazu ziemnego</w:t>
        </w:r>
        <w:r w:rsidR="00595F42" w:rsidRPr="00595F42">
          <w:rPr>
            <w:rFonts w:ascii="Times New Roman" w:hAnsi="Times New Roman"/>
            <w:color w:val="0000FF"/>
            <w:u w:val="single"/>
          </w:rPr>
          <w:t xml:space="preserve"> w</w:t>
        </w:r>
        <w:r w:rsidR="00595F42">
          <w:rPr>
            <w:rFonts w:ascii="Times New Roman" w:hAnsi="Times New Roman"/>
            <w:color w:val="0000FF"/>
            <w:u w:val="single"/>
          </w:rPr>
          <w:t> </w:t>
        </w:r>
        <w:r w:rsidR="00595F42" w:rsidRPr="00595F42">
          <w:rPr>
            <w:rFonts w:ascii="Times New Roman" w:hAnsi="Times New Roman"/>
            <w:color w:val="0000FF"/>
            <w:u w:val="single"/>
          </w:rPr>
          <w:t>Eur</w:t>
        </w:r>
        <w:r w:rsidRPr="00595F42">
          <w:rPr>
            <w:rFonts w:ascii="Times New Roman" w:hAnsi="Times New Roman"/>
            <w:color w:val="0000FF"/>
            <w:u w:val="single"/>
          </w:rPr>
          <w:t>opie ze szczególnym uwzględnieniem roli spekulantów] (repec.org)</w:t>
        </w:r>
      </w:hyperlink>
      <w:r w:rsidRPr="00595F42">
        <w:rPr>
          <w:rFonts w:ascii="Times New Roman" w:hAnsi="Times New Roman"/>
          <w:color w:val="0000FF"/>
          <w:u w:val="single"/>
        </w:rPr>
        <w:t>.</w:t>
      </w:r>
    </w:p>
  </w:footnote>
  <w:footnote w:id="13">
    <w:p w14:paraId="3D0D8D77" w14:textId="0D821BBE" w:rsidR="005D42B6" w:rsidRPr="00595F42" w:rsidRDefault="005D42B6" w:rsidP="005D42B6">
      <w:pPr>
        <w:pStyle w:val="FootnoteText"/>
      </w:pPr>
      <w:r w:rsidRPr="00595F42">
        <w:rPr>
          <w:rStyle w:val="FootnoteReference"/>
        </w:rPr>
        <w:footnoteRef/>
      </w:r>
      <w:r w:rsidRPr="00595F42">
        <w:t xml:space="preserve"> </w:t>
      </w:r>
      <w:r w:rsidRPr="00595F42">
        <w:rPr>
          <w:rFonts w:ascii="Times New Roman" w:hAnsi="Times New Roman"/>
        </w:rPr>
        <w:t>86,40</w:t>
      </w:r>
      <w:r w:rsidR="00595F42" w:rsidRPr="00595F42">
        <w:rPr>
          <w:rFonts w:ascii="Times New Roman" w:hAnsi="Times New Roman"/>
        </w:rPr>
        <w:t> </w:t>
      </w:r>
      <w:r w:rsidRPr="00595F42">
        <w:rPr>
          <w:rFonts w:ascii="Times New Roman" w:hAnsi="Times New Roman"/>
        </w:rPr>
        <w:t xml:space="preserve">% na poziomie UE według </w:t>
      </w:r>
      <w:hyperlink r:id="rId9" w:history="1">
        <w:r w:rsidRPr="00595F42">
          <w:rPr>
            <w:rFonts w:ascii="Times New Roman" w:hAnsi="Times New Roman"/>
            <w:color w:val="0000FF"/>
            <w:sz w:val="22"/>
            <w:u w:val="single"/>
          </w:rPr>
          <w:t>Gas Infrastructure Europe – AGSI (gie.eu)</w:t>
        </w:r>
      </w:hyperlink>
      <w:r w:rsidRPr="00595F42">
        <w:rPr>
          <w:rFonts w:ascii="Times New Roman" w:hAnsi="Times New Roman"/>
          <w:sz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C7942" w14:textId="77777777" w:rsidR="00FB787A" w:rsidRPr="00FB787A" w:rsidRDefault="00FB787A" w:rsidP="00FB787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FD8FA" w14:textId="77777777" w:rsidR="00FB787A" w:rsidRPr="00FB787A" w:rsidRDefault="00FB787A" w:rsidP="00FB78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DE652" w14:textId="77777777" w:rsidR="00FB787A" w:rsidRPr="00FB787A" w:rsidRDefault="00FB787A" w:rsidP="00FB78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0235C" w14:textId="77777777" w:rsidR="00227DA3" w:rsidRDefault="00227D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227DA3" w14:paraId="4AEB6D15" w14:textId="77777777" w:rsidTr="003765DC">
      <w:trPr>
        <w:trHeight w:val="300"/>
      </w:trPr>
      <w:tc>
        <w:tcPr>
          <w:tcW w:w="3120" w:type="dxa"/>
        </w:tcPr>
        <w:p w14:paraId="0DCB7618" w14:textId="77777777" w:rsidR="00227DA3" w:rsidRDefault="00227DA3" w:rsidP="003765DC">
          <w:pPr>
            <w:pStyle w:val="Header"/>
            <w:ind w:left="-115"/>
          </w:pPr>
        </w:p>
      </w:tc>
      <w:tc>
        <w:tcPr>
          <w:tcW w:w="3120" w:type="dxa"/>
        </w:tcPr>
        <w:p w14:paraId="517E282C" w14:textId="77777777" w:rsidR="00227DA3" w:rsidRDefault="00227DA3" w:rsidP="003765DC">
          <w:pPr>
            <w:pStyle w:val="Header"/>
            <w:jc w:val="center"/>
          </w:pPr>
        </w:p>
      </w:tc>
      <w:tc>
        <w:tcPr>
          <w:tcW w:w="3120" w:type="dxa"/>
        </w:tcPr>
        <w:p w14:paraId="6FD7F553" w14:textId="77777777" w:rsidR="00227DA3" w:rsidRDefault="00227DA3" w:rsidP="003765DC">
          <w:pPr>
            <w:pStyle w:val="Header"/>
            <w:ind w:right="-115"/>
            <w:jc w:val="right"/>
          </w:pPr>
        </w:p>
      </w:tc>
    </w:tr>
  </w:tbl>
  <w:p w14:paraId="44C4A940" w14:textId="77777777" w:rsidR="00227DA3" w:rsidRDefault="00227DA3" w:rsidP="003765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28E6B" w14:textId="77777777" w:rsidR="00227DA3" w:rsidRDefault="00227DA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51B08"/>
    <w:multiLevelType w:val="hybridMultilevel"/>
    <w:tmpl w:val="FFFFFFFF"/>
    <w:lvl w:ilvl="0" w:tplc="CF0ED30E">
      <w:start w:val="3"/>
      <w:numFmt w:val="decimal"/>
      <w:lvlText w:val="%1."/>
      <w:lvlJc w:val="left"/>
      <w:pPr>
        <w:ind w:left="720" w:hanging="360"/>
      </w:pPr>
    </w:lvl>
    <w:lvl w:ilvl="1" w:tplc="66BA448E">
      <w:start w:val="1"/>
      <w:numFmt w:val="lowerLetter"/>
      <w:lvlText w:val="%2."/>
      <w:lvlJc w:val="left"/>
      <w:pPr>
        <w:ind w:left="1440" w:hanging="360"/>
      </w:pPr>
    </w:lvl>
    <w:lvl w:ilvl="2" w:tplc="8AB82612">
      <w:start w:val="1"/>
      <w:numFmt w:val="lowerRoman"/>
      <w:lvlText w:val="%3."/>
      <w:lvlJc w:val="right"/>
      <w:pPr>
        <w:ind w:left="2160" w:hanging="180"/>
      </w:pPr>
    </w:lvl>
    <w:lvl w:ilvl="3" w:tplc="F716ACC0">
      <w:start w:val="1"/>
      <w:numFmt w:val="decimal"/>
      <w:lvlText w:val="%4."/>
      <w:lvlJc w:val="left"/>
      <w:pPr>
        <w:ind w:left="2880" w:hanging="360"/>
      </w:pPr>
    </w:lvl>
    <w:lvl w:ilvl="4" w:tplc="CD70CF0C">
      <w:start w:val="1"/>
      <w:numFmt w:val="lowerLetter"/>
      <w:lvlText w:val="%5."/>
      <w:lvlJc w:val="left"/>
      <w:pPr>
        <w:ind w:left="3600" w:hanging="360"/>
      </w:pPr>
    </w:lvl>
    <w:lvl w:ilvl="5" w:tplc="784C5F2C">
      <w:start w:val="1"/>
      <w:numFmt w:val="lowerRoman"/>
      <w:lvlText w:val="%6."/>
      <w:lvlJc w:val="right"/>
      <w:pPr>
        <w:ind w:left="4320" w:hanging="180"/>
      </w:pPr>
    </w:lvl>
    <w:lvl w:ilvl="6" w:tplc="99FAA438">
      <w:start w:val="1"/>
      <w:numFmt w:val="decimal"/>
      <w:lvlText w:val="%7."/>
      <w:lvlJc w:val="left"/>
      <w:pPr>
        <w:ind w:left="5040" w:hanging="360"/>
      </w:pPr>
    </w:lvl>
    <w:lvl w:ilvl="7" w:tplc="70D2BFF0">
      <w:start w:val="1"/>
      <w:numFmt w:val="lowerLetter"/>
      <w:lvlText w:val="%8."/>
      <w:lvlJc w:val="left"/>
      <w:pPr>
        <w:ind w:left="5760" w:hanging="360"/>
      </w:pPr>
    </w:lvl>
    <w:lvl w:ilvl="8" w:tplc="E59C2AD0">
      <w:start w:val="1"/>
      <w:numFmt w:val="lowerRoman"/>
      <w:lvlText w:val="%9."/>
      <w:lvlJc w:val="right"/>
      <w:pPr>
        <w:ind w:left="6480" w:hanging="180"/>
      </w:pPr>
    </w:lvl>
  </w:abstractNum>
  <w:abstractNum w:abstractNumId="1" w15:restartNumberingAfterBreak="0">
    <w:nsid w:val="0CDA449F"/>
    <w:multiLevelType w:val="hybridMultilevel"/>
    <w:tmpl w:val="12581A3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8241BC"/>
    <w:multiLevelType w:val="hybridMultilevel"/>
    <w:tmpl w:val="978E9B76"/>
    <w:lvl w:ilvl="0" w:tplc="69346852">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200DA083"/>
    <w:multiLevelType w:val="hybridMultilevel"/>
    <w:tmpl w:val="FFFFFFFF"/>
    <w:lvl w:ilvl="0" w:tplc="CA1C1B96">
      <w:start w:val="1"/>
      <w:numFmt w:val="bullet"/>
      <w:lvlText w:val="o"/>
      <w:lvlJc w:val="left"/>
      <w:pPr>
        <w:ind w:left="720" w:hanging="360"/>
      </w:pPr>
      <w:rPr>
        <w:rFonts w:ascii="Courier New" w:hAnsi="Courier New" w:hint="default"/>
      </w:rPr>
    </w:lvl>
    <w:lvl w:ilvl="1" w:tplc="CB3AF30C">
      <w:start w:val="1"/>
      <w:numFmt w:val="bullet"/>
      <w:lvlText w:val="o"/>
      <w:lvlJc w:val="left"/>
      <w:pPr>
        <w:ind w:left="1440" w:hanging="360"/>
      </w:pPr>
      <w:rPr>
        <w:rFonts w:ascii="Courier New" w:hAnsi="Courier New" w:hint="default"/>
      </w:rPr>
    </w:lvl>
    <w:lvl w:ilvl="2" w:tplc="B4B065F6">
      <w:start w:val="1"/>
      <w:numFmt w:val="bullet"/>
      <w:lvlText w:val=""/>
      <w:lvlJc w:val="left"/>
      <w:pPr>
        <w:ind w:left="2160" w:hanging="360"/>
      </w:pPr>
      <w:rPr>
        <w:rFonts w:ascii="Wingdings" w:hAnsi="Wingdings" w:hint="default"/>
      </w:rPr>
    </w:lvl>
    <w:lvl w:ilvl="3" w:tplc="ECBC82B8">
      <w:start w:val="1"/>
      <w:numFmt w:val="bullet"/>
      <w:lvlText w:val=""/>
      <w:lvlJc w:val="left"/>
      <w:pPr>
        <w:ind w:left="2880" w:hanging="360"/>
      </w:pPr>
      <w:rPr>
        <w:rFonts w:ascii="Symbol" w:hAnsi="Symbol" w:hint="default"/>
      </w:rPr>
    </w:lvl>
    <w:lvl w:ilvl="4" w:tplc="38BC1268">
      <w:start w:val="1"/>
      <w:numFmt w:val="bullet"/>
      <w:lvlText w:val="o"/>
      <w:lvlJc w:val="left"/>
      <w:pPr>
        <w:ind w:left="3600" w:hanging="360"/>
      </w:pPr>
      <w:rPr>
        <w:rFonts w:ascii="Courier New" w:hAnsi="Courier New" w:hint="default"/>
      </w:rPr>
    </w:lvl>
    <w:lvl w:ilvl="5" w:tplc="9B546F1C">
      <w:start w:val="1"/>
      <w:numFmt w:val="bullet"/>
      <w:lvlText w:val=""/>
      <w:lvlJc w:val="left"/>
      <w:pPr>
        <w:ind w:left="4320" w:hanging="360"/>
      </w:pPr>
      <w:rPr>
        <w:rFonts w:ascii="Wingdings" w:hAnsi="Wingdings" w:hint="default"/>
      </w:rPr>
    </w:lvl>
    <w:lvl w:ilvl="6" w:tplc="FD6A7798">
      <w:start w:val="1"/>
      <w:numFmt w:val="bullet"/>
      <w:lvlText w:val=""/>
      <w:lvlJc w:val="left"/>
      <w:pPr>
        <w:ind w:left="5040" w:hanging="360"/>
      </w:pPr>
      <w:rPr>
        <w:rFonts w:ascii="Symbol" w:hAnsi="Symbol" w:hint="default"/>
      </w:rPr>
    </w:lvl>
    <w:lvl w:ilvl="7" w:tplc="7FD8FC6C">
      <w:start w:val="1"/>
      <w:numFmt w:val="bullet"/>
      <w:lvlText w:val="o"/>
      <w:lvlJc w:val="left"/>
      <w:pPr>
        <w:ind w:left="5760" w:hanging="360"/>
      </w:pPr>
      <w:rPr>
        <w:rFonts w:ascii="Courier New" w:hAnsi="Courier New" w:hint="default"/>
      </w:rPr>
    </w:lvl>
    <w:lvl w:ilvl="8" w:tplc="6A4C80F8">
      <w:start w:val="1"/>
      <w:numFmt w:val="bullet"/>
      <w:lvlText w:val=""/>
      <w:lvlJc w:val="left"/>
      <w:pPr>
        <w:ind w:left="6480" w:hanging="360"/>
      </w:pPr>
      <w:rPr>
        <w:rFonts w:ascii="Wingdings" w:hAnsi="Wingdings" w:hint="default"/>
      </w:rPr>
    </w:lvl>
  </w:abstractNum>
  <w:abstractNum w:abstractNumId="5" w15:restartNumberingAfterBreak="0">
    <w:nsid w:val="224E3C66"/>
    <w:multiLevelType w:val="hybridMultilevel"/>
    <w:tmpl w:val="11CAB15C"/>
    <w:lvl w:ilvl="0" w:tplc="27183378">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6BB0ED1"/>
    <w:multiLevelType w:val="hybridMultilevel"/>
    <w:tmpl w:val="AB9AE2B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27F10606"/>
    <w:multiLevelType w:val="hybridMultilevel"/>
    <w:tmpl w:val="D0C46442"/>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F27338F"/>
    <w:multiLevelType w:val="hybridMultilevel"/>
    <w:tmpl w:val="8AC0515C"/>
    <w:lvl w:ilvl="0" w:tplc="18090011">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1722A79"/>
    <w:multiLevelType w:val="hybridMultilevel"/>
    <w:tmpl w:val="63A4E006"/>
    <w:lvl w:ilvl="0" w:tplc="18090001">
      <w:start w:val="1"/>
      <w:numFmt w:val="bullet"/>
      <w:lvlText w:val=""/>
      <w:lvlJc w:val="left"/>
      <w:pPr>
        <w:ind w:left="1080" w:hanging="360"/>
      </w:pPr>
      <w:rPr>
        <w:rFonts w:ascii="Symbol" w:hAnsi="Symbol"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1E3F426"/>
    <w:multiLevelType w:val="hybridMultilevel"/>
    <w:tmpl w:val="FFFFFFFF"/>
    <w:lvl w:ilvl="0" w:tplc="16A418CA">
      <w:start w:val="1"/>
      <w:numFmt w:val="decimal"/>
      <w:lvlText w:val="%1."/>
      <w:lvlJc w:val="left"/>
      <w:pPr>
        <w:ind w:left="720" w:hanging="360"/>
      </w:pPr>
    </w:lvl>
    <w:lvl w:ilvl="1" w:tplc="6B54CE00">
      <w:start w:val="1"/>
      <w:numFmt w:val="lowerLetter"/>
      <w:lvlText w:val="%2."/>
      <w:lvlJc w:val="left"/>
      <w:pPr>
        <w:ind w:left="1440" w:hanging="360"/>
      </w:pPr>
    </w:lvl>
    <w:lvl w:ilvl="2" w:tplc="530C78F8">
      <w:start w:val="1"/>
      <w:numFmt w:val="lowerRoman"/>
      <w:lvlText w:val="%3."/>
      <w:lvlJc w:val="right"/>
      <w:pPr>
        <w:ind w:left="2160" w:hanging="180"/>
      </w:pPr>
    </w:lvl>
    <w:lvl w:ilvl="3" w:tplc="5CC0A308">
      <w:start w:val="1"/>
      <w:numFmt w:val="decimal"/>
      <w:lvlText w:val="%4."/>
      <w:lvlJc w:val="left"/>
      <w:pPr>
        <w:ind w:left="2880" w:hanging="360"/>
      </w:pPr>
    </w:lvl>
    <w:lvl w:ilvl="4" w:tplc="EC668FEA">
      <w:start w:val="1"/>
      <w:numFmt w:val="lowerLetter"/>
      <w:lvlText w:val="%5."/>
      <w:lvlJc w:val="left"/>
      <w:pPr>
        <w:ind w:left="3600" w:hanging="360"/>
      </w:pPr>
    </w:lvl>
    <w:lvl w:ilvl="5" w:tplc="6DD02124">
      <w:start w:val="1"/>
      <w:numFmt w:val="lowerRoman"/>
      <w:lvlText w:val="%6."/>
      <w:lvlJc w:val="right"/>
      <w:pPr>
        <w:ind w:left="4320" w:hanging="180"/>
      </w:pPr>
    </w:lvl>
    <w:lvl w:ilvl="6" w:tplc="C6FE8D32">
      <w:start w:val="1"/>
      <w:numFmt w:val="decimal"/>
      <w:lvlText w:val="%7."/>
      <w:lvlJc w:val="left"/>
      <w:pPr>
        <w:ind w:left="5040" w:hanging="360"/>
      </w:pPr>
    </w:lvl>
    <w:lvl w:ilvl="7" w:tplc="23084194">
      <w:start w:val="1"/>
      <w:numFmt w:val="lowerLetter"/>
      <w:lvlText w:val="%8."/>
      <w:lvlJc w:val="left"/>
      <w:pPr>
        <w:ind w:left="5760" w:hanging="360"/>
      </w:pPr>
    </w:lvl>
    <w:lvl w:ilvl="8" w:tplc="2BAA8280">
      <w:start w:val="1"/>
      <w:numFmt w:val="lowerRoman"/>
      <w:lvlText w:val="%9."/>
      <w:lvlJc w:val="right"/>
      <w:pPr>
        <w:ind w:left="6480" w:hanging="180"/>
      </w:pPr>
    </w:lvl>
  </w:abstractNum>
  <w:abstractNum w:abstractNumId="12" w15:restartNumberingAfterBreak="0">
    <w:nsid w:val="33F1723C"/>
    <w:multiLevelType w:val="hybridMultilevel"/>
    <w:tmpl w:val="8862AEE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399D6B9B"/>
    <w:multiLevelType w:val="hybridMultilevel"/>
    <w:tmpl w:val="E03AA01C"/>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AC42C11"/>
    <w:multiLevelType w:val="hybridMultilevel"/>
    <w:tmpl w:val="FFE824F0"/>
    <w:lvl w:ilvl="0" w:tplc="B86A512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BBC61CD"/>
    <w:multiLevelType w:val="hybridMultilevel"/>
    <w:tmpl w:val="7268A4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5AC3C72"/>
    <w:multiLevelType w:val="hybridMultilevel"/>
    <w:tmpl w:val="FFFFFFFF"/>
    <w:lvl w:ilvl="0" w:tplc="18782E5C">
      <w:start w:val="2"/>
      <w:numFmt w:val="decimal"/>
      <w:lvlText w:val="%1."/>
      <w:lvlJc w:val="left"/>
      <w:pPr>
        <w:ind w:left="720" w:hanging="360"/>
      </w:pPr>
    </w:lvl>
    <w:lvl w:ilvl="1" w:tplc="E36650E8">
      <w:start w:val="1"/>
      <w:numFmt w:val="lowerLetter"/>
      <w:lvlText w:val="%2."/>
      <w:lvlJc w:val="left"/>
      <w:pPr>
        <w:ind w:left="1440" w:hanging="360"/>
      </w:pPr>
    </w:lvl>
    <w:lvl w:ilvl="2" w:tplc="5928C75E">
      <w:start w:val="1"/>
      <w:numFmt w:val="lowerRoman"/>
      <w:lvlText w:val="%3."/>
      <w:lvlJc w:val="right"/>
      <w:pPr>
        <w:ind w:left="2160" w:hanging="180"/>
      </w:pPr>
    </w:lvl>
    <w:lvl w:ilvl="3" w:tplc="E4FA015E">
      <w:start w:val="1"/>
      <w:numFmt w:val="decimal"/>
      <w:lvlText w:val="%4."/>
      <w:lvlJc w:val="left"/>
      <w:pPr>
        <w:ind w:left="2880" w:hanging="360"/>
      </w:pPr>
    </w:lvl>
    <w:lvl w:ilvl="4" w:tplc="D3223ED8">
      <w:start w:val="1"/>
      <w:numFmt w:val="lowerLetter"/>
      <w:lvlText w:val="%5."/>
      <w:lvlJc w:val="left"/>
      <w:pPr>
        <w:ind w:left="3600" w:hanging="360"/>
      </w:pPr>
    </w:lvl>
    <w:lvl w:ilvl="5" w:tplc="3954D548">
      <w:start w:val="1"/>
      <w:numFmt w:val="lowerRoman"/>
      <w:lvlText w:val="%6."/>
      <w:lvlJc w:val="right"/>
      <w:pPr>
        <w:ind w:left="4320" w:hanging="180"/>
      </w:pPr>
    </w:lvl>
    <w:lvl w:ilvl="6" w:tplc="DCEE37BA">
      <w:start w:val="1"/>
      <w:numFmt w:val="decimal"/>
      <w:lvlText w:val="%7."/>
      <w:lvlJc w:val="left"/>
      <w:pPr>
        <w:ind w:left="5040" w:hanging="360"/>
      </w:pPr>
    </w:lvl>
    <w:lvl w:ilvl="7" w:tplc="3C7E3C10">
      <w:start w:val="1"/>
      <w:numFmt w:val="lowerLetter"/>
      <w:lvlText w:val="%8."/>
      <w:lvlJc w:val="left"/>
      <w:pPr>
        <w:ind w:left="5760" w:hanging="360"/>
      </w:pPr>
    </w:lvl>
    <w:lvl w:ilvl="8" w:tplc="B6428036">
      <w:start w:val="1"/>
      <w:numFmt w:val="lowerRoman"/>
      <w:lvlText w:val="%9."/>
      <w:lvlJc w:val="right"/>
      <w:pPr>
        <w:ind w:left="6480" w:hanging="180"/>
      </w:pPr>
    </w:lvl>
  </w:abstractNum>
  <w:abstractNum w:abstractNumId="17" w15:restartNumberingAfterBreak="0">
    <w:nsid w:val="4813B616"/>
    <w:multiLevelType w:val="hybridMultilevel"/>
    <w:tmpl w:val="FFFFFFFF"/>
    <w:lvl w:ilvl="0" w:tplc="DAAEBF80">
      <w:start w:val="1"/>
      <w:numFmt w:val="bullet"/>
      <w:lvlText w:val="-"/>
      <w:lvlJc w:val="left"/>
      <w:pPr>
        <w:ind w:left="720" w:hanging="360"/>
      </w:pPr>
      <w:rPr>
        <w:rFonts w:ascii="Calibri" w:hAnsi="Calibri" w:hint="default"/>
      </w:rPr>
    </w:lvl>
    <w:lvl w:ilvl="1" w:tplc="42A2B8CC">
      <w:start w:val="1"/>
      <w:numFmt w:val="bullet"/>
      <w:lvlText w:val="o"/>
      <w:lvlJc w:val="left"/>
      <w:pPr>
        <w:ind w:left="1440" w:hanging="360"/>
      </w:pPr>
      <w:rPr>
        <w:rFonts w:ascii="Courier New" w:hAnsi="Courier New" w:hint="default"/>
      </w:rPr>
    </w:lvl>
    <w:lvl w:ilvl="2" w:tplc="F8FED570">
      <w:start w:val="1"/>
      <w:numFmt w:val="bullet"/>
      <w:lvlText w:val=""/>
      <w:lvlJc w:val="left"/>
      <w:pPr>
        <w:ind w:left="2160" w:hanging="360"/>
      </w:pPr>
      <w:rPr>
        <w:rFonts w:ascii="Wingdings" w:hAnsi="Wingdings" w:hint="default"/>
      </w:rPr>
    </w:lvl>
    <w:lvl w:ilvl="3" w:tplc="D0D639BE">
      <w:start w:val="1"/>
      <w:numFmt w:val="bullet"/>
      <w:lvlText w:val=""/>
      <w:lvlJc w:val="left"/>
      <w:pPr>
        <w:ind w:left="2880" w:hanging="360"/>
      </w:pPr>
      <w:rPr>
        <w:rFonts w:ascii="Symbol" w:hAnsi="Symbol" w:hint="default"/>
      </w:rPr>
    </w:lvl>
    <w:lvl w:ilvl="4" w:tplc="9E4C4B0A">
      <w:start w:val="1"/>
      <w:numFmt w:val="bullet"/>
      <w:lvlText w:val="o"/>
      <w:lvlJc w:val="left"/>
      <w:pPr>
        <w:ind w:left="3600" w:hanging="360"/>
      </w:pPr>
      <w:rPr>
        <w:rFonts w:ascii="Courier New" w:hAnsi="Courier New" w:hint="default"/>
      </w:rPr>
    </w:lvl>
    <w:lvl w:ilvl="5" w:tplc="13F87FD6">
      <w:start w:val="1"/>
      <w:numFmt w:val="bullet"/>
      <w:lvlText w:val=""/>
      <w:lvlJc w:val="left"/>
      <w:pPr>
        <w:ind w:left="4320" w:hanging="360"/>
      </w:pPr>
      <w:rPr>
        <w:rFonts w:ascii="Wingdings" w:hAnsi="Wingdings" w:hint="default"/>
      </w:rPr>
    </w:lvl>
    <w:lvl w:ilvl="6" w:tplc="A8EE520E">
      <w:start w:val="1"/>
      <w:numFmt w:val="bullet"/>
      <w:lvlText w:val=""/>
      <w:lvlJc w:val="left"/>
      <w:pPr>
        <w:ind w:left="5040" w:hanging="360"/>
      </w:pPr>
      <w:rPr>
        <w:rFonts w:ascii="Symbol" w:hAnsi="Symbol" w:hint="default"/>
      </w:rPr>
    </w:lvl>
    <w:lvl w:ilvl="7" w:tplc="3FECC3AE">
      <w:start w:val="1"/>
      <w:numFmt w:val="bullet"/>
      <w:lvlText w:val="o"/>
      <w:lvlJc w:val="left"/>
      <w:pPr>
        <w:ind w:left="5760" w:hanging="360"/>
      </w:pPr>
      <w:rPr>
        <w:rFonts w:ascii="Courier New" w:hAnsi="Courier New" w:hint="default"/>
      </w:rPr>
    </w:lvl>
    <w:lvl w:ilvl="8" w:tplc="654EFAD8">
      <w:start w:val="1"/>
      <w:numFmt w:val="bullet"/>
      <w:lvlText w:val=""/>
      <w:lvlJc w:val="left"/>
      <w:pPr>
        <w:ind w:left="6480" w:hanging="360"/>
      </w:pPr>
      <w:rPr>
        <w:rFonts w:ascii="Wingdings" w:hAnsi="Wingdings" w:hint="default"/>
      </w:rPr>
    </w:lvl>
  </w:abstractNum>
  <w:abstractNum w:abstractNumId="18" w15:restartNumberingAfterBreak="0">
    <w:nsid w:val="4B204359"/>
    <w:multiLevelType w:val="hybridMultilevel"/>
    <w:tmpl w:val="4372D746"/>
    <w:lvl w:ilvl="0" w:tplc="24E4A5B2">
      <w:start w:val="1"/>
      <w:numFmt w:val="lowerLetter"/>
      <w:lvlText w:val="(%1)"/>
      <w:lvlJc w:val="left"/>
      <w:pPr>
        <w:ind w:left="770" w:hanging="4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B6EF24"/>
    <w:multiLevelType w:val="hybridMultilevel"/>
    <w:tmpl w:val="FFFFFFFF"/>
    <w:lvl w:ilvl="0" w:tplc="546AD8CE">
      <w:start w:val="1"/>
      <w:numFmt w:val="decimal"/>
      <w:lvlText w:val="%1."/>
      <w:lvlJc w:val="left"/>
      <w:pPr>
        <w:ind w:left="720" w:hanging="360"/>
      </w:pPr>
    </w:lvl>
    <w:lvl w:ilvl="1" w:tplc="E4541200">
      <w:start w:val="1"/>
      <w:numFmt w:val="lowerLetter"/>
      <w:lvlText w:val="%2."/>
      <w:lvlJc w:val="left"/>
      <w:pPr>
        <w:ind w:left="1440" w:hanging="360"/>
      </w:pPr>
    </w:lvl>
    <w:lvl w:ilvl="2" w:tplc="FFB08A90">
      <w:start w:val="1"/>
      <w:numFmt w:val="lowerRoman"/>
      <w:lvlText w:val="%3."/>
      <w:lvlJc w:val="right"/>
      <w:pPr>
        <w:ind w:left="2160" w:hanging="180"/>
      </w:pPr>
    </w:lvl>
    <w:lvl w:ilvl="3" w:tplc="1E82EBB2">
      <w:start w:val="1"/>
      <w:numFmt w:val="decimal"/>
      <w:lvlText w:val="%4."/>
      <w:lvlJc w:val="left"/>
      <w:pPr>
        <w:ind w:left="2880" w:hanging="360"/>
      </w:pPr>
    </w:lvl>
    <w:lvl w:ilvl="4" w:tplc="98AEBB8E">
      <w:start w:val="1"/>
      <w:numFmt w:val="lowerLetter"/>
      <w:lvlText w:val="%5."/>
      <w:lvlJc w:val="left"/>
      <w:pPr>
        <w:ind w:left="3600" w:hanging="360"/>
      </w:pPr>
    </w:lvl>
    <w:lvl w:ilvl="5" w:tplc="AE4663B0">
      <w:start w:val="1"/>
      <w:numFmt w:val="lowerRoman"/>
      <w:lvlText w:val="%6."/>
      <w:lvlJc w:val="right"/>
      <w:pPr>
        <w:ind w:left="4320" w:hanging="180"/>
      </w:pPr>
    </w:lvl>
    <w:lvl w:ilvl="6" w:tplc="B418AB60">
      <w:start w:val="1"/>
      <w:numFmt w:val="decimal"/>
      <w:lvlText w:val="%7."/>
      <w:lvlJc w:val="left"/>
      <w:pPr>
        <w:ind w:left="5040" w:hanging="360"/>
      </w:pPr>
    </w:lvl>
    <w:lvl w:ilvl="7" w:tplc="F3721444">
      <w:start w:val="1"/>
      <w:numFmt w:val="lowerLetter"/>
      <w:lvlText w:val="%8."/>
      <w:lvlJc w:val="left"/>
      <w:pPr>
        <w:ind w:left="5760" w:hanging="360"/>
      </w:pPr>
    </w:lvl>
    <w:lvl w:ilvl="8" w:tplc="C14272BE">
      <w:start w:val="1"/>
      <w:numFmt w:val="lowerRoman"/>
      <w:lvlText w:val="%9."/>
      <w:lvlJc w:val="right"/>
      <w:pPr>
        <w:ind w:left="6480" w:hanging="180"/>
      </w:pPr>
    </w:lvl>
  </w:abstractNum>
  <w:abstractNum w:abstractNumId="20" w15:restartNumberingAfterBreak="0">
    <w:nsid w:val="4C313785"/>
    <w:multiLevelType w:val="hybridMultilevel"/>
    <w:tmpl w:val="11CAB15C"/>
    <w:lvl w:ilvl="0" w:tplc="FFFFFFFF">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0370591"/>
    <w:multiLevelType w:val="hybridMultilevel"/>
    <w:tmpl w:val="D0C464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266F3C"/>
    <w:multiLevelType w:val="hybridMultilevel"/>
    <w:tmpl w:val="54FA5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FD751B"/>
    <w:multiLevelType w:val="hybridMultilevel"/>
    <w:tmpl w:val="44BA13C0"/>
    <w:lvl w:ilvl="0" w:tplc="E0C6B5AE">
      <w:start w:val="4"/>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5A884B1B"/>
    <w:multiLevelType w:val="hybridMultilevel"/>
    <w:tmpl w:val="ADE2684E"/>
    <w:lvl w:ilvl="0" w:tplc="5CB4D590">
      <w:start w:val="1119"/>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BD82FD3"/>
    <w:multiLevelType w:val="hybridMultilevel"/>
    <w:tmpl w:val="BEDA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5B3E71"/>
    <w:multiLevelType w:val="hybridMultilevel"/>
    <w:tmpl w:val="0ED099AA"/>
    <w:lvl w:ilvl="0" w:tplc="EE3050A4">
      <w:start w:val="1"/>
      <w:numFmt w:val="bullet"/>
      <w:lvlText w:val="-"/>
      <w:lvlJc w:val="left"/>
      <w:pPr>
        <w:ind w:left="360" w:hanging="360"/>
      </w:pPr>
      <w:rPr>
        <w:rFonts w:ascii="Calibri" w:hAnsi="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E4D6F34"/>
    <w:multiLevelType w:val="hybridMultilevel"/>
    <w:tmpl w:val="E38E5F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E633744"/>
    <w:multiLevelType w:val="hybridMultilevel"/>
    <w:tmpl w:val="7194CB4C"/>
    <w:lvl w:ilvl="0" w:tplc="08224A50">
      <w:start w:val="1"/>
      <w:numFmt w:val="upp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9" w15:restartNumberingAfterBreak="0">
    <w:nsid w:val="5EDF1C13"/>
    <w:multiLevelType w:val="hybridMultilevel"/>
    <w:tmpl w:val="FFFFFFFF"/>
    <w:lvl w:ilvl="0" w:tplc="D8DCECCC">
      <w:start w:val="4"/>
      <w:numFmt w:val="decimal"/>
      <w:lvlText w:val="%1."/>
      <w:lvlJc w:val="left"/>
      <w:pPr>
        <w:ind w:left="720" w:hanging="360"/>
      </w:pPr>
    </w:lvl>
    <w:lvl w:ilvl="1" w:tplc="FD6222C2">
      <w:start w:val="1"/>
      <w:numFmt w:val="lowerLetter"/>
      <w:lvlText w:val="%2."/>
      <w:lvlJc w:val="left"/>
      <w:pPr>
        <w:ind w:left="1440" w:hanging="360"/>
      </w:pPr>
    </w:lvl>
    <w:lvl w:ilvl="2" w:tplc="F1F62DE8">
      <w:start w:val="1"/>
      <w:numFmt w:val="lowerRoman"/>
      <w:lvlText w:val="%3."/>
      <w:lvlJc w:val="right"/>
      <w:pPr>
        <w:ind w:left="2160" w:hanging="180"/>
      </w:pPr>
    </w:lvl>
    <w:lvl w:ilvl="3" w:tplc="A73419F8">
      <w:start w:val="1"/>
      <w:numFmt w:val="decimal"/>
      <w:lvlText w:val="%4."/>
      <w:lvlJc w:val="left"/>
      <w:pPr>
        <w:ind w:left="2880" w:hanging="360"/>
      </w:pPr>
    </w:lvl>
    <w:lvl w:ilvl="4" w:tplc="BCEE6904">
      <w:start w:val="1"/>
      <w:numFmt w:val="lowerLetter"/>
      <w:lvlText w:val="%5."/>
      <w:lvlJc w:val="left"/>
      <w:pPr>
        <w:ind w:left="3600" w:hanging="360"/>
      </w:pPr>
    </w:lvl>
    <w:lvl w:ilvl="5" w:tplc="3AAAF466">
      <w:start w:val="1"/>
      <w:numFmt w:val="lowerRoman"/>
      <w:lvlText w:val="%6."/>
      <w:lvlJc w:val="right"/>
      <w:pPr>
        <w:ind w:left="4320" w:hanging="180"/>
      </w:pPr>
    </w:lvl>
    <w:lvl w:ilvl="6" w:tplc="B472FCAA">
      <w:start w:val="1"/>
      <w:numFmt w:val="decimal"/>
      <w:lvlText w:val="%7."/>
      <w:lvlJc w:val="left"/>
      <w:pPr>
        <w:ind w:left="5040" w:hanging="360"/>
      </w:pPr>
    </w:lvl>
    <w:lvl w:ilvl="7" w:tplc="C562C86E">
      <w:start w:val="1"/>
      <w:numFmt w:val="lowerLetter"/>
      <w:lvlText w:val="%8."/>
      <w:lvlJc w:val="left"/>
      <w:pPr>
        <w:ind w:left="5760" w:hanging="360"/>
      </w:pPr>
    </w:lvl>
    <w:lvl w:ilvl="8" w:tplc="C996FFC6">
      <w:start w:val="1"/>
      <w:numFmt w:val="lowerRoman"/>
      <w:lvlText w:val="%9."/>
      <w:lvlJc w:val="right"/>
      <w:pPr>
        <w:ind w:left="6480" w:hanging="180"/>
      </w:pPr>
    </w:lvl>
  </w:abstractNum>
  <w:abstractNum w:abstractNumId="30" w15:restartNumberingAfterBreak="0">
    <w:nsid w:val="64FC6578"/>
    <w:multiLevelType w:val="hybridMultilevel"/>
    <w:tmpl w:val="C9D2F9DC"/>
    <w:lvl w:ilvl="0" w:tplc="EE3050A4">
      <w:start w:val="1"/>
      <w:numFmt w:val="bullet"/>
      <w:lvlText w:val="-"/>
      <w:lvlJc w:val="left"/>
      <w:pPr>
        <w:ind w:left="720" w:hanging="360"/>
      </w:pPr>
      <w:rPr>
        <w:rFonts w:ascii="Calibri" w:hAnsi="Calibri" w:hint="default"/>
      </w:rPr>
    </w:lvl>
    <w:lvl w:ilvl="1" w:tplc="1AC098D6">
      <w:start w:val="1"/>
      <w:numFmt w:val="bullet"/>
      <w:lvlText w:val="o"/>
      <w:lvlJc w:val="left"/>
      <w:pPr>
        <w:ind w:left="1440" w:hanging="360"/>
      </w:pPr>
      <w:rPr>
        <w:rFonts w:ascii="Courier New" w:hAnsi="Courier New" w:hint="default"/>
      </w:rPr>
    </w:lvl>
    <w:lvl w:ilvl="2" w:tplc="BF943092">
      <w:start w:val="1"/>
      <w:numFmt w:val="bullet"/>
      <w:lvlText w:val=""/>
      <w:lvlJc w:val="left"/>
      <w:pPr>
        <w:ind w:left="2160" w:hanging="360"/>
      </w:pPr>
      <w:rPr>
        <w:rFonts w:ascii="Wingdings" w:hAnsi="Wingdings" w:hint="default"/>
      </w:rPr>
    </w:lvl>
    <w:lvl w:ilvl="3" w:tplc="9F527AAE">
      <w:start w:val="1"/>
      <w:numFmt w:val="bullet"/>
      <w:lvlText w:val=""/>
      <w:lvlJc w:val="left"/>
      <w:pPr>
        <w:ind w:left="2880" w:hanging="360"/>
      </w:pPr>
      <w:rPr>
        <w:rFonts w:ascii="Symbol" w:hAnsi="Symbol" w:hint="default"/>
      </w:rPr>
    </w:lvl>
    <w:lvl w:ilvl="4" w:tplc="E0863892">
      <w:start w:val="1"/>
      <w:numFmt w:val="bullet"/>
      <w:lvlText w:val="o"/>
      <w:lvlJc w:val="left"/>
      <w:pPr>
        <w:ind w:left="3600" w:hanging="360"/>
      </w:pPr>
      <w:rPr>
        <w:rFonts w:ascii="Courier New" w:hAnsi="Courier New" w:hint="default"/>
      </w:rPr>
    </w:lvl>
    <w:lvl w:ilvl="5" w:tplc="C20AA568">
      <w:start w:val="1"/>
      <w:numFmt w:val="bullet"/>
      <w:lvlText w:val=""/>
      <w:lvlJc w:val="left"/>
      <w:pPr>
        <w:ind w:left="4320" w:hanging="360"/>
      </w:pPr>
      <w:rPr>
        <w:rFonts w:ascii="Wingdings" w:hAnsi="Wingdings" w:hint="default"/>
      </w:rPr>
    </w:lvl>
    <w:lvl w:ilvl="6" w:tplc="2A8A65E0">
      <w:start w:val="1"/>
      <w:numFmt w:val="bullet"/>
      <w:lvlText w:val=""/>
      <w:lvlJc w:val="left"/>
      <w:pPr>
        <w:ind w:left="5040" w:hanging="360"/>
      </w:pPr>
      <w:rPr>
        <w:rFonts w:ascii="Symbol" w:hAnsi="Symbol" w:hint="default"/>
      </w:rPr>
    </w:lvl>
    <w:lvl w:ilvl="7" w:tplc="BA840688">
      <w:start w:val="1"/>
      <w:numFmt w:val="bullet"/>
      <w:lvlText w:val="o"/>
      <w:lvlJc w:val="left"/>
      <w:pPr>
        <w:ind w:left="5760" w:hanging="360"/>
      </w:pPr>
      <w:rPr>
        <w:rFonts w:ascii="Courier New" w:hAnsi="Courier New" w:hint="default"/>
      </w:rPr>
    </w:lvl>
    <w:lvl w:ilvl="8" w:tplc="F43E6ED8">
      <w:start w:val="1"/>
      <w:numFmt w:val="bullet"/>
      <w:lvlText w:val=""/>
      <w:lvlJc w:val="left"/>
      <w:pPr>
        <w:ind w:left="6480" w:hanging="360"/>
      </w:pPr>
      <w:rPr>
        <w:rFonts w:ascii="Wingdings" w:hAnsi="Wingdings" w:hint="default"/>
      </w:rPr>
    </w:lvl>
  </w:abstractNum>
  <w:abstractNum w:abstractNumId="31" w15:restartNumberingAfterBreak="0">
    <w:nsid w:val="687F1BF2"/>
    <w:multiLevelType w:val="hybridMultilevel"/>
    <w:tmpl w:val="FAB0C5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995EF9"/>
    <w:multiLevelType w:val="hybridMultilevel"/>
    <w:tmpl w:val="2A520B2C"/>
    <w:lvl w:ilvl="0" w:tplc="18090001">
      <w:start w:val="1"/>
      <w:numFmt w:val="bullet"/>
      <w:lvlText w:val=""/>
      <w:lvlJc w:val="left"/>
      <w:pPr>
        <w:ind w:left="720" w:hanging="360"/>
      </w:pPr>
      <w:rPr>
        <w:rFonts w:ascii="Symbol" w:hAnsi="Symbol" w:hint="default"/>
      </w:rPr>
    </w:lvl>
    <w:lvl w:ilvl="1" w:tplc="47BA2F74">
      <w:start w:val="1"/>
      <w:numFmt w:val="lowerLetter"/>
      <w:lvlText w:val="%2."/>
      <w:lvlJc w:val="left"/>
      <w:pPr>
        <w:ind w:left="1440" w:hanging="360"/>
      </w:pPr>
    </w:lvl>
    <w:lvl w:ilvl="2" w:tplc="01567F1C">
      <w:start w:val="1"/>
      <w:numFmt w:val="lowerRoman"/>
      <w:lvlText w:val="%3."/>
      <w:lvlJc w:val="right"/>
      <w:pPr>
        <w:ind w:left="2160" w:hanging="180"/>
      </w:pPr>
    </w:lvl>
    <w:lvl w:ilvl="3" w:tplc="FA4A9F62">
      <w:start w:val="1"/>
      <w:numFmt w:val="decimal"/>
      <w:lvlText w:val="%4."/>
      <w:lvlJc w:val="left"/>
      <w:pPr>
        <w:ind w:left="2880" w:hanging="360"/>
      </w:pPr>
    </w:lvl>
    <w:lvl w:ilvl="4" w:tplc="D8B41E6C">
      <w:start w:val="1"/>
      <w:numFmt w:val="lowerLetter"/>
      <w:lvlText w:val="%5."/>
      <w:lvlJc w:val="left"/>
      <w:pPr>
        <w:ind w:left="3600" w:hanging="360"/>
      </w:pPr>
    </w:lvl>
    <w:lvl w:ilvl="5" w:tplc="7EE8E6D0">
      <w:start w:val="1"/>
      <w:numFmt w:val="lowerRoman"/>
      <w:lvlText w:val="%6."/>
      <w:lvlJc w:val="right"/>
      <w:pPr>
        <w:ind w:left="4320" w:hanging="180"/>
      </w:pPr>
    </w:lvl>
    <w:lvl w:ilvl="6" w:tplc="5F2695C8">
      <w:start w:val="1"/>
      <w:numFmt w:val="decimal"/>
      <w:lvlText w:val="%7."/>
      <w:lvlJc w:val="left"/>
      <w:pPr>
        <w:ind w:left="5040" w:hanging="360"/>
      </w:pPr>
    </w:lvl>
    <w:lvl w:ilvl="7" w:tplc="BEA4248A">
      <w:start w:val="1"/>
      <w:numFmt w:val="lowerLetter"/>
      <w:lvlText w:val="%8."/>
      <w:lvlJc w:val="left"/>
      <w:pPr>
        <w:ind w:left="5760" w:hanging="360"/>
      </w:pPr>
    </w:lvl>
    <w:lvl w:ilvl="8" w:tplc="20B07E46">
      <w:start w:val="1"/>
      <w:numFmt w:val="lowerRoman"/>
      <w:lvlText w:val="%9."/>
      <w:lvlJc w:val="right"/>
      <w:pPr>
        <w:ind w:left="6480" w:hanging="180"/>
      </w:pPr>
    </w:lvl>
  </w:abstractNum>
  <w:abstractNum w:abstractNumId="33" w15:restartNumberingAfterBreak="0">
    <w:nsid w:val="6A9109A6"/>
    <w:multiLevelType w:val="hybridMultilevel"/>
    <w:tmpl w:val="13FE4BEE"/>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CBD50D1"/>
    <w:multiLevelType w:val="hybridMultilevel"/>
    <w:tmpl w:val="75DE54BC"/>
    <w:lvl w:ilvl="0" w:tplc="798C895E">
      <w:start w:val="202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E615FD1"/>
    <w:multiLevelType w:val="hybridMultilevel"/>
    <w:tmpl w:val="4FDAAEAC"/>
    <w:lvl w:ilvl="0" w:tplc="816C8F5E">
      <w:start w:val="1"/>
      <w:numFmt w:val="decimal"/>
      <w:lvlText w:val="%1)"/>
      <w:lvlJc w:val="left"/>
      <w:pPr>
        <w:ind w:left="720" w:hanging="360"/>
      </w:pPr>
      <w:rPr>
        <w:rFonts w:ascii="Times New Roman" w:eastAsia="Times New Roman" w:hAnsi="Times New Roman" w:cs="Times New Roman"/>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063588D"/>
    <w:multiLevelType w:val="hybridMultilevel"/>
    <w:tmpl w:val="10249F0C"/>
    <w:lvl w:ilvl="0" w:tplc="B0DECA14">
      <w:start w:val="1"/>
      <w:numFmt w:val="upp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7123D55"/>
    <w:multiLevelType w:val="hybridMultilevel"/>
    <w:tmpl w:val="4DC04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F6B6F6"/>
    <w:multiLevelType w:val="hybridMultilevel"/>
    <w:tmpl w:val="FFFFFFFF"/>
    <w:lvl w:ilvl="0" w:tplc="B4442140">
      <w:start w:val="5"/>
      <w:numFmt w:val="decimal"/>
      <w:lvlText w:val="%1."/>
      <w:lvlJc w:val="left"/>
      <w:pPr>
        <w:ind w:left="720" w:hanging="360"/>
      </w:pPr>
    </w:lvl>
    <w:lvl w:ilvl="1" w:tplc="E6DC0F22">
      <w:start w:val="1"/>
      <w:numFmt w:val="lowerLetter"/>
      <w:lvlText w:val="%2."/>
      <w:lvlJc w:val="left"/>
      <w:pPr>
        <w:ind w:left="1440" w:hanging="360"/>
      </w:pPr>
    </w:lvl>
    <w:lvl w:ilvl="2" w:tplc="E4D69CA4">
      <w:start w:val="1"/>
      <w:numFmt w:val="lowerRoman"/>
      <w:lvlText w:val="%3."/>
      <w:lvlJc w:val="right"/>
      <w:pPr>
        <w:ind w:left="2160" w:hanging="180"/>
      </w:pPr>
    </w:lvl>
    <w:lvl w:ilvl="3" w:tplc="D068A3E4">
      <w:start w:val="1"/>
      <w:numFmt w:val="decimal"/>
      <w:lvlText w:val="%4."/>
      <w:lvlJc w:val="left"/>
      <w:pPr>
        <w:ind w:left="2880" w:hanging="360"/>
      </w:pPr>
    </w:lvl>
    <w:lvl w:ilvl="4" w:tplc="E55C7D04">
      <w:start w:val="1"/>
      <w:numFmt w:val="lowerLetter"/>
      <w:lvlText w:val="%5."/>
      <w:lvlJc w:val="left"/>
      <w:pPr>
        <w:ind w:left="3600" w:hanging="360"/>
      </w:pPr>
    </w:lvl>
    <w:lvl w:ilvl="5" w:tplc="9C78524E">
      <w:start w:val="1"/>
      <w:numFmt w:val="lowerRoman"/>
      <w:lvlText w:val="%6."/>
      <w:lvlJc w:val="right"/>
      <w:pPr>
        <w:ind w:left="4320" w:hanging="180"/>
      </w:pPr>
    </w:lvl>
    <w:lvl w:ilvl="6" w:tplc="E8DCD6DE">
      <w:start w:val="1"/>
      <w:numFmt w:val="decimal"/>
      <w:lvlText w:val="%7."/>
      <w:lvlJc w:val="left"/>
      <w:pPr>
        <w:ind w:left="5040" w:hanging="360"/>
      </w:pPr>
    </w:lvl>
    <w:lvl w:ilvl="7" w:tplc="AF5AAFCE">
      <w:start w:val="1"/>
      <w:numFmt w:val="lowerLetter"/>
      <w:lvlText w:val="%8."/>
      <w:lvlJc w:val="left"/>
      <w:pPr>
        <w:ind w:left="5760" w:hanging="360"/>
      </w:pPr>
    </w:lvl>
    <w:lvl w:ilvl="8" w:tplc="EC7AB09A">
      <w:start w:val="1"/>
      <w:numFmt w:val="lowerRoman"/>
      <w:lvlText w:val="%9."/>
      <w:lvlJc w:val="right"/>
      <w:pPr>
        <w:ind w:left="6480" w:hanging="180"/>
      </w:pPr>
    </w:lvl>
  </w:abstractNum>
  <w:abstractNum w:abstractNumId="39" w15:restartNumberingAfterBreak="0">
    <w:nsid w:val="7D144018"/>
    <w:multiLevelType w:val="hybridMultilevel"/>
    <w:tmpl w:val="936AF1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7D58742F"/>
    <w:multiLevelType w:val="hybridMultilevel"/>
    <w:tmpl w:val="E848B3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9"/>
  </w:num>
  <w:num w:numId="4">
    <w:abstractNumId w:val="1"/>
  </w:num>
  <w:num w:numId="5">
    <w:abstractNumId w:val="10"/>
  </w:num>
  <w:num w:numId="6">
    <w:abstractNumId w:val="40"/>
  </w:num>
  <w:num w:numId="7">
    <w:abstractNumId w:val="35"/>
  </w:num>
  <w:num w:numId="8">
    <w:abstractNumId w:val="14"/>
  </w:num>
  <w:num w:numId="9">
    <w:abstractNumId w:val="6"/>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num>
  <w:num w:numId="15">
    <w:abstractNumId w:val="7"/>
  </w:num>
  <w:num w:numId="16">
    <w:abstractNumId w:val="37"/>
  </w:num>
  <w:num w:numId="17">
    <w:abstractNumId w:val="31"/>
  </w:num>
  <w:num w:numId="18">
    <w:abstractNumId w:val="22"/>
  </w:num>
  <w:num w:numId="19">
    <w:abstractNumId w:val="25"/>
  </w:num>
  <w:num w:numId="20">
    <w:abstractNumId w:val="8"/>
  </w:num>
  <w:num w:numId="21">
    <w:abstractNumId w:val="8"/>
  </w:num>
  <w:num w:numId="22">
    <w:abstractNumId w:val="8"/>
  </w:num>
  <w:num w:numId="23">
    <w:abstractNumId w:val="27"/>
  </w:num>
  <w:num w:numId="24">
    <w:abstractNumId w:val="24"/>
  </w:num>
  <w:num w:numId="25">
    <w:abstractNumId w:val="21"/>
  </w:num>
  <w:num w:numId="26">
    <w:abstractNumId w:val="15"/>
  </w:num>
  <w:num w:numId="27">
    <w:abstractNumId w:val="2"/>
  </w:num>
  <w:num w:numId="28">
    <w:abstractNumId w:val="4"/>
  </w:num>
  <w:num w:numId="29">
    <w:abstractNumId w:val="34"/>
  </w:num>
  <w:num w:numId="30">
    <w:abstractNumId w:val="38"/>
  </w:num>
  <w:num w:numId="31">
    <w:abstractNumId w:val="29"/>
  </w:num>
  <w:num w:numId="32">
    <w:abstractNumId w:val="0"/>
  </w:num>
  <w:num w:numId="33">
    <w:abstractNumId w:val="16"/>
  </w:num>
  <w:num w:numId="34">
    <w:abstractNumId w:val="11"/>
  </w:num>
  <w:num w:numId="35">
    <w:abstractNumId w:val="19"/>
  </w:num>
  <w:num w:numId="36">
    <w:abstractNumId w:val="13"/>
  </w:num>
  <w:num w:numId="37">
    <w:abstractNumId w:val="17"/>
  </w:num>
  <w:num w:numId="38">
    <w:abstractNumId w:val="26"/>
  </w:num>
  <w:num w:numId="39">
    <w:abstractNumId w:val="12"/>
  </w:num>
  <w:num w:numId="40">
    <w:abstractNumId w:val="18"/>
  </w:num>
  <w:num w:numId="41">
    <w:abstractNumId w:val="5"/>
  </w:num>
  <w:num w:numId="42">
    <w:abstractNumId w:val="23"/>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it-IT" w:vendorID="64" w:dllVersion="0" w:nlCheck="1" w:checkStyle="0"/>
  <w:activeWritingStyle w:appName="MSWord" w:lang="pl-PL"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4558063-56B2-4A52-89A4-59C44ADB4264"/>
    <w:docVar w:name="LW_COVERPAGE_TYPE" w:val="1"/>
    <w:docVar w:name="LW_CROSSREFERENCE" w:val="&lt;UNUSED&gt;"/>
    <w:docVar w:name="LW_DocType" w:val="NORMAL"/>
    <w:docVar w:name="LW_EMISSION" w:val="27.2.2024"/>
    <w:docVar w:name="LW_EMISSION_ISODATE" w:val="2024-02-27"/>
    <w:docVar w:name="LW_EMISSION_LOCATION" w:val="BRX"/>
    <w:docVar w:name="LW_EMISSION_PREFIX" w:val="Bruksela, dnia "/>
    <w:docVar w:name="LW_EMISSION_SUFFIX" w:val=" r."/>
    <w:docVar w:name="LW_ID_DOCTYPE_NONLW" w:val="CP-006"/>
    <w:docVar w:name="LW_LANGUE" w:val="PL"/>
    <w:docVar w:name="LW_LEVEL_OF_SENSITIVITY" w:val="Standard treatment"/>
    <w:docVar w:name="LW_NOM.INST" w:val="KOMISJA EUROPEJSKA"/>
    <w:docVar w:name="LW_NOM.INST_JOINTDOC" w:val="&lt;EMPTY&gt;"/>
    <w:docVar w:name="LW_PART_NBR" w:val="1"/>
    <w:docVar w:name="LW_PART_NBR_TOTAL" w:val="1"/>
    <w:docVar w:name="LW_REF.INST.NEW" w:val="COM"/>
    <w:docVar w:name="LW_REF.INST.NEW_ADOPTED" w:val="final"/>
    <w:docVar w:name="LW_REF.INST.NEW_TEXT" w:val="(2024) 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w sprawie wybranych aspektów dotycz\u261?cych magazynowania gazu na podstawie rozporz\u261?dzenia Parlamentu Europejskiego (UE) 2017/1938&lt;/FMT&gt;_x000d__x000d__x000d__x000d__x000d__x000d__x000d__x000b_"/>
    <w:docVar w:name="LW_TYPE.DOC.CP" w:val="SPRAWOZDANIE KOMISJI DLA PARLAMENTU EUROPEJSKIEGO I RADY"/>
    <w:docVar w:name="LwApiVersions" w:val="LW4CoDe 1.24.5.0; LW 9.0, Build 20240221"/>
  </w:docVars>
  <w:rsids>
    <w:rsidRoot w:val="0090392B"/>
    <w:rsid w:val="000001E5"/>
    <w:rsid w:val="000004B1"/>
    <w:rsid w:val="00001C4B"/>
    <w:rsid w:val="000025F6"/>
    <w:rsid w:val="000025FE"/>
    <w:rsid w:val="00003B10"/>
    <w:rsid w:val="00004122"/>
    <w:rsid w:val="000046DF"/>
    <w:rsid w:val="00005167"/>
    <w:rsid w:val="000054E0"/>
    <w:rsid w:val="000061AC"/>
    <w:rsid w:val="00006829"/>
    <w:rsid w:val="00007173"/>
    <w:rsid w:val="00007410"/>
    <w:rsid w:val="000077C7"/>
    <w:rsid w:val="0000869E"/>
    <w:rsid w:val="00010E94"/>
    <w:rsid w:val="00013704"/>
    <w:rsid w:val="00013C3E"/>
    <w:rsid w:val="000140F2"/>
    <w:rsid w:val="0001411D"/>
    <w:rsid w:val="000153EA"/>
    <w:rsid w:val="00015E63"/>
    <w:rsid w:val="00015E80"/>
    <w:rsid w:val="00016038"/>
    <w:rsid w:val="00016323"/>
    <w:rsid w:val="00016ABF"/>
    <w:rsid w:val="00017D66"/>
    <w:rsid w:val="000207FF"/>
    <w:rsid w:val="00021E4E"/>
    <w:rsid w:val="0002209B"/>
    <w:rsid w:val="000231A5"/>
    <w:rsid w:val="000233F8"/>
    <w:rsid w:val="00024020"/>
    <w:rsid w:val="000245BB"/>
    <w:rsid w:val="00025260"/>
    <w:rsid w:val="00026105"/>
    <w:rsid w:val="000264AC"/>
    <w:rsid w:val="0002721D"/>
    <w:rsid w:val="00027820"/>
    <w:rsid w:val="00030355"/>
    <w:rsid w:val="000308E5"/>
    <w:rsid w:val="00030E67"/>
    <w:rsid w:val="00031079"/>
    <w:rsid w:val="00031209"/>
    <w:rsid w:val="0003391D"/>
    <w:rsid w:val="000339EE"/>
    <w:rsid w:val="00033F06"/>
    <w:rsid w:val="000343EF"/>
    <w:rsid w:val="00034857"/>
    <w:rsid w:val="00034B59"/>
    <w:rsid w:val="00035AE0"/>
    <w:rsid w:val="00035CA0"/>
    <w:rsid w:val="000366A4"/>
    <w:rsid w:val="00036C6A"/>
    <w:rsid w:val="0003788E"/>
    <w:rsid w:val="00037BF5"/>
    <w:rsid w:val="00037E5D"/>
    <w:rsid w:val="00040096"/>
    <w:rsid w:val="000408AD"/>
    <w:rsid w:val="00041438"/>
    <w:rsid w:val="00041A5F"/>
    <w:rsid w:val="00041B95"/>
    <w:rsid w:val="00042038"/>
    <w:rsid w:val="000422C3"/>
    <w:rsid w:val="00042A49"/>
    <w:rsid w:val="000454CF"/>
    <w:rsid w:val="0004643E"/>
    <w:rsid w:val="00046D6C"/>
    <w:rsid w:val="000475BF"/>
    <w:rsid w:val="00047852"/>
    <w:rsid w:val="00047B14"/>
    <w:rsid w:val="00050D7E"/>
    <w:rsid w:val="00050E1B"/>
    <w:rsid w:val="00051710"/>
    <w:rsid w:val="00052750"/>
    <w:rsid w:val="00052F9B"/>
    <w:rsid w:val="0005370A"/>
    <w:rsid w:val="00055709"/>
    <w:rsid w:val="000561B7"/>
    <w:rsid w:val="000569B5"/>
    <w:rsid w:val="0005788B"/>
    <w:rsid w:val="00060126"/>
    <w:rsid w:val="0006069C"/>
    <w:rsid w:val="00061FF1"/>
    <w:rsid w:val="00062497"/>
    <w:rsid w:val="00062499"/>
    <w:rsid w:val="0006252A"/>
    <w:rsid w:val="00063A2B"/>
    <w:rsid w:val="00064099"/>
    <w:rsid w:val="000643B2"/>
    <w:rsid w:val="00064E3B"/>
    <w:rsid w:val="00065003"/>
    <w:rsid w:val="000651FA"/>
    <w:rsid w:val="000654F8"/>
    <w:rsid w:val="00065D42"/>
    <w:rsid w:val="000660C8"/>
    <w:rsid w:val="000664EF"/>
    <w:rsid w:val="000669CF"/>
    <w:rsid w:val="00066D38"/>
    <w:rsid w:val="000707F1"/>
    <w:rsid w:val="00070FF9"/>
    <w:rsid w:val="0007222F"/>
    <w:rsid w:val="00073DAC"/>
    <w:rsid w:val="00074343"/>
    <w:rsid w:val="00074643"/>
    <w:rsid w:val="00080772"/>
    <w:rsid w:val="00080DEB"/>
    <w:rsid w:val="000820F2"/>
    <w:rsid w:val="00082597"/>
    <w:rsid w:val="000836F2"/>
    <w:rsid w:val="000841D1"/>
    <w:rsid w:val="00084632"/>
    <w:rsid w:val="00084DA2"/>
    <w:rsid w:val="0008505C"/>
    <w:rsid w:val="00085962"/>
    <w:rsid w:val="000862D6"/>
    <w:rsid w:val="00086614"/>
    <w:rsid w:val="00086EAA"/>
    <w:rsid w:val="00087346"/>
    <w:rsid w:val="00090221"/>
    <w:rsid w:val="000912E2"/>
    <w:rsid w:val="000915BF"/>
    <w:rsid w:val="00091609"/>
    <w:rsid w:val="00091AF0"/>
    <w:rsid w:val="00091B13"/>
    <w:rsid w:val="00093B6B"/>
    <w:rsid w:val="00093BA5"/>
    <w:rsid w:val="000959D3"/>
    <w:rsid w:val="00097562"/>
    <w:rsid w:val="00097607"/>
    <w:rsid w:val="000979A5"/>
    <w:rsid w:val="000A0AC8"/>
    <w:rsid w:val="000A0FBD"/>
    <w:rsid w:val="000A179E"/>
    <w:rsid w:val="000A19E2"/>
    <w:rsid w:val="000A1BF7"/>
    <w:rsid w:val="000A26E6"/>
    <w:rsid w:val="000A2C60"/>
    <w:rsid w:val="000A2CA8"/>
    <w:rsid w:val="000A3713"/>
    <w:rsid w:val="000A3946"/>
    <w:rsid w:val="000A474F"/>
    <w:rsid w:val="000A54DA"/>
    <w:rsid w:val="000A5B95"/>
    <w:rsid w:val="000A62F8"/>
    <w:rsid w:val="000A6CDB"/>
    <w:rsid w:val="000A7A71"/>
    <w:rsid w:val="000B0DA9"/>
    <w:rsid w:val="000B119D"/>
    <w:rsid w:val="000B1523"/>
    <w:rsid w:val="000B1A1E"/>
    <w:rsid w:val="000B30AC"/>
    <w:rsid w:val="000B3C68"/>
    <w:rsid w:val="000B457F"/>
    <w:rsid w:val="000B490C"/>
    <w:rsid w:val="000B497C"/>
    <w:rsid w:val="000B505F"/>
    <w:rsid w:val="000B52ED"/>
    <w:rsid w:val="000B59CE"/>
    <w:rsid w:val="000B5AE5"/>
    <w:rsid w:val="000B6A94"/>
    <w:rsid w:val="000B6F17"/>
    <w:rsid w:val="000C09F0"/>
    <w:rsid w:val="000C0E77"/>
    <w:rsid w:val="000C16A1"/>
    <w:rsid w:val="000C18EC"/>
    <w:rsid w:val="000C236C"/>
    <w:rsid w:val="000C2BC1"/>
    <w:rsid w:val="000C3203"/>
    <w:rsid w:val="000C348C"/>
    <w:rsid w:val="000C36E6"/>
    <w:rsid w:val="000C3A53"/>
    <w:rsid w:val="000C4C2A"/>
    <w:rsid w:val="000C500A"/>
    <w:rsid w:val="000C55F6"/>
    <w:rsid w:val="000C6445"/>
    <w:rsid w:val="000C69C1"/>
    <w:rsid w:val="000C78BC"/>
    <w:rsid w:val="000D06D5"/>
    <w:rsid w:val="000D0F7B"/>
    <w:rsid w:val="000D22AB"/>
    <w:rsid w:val="000D28B0"/>
    <w:rsid w:val="000D30D3"/>
    <w:rsid w:val="000D336C"/>
    <w:rsid w:val="000D4542"/>
    <w:rsid w:val="000D5E36"/>
    <w:rsid w:val="000D5FEB"/>
    <w:rsid w:val="000D6CFD"/>
    <w:rsid w:val="000D6F65"/>
    <w:rsid w:val="000D6F8D"/>
    <w:rsid w:val="000D7182"/>
    <w:rsid w:val="000D71F6"/>
    <w:rsid w:val="000D780E"/>
    <w:rsid w:val="000D7D1E"/>
    <w:rsid w:val="000E0CC9"/>
    <w:rsid w:val="000E0EEB"/>
    <w:rsid w:val="000E15BE"/>
    <w:rsid w:val="000E22B2"/>
    <w:rsid w:val="000E3826"/>
    <w:rsid w:val="000E51E8"/>
    <w:rsid w:val="000E5D4F"/>
    <w:rsid w:val="000E69F7"/>
    <w:rsid w:val="000F18F3"/>
    <w:rsid w:val="000F1A71"/>
    <w:rsid w:val="000F1CC0"/>
    <w:rsid w:val="000F1DE0"/>
    <w:rsid w:val="000F2390"/>
    <w:rsid w:val="000F2409"/>
    <w:rsid w:val="000F265C"/>
    <w:rsid w:val="000F2E36"/>
    <w:rsid w:val="000F4275"/>
    <w:rsid w:val="000F4636"/>
    <w:rsid w:val="000F4699"/>
    <w:rsid w:val="000F495A"/>
    <w:rsid w:val="000F5A17"/>
    <w:rsid w:val="000F5D41"/>
    <w:rsid w:val="000F602F"/>
    <w:rsid w:val="000F7020"/>
    <w:rsid w:val="000F73A2"/>
    <w:rsid w:val="000F7ED8"/>
    <w:rsid w:val="00100626"/>
    <w:rsid w:val="00101CAB"/>
    <w:rsid w:val="00101F74"/>
    <w:rsid w:val="00102E33"/>
    <w:rsid w:val="001038EE"/>
    <w:rsid w:val="00103D87"/>
    <w:rsid w:val="00106D3D"/>
    <w:rsid w:val="00107F4B"/>
    <w:rsid w:val="00110466"/>
    <w:rsid w:val="00110B34"/>
    <w:rsid w:val="001110E2"/>
    <w:rsid w:val="00111B27"/>
    <w:rsid w:val="00112515"/>
    <w:rsid w:val="00112905"/>
    <w:rsid w:val="00112EE3"/>
    <w:rsid w:val="00113BBA"/>
    <w:rsid w:val="00113FD0"/>
    <w:rsid w:val="00114D7E"/>
    <w:rsid w:val="001158E7"/>
    <w:rsid w:val="00116C6E"/>
    <w:rsid w:val="00116E3A"/>
    <w:rsid w:val="00117A94"/>
    <w:rsid w:val="001205C2"/>
    <w:rsid w:val="00120B64"/>
    <w:rsid w:val="00121863"/>
    <w:rsid w:val="00122A5B"/>
    <w:rsid w:val="001233B8"/>
    <w:rsid w:val="001234BE"/>
    <w:rsid w:val="001237EB"/>
    <w:rsid w:val="00123D74"/>
    <w:rsid w:val="001248EB"/>
    <w:rsid w:val="00124DB7"/>
    <w:rsid w:val="0012530C"/>
    <w:rsid w:val="00125BA0"/>
    <w:rsid w:val="00126876"/>
    <w:rsid w:val="00130B83"/>
    <w:rsid w:val="0013140F"/>
    <w:rsid w:val="0013248E"/>
    <w:rsid w:val="00133BBC"/>
    <w:rsid w:val="00134DF2"/>
    <w:rsid w:val="0013575E"/>
    <w:rsid w:val="001358A9"/>
    <w:rsid w:val="00135929"/>
    <w:rsid w:val="001360FD"/>
    <w:rsid w:val="001363C0"/>
    <w:rsid w:val="00136DC3"/>
    <w:rsid w:val="001377C1"/>
    <w:rsid w:val="001397FD"/>
    <w:rsid w:val="00140F64"/>
    <w:rsid w:val="00140F99"/>
    <w:rsid w:val="00141907"/>
    <w:rsid w:val="00141AB7"/>
    <w:rsid w:val="00141D04"/>
    <w:rsid w:val="00142082"/>
    <w:rsid w:val="001424D9"/>
    <w:rsid w:val="00142886"/>
    <w:rsid w:val="00143A87"/>
    <w:rsid w:val="00144010"/>
    <w:rsid w:val="00145A03"/>
    <w:rsid w:val="00145EF1"/>
    <w:rsid w:val="001461BD"/>
    <w:rsid w:val="00146D5B"/>
    <w:rsid w:val="001505EC"/>
    <w:rsid w:val="0015105F"/>
    <w:rsid w:val="00151377"/>
    <w:rsid w:val="00152597"/>
    <w:rsid w:val="001542A8"/>
    <w:rsid w:val="00155560"/>
    <w:rsid w:val="001563BA"/>
    <w:rsid w:val="00156514"/>
    <w:rsid w:val="0015699E"/>
    <w:rsid w:val="0016129D"/>
    <w:rsid w:val="001620CB"/>
    <w:rsid w:val="00162597"/>
    <w:rsid w:val="00163814"/>
    <w:rsid w:val="00163EED"/>
    <w:rsid w:val="00164458"/>
    <w:rsid w:val="00164580"/>
    <w:rsid w:val="0016487E"/>
    <w:rsid w:val="0016528A"/>
    <w:rsid w:val="001654B6"/>
    <w:rsid w:val="00166576"/>
    <w:rsid w:val="001667A2"/>
    <w:rsid w:val="00166A1C"/>
    <w:rsid w:val="00166CCC"/>
    <w:rsid w:val="00167748"/>
    <w:rsid w:val="00167B17"/>
    <w:rsid w:val="00167C39"/>
    <w:rsid w:val="00170024"/>
    <w:rsid w:val="00171F54"/>
    <w:rsid w:val="00172398"/>
    <w:rsid w:val="0017399E"/>
    <w:rsid w:val="00173F09"/>
    <w:rsid w:val="00174406"/>
    <w:rsid w:val="001755E8"/>
    <w:rsid w:val="00180BEB"/>
    <w:rsid w:val="001811CA"/>
    <w:rsid w:val="00181856"/>
    <w:rsid w:val="00181ABE"/>
    <w:rsid w:val="00181D52"/>
    <w:rsid w:val="0018204C"/>
    <w:rsid w:val="001822E4"/>
    <w:rsid w:val="001825FC"/>
    <w:rsid w:val="00183340"/>
    <w:rsid w:val="0018334F"/>
    <w:rsid w:val="001834B3"/>
    <w:rsid w:val="0018395F"/>
    <w:rsid w:val="00184224"/>
    <w:rsid w:val="0018503D"/>
    <w:rsid w:val="00185411"/>
    <w:rsid w:val="00185822"/>
    <w:rsid w:val="001863CC"/>
    <w:rsid w:val="001866D8"/>
    <w:rsid w:val="001867D7"/>
    <w:rsid w:val="001869BB"/>
    <w:rsid w:val="00186AD4"/>
    <w:rsid w:val="001870B7"/>
    <w:rsid w:val="00187899"/>
    <w:rsid w:val="00187A1A"/>
    <w:rsid w:val="00187AD9"/>
    <w:rsid w:val="00187B85"/>
    <w:rsid w:val="00187D1D"/>
    <w:rsid w:val="001910EA"/>
    <w:rsid w:val="00191453"/>
    <w:rsid w:val="0019148C"/>
    <w:rsid w:val="00191DC9"/>
    <w:rsid w:val="0019246B"/>
    <w:rsid w:val="001935EE"/>
    <w:rsid w:val="0019407D"/>
    <w:rsid w:val="00194B25"/>
    <w:rsid w:val="00194B9C"/>
    <w:rsid w:val="001964AE"/>
    <w:rsid w:val="00196EE8"/>
    <w:rsid w:val="001976E5"/>
    <w:rsid w:val="00197951"/>
    <w:rsid w:val="00197F36"/>
    <w:rsid w:val="001A0339"/>
    <w:rsid w:val="001A03EC"/>
    <w:rsid w:val="001A0E18"/>
    <w:rsid w:val="001A0EA5"/>
    <w:rsid w:val="001A1545"/>
    <w:rsid w:val="001A18C8"/>
    <w:rsid w:val="001A1B2B"/>
    <w:rsid w:val="001A1B66"/>
    <w:rsid w:val="001A33C4"/>
    <w:rsid w:val="001A3FF2"/>
    <w:rsid w:val="001A4228"/>
    <w:rsid w:val="001A5092"/>
    <w:rsid w:val="001A5A74"/>
    <w:rsid w:val="001A60E2"/>
    <w:rsid w:val="001A7B37"/>
    <w:rsid w:val="001AFA91"/>
    <w:rsid w:val="001B05D5"/>
    <w:rsid w:val="001B1072"/>
    <w:rsid w:val="001B3652"/>
    <w:rsid w:val="001B39C2"/>
    <w:rsid w:val="001B4AFA"/>
    <w:rsid w:val="001B5035"/>
    <w:rsid w:val="001B5B9C"/>
    <w:rsid w:val="001B724F"/>
    <w:rsid w:val="001B726D"/>
    <w:rsid w:val="001C090D"/>
    <w:rsid w:val="001C1380"/>
    <w:rsid w:val="001C269D"/>
    <w:rsid w:val="001C3602"/>
    <w:rsid w:val="001C3B7B"/>
    <w:rsid w:val="001C43E5"/>
    <w:rsid w:val="001C45BA"/>
    <w:rsid w:val="001C4813"/>
    <w:rsid w:val="001C4B4C"/>
    <w:rsid w:val="001C4D2C"/>
    <w:rsid w:val="001C5635"/>
    <w:rsid w:val="001C5D8A"/>
    <w:rsid w:val="001C6032"/>
    <w:rsid w:val="001C6FAC"/>
    <w:rsid w:val="001C71DB"/>
    <w:rsid w:val="001C732C"/>
    <w:rsid w:val="001C75A0"/>
    <w:rsid w:val="001C75BC"/>
    <w:rsid w:val="001C7E56"/>
    <w:rsid w:val="001D01DC"/>
    <w:rsid w:val="001D1063"/>
    <w:rsid w:val="001D10D1"/>
    <w:rsid w:val="001D1A67"/>
    <w:rsid w:val="001D1E52"/>
    <w:rsid w:val="001D225B"/>
    <w:rsid w:val="001D251E"/>
    <w:rsid w:val="001D3402"/>
    <w:rsid w:val="001D4CBC"/>
    <w:rsid w:val="001D50FB"/>
    <w:rsid w:val="001D5516"/>
    <w:rsid w:val="001D5CF7"/>
    <w:rsid w:val="001D613F"/>
    <w:rsid w:val="001D642A"/>
    <w:rsid w:val="001D6D34"/>
    <w:rsid w:val="001D764E"/>
    <w:rsid w:val="001D7D2B"/>
    <w:rsid w:val="001E068D"/>
    <w:rsid w:val="001E0889"/>
    <w:rsid w:val="001E18A3"/>
    <w:rsid w:val="001E1AB6"/>
    <w:rsid w:val="001E3200"/>
    <w:rsid w:val="001E3573"/>
    <w:rsid w:val="001E36EF"/>
    <w:rsid w:val="001E418B"/>
    <w:rsid w:val="001E5ED0"/>
    <w:rsid w:val="001E6056"/>
    <w:rsid w:val="001E62D6"/>
    <w:rsid w:val="001E6E9F"/>
    <w:rsid w:val="001E725E"/>
    <w:rsid w:val="001E77B7"/>
    <w:rsid w:val="001E79CA"/>
    <w:rsid w:val="001E7CEE"/>
    <w:rsid w:val="001F044F"/>
    <w:rsid w:val="001F08EB"/>
    <w:rsid w:val="001F0BEA"/>
    <w:rsid w:val="001F0E3A"/>
    <w:rsid w:val="001F10C6"/>
    <w:rsid w:val="001F1D9B"/>
    <w:rsid w:val="001F1EDF"/>
    <w:rsid w:val="001F2FAA"/>
    <w:rsid w:val="001F45AE"/>
    <w:rsid w:val="001F46A0"/>
    <w:rsid w:val="001F4B0C"/>
    <w:rsid w:val="001F7EB0"/>
    <w:rsid w:val="001F8097"/>
    <w:rsid w:val="002002B9"/>
    <w:rsid w:val="002003D0"/>
    <w:rsid w:val="002018CF"/>
    <w:rsid w:val="00201D23"/>
    <w:rsid w:val="00202E5B"/>
    <w:rsid w:val="00203499"/>
    <w:rsid w:val="00204729"/>
    <w:rsid w:val="0020478B"/>
    <w:rsid w:val="00204DC5"/>
    <w:rsid w:val="00204E1B"/>
    <w:rsid w:val="00205366"/>
    <w:rsid w:val="00205747"/>
    <w:rsid w:val="00205C96"/>
    <w:rsid w:val="002060F6"/>
    <w:rsid w:val="002070F0"/>
    <w:rsid w:val="00207381"/>
    <w:rsid w:val="002077E3"/>
    <w:rsid w:val="002104D7"/>
    <w:rsid w:val="00210671"/>
    <w:rsid w:val="002116B7"/>
    <w:rsid w:val="002120B1"/>
    <w:rsid w:val="00212760"/>
    <w:rsid w:val="00212F06"/>
    <w:rsid w:val="00213FC4"/>
    <w:rsid w:val="0021436C"/>
    <w:rsid w:val="00215175"/>
    <w:rsid w:val="00215AD0"/>
    <w:rsid w:val="00215C2F"/>
    <w:rsid w:val="0021637E"/>
    <w:rsid w:val="00217362"/>
    <w:rsid w:val="0021781F"/>
    <w:rsid w:val="00217AA4"/>
    <w:rsid w:val="00217D70"/>
    <w:rsid w:val="002208B2"/>
    <w:rsid w:val="00220C44"/>
    <w:rsid w:val="00221893"/>
    <w:rsid w:val="00221F76"/>
    <w:rsid w:val="00222122"/>
    <w:rsid w:val="00222484"/>
    <w:rsid w:val="002229FD"/>
    <w:rsid w:val="00222D76"/>
    <w:rsid w:val="00225147"/>
    <w:rsid w:val="002256EC"/>
    <w:rsid w:val="00225791"/>
    <w:rsid w:val="002263D7"/>
    <w:rsid w:val="0022664D"/>
    <w:rsid w:val="00227DA3"/>
    <w:rsid w:val="00227E85"/>
    <w:rsid w:val="0023018D"/>
    <w:rsid w:val="002301E1"/>
    <w:rsid w:val="002305A5"/>
    <w:rsid w:val="00230707"/>
    <w:rsid w:val="0023091E"/>
    <w:rsid w:val="00231739"/>
    <w:rsid w:val="002329AC"/>
    <w:rsid w:val="00233413"/>
    <w:rsid w:val="00233BD1"/>
    <w:rsid w:val="002346DA"/>
    <w:rsid w:val="002347AE"/>
    <w:rsid w:val="00234E4E"/>
    <w:rsid w:val="00235930"/>
    <w:rsid w:val="0023672D"/>
    <w:rsid w:val="00236A7C"/>
    <w:rsid w:val="00236EDB"/>
    <w:rsid w:val="002371A6"/>
    <w:rsid w:val="00237F2C"/>
    <w:rsid w:val="002388A3"/>
    <w:rsid w:val="0024060B"/>
    <w:rsid w:val="00241F0E"/>
    <w:rsid w:val="00242000"/>
    <w:rsid w:val="00243C29"/>
    <w:rsid w:val="00243E23"/>
    <w:rsid w:val="002449CB"/>
    <w:rsid w:val="00244CA2"/>
    <w:rsid w:val="00244FF9"/>
    <w:rsid w:val="002451FA"/>
    <w:rsid w:val="0024523A"/>
    <w:rsid w:val="0024542A"/>
    <w:rsid w:val="0024565D"/>
    <w:rsid w:val="00245C6E"/>
    <w:rsid w:val="00245DA6"/>
    <w:rsid w:val="00247EDA"/>
    <w:rsid w:val="00247FBC"/>
    <w:rsid w:val="00250379"/>
    <w:rsid w:val="0025053D"/>
    <w:rsid w:val="002518AB"/>
    <w:rsid w:val="00251AD4"/>
    <w:rsid w:val="00252D83"/>
    <w:rsid w:val="00253057"/>
    <w:rsid w:val="002533AC"/>
    <w:rsid w:val="002540D5"/>
    <w:rsid w:val="002543F8"/>
    <w:rsid w:val="002544E5"/>
    <w:rsid w:val="002547A9"/>
    <w:rsid w:val="00255EA9"/>
    <w:rsid w:val="00257999"/>
    <w:rsid w:val="00257ACC"/>
    <w:rsid w:val="00257E0B"/>
    <w:rsid w:val="00257EE9"/>
    <w:rsid w:val="00260159"/>
    <w:rsid w:val="00260905"/>
    <w:rsid w:val="00260BB4"/>
    <w:rsid w:val="00260C04"/>
    <w:rsid w:val="00261CD0"/>
    <w:rsid w:val="00262280"/>
    <w:rsid w:val="002622E4"/>
    <w:rsid w:val="0026256E"/>
    <w:rsid w:val="002634DD"/>
    <w:rsid w:val="00263924"/>
    <w:rsid w:val="00263A16"/>
    <w:rsid w:val="00264405"/>
    <w:rsid w:val="00265B81"/>
    <w:rsid w:val="00266044"/>
    <w:rsid w:val="002669D7"/>
    <w:rsid w:val="00266D35"/>
    <w:rsid w:val="002673F7"/>
    <w:rsid w:val="00267657"/>
    <w:rsid w:val="002710CC"/>
    <w:rsid w:val="0027191E"/>
    <w:rsid w:val="00271924"/>
    <w:rsid w:val="00271F26"/>
    <w:rsid w:val="0027291C"/>
    <w:rsid w:val="00272AE5"/>
    <w:rsid w:val="00272C63"/>
    <w:rsid w:val="002736F0"/>
    <w:rsid w:val="00273E0C"/>
    <w:rsid w:val="00274480"/>
    <w:rsid w:val="002744B9"/>
    <w:rsid w:val="00274E17"/>
    <w:rsid w:val="00275130"/>
    <w:rsid w:val="0027630E"/>
    <w:rsid w:val="002772AB"/>
    <w:rsid w:val="0027761D"/>
    <w:rsid w:val="00277C89"/>
    <w:rsid w:val="0028018B"/>
    <w:rsid w:val="00280555"/>
    <w:rsid w:val="0028068A"/>
    <w:rsid w:val="00280EEC"/>
    <w:rsid w:val="00281565"/>
    <w:rsid w:val="00281D84"/>
    <w:rsid w:val="00282308"/>
    <w:rsid w:val="0028244E"/>
    <w:rsid w:val="00282474"/>
    <w:rsid w:val="002824C6"/>
    <w:rsid w:val="002824DD"/>
    <w:rsid w:val="00282629"/>
    <w:rsid w:val="00282940"/>
    <w:rsid w:val="00283270"/>
    <w:rsid w:val="00283F79"/>
    <w:rsid w:val="0028445C"/>
    <w:rsid w:val="00284AB4"/>
    <w:rsid w:val="00284E45"/>
    <w:rsid w:val="00284E9D"/>
    <w:rsid w:val="002858C7"/>
    <w:rsid w:val="00285BF6"/>
    <w:rsid w:val="00286EE2"/>
    <w:rsid w:val="002878BD"/>
    <w:rsid w:val="00290245"/>
    <w:rsid w:val="00290E6F"/>
    <w:rsid w:val="00290F5D"/>
    <w:rsid w:val="00291A62"/>
    <w:rsid w:val="002924BD"/>
    <w:rsid w:val="00292DEB"/>
    <w:rsid w:val="00293C22"/>
    <w:rsid w:val="00293EC6"/>
    <w:rsid w:val="00294692"/>
    <w:rsid w:val="00295DB8"/>
    <w:rsid w:val="00295F8C"/>
    <w:rsid w:val="00296285"/>
    <w:rsid w:val="00296479"/>
    <w:rsid w:val="00296EAF"/>
    <w:rsid w:val="00296FB2"/>
    <w:rsid w:val="00297549"/>
    <w:rsid w:val="002978BF"/>
    <w:rsid w:val="00297A1D"/>
    <w:rsid w:val="00297C44"/>
    <w:rsid w:val="002A0539"/>
    <w:rsid w:val="002A06EF"/>
    <w:rsid w:val="002A162E"/>
    <w:rsid w:val="002A16DC"/>
    <w:rsid w:val="002A1CA1"/>
    <w:rsid w:val="002A1D61"/>
    <w:rsid w:val="002A23A5"/>
    <w:rsid w:val="002A2810"/>
    <w:rsid w:val="002A2CE3"/>
    <w:rsid w:val="002A378A"/>
    <w:rsid w:val="002A3851"/>
    <w:rsid w:val="002A4024"/>
    <w:rsid w:val="002A4AD7"/>
    <w:rsid w:val="002A63AE"/>
    <w:rsid w:val="002A656F"/>
    <w:rsid w:val="002A67CF"/>
    <w:rsid w:val="002A71CC"/>
    <w:rsid w:val="002A7C2C"/>
    <w:rsid w:val="002A7E15"/>
    <w:rsid w:val="002A7EC5"/>
    <w:rsid w:val="002B14F4"/>
    <w:rsid w:val="002B2FDF"/>
    <w:rsid w:val="002B3F91"/>
    <w:rsid w:val="002B57A5"/>
    <w:rsid w:val="002B663C"/>
    <w:rsid w:val="002B764A"/>
    <w:rsid w:val="002C00DB"/>
    <w:rsid w:val="002C10B5"/>
    <w:rsid w:val="002C111C"/>
    <w:rsid w:val="002C178D"/>
    <w:rsid w:val="002C1B97"/>
    <w:rsid w:val="002C215E"/>
    <w:rsid w:val="002C29FC"/>
    <w:rsid w:val="002C2D22"/>
    <w:rsid w:val="002C33DD"/>
    <w:rsid w:val="002C37E0"/>
    <w:rsid w:val="002C4974"/>
    <w:rsid w:val="002C4CD2"/>
    <w:rsid w:val="002C51C3"/>
    <w:rsid w:val="002C5656"/>
    <w:rsid w:val="002C5EA4"/>
    <w:rsid w:val="002C5EA5"/>
    <w:rsid w:val="002C7A70"/>
    <w:rsid w:val="002D08BB"/>
    <w:rsid w:val="002D12C6"/>
    <w:rsid w:val="002D216F"/>
    <w:rsid w:val="002D3492"/>
    <w:rsid w:val="002D34D7"/>
    <w:rsid w:val="002D3876"/>
    <w:rsid w:val="002D5F20"/>
    <w:rsid w:val="002D656C"/>
    <w:rsid w:val="002D6590"/>
    <w:rsid w:val="002D65C8"/>
    <w:rsid w:val="002D7425"/>
    <w:rsid w:val="002D7902"/>
    <w:rsid w:val="002D8FB3"/>
    <w:rsid w:val="002E0112"/>
    <w:rsid w:val="002E0BF2"/>
    <w:rsid w:val="002E1E72"/>
    <w:rsid w:val="002E1EE9"/>
    <w:rsid w:val="002E2A6C"/>
    <w:rsid w:val="002E36F2"/>
    <w:rsid w:val="002E3E34"/>
    <w:rsid w:val="002E427B"/>
    <w:rsid w:val="002E492C"/>
    <w:rsid w:val="002E5D3D"/>
    <w:rsid w:val="002E6CE6"/>
    <w:rsid w:val="002E7334"/>
    <w:rsid w:val="002E7951"/>
    <w:rsid w:val="002F05F7"/>
    <w:rsid w:val="002F0764"/>
    <w:rsid w:val="002F09A7"/>
    <w:rsid w:val="002F0F01"/>
    <w:rsid w:val="002F196E"/>
    <w:rsid w:val="002F2179"/>
    <w:rsid w:val="002F276E"/>
    <w:rsid w:val="002F2CFF"/>
    <w:rsid w:val="002F3254"/>
    <w:rsid w:val="002F3C6D"/>
    <w:rsid w:val="002F3CDD"/>
    <w:rsid w:val="002F3E16"/>
    <w:rsid w:val="002F4D86"/>
    <w:rsid w:val="002F61CD"/>
    <w:rsid w:val="002F665B"/>
    <w:rsid w:val="002F6725"/>
    <w:rsid w:val="002F6CB7"/>
    <w:rsid w:val="002F72EA"/>
    <w:rsid w:val="00301B20"/>
    <w:rsid w:val="00302F3D"/>
    <w:rsid w:val="00302F49"/>
    <w:rsid w:val="0030324F"/>
    <w:rsid w:val="0030401A"/>
    <w:rsid w:val="003047EC"/>
    <w:rsid w:val="00305687"/>
    <w:rsid w:val="003058AA"/>
    <w:rsid w:val="00305CAB"/>
    <w:rsid w:val="00307FDD"/>
    <w:rsid w:val="003105A5"/>
    <w:rsid w:val="00310897"/>
    <w:rsid w:val="00310FC3"/>
    <w:rsid w:val="00312FEF"/>
    <w:rsid w:val="003132BC"/>
    <w:rsid w:val="003137B9"/>
    <w:rsid w:val="00314D38"/>
    <w:rsid w:val="00315FA9"/>
    <w:rsid w:val="00315FFF"/>
    <w:rsid w:val="0031730E"/>
    <w:rsid w:val="00317E8E"/>
    <w:rsid w:val="0032003F"/>
    <w:rsid w:val="0032022D"/>
    <w:rsid w:val="00323B27"/>
    <w:rsid w:val="003248F6"/>
    <w:rsid w:val="003249CB"/>
    <w:rsid w:val="00324CFE"/>
    <w:rsid w:val="00324EBA"/>
    <w:rsid w:val="00325B90"/>
    <w:rsid w:val="00327990"/>
    <w:rsid w:val="0033011A"/>
    <w:rsid w:val="003302B0"/>
    <w:rsid w:val="00330BE4"/>
    <w:rsid w:val="00330D57"/>
    <w:rsid w:val="00331E4D"/>
    <w:rsid w:val="003329EC"/>
    <w:rsid w:val="003337D3"/>
    <w:rsid w:val="00333895"/>
    <w:rsid w:val="003338A1"/>
    <w:rsid w:val="00334110"/>
    <w:rsid w:val="003354C5"/>
    <w:rsid w:val="00335650"/>
    <w:rsid w:val="00336A2C"/>
    <w:rsid w:val="0033724A"/>
    <w:rsid w:val="0033773E"/>
    <w:rsid w:val="00337A63"/>
    <w:rsid w:val="00337B13"/>
    <w:rsid w:val="00340B7C"/>
    <w:rsid w:val="00342251"/>
    <w:rsid w:val="00342E04"/>
    <w:rsid w:val="0034305C"/>
    <w:rsid w:val="0034311E"/>
    <w:rsid w:val="0034362E"/>
    <w:rsid w:val="00343E3C"/>
    <w:rsid w:val="0034443C"/>
    <w:rsid w:val="003446A8"/>
    <w:rsid w:val="00344F2B"/>
    <w:rsid w:val="00345529"/>
    <w:rsid w:val="00346582"/>
    <w:rsid w:val="00346748"/>
    <w:rsid w:val="003469D6"/>
    <w:rsid w:val="00351B00"/>
    <w:rsid w:val="00351B18"/>
    <w:rsid w:val="003521F2"/>
    <w:rsid w:val="00353022"/>
    <w:rsid w:val="003530F1"/>
    <w:rsid w:val="0035345D"/>
    <w:rsid w:val="003534AD"/>
    <w:rsid w:val="003536D2"/>
    <w:rsid w:val="00355F02"/>
    <w:rsid w:val="00355F61"/>
    <w:rsid w:val="00356CDD"/>
    <w:rsid w:val="00356DB8"/>
    <w:rsid w:val="00357DBB"/>
    <w:rsid w:val="0036083C"/>
    <w:rsid w:val="00360AD1"/>
    <w:rsid w:val="00360E7A"/>
    <w:rsid w:val="00363930"/>
    <w:rsid w:val="0036480A"/>
    <w:rsid w:val="0036540A"/>
    <w:rsid w:val="0037048F"/>
    <w:rsid w:val="00370668"/>
    <w:rsid w:val="00370CC9"/>
    <w:rsid w:val="00370EF1"/>
    <w:rsid w:val="003720E3"/>
    <w:rsid w:val="00373B73"/>
    <w:rsid w:val="00374645"/>
    <w:rsid w:val="00374887"/>
    <w:rsid w:val="003757BA"/>
    <w:rsid w:val="003763D3"/>
    <w:rsid w:val="003765DC"/>
    <w:rsid w:val="0037686A"/>
    <w:rsid w:val="003769CC"/>
    <w:rsid w:val="00376A57"/>
    <w:rsid w:val="00377CFC"/>
    <w:rsid w:val="003803ED"/>
    <w:rsid w:val="00380878"/>
    <w:rsid w:val="00381016"/>
    <w:rsid w:val="003817B9"/>
    <w:rsid w:val="00381C67"/>
    <w:rsid w:val="003820D4"/>
    <w:rsid w:val="0038280C"/>
    <w:rsid w:val="0038301D"/>
    <w:rsid w:val="00384072"/>
    <w:rsid w:val="003844E8"/>
    <w:rsid w:val="00384CF2"/>
    <w:rsid w:val="003860FB"/>
    <w:rsid w:val="003866A0"/>
    <w:rsid w:val="00386A8E"/>
    <w:rsid w:val="00387718"/>
    <w:rsid w:val="00390482"/>
    <w:rsid w:val="00390FA0"/>
    <w:rsid w:val="0039147C"/>
    <w:rsid w:val="00391F05"/>
    <w:rsid w:val="00391F3A"/>
    <w:rsid w:val="00393393"/>
    <w:rsid w:val="00393A8B"/>
    <w:rsid w:val="00394077"/>
    <w:rsid w:val="00394B7C"/>
    <w:rsid w:val="00394E09"/>
    <w:rsid w:val="00395393"/>
    <w:rsid w:val="00395F31"/>
    <w:rsid w:val="003962E9"/>
    <w:rsid w:val="003964AD"/>
    <w:rsid w:val="0039659A"/>
    <w:rsid w:val="0039688B"/>
    <w:rsid w:val="003A1325"/>
    <w:rsid w:val="003A1C7B"/>
    <w:rsid w:val="003A1CB6"/>
    <w:rsid w:val="003A2AEA"/>
    <w:rsid w:val="003A5E49"/>
    <w:rsid w:val="003A6441"/>
    <w:rsid w:val="003A6E17"/>
    <w:rsid w:val="003A75E8"/>
    <w:rsid w:val="003A76C5"/>
    <w:rsid w:val="003A7B6A"/>
    <w:rsid w:val="003A7FA6"/>
    <w:rsid w:val="003B04AC"/>
    <w:rsid w:val="003B0922"/>
    <w:rsid w:val="003B0997"/>
    <w:rsid w:val="003B0B53"/>
    <w:rsid w:val="003B11CB"/>
    <w:rsid w:val="003B20D8"/>
    <w:rsid w:val="003B2225"/>
    <w:rsid w:val="003B2CC3"/>
    <w:rsid w:val="003B39EF"/>
    <w:rsid w:val="003B50EF"/>
    <w:rsid w:val="003B5173"/>
    <w:rsid w:val="003B51C4"/>
    <w:rsid w:val="003B52D7"/>
    <w:rsid w:val="003B5ABD"/>
    <w:rsid w:val="003B5FD1"/>
    <w:rsid w:val="003B6698"/>
    <w:rsid w:val="003B6C2A"/>
    <w:rsid w:val="003B7978"/>
    <w:rsid w:val="003C01A7"/>
    <w:rsid w:val="003C0640"/>
    <w:rsid w:val="003C26FC"/>
    <w:rsid w:val="003C2DB6"/>
    <w:rsid w:val="003C2E09"/>
    <w:rsid w:val="003C369D"/>
    <w:rsid w:val="003C3CC2"/>
    <w:rsid w:val="003C3EC3"/>
    <w:rsid w:val="003C4483"/>
    <w:rsid w:val="003C4590"/>
    <w:rsid w:val="003C530E"/>
    <w:rsid w:val="003C5660"/>
    <w:rsid w:val="003C6B2A"/>
    <w:rsid w:val="003C6FBC"/>
    <w:rsid w:val="003C74AF"/>
    <w:rsid w:val="003C7607"/>
    <w:rsid w:val="003D05B2"/>
    <w:rsid w:val="003D116E"/>
    <w:rsid w:val="003D1BE7"/>
    <w:rsid w:val="003D1E5D"/>
    <w:rsid w:val="003D39C0"/>
    <w:rsid w:val="003D3AEE"/>
    <w:rsid w:val="003D4F9C"/>
    <w:rsid w:val="003D5669"/>
    <w:rsid w:val="003D6739"/>
    <w:rsid w:val="003D7CA2"/>
    <w:rsid w:val="003E07F1"/>
    <w:rsid w:val="003E1739"/>
    <w:rsid w:val="003E2625"/>
    <w:rsid w:val="003E29FA"/>
    <w:rsid w:val="003E2A4F"/>
    <w:rsid w:val="003E2B8E"/>
    <w:rsid w:val="003E36FE"/>
    <w:rsid w:val="003E3711"/>
    <w:rsid w:val="003E5B06"/>
    <w:rsid w:val="003F0089"/>
    <w:rsid w:val="003F0610"/>
    <w:rsid w:val="003F0BFD"/>
    <w:rsid w:val="003F1DC8"/>
    <w:rsid w:val="003F1FED"/>
    <w:rsid w:val="003F2380"/>
    <w:rsid w:val="003F335F"/>
    <w:rsid w:val="003F35C9"/>
    <w:rsid w:val="003F3879"/>
    <w:rsid w:val="003F4833"/>
    <w:rsid w:val="003F5081"/>
    <w:rsid w:val="003F5650"/>
    <w:rsid w:val="003F63DB"/>
    <w:rsid w:val="003F71A7"/>
    <w:rsid w:val="003F7744"/>
    <w:rsid w:val="004002A3"/>
    <w:rsid w:val="00400633"/>
    <w:rsid w:val="004006AD"/>
    <w:rsid w:val="00400C2D"/>
    <w:rsid w:val="004013E0"/>
    <w:rsid w:val="00401408"/>
    <w:rsid w:val="004019DD"/>
    <w:rsid w:val="00401F24"/>
    <w:rsid w:val="00402126"/>
    <w:rsid w:val="00402F53"/>
    <w:rsid w:val="00403802"/>
    <w:rsid w:val="004042A7"/>
    <w:rsid w:val="00404991"/>
    <w:rsid w:val="00404CAC"/>
    <w:rsid w:val="00405A2A"/>
    <w:rsid w:val="00405B9F"/>
    <w:rsid w:val="00406099"/>
    <w:rsid w:val="004069B5"/>
    <w:rsid w:val="00406A88"/>
    <w:rsid w:val="00407097"/>
    <w:rsid w:val="00407582"/>
    <w:rsid w:val="00407950"/>
    <w:rsid w:val="0041221C"/>
    <w:rsid w:val="00412B16"/>
    <w:rsid w:val="0041362D"/>
    <w:rsid w:val="00413850"/>
    <w:rsid w:val="00414162"/>
    <w:rsid w:val="00414C9D"/>
    <w:rsid w:val="004152B9"/>
    <w:rsid w:val="004155A0"/>
    <w:rsid w:val="00416BDF"/>
    <w:rsid w:val="00416C94"/>
    <w:rsid w:val="00417098"/>
    <w:rsid w:val="0041EC02"/>
    <w:rsid w:val="00420241"/>
    <w:rsid w:val="004204C8"/>
    <w:rsid w:val="0042059C"/>
    <w:rsid w:val="004207AC"/>
    <w:rsid w:val="0042092F"/>
    <w:rsid w:val="004218CA"/>
    <w:rsid w:val="00421B8C"/>
    <w:rsid w:val="00421BFD"/>
    <w:rsid w:val="00422489"/>
    <w:rsid w:val="004225B6"/>
    <w:rsid w:val="00422947"/>
    <w:rsid w:val="0042565E"/>
    <w:rsid w:val="004261D6"/>
    <w:rsid w:val="004265A4"/>
    <w:rsid w:val="004265FF"/>
    <w:rsid w:val="00426804"/>
    <w:rsid w:val="00427E8B"/>
    <w:rsid w:val="00427F96"/>
    <w:rsid w:val="004301F4"/>
    <w:rsid w:val="00430E3E"/>
    <w:rsid w:val="0043253E"/>
    <w:rsid w:val="004328BF"/>
    <w:rsid w:val="00432B9C"/>
    <w:rsid w:val="00433178"/>
    <w:rsid w:val="0043356B"/>
    <w:rsid w:val="00433E7B"/>
    <w:rsid w:val="00434C40"/>
    <w:rsid w:val="0043525C"/>
    <w:rsid w:val="00436A9F"/>
    <w:rsid w:val="0043723A"/>
    <w:rsid w:val="004375CC"/>
    <w:rsid w:val="00437786"/>
    <w:rsid w:val="004402EB"/>
    <w:rsid w:val="00442FFC"/>
    <w:rsid w:val="00443926"/>
    <w:rsid w:val="00443B08"/>
    <w:rsid w:val="00443BAC"/>
    <w:rsid w:val="00444493"/>
    <w:rsid w:val="00444914"/>
    <w:rsid w:val="004458FB"/>
    <w:rsid w:val="0044594C"/>
    <w:rsid w:val="004459A1"/>
    <w:rsid w:val="00445A6F"/>
    <w:rsid w:val="00445C3E"/>
    <w:rsid w:val="00446CE8"/>
    <w:rsid w:val="00446E66"/>
    <w:rsid w:val="00447D40"/>
    <w:rsid w:val="00450452"/>
    <w:rsid w:val="00450636"/>
    <w:rsid w:val="004506FA"/>
    <w:rsid w:val="00450B2F"/>
    <w:rsid w:val="00450DAF"/>
    <w:rsid w:val="00451C75"/>
    <w:rsid w:val="0045244C"/>
    <w:rsid w:val="004524EF"/>
    <w:rsid w:val="00452A1F"/>
    <w:rsid w:val="0045318C"/>
    <w:rsid w:val="00453CB7"/>
    <w:rsid w:val="00454EF3"/>
    <w:rsid w:val="004553D1"/>
    <w:rsid w:val="004557E8"/>
    <w:rsid w:val="00456341"/>
    <w:rsid w:val="0045638F"/>
    <w:rsid w:val="0045761F"/>
    <w:rsid w:val="00457776"/>
    <w:rsid w:val="004613F8"/>
    <w:rsid w:val="00461A7E"/>
    <w:rsid w:val="00461C7D"/>
    <w:rsid w:val="0046209F"/>
    <w:rsid w:val="00462118"/>
    <w:rsid w:val="004624D6"/>
    <w:rsid w:val="00462A24"/>
    <w:rsid w:val="00463E30"/>
    <w:rsid w:val="004642A8"/>
    <w:rsid w:val="004645B4"/>
    <w:rsid w:val="00466346"/>
    <w:rsid w:val="00466696"/>
    <w:rsid w:val="0046745F"/>
    <w:rsid w:val="00467640"/>
    <w:rsid w:val="00467F09"/>
    <w:rsid w:val="00470B56"/>
    <w:rsid w:val="00470D93"/>
    <w:rsid w:val="00472C94"/>
    <w:rsid w:val="004744B6"/>
    <w:rsid w:val="0047483A"/>
    <w:rsid w:val="00474E12"/>
    <w:rsid w:val="00475A18"/>
    <w:rsid w:val="004767BF"/>
    <w:rsid w:val="00476A57"/>
    <w:rsid w:val="0047712F"/>
    <w:rsid w:val="00477373"/>
    <w:rsid w:val="00477BAD"/>
    <w:rsid w:val="004804F9"/>
    <w:rsid w:val="0048071D"/>
    <w:rsid w:val="00481019"/>
    <w:rsid w:val="004810D7"/>
    <w:rsid w:val="00481BFF"/>
    <w:rsid w:val="004836DC"/>
    <w:rsid w:val="0048414F"/>
    <w:rsid w:val="0048424B"/>
    <w:rsid w:val="00484D8F"/>
    <w:rsid w:val="00484F3C"/>
    <w:rsid w:val="00485541"/>
    <w:rsid w:val="00486A26"/>
    <w:rsid w:val="00486AEE"/>
    <w:rsid w:val="00487A2F"/>
    <w:rsid w:val="004909FC"/>
    <w:rsid w:val="00491AF2"/>
    <w:rsid w:val="00491B26"/>
    <w:rsid w:val="00492BA4"/>
    <w:rsid w:val="00493D26"/>
    <w:rsid w:val="0049452A"/>
    <w:rsid w:val="00496386"/>
    <w:rsid w:val="00497E18"/>
    <w:rsid w:val="004A0E16"/>
    <w:rsid w:val="004A15DD"/>
    <w:rsid w:val="004A2956"/>
    <w:rsid w:val="004A2E3A"/>
    <w:rsid w:val="004A30B4"/>
    <w:rsid w:val="004A3277"/>
    <w:rsid w:val="004A32F1"/>
    <w:rsid w:val="004A33AE"/>
    <w:rsid w:val="004A3ECB"/>
    <w:rsid w:val="004A49B7"/>
    <w:rsid w:val="004A51F9"/>
    <w:rsid w:val="004A75B9"/>
    <w:rsid w:val="004B03F6"/>
    <w:rsid w:val="004B1E35"/>
    <w:rsid w:val="004B218C"/>
    <w:rsid w:val="004B3A58"/>
    <w:rsid w:val="004B4D8C"/>
    <w:rsid w:val="004B5077"/>
    <w:rsid w:val="004B5976"/>
    <w:rsid w:val="004B5DB2"/>
    <w:rsid w:val="004BB05A"/>
    <w:rsid w:val="004C2325"/>
    <w:rsid w:val="004C2694"/>
    <w:rsid w:val="004C3E75"/>
    <w:rsid w:val="004C5A6C"/>
    <w:rsid w:val="004C69A5"/>
    <w:rsid w:val="004C6FCC"/>
    <w:rsid w:val="004D010B"/>
    <w:rsid w:val="004D01D2"/>
    <w:rsid w:val="004D09B9"/>
    <w:rsid w:val="004D1014"/>
    <w:rsid w:val="004D2339"/>
    <w:rsid w:val="004D252B"/>
    <w:rsid w:val="004D2AC8"/>
    <w:rsid w:val="004D2FBA"/>
    <w:rsid w:val="004D33AD"/>
    <w:rsid w:val="004D46C0"/>
    <w:rsid w:val="004D533B"/>
    <w:rsid w:val="004D5837"/>
    <w:rsid w:val="004D5916"/>
    <w:rsid w:val="004D59E7"/>
    <w:rsid w:val="004D5DD1"/>
    <w:rsid w:val="004D61A3"/>
    <w:rsid w:val="004D77E2"/>
    <w:rsid w:val="004D7E26"/>
    <w:rsid w:val="004D893B"/>
    <w:rsid w:val="004E020D"/>
    <w:rsid w:val="004E07FD"/>
    <w:rsid w:val="004E09B5"/>
    <w:rsid w:val="004E18FC"/>
    <w:rsid w:val="004E19A1"/>
    <w:rsid w:val="004E2A3A"/>
    <w:rsid w:val="004E2E20"/>
    <w:rsid w:val="004E35B3"/>
    <w:rsid w:val="004E4249"/>
    <w:rsid w:val="004E43C3"/>
    <w:rsid w:val="004E4926"/>
    <w:rsid w:val="004E4ABF"/>
    <w:rsid w:val="004E4FF3"/>
    <w:rsid w:val="004E550D"/>
    <w:rsid w:val="004E7931"/>
    <w:rsid w:val="004F0C51"/>
    <w:rsid w:val="004F1B27"/>
    <w:rsid w:val="004F1EE0"/>
    <w:rsid w:val="004F2E58"/>
    <w:rsid w:val="004F3465"/>
    <w:rsid w:val="004F3977"/>
    <w:rsid w:val="004F3D61"/>
    <w:rsid w:val="004F5C10"/>
    <w:rsid w:val="004F5FDC"/>
    <w:rsid w:val="004F640D"/>
    <w:rsid w:val="004F64E5"/>
    <w:rsid w:val="004F6AF4"/>
    <w:rsid w:val="00500B10"/>
    <w:rsid w:val="00500BDA"/>
    <w:rsid w:val="00500D69"/>
    <w:rsid w:val="00502D47"/>
    <w:rsid w:val="005039EE"/>
    <w:rsid w:val="00503B4B"/>
    <w:rsid w:val="00504395"/>
    <w:rsid w:val="005048D3"/>
    <w:rsid w:val="005050F3"/>
    <w:rsid w:val="00507584"/>
    <w:rsid w:val="0051096D"/>
    <w:rsid w:val="00510E6B"/>
    <w:rsid w:val="005112A4"/>
    <w:rsid w:val="00513651"/>
    <w:rsid w:val="00513A3E"/>
    <w:rsid w:val="00514E48"/>
    <w:rsid w:val="00514F70"/>
    <w:rsid w:val="00515A1D"/>
    <w:rsid w:val="00515B1B"/>
    <w:rsid w:val="00515C77"/>
    <w:rsid w:val="00516681"/>
    <w:rsid w:val="00517639"/>
    <w:rsid w:val="00521FF4"/>
    <w:rsid w:val="0052418F"/>
    <w:rsid w:val="00525AD4"/>
    <w:rsid w:val="00525E50"/>
    <w:rsid w:val="005263C3"/>
    <w:rsid w:val="00526855"/>
    <w:rsid w:val="00526872"/>
    <w:rsid w:val="00527C5C"/>
    <w:rsid w:val="0052E598"/>
    <w:rsid w:val="005309BC"/>
    <w:rsid w:val="0053245A"/>
    <w:rsid w:val="00532EC1"/>
    <w:rsid w:val="005335A8"/>
    <w:rsid w:val="0053382D"/>
    <w:rsid w:val="00533848"/>
    <w:rsid w:val="00533A12"/>
    <w:rsid w:val="00534932"/>
    <w:rsid w:val="005355D1"/>
    <w:rsid w:val="00535891"/>
    <w:rsid w:val="00535D38"/>
    <w:rsid w:val="00536875"/>
    <w:rsid w:val="00536B82"/>
    <w:rsid w:val="0053749F"/>
    <w:rsid w:val="00537558"/>
    <w:rsid w:val="00540391"/>
    <w:rsid w:val="0054117E"/>
    <w:rsid w:val="00542B23"/>
    <w:rsid w:val="00542E48"/>
    <w:rsid w:val="005440AC"/>
    <w:rsid w:val="0054456B"/>
    <w:rsid w:val="0054596E"/>
    <w:rsid w:val="0054607D"/>
    <w:rsid w:val="00547008"/>
    <w:rsid w:val="0054767D"/>
    <w:rsid w:val="005501A9"/>
    <w:rsid w:val="0055184B"/>
    <w:rsid w:val="00551E4C"/>
    <w:rsid w:val="005525CA"/>
    <w:rsid w:val="00553AD2"/>
    <w:rsid w:val="00553B25"/>
    <w:rsid w:val="00553CB3"/>
    <w:rsid w:val="00554B1A"/>
    <w:rsid w:val="00554CF2"/>
    <w:rsid w:val="00555DD6"/>
    <w:rsid w:val="005567D2"/>
    <w:rsid w:val="00556B31"/>
    <w:rsid w:val="00557BC8"/>
    <w:rsid w:val="00557EAA"/>
    <w:rsid w:val="005616BC"/>
    <w:rsid w:val="005620E6"/>
    <w:rsid w:val="005630F2"/>
    <w:rsid w:val="00563843"/>
    <w:rsid w:val="00563D20"/>
    <w:rsid w:val="00563D52"/>
    <w:rsid w:val="005644C9"/>
    <w:rsid w:val="00564EBC"/>
    <w:rsid w:val="005668A6"/>
    <w:rsid w:val="005676DE"/>
    <w:rsid w:val="00567CB0"/>
    <w:rsid w:val="00570936"/>
    <w:rsid w:val="00572498"/>
    <w:rsid w:val="0057354E"/>
    <w:rsid w:val="00573926"/>
    <w:rsid w:val="005740B2"/>
    <w:rsid w:val="00574FDC"/>
    <w:rsid w:val="005750BF"/>
    <w:rsid w:val="005750F8"/>
    <w:rsid w:val="00575535"/>
    <w:rsid w:val="005757BB"/>
    <w:rsid w:val="005766BB"/>
    <w:rsid w:val="00576E44"/>
    <w:rsid w:val="00577018"/>
    <w:rsid w:val="0058070B"/>
    <w:rsid w:val="00580DF7"/>
    <w:rsid w:val="00582E59"/>
    <w:rsid w:val="00583E9A"/>
    <w:rsid w:val="0058506D"/>
    <w:rsid w:val="00585D92"/>
    <w:rsid w:val="00585FE5"/>
    <w:rsid w:val="0058635B"/>
    <w:rsid w:val="00587355"/>
    <w:rsid w:val="0059189E"/>
    <w:rsid w:val="00591D16"/>
    <w:rsid w:val="00591FF5"/>
    <w:rsid w:val="00592126"/>
    <w:rsid w:val="005936B7"/>
    <w:rsid w:val="00593A59"/>
    <w:rsid w:val="00593BDE"/>
    <w:rsid w:val="00593E77"/>
    <w:rsid w:val="00594A94"/>
    <w:rsid w:val="0059537C"/>
    <w:rsid w:val="00595F42"/>
    <w:rsid w:val="00596A59"/>
    <w:rsid w:val="00597BB7"/>
    <w:rsid w:val="005A0357"/>
    <w:rsid w:val="005A060B"/>
    <w:rsid w:val="005A07FF"/>
    <w:rsid w:val="005A11AB"/>
    <w:rsid w:val="005A16AC"/>
    <w:rsid w:val="005A1CED"/>
    <w:rsid w:val="005A1F7C"/>
    <w:rsid w:val="005A1F99"/>
    <w:rsid w:val="005A2352"/>
    <w:rsid w:val="005A4ECB"/>
    <w:rsid w:val="005A52DF"/>
    <w:rsid w:val="005A611E"/>
    <w:rsid w:val="005A78E6"/>
    <w:rsid w:val="005A7913"/>
    <w:rsid w:val="005A7F82"/>
    <w:rsid w:val="005B0388"/>
    <w:rsid w:val="005B054C"/>
    <w:rsid w:val="005B0601"/>
    <w:rsid w:val="005B06A7"/>
    <w:rsid w:val="005B080A"/>
    <w:rsid w:val="005B29F6"/>
    <w:rsid w:val="005B2DC0"/>
    <w:rsid w:val="005B32A1"/>
    <w:rsid w:val="005B34D4"/>
    <w:rsid w:val="005B362A"/>
    <w:rsid w:val="005B39C9"/>
    <w:rsid w:val="005B46C7"/>
    <w:rsid w:val="005B5334"/>
    <w:rsid w:val="005B6950"/>
    <w:rsid w:val="005B6DDE"/>
    <w:rsid w:val="005B7AA1"/>
    <w:rsid w:val="005C021F"/>
    <w:rsid w:val="005C0292"/>
    <w:rsid w:val="005C04CB"/>
    <w:rsid w:val="005C0537"/>
    <w:rsid w:val="005C070D"/>
    <w:rsid w:val="005C0779"/>
    <w:rsid w:val="005C17B4"/>
    <w:rsid w:val="005C19AA"/>
    <w:rsid w:val="005C3AED"/>
    <w:rsid w:val="005C4D7F"/>
    <w:rsid w:val="005C5333"/>
    <w:rsid w:val="005C59E4"/>
    <w:rsid w:val="005C5CBF"/>
    <w:rsid w:val="005C5CC0"/>
    <w:rsid w:val="005C5DAE"/>
    <w:rsid w:val="005C615D"/>
    <w:rsid w:val="005C65BF"/>
    <w:rsid w:val="005C68C2"/>
    <w:rsid w:val="005C6D88"/>
    <w:rsid w:val="005C7534"/>
    <w:rsid w:val="005D0EA3"/>
    <w:rsid w:val="005D19ED"/>
    <w:rsid w:val="005D3AC1"/>
    <w:rsid w:val="005D3D5A"/>
    <w:rsid w:val="005D42B6"/>
    <w:rsid w:val="005D50E9"/>
    <w:rsid w:val="005D53A6"/>
    <w:rsid w:val="005D5C06"/>
    <w:rsid w:val="005D73D0"/>
    <w:rsid w:val="005E00F4"/>
    <w:rsid w:val="005E06A4"/>
    <w:rsid w:val="005E1E25"/>
    <w:rsid w:val="005E29BF"/>
    <w:rsid w:val="005E2BEF"/>
    <w:rsid w:val="005E38D6"/>
    <w:rsid w:val="005E3F5C"/>
    <w:rsid w:val="005E41C4"/>
    <w:rsid w:val="005E5F8A"/>
    <w:rsid w:val="005E6D60"/>
    <w:rsid w:val="005E7DEE"/>
    <w:rsid w:val="005EAD34"/>
    <w:rsid w:val="005F0A7A"/>
    <w:rsid w:val="005F10CA"/>
    <w:rsid w:val="005F1EC9"/>
    <w:rsid w:val="005F2308"/>
    <w:rsid w:val="005F2388"/>
    <w:rsid w:val="005F2BF1"/>
    <w:rsid w:val="005F2F9F"/>
    <w:rsid w:val="005F3C1B"/>
    <w:rsid w:val="005F3CEC"/>
    <w:rsid w:val="005F496C"/>
    <w:rsid w:val="005F5063"/>
    <w:rsid w:val="005F5CA1"/>
    <w:rsid w:val="005F5F37"/>
    <w:rsid w:val="005F6780"/>
    <w:rsid w:val="005F6CB1"/>
    <w:rsid w:val="005F7327"/>
    <w:rsid w:val="005F76EA"/>
    <w:rsid w:val="005F77E4"/>
    <w:rsid w:val="005F7823"/>
    <w:rsid w:val="005F7F15"/>
    <w:rsid w:val="006003DD"/>
    <w:rsid w:val="00600AAF"/>
    <w:rsid w:val="00600D7F"/>
    <w:rsid w:val="006017E3"/>
    <w:rsid w:val="0060209E"/>
    <w:rsid w:val="0060219F"/>
    <w:rsid w:val="00602953"/>
    <w:rsid w:val="006033DF"/>
    <w:rsid w:val="00603FCD"/>
    <w:rsid w:val="0060523C"/>
    <w:rsid w:val="006060AD"/>
    <w:rsid w:val="006063CE"/>
    <w:rsid w:val="00606E9A"/>
    <w:rsid w:val="006078FB"/>
    <w:rsid w:val="00607B35"/>
    <w:rsid w:val="0061025E"/>
    <w:rsid w:val="0061046F"/>
    <w:rsid w:val="00610636"/>
    <w:rsid w:val="00610A0D"/>
    <w:rsid w:val="00610BF6"/>
    <w:rsid w:val="00611AE0"/>
    <w:rsid w:val="006120F1"/>
    <w:rsid w:val="0061342A"/>
    <w:rsid w:val="006134FF"/>
    <w:rsid w:val="0061368E"/>
    <w:rsid w:val="00613786"/>
    <w:rsid w:val="00614191"/>
    <w:rsid w:val="00614215"/>
    <w:rsid w:val="0061561C"/>
    <w:rsid w:val="00617882"/>
    <w:rsid w:val="00621060"/>
    <w:rsid w:val="00621A53"/>
    <w:rsid w:val="00622B41"/>
    <w:rsid w:val="006233BC"/>
    <w:rsid w:val="00623BDF"/>
    <w:rsid w:val="00623F4B"/>
    <w:rsid w:val="006240BE"/>
    <w:rsid w:val="00624520"/>
    <w:rsid w:val="0062505B"/>
    <w:rsid w:val="006254CD"/>
    <w:rsid w:val="00625D33"/>
    <w:rsid w:val="00626628"/>
    <w:rsid w:val="006267CA"/>
    <w:rsid w:val="0062697D"/>
    <w:rsid w:val="0062754C"/>
    <w:rsid w:val="00627989"/>
    <w:rsid w:val="00627E9A"/>
    <w:rsid w:val="00627FB0"/>
    <w:rsid w:val="00630412"/>
    <w:rsid w:val="00630416"/>
    <w:rsid w:val="00630807"/>
    <w:rsid w:val="00630968"/>
    <w:rsid w:val="00630C9F"/>
    <w:rsid w:val="0063317E"/>
    <w:rsid w:val="0063378C"/>
    <w:rsid w:val="0063382E"/>
    <w:rsid w:val="006345C6"/>
    <w:rsid w:val="00635FD6"/>
    <w:rsid w:val="00636B08"/>
    <w:rsid w:val="00637607"/>
    <w:rsid w:val="00637849"/>
    <w:rsid w:val="0063791D"/>
    <w:rsid w:val="00637D7F"/>
    <w:rsid w:val="00641227"/>
    <w:rsid w:val="00641274"/>
    <w:rsid w:val="0064181A"/>
    <w:rsid w:val="00641BC1"/>
    <w:rsid w:val="00642B08"/>
    <w:rsid w:val="00643075"/>
    <w:rsid w:val="006433D2"/>
    <w:rsid w:val="006433DD"/>
    <w:rsid w:val="00643448"/>
    <w:rsid w:val="00643F3E"/>
    <w:rsid w:val="00644331"/>
    <w:rsid w:val="006443D9"/>
    <w:rsid w:val="00644A04"/>
    <w:rsid w:val="00644F43"/>
    <w:rsid w:val="006466C7"/>
    <w:rsid w:val="006470FC"/>
    <w:rsid w:val="006471A4"/>
    <w:rsid w:val="00650400"/>
    <w:rsid w:val="00650B87"/>
    <w:rsid w:val="00651046"/>
    <w:rsid w:val="00651792"/>
    <w:rsid w:val="00651FE4"/>
    <w:rsid w:val="0065250C"/>
    <w:rsid w:val="00653104"/>
    <w:rsid w:val="006533B5"/>
    <w:rsid w:val="00654370"/>
    <w:rsid w:val="006547ED"/>
    <w:rsid w:val="00654960"/>
    <w:rsid w:val="00655315"/>
    <w:rsid w:val="00655552"/>
    <w:rsid w:val="00655804"/>
    <w:rsid w:val="00655EFC"/>
    <w:rsid w:val="00656DB2"/>
    <w:rsid w:val="00657268"/>
    <w:rsid w:val="0065772C"/>
    <w:rsid w:val="00661BF8"/>
    <w:rsid w:val="0066306B"/>
    <w:rsid w:val="006632B6"/>
    <w:rsid w:val="006655D4"/>
    <w:rsid w:val="00665697"/>
    <w:rsid w:val="00665BE8"/>
    <w:rsid w:val="00665FA5"/>
    <w:rsid w:val="0066670D"/>
    <w:rsid w:val="00666811"/>
    <w:rsid w:val="00667496"/>
    <w:rsid w:val="0066831F"/>
    <w:rsid w:val="00671224"/>
    <w:rsid w:val="00671504"/>
    <w:rsid w:val="00671CB3"/>
    <w:rsid w:val="00671F9B"/>
    <w:rsid w:val="006728C1"/>
    <w:rsid w:val="00672AC5"/>
    <w:rsid w:val="00673F31"/>
    <w:rsid w:val="00674516"/>
    <w:rsid w:val="00674A63"/>
    <w:rsid w:val="0067561B"/>
    <w:rsid w:val="00675EE1"/>
    <w:rsid w:val="006760B4"/>
    <w:rsid w:val="00676FC6"/>
    <w:rsid w:val="00677145"/>
    <w:rsid w:val="0067737D"/>
    <w:rsid w:val="0067750C"/>
    <w:rsid w:val="006803E4"/>
    <w:rsid w:val="00680962"/>
    <w:rsid w:val="00680B61"/>
    <w:rsid w:val="00681A57"/>
    <w:rsid w:val="00681D3B"/>
    <w:rsid w:val="006836E0"/>
    <w:rsid w:val="00684C67"/>
    <w:rsid w:val="00684D2D"/>
    <w:rsid w:val="00685E70"/>
    <w:rsid w:val="00685F00"/>
    <w:rsid w:val="00686287"/>
    <w:rsid w:val="006863B1"/>
    <w:rsid w:val="00686C65"/>
    <w:rsid w:val="00687224"/>
    <w:rsid w:val="006903A3"/>
    <w:rsid w:val="006922EE"/>
    <w:rsid w:val="006933FF"/>
    <w:rsid w:val="00693B7C"/>
    <w:rsid w:val="00693E7A"/>
    <w:rsid w:val="0069414D"/>
    <w:rsid w:val="00694683"/>
    <w:rsid w:val="00694928"/>
    <w:rsid w:val="00694C48"/>
    <w:rsid w:val="00694D02"/>
    <w:rsid w:val="006953CB"/>
    <w:rsid w:val="006955E5"/>
    <w:rsid w:val="00695DDC"/>
    <w:rsid w:val="006960AD"/>
    <w:rsid w:val="00696F42"/>
    <w:rsid w:val="00697190"/>
    <w:rsid w:val="006A0A37"/>
    <w:rsid w:val="006A0BBA"/>
    <w:rsid w:val="006A0F8D"/>
    <w:rsid w:val="006A1666"/>
    <w:rsid w:val="006A16C4"/>
    <w:rsid w:val="006A1E32"/>
    <w:rsid w:val="006A2045"/>
    <w:rsid w:val="006A2180"/>
    <w:rsid w:val="006A22D8"/>
    <w:rsid w:val="006A2B14"/>
    <w:rsid w:val="006A2F66"/>
    <w:rsid w:val="006A30B0"/>
    <w:rsid w:val="006A35C0"/>
    <w:rsid w:val="006A3A7B"/>
    <w:rsid w:val="006A55C4"/>
    <w:rsid w:val="006A5F0F"/>
    <w:rsid w:val="006A5F6F"/>
    <w:rsid w:val="006B00FA"/>
    <w:rsid w:val="006B23DF"/>
    <w:rsid w:val="006B2E11"/>
    <w:rsid w:val="006B3825"/>
    <w:rsid w:val="006B43EB"/>
    <w:rsid w:val="006B544A"/>
    <w:rsid w:val="006B549B"/>
    <w:rsid w:val="006B5C85"/>
    <w:rsid w:val="006B5CB9"/>
    <w:rsid w:val="006B7001"/>
    <w:rsid w:val="006C2080"/>
    <w:rsid w:val="006C26C8"/>
    <w:rsid w:val="006C2EE2"/>
    <w:rsid w:val="006C3700"/>
    <w:rsid w:val="006C3891"/>
    <w:rsid w:val="006C44F9"/>
    <w:rsid w:val="006C4552"/>
    <w:rsid w:val="006C47F7"/>
    <w:rsid w:val="006C55C0"/>
    <w:rsid w:val="006C6FBC"/>
    <w:rsid w:val="006C7917"/>
    <w:rsid w:val="006C7ACD"/>
    <w:rsid w:val="006D0073"/>
    <w:rsid w:val="006D0213"/>
    <w:rsid w:val="006D0D62"/>
    <w:rsid w:val="006D0E5E"/>
    <w:rsid w:val="006D19E9"/>
    <w:rsid w:val="006D1B5D"/>
    <w:rsid w:val="006D2380"/>
    <w:rsid w:val="006D2EE4"/>
    <w:rsid w:val="006D3D1A"/>
    <w:rsid w:val="006D4824"/>
    <w:rsid w:val="006D627E"/>
    <w:rsid w:val="006D6683"/>
    <w:rsid w:val="006D6BCD"/>
    <w:rsid w:val="006D6E7A"/>
    <w:rsid w:val="006E008F"/>
    <w:rsid w:val="006E0094"/>
    <w:rsid w:val="006E123F"/>
    <w:rsid w:val="006E1459"/>
    <w:rsid w:val="006E1A3F"/>
    <w:rsid w:val="006E1BC1"/>
    <w:rsid w:val="006E20E5"/>
    <w:rsid w:val="006E20EC"/>
    <w:rsid w:val="006E28E7"/>
    <w:rsid w:val="006E45E6"/>
    <w:rsid w:val="006E5ADD"/>
    <w:rsid w:val="006E68A7"/>
    <w:rsid w:val="006E6E00"/>
    <w:rsid w:val="006E6F65"/>
    <w:rsid w:val="006F010A"/>
    <w:rsid w:val="006F16A6"/>
    <w:rsid w:val="006F19C3"/>
    <w:rsid w:val="006F23BA"/>
    <w:rsid w:val="006F2617"/>
    <w:rsid w:val="006F2D4C"/>
    <w:rsid w:val="006F3E5A"/>
    <w:rsid w:val="006F40A8"/>
    <w:rsid w:val="006F5317"/>
    <w:rsid w:val="006F5FD5"/>
    <w:rsid w:val="006F6294"/>
    <w:rsid w:val="006F6363"/>
    <w:rsid w:val="006F674D"/>
    <w:rsid w:val="006F6ACC"/>
    <w:rsid w:val="006F6BDC"/>
    <w:rsid w:val="006F7AF8"/>
    <w:rsid w:val="006F7B87"/>
    <w:rsid w:val="007012F4"/>
    <w:rsid w:val="00701652"/>
    <w:rsid w:val="007028CA"/>
    <w:rsid w:val="007031DC"/>
    <w:rsid w:val="007031FC"/>
    <w:rsid w:val="007040A1"/>
    <w:rsid w:val="00704E91"/>
    <w:rsid w:val="007055B3"/>
    <w:rsid w:val="007060F3"/>
    <w:rsid w:val="00706F2C"/>
    <w:rsid w:val="00707A0E"/>
    <w:rsid w:val="007105F2"/>
    <w:rsid w:val="007108EF"/>
    <w:rsid w:val="0071129D"/>
    <w:rsid w:val="00711ADE"/>
    <w:rsid w:val="007126D6"/>
    <w:rsid w:val="00713D48"/>
    <w:rsid w:val="007145AE"/>
    <w:rsid w:val="00714D5C"/>
    <w:rsid w:val="00714DB8"/>
    <w:rsid w:val="00716547"/>
    <w:rsid w:val="0071684D"/>
    <w:rsid w:val="007168EE"/>
    <w:rsid w:val="00716FD8"/>
    <w:rsid w:val="007173A8"/>
    <w:rsid w:val="0071785F"/>
    <w:rsid w:val="00717AD4"/>
    <w:rsid w:val="00720008"/>
    <w:rsid w:val="007203EC"/>
    <w:rsid w:val="00720706"/>
    <w:rsid w:val="00720D05"/>
    <w:rsid w:val="007211E0"/>
    <w:rsid w:val="007216EA"/>
    <w:rsid w:val="007221AC"/>
    <w:rsid w:val="007226B1"/>
    <w:rsid w:val="0072497F"/>
    <w:rsid w:val="00724DB6"/>
    <w:rsid w:val="00726764"/>
    <w:rsid w:val="00726BD8"/>
    <w:rsid w:val="007272EF"/>
    <w:rsid w:val="00727B01"/>
    <w:rsid w:val="00727C0C"/>
    <w:rsid w:val="007303A1"/>
    <w:rsid w:val="007325CB"/>
    <w:rsid w:val="0073313B"/>
    <w:rsid w:val="007339C2"/>
    <w:rsid w:val="00733F61"/>
    <w:rsid w:val="00733FA2"/>
    <w:rsid w:val="0073439A"/>
    <w:rsid w:val="00734FFE"/>
    <w:rsid w:val="00735006"/>
    <w:rsid w:val="0073548A"/>
    <w:rsid w:val="00735FA0"/>
    <w:rsid w:val="007367D2"/>
    <w:rsid w:val="007407A7"/>
    <w:rsid w:val="007416A5"/>
    <w:rsid w:val="00741808"/>
    <w:rsid w:val="007419C3"/>
    <w:rsid w:val="00742E75"/>
    <w:rsid w:val="00743688"/>
    <w:rsid w:val="00744B46"/>
    <w:rsid w:val="00744D08"/>
    <w:rsid w:val="00745684"/>
    <w:rsid w:val="007457C9"/>
    <w:rsid w:val="00745812"/>
    <w:rsid w:val="00745C7D"/>
    <w:rsid w:val="0074669D"/>
    <w:rsid w:val="007474D2"/>
    <w:rsid w:val="00747F65"/>
    <w:rsid w:val="00750794"/>
    <w:rsid w:val="00750C10"/>
    <w:rsid w:val="00750D29"/>
    <w:rsid w:val="0075160D"/>
    <w:rsid w:val="00751D0E"/>
    <w:rsid w:val="007531E8"/>
    <w:rsid w:val="00753465"/>
    <w:rsid w:val="00753763"/>
    <w:rsid w:val="0075395A"/>
    <w:rsid w:val="00753B97"/>
    <w:rsid w:val="0075477D"/>
    <w:rsid w:val="00754929"/>
    <w:rsid w:val="007567A7"/>
    <w:rsid w:val="007573DD"/>
    <w:rsid w:val="00757934"/>
    <w:rsid w:val="00757AB1"/>
    <w:rsid w:val="00757B60"/>
    <w:rsid w:val="007605DC"/>
    <w:rsid w:val="007615A9"/>
    <w:rsid w:val="00761FC5"/>
    <w:rsid w:val="00763202"/>
    <w:rsid w:val="007632B4"/>
    <w:rsid w:val="00763B14"/>
    <w:rsid w:val="007642C4"/>
    <w:rsid w:val="00764A70"/>
    <w:rsid w:val="0076540D"/>
    <w:rsid w:val="00765F50"/>
    <w:rsid w:val="007672F0"/>
    <w:rsid w:val="007674E6"/>
    <w:rsid w:val="007712BC"/>
    <w:rsid w:val="00771347"/>
    <w:rsid w:val="007714BA"/>
    <w:rsid w:val="007720A4"/>
    <w:rsid w:val="00772942"/>
    <w:rsid w:val="00772D36"/>
    <w:rsid w:val="007734D3"/>
    <w:rsid w:val="00773A68"/>
    <w:rsid w:val="00773B00"/>
    <w:rsid w:val="0077496B"/>
    <w:rsid w:val="00774CEC"/>
    <w:rsid w:val="00776873"/>
    <w:rsid w:val="00776EEA"/>
    <w:rsid w:val="00777309"/>
    <w:rsid w:val="007773E5"/>
    <w:rsid w:val="00777B58"/>
    <w:rsid w:val="00780DC0"/>
    <w:rsid w:val="00781C5F"/>
    <w:rsid w:val="00781C65"/>
    <w:rsid w:val="00781CBE"/>
    <w:rsid w:val="00782790"/>
    <w:rsid w:val="00782BD3"/>
    <w:rsid w:val="00782E5B"/>
    <w:rsid w:val="00782FBA"/>
    <w:rsid w:val="00783020"/>
    <w:rsid w:val="00783261"/>
    <w:rsid w:val="00783AEB"/>
    <w:rsid w:val="00783DBF"/>
    <w:rsid w:val="0078492F"/>
    <w:rsid w:val="00784BB0"/>
    <w:rsid w:val="00784BE2"/>
    <w:rsid w:val="00784F82"/>
    <w:rsid w:val="00785222"/>
    <w:rsid w:val="00785507"/>
    <w:rsid w:val="007856AD"/>
    <w:rsid w:val="007856B6"/>
    <w:rsid w:val="00785840"/>
    <w:rsid w:val="007864C3"/>
    <w:rsid w:val="00787027"/>
    <w:rsid w:val="007873A2"/>
    <w:rsid w:val="00787437"/>
    <w:rsid w:val="00790976"/>
    <w:rsid w:val="007909FB"/>
    <w:rsid w:val="00791BA5"/>
    <w:rsid w:val="00791F3A"/>
    <w:rsid w:val="007922DB"/>
    <w:rsid w:val="00792F57"/>
    <w:rsid w:val="00792FF8"/>
    <w:rsid w:val="007933A8"/>
    <w:rsid w:val="0079347F"/>
    <w:rsid w:val="0079355E"/>
    <w:rsid w:val="00793F21"/>
    <w:rsid w:val="00794143"/>
    <w:rsid w:val="007941A3"/>
    <w:rsid w:val="007943FB"/>
    <w:rsid w:val="00794650"/>
    <w:rsid w:val="0079584A"/>
    <w:rsid w:val="00796C52"/>
    <w:rsid w:val="00797442"/>
    <w:rsid w:val="0079769A"/>
    <w:rsid w:val="00797DBB"/>
    <w:rsid w:val="00797DC2"/>
    <w:rsid w:val="007A01ED"/>
    <w:rsid w:val="007A037D"/>
    <w:rsid w:val="007A06F8"/>
    <w:rsid w:val="007A0733"/>
    <w:rsid w:val="007A18B4"/>
    <w:rsid w:val="007A249F"/>
    <w:rsid w:val="007A2815"/>
    <w:rsid w:val="007A318E"/>
    <w:rsid w:val="007A399D"/>
    <w:rsid w:val="007A3C88"/>
    <w:rsid w:val="007A3FE5"/>
    <w:rsid w:val="007A4681"/>
    <w:rsid w:val="007A493C"/>
    <w:rsid w:val="007A4966"/>
    <w:rsid w:val="007A6906"/>
    <w:rsid w:val="007A69D5"/>
    <w:rsid w:val="007A6ED4"/>
    <w:rsid w:val="007A7383"/>
    <w:rsid w:val="007A75C6"/>
    <w:rsid w:val="007A7905"/>
    <w:rsid w:val="007B03BD"/>
    <w:rsid w:val="007B07A5"/>
    <w:rsid w:val="007B0D49"/>
    <w:rsid w:val="007B144A"/>
    <w:rsid w:val="007B148F"/>
    <w:rsid w:val="007B15C9"/>
    <w:rsid w:val="007B1627"/>
    <w:rsid w:val="007B186F"/>
    <w:rsid w:val="007B1FC2"/>
    <w:rsid w:val="007B233B"/>
    <w:rsid w:val="007B26A8"/>
    <w:rsid w:val="007B3954"/>
    <w:rsid w:val="007B49CD"/>
    <w:rsid w:val="007B4C60"/>
    <w:rsid w:val="007B4DF2"/>
    <w:rsid w:val="007B5031"/>
    <w:rsid w:val="007B5F67"/>
    <w:rsid w:val="007B6724"/>
    <w:rsid w:val="007B77B3"/>
    <w:rsid w:val="007B78C4"/>
    <w:rsid w:val="007C0452"/>
    <w:rsid w:val="007C103D"/>
    <w:rsid w:val="007C1480"/>
    <w:rsid w:val="007C2823"/>
    <w:rsid w:val="007C2E12"/>
    <w:rsid w:val="007C3262"/>
    <w:rsid w:val="007C344C"/>
    <w:rsid w:val="007C3A9F"/>
    <w:rsid w:val="007C3EAE"/>
    <w:rsid w:val="007C5223"/>
    <w:rsid w:val="007C5F02"/>
    <w:rsid w:val="007C5FD8"/>
    <w:rsid w:val="007D074B"/>
    <w:rsid w:val="007D0B21"/>
    <w:rsid w:val="007D0B3E"/>
    <w:rsid w:val="007D1226"/>
    <w:rsid w:val="007D1271"/>
    <w:rsid w:val="007D3D69"/>
    <w:rsid w:val="007D42ED"/>
    <w:rsid w:val="007D5EFF"/>
    <w:rsid w:val="007E0815"/>
    <w:rsid w:val="007E0AB8"/>
    <w:rsid w:val="007E0B41"/>
    <w:rsid w:val="007E0EB4"/>
    <w:rsid w:val="007E1518"/>
    <w:rsid w:val="007E15DB"/>
    <w:rsid w:val="007E1B30"/>
    <w:rsid w:val="007E2E78"/>
    <w:rsid w:val="007E5B51"/>
    <w:rsid w:val="007E6807"/>
    <w:rsid w:val="007E6F2B"/>
    <w:rsid w:val="007F166D"/>
    <w:rsid w:val="007F2BE4"/>
    <w:rsid w:val="007F348A"/>
    <w:rsid w:val="007F3FA6"/>
    <w:rsid w:val="007F428B"/>
    <w:rsid w:val="007F44BA"/>
    <w:rsid w:val="007F5044"/>
    <w:rsid w:val="007F5DDE"/>
    <w:rsid w:val="007F6028"/>
    <w:rsid w:val="007F628B"/>
    <w:rsid w:val="007F69A6"/>
    <w:rsid w:val="007F69D0"/>
    <w:rsid w:val="007F7D15"/>
    <w:rsid w:val="008014DD"/>
    <w:rsid w:val="00801A2B"/>
    <w:rsid w:val="008021D1"/>
    <w:rsid w:val="00803311"/>
    <w:rsid w:val="008036D7"/>
    <w:rsid w:val="00803CBE"/>
    <w:rsid w:val="00803DE2"/>
    <w:rsid w:val="00804DFC"/>
    <w:rsid w:val="00805076"/>
    <w:rsid w:val="008050F9"/>
    <w:rsid w:val="008051F6"/>
    <w:rsid w:val="00806AEA"/>
    <w:rsid w:val="00807027"/>
    <w:rsid w:val="00811AD6"/>
    <w:rsid w:val="00811CA7"/>
    <w:rsid w:val="00812559"/>
    <w:rsid w:val="00812BC3"/>
    <w:rsid w:val="00813D49"/>
    <w:rsid w:val="00814487"/>
    <w:rsid w:val="00814A0D"/>
    <w:rsid w:val="008163E4"/>
    <w:rsid w:val="00816F93"/>
    <w:rsid w:val="00817803"/>
    <w:rsid w:val="0082026E"/>
    <w:rsid w:val="00822963"/>
    <w:rsid w:val="00823559"/>
    <w:rsid w:val="0082403E"/>
    <w:rsid w:val="0082497B"/>
    <w:rsid w:val="008253B1"/>
    <w:rsid w:val="00825E64"/>
    <w:rsid w:val="00825E9D"/>
    <w:rsid w:val="00826305"/>
    <w:rsid w:val="008264DE"/>
    <w:rsid w:val="00826BD6"/>
    <w:rsid w:val="008278D0"/>
    <w:rsid w:val="00827943"/>
    <w:rsid w:val="00830105"/>
    <w:rsid w:val="00831409"/>
    <w:rsid w:val="00831644"/>
    <w:rsid w:val="00831653"/>
    <w:rsid w:val="00832D95"/>
    <w:rsid w:val="008331CE"/>
    <w:rsid w:val="00833303"/>
    <w:rsid w:val="0083410A"/>
    <w:rsid w:val="00835967"/>
    <w:rsid w:val="00836184"/>
    <w:rsid w:val="0083709B"/>
    <w:rsid w:val="00837522"/>
    <w:rsid w:val="00837DF0"/>
    <w:rsid w:val="008403F3"/>
    <w:rsid w:val="00840785"/>
    <w:rsid w:val="00840A45"/>
    <w:rsid w:val="00840AD4"/>
    <w:rsid w:val="00842106"/>
    <w:rsid w:val="0084235E"/>
    <w:rsid w:val="00842529"/>
    <w:rsid w:val="0084354F"/>
    <w:rsid w:val="00843F16"/>
    <w:rsid w:val="00844328"/>
    <w:rsid w:val="00844F20"/>
    <w:rsid w:val="008452E8"/>
    <w:rsid w:val="00845E3E"/>
    <w:rsid w:val="00846821"/>
    <w:rsid w:val="008469D4"/>
    <w:rsid w:val="00846BDE"/>
    <w:rsid w:val="00846D26"/>
    <w:rsid w:val="008475D0"/>
    <w:rsid w:val="008477B9"/>
    <w:rsid w:val="0085010F"/>
    <w:rsid w:val="008505CA"/>
    <w:rsid w:val="00850926"/>
    <w:rsid w:val="008511B3"/>
    <w:rsid w:val="00851271"/>
    <w:rsid w:val="008515A7"/>
    <w:rsid w:val="00851774"/>
    <w:rsid w:val="0085327F"/>
    <w:rsid w:val="0085367C"/>
    <w:rsid w:val="008538B9"/>
    <w:rsid w:val="00853921"/>
    <w:rsid w:val="008539DF"/>
    <w:rsid w:val="008539FC"/>
    <w:rsid w:val="00853A35"/>
    <w:rsid w:val="00853F1F"/>
    <w:rsid w:val="0085413E"/>
    <w:rsid w:val="00854556"/>
    <w:rsid w:val="008545B8"/>
    <w:rsid w:val="0085570D"/>
    <w:rsid w:val="0085578B"/>
    <w:rsid w:val="00855864"/>
    <w:rsid w:val="00856A42"/>
    <w:rsid w:val="00860559"/>
    <w:rsid w:val="0086061E"/>
    <w:rsid w:val="0086096D"/>
    <w:rsid w:val="00861087"/>
    <w:rsid w:val="008615F0"/>
    <w:rsid w:val="00862815"/>
    <w:rsid w:val="008629FE"/>
    <w:rsid w:val="00862F73"/>
    <w:rsid w:val="00863A66"/>
    <w:rsid w:val="00863C13"/>
    <w:rsid w:val="008642AA"/>
    <w:rsid w:val="00864ABE"/>
    <w:rsid w:val="00864F07"/>
    <w:rsid w:val="00865429"/>
    <w:rsid w:val="0086581C"/>
    <w:rsid w:val="00866A4C"/>
    <w:rsid w:val="00867750"/>
    <w:rsid w:val="00870356"/>
    <w:rsid w:val="00871535"/>
    <w:rsid w:val="00871647"/>
    <w:rsid w:val="00872673"/>
    <w:rsid w:val="00872A5A"/>
    <w:rsid w:val="00872B78"/>
    <w:rsid w:val="00874F22"/>
    <w:rsid w:val="008757EA"/>
    <w:rsid w:val="00875FC5"/>
    <w:rsid w:val="008761A1"/>
    <w:rsid w:val="008761B6"/>
    <w:rsid w:val="00876B68"/>
    <w:rsid w:val="00877548"/>
    <w:rsid w:val="00877880"/>
    <w:rsid w:val="00877C3E"/>
    <w:rsid w:val="00880325"/>
    <w:rsid w:val="00880D39"/>
    <w:rsid w:val="00882932"/>
    <w:rsid w:val="00882A10"/>
    <w:rsid w:val="00882B91"/>
    <w:rsid w:val="00882E3C"/>
    <w:rsid w:val="008831B4"/>
    <w:rsid w:val="00883B8B"/>
    <w:rsid w:val="00884C05"/>
    <w:rsid w:val="00884CC0"/>
    <w:rsid w:val="008862F7"/>
    <w:rsid w:val="008869B7"/>
    <w:rsid w:val="00886BBD"/>
    <w:rsid w:val="00887124"/>
    <w:rsid w:val="0088745B"/>
    <w:rsid w:val="00890C1F"/>
    <w:rsid w:val="008916B2"/>
    <w:rsid w:val="0089204D"/>
    <w:rsid w:val="0089276B"/>
    <w:rsid w:val="00893D71"/>
    <w:rsid w:val="00894128"/>
    <w:rsid w:val="00895293"/>
    <w:rsid w:val="0089540D"/>
    <w:rsid w:val="008959A4"/>
    <w:rsid w:val="00895EBF"/>
    <w:rsid w:val="0089606E"/>
    <w:rsid w:val="00896CE6"/>
    <w:rsid w:val="00897990"/>
    <w:rsid w:val="008A0BF5"/>
    <w:rsid w:val="008A21ED"/>
    <w:rsid w:val="008A2DFA"/>
    <w:rsid w:val="008A398B"/>
    <w:rsid w:val="008A49EB"/>
    <w:rsid w:val="008A514B"/>
    <w:rsid w:val="008A54B0"/>
    <w:rsid w:val="008A5AA3"/>
    <w:rsid w:val="008A6084"/>
    <w:rsid w:val="008A71C1"/>
    <w:rsid w:val="008A7DC7"/>
    <w:rsid w:val="008B28CB"/>
    <w:rsid w:val="008B2BA7"/>
    <w:rsid w:val="008B4232"/>
    <w:rsid w:val="008B44E3"/>
    <w:rsid w:val="008B4E7F"/>
    <w:rsid w:val="008B5776"/>
    <w:rsid w:val="008B5CF8"/>
    <w:rsid w:val="008B7B1A"/>
    <w:rsid w:val="008B7C35"/>
    <w:rsid w:val="008BF1E8"/>
    <w:rsid w:val="008C0A3B"/>
    <w:rsid w:val="008C0E04"/>
    <w:rsid w:val="008C0EAF"/>
    <w:rsid w:val="008C2B66"/>
    <w:rsid w:val="008C3125"/>
    <w:rsid w:val="008C333B"/>
    <w:rsid w:val="008C3806"/>
    <w:rsid w:val="008C3C12"/>
    <w:rsid w:val="008C45B1"/>
    <w:rsid w:val="008C6034"/>
    <w:rsid w:val="008C6925"/>
    <w:rsid w:val="008C757D"/>
    <w:rsid w:val="008C765B"/>
    <w:rsid w:val="008C7832"/>
    <w:rsid w:val="008C7FE7"/>
    <w:rsid w:val="008D0878"/>
    <w:rsid w:val="008D1C2D"/>
    <w:rsid w:val="008D30A5"/>
    <w:rsid w:val="008D3386"/>
    <w:rsid w:val="008D47FB"/>
    <w:rsid w:val="008D4834"/>
    <w:rsid w:val="008D5379"/>
    <w:rsid w:val="008D5DB6"/>
    <w:rsid w:val="008D604C"/>
    <w:rsid w:val="008D65E2"/>
    <w:rsid w:val="008D67A1"/>
    <w:rsid w:val="008D7230"/>
    <w:rsid w:val="008D7605"/>
    <w:rsid w:val="008E0517"/>
    <w:rsid w:val="008E14C0"/>
    <w:rsid w:val="008E15C6"/>
    <w:rsid w:val="008E1E89"/>
    <w:rsid w:val="008E28C9"/>
    <w:rsid w:val="008E28EA"/>
    <w:rsid w:val="008E4285"/>
    <w:rsid w:val="008E49E0"/>
    <w:rsid w:val="008E4CC8"/>
    <w:rsid w:val="008E52FE"/>
    <w:rsid w:val="008E57E9"/>
    <w:rsid w:val="008E5E23"/>
    <w:rsid w:val="008E652C"/>
    <w:rsid w:val="008E65AF"/>
    <w:rsid w:val="008E711A"/>
    <w:rsid w:val="008E78D0"/>
    <w:rsid w:val="008E7B36"/>
    <w:rsid w:val="008F0677"/>
    <w:rsid w:val="008F13FF"/>
    <w:rsid w:val="008F1F57"/>
    <w:rsid w:val="008F2865"/>
    <w:rsid w:val="008F2990"/>
    <w:rsid w:val="008F2E01"/>
    <w:rsid w:val="008F3401"/>
    <w:rsid w:val="008F3EF9"/>
    <w:rsid w:val="008F42C7"/>
    <w:rsid w:val="008F45F4"/>
    <w:rsid w:val="008F51B3"/>
    <w:rsid w:val="008F522C"/>
    <w:rsid w:val="008F6938"/>
    <w:rsid w:val="008F726F"/>
    <w:rsid w:val="008F76F1"/>
    <w:rsid w:val="008F7FF7"/>
    <w:rsid w:val="00900AEF"/>
    <w:rsid w:val="00900DA0"/>
    <w:rsid w:val="00901BD7"/>
    <w:rsid w:val="0090210D"/>
    <w:rsid w:val="009026E4"/>
    <w:rsid w:val="00902E66"/>
    <w:rsid w:val="00902E86"/>
    <w:rsid w:val="00903470"/>
    <w:rsid w:val="0090392B"/>
    <w:rsid w:val="00903B2C"/>
    <w:rsid w:val="00903D98"/>
    <w:rsid w:val="009055E9"/>
    <w:rsid w:val="00905A11"/>
    <w:rsid w:val="00905FAC"/>
    <w:rsid w:val="0090626E"/>
    <w:rsid w:val="00907439"/>
    <w:rsid w:val="00907E68"/>
    <w:rsid w:val="0091054B"/>
    <w:rsid w:val="00910A8E"/>
    <w:rsid w:val="0091110E"/>
    <w:rsid w:val="009112F6"/>
    <w:rsid w:val="009118D7"/>
    <w:rsid w:val="0091242A"/>
    <w:rsid w:val="0091247A"/>
    <w:rsid w:val="00912CEB"/>
    <w:rsid w:val="00913097"/>
    <w:rsid w:val="00913451"/>
    <w:rsid w:val="00914419"/>
    <w:rsid w:val="0091487F"/>
    <w:rsid w:val="00914930"/>
    <w:rsid w:val="0091565C"/>
    <w:rsid w:val="00916232"/>
    <w:rsid w:val="0091635F"/>
    <w:rsid w:val="0091716B"/>
    <w:rsid w:val="009206FB"/>
    <w:rsid w:val="009209B4"/>
    <w:rsid w:val="00920DC5"/>
    <w:rsid w:val="00921270"/>
    <w:rsid w:val="00922DDE"/>
    <w:rsid w:val="009236DD"/>
    <w:rsid w:val="009237F9"/>
    <w:rsid w:val="00923E2C"/>
    <w:rsid w:val="00924C20"/>
    <w:rsid w:val="00925A28"/>
    <w:rsid w:val="009263B9"/>
    <w:rsid w:val="0092653E"/>
    <w:rsid w:val="00926BDD"/>
    <w:rsid w:val="00927177"/>
    <w:rsid w:val="00927235"/>
    <w:rsid w:val="0092772D"/>
    <w:rsid w:val="00927CFC"/>
    <w:rsid w:val="00931537"/>
    <w:rsid w:val="00931654"/>
    <w:rsid w:val="00931CA0"/>
    <w:rsid w:val="009334EC"/>
    <w:rsid w:val="009347EC"/>
    <w:rsid w:val="00934D90"/>
    <w:rsid w:val="00937561"/>
    <w:rsid w:val="00940C27"/>
    <w:rsid w:val="00940FA2"/>
    <w:rsid w:val="009416B5"/>
    <w:rsid w:val="00941CB9"/>
    <w:rsid w:val="00942829"/>
    <w:rsid w:val="00942ACE"/>
    <w:rsid w:val="00942BC7"/>
    <w:rsid w:val="00942BED"/>
    <w:rsid w:val="00943172"/>
    <w:rsid w:val="0094784E"/>
    <w:rsid w:val="00947974"/>
    <w:rsid w:val="00950A62"/>
    <w:rsid w:val="00951142"/>
    <w:rsid w:val="00951BE8"/>
    <w:rsid w:val="00952737"/>
    <w:rsid w:val="0095279C"/>
    <w:rsid w:val="009543A5"/>
    <w:rsid w:val="009544ED"/>
    <w:rsid w:val="00954AF0"/>
    <w:rsid w:val="00954B0E"/>
    <w:rsid w:val="00954BC2"/>
    <w:rsid w:val="00955EEF"/>
    <w:rsid w:val="00955F24"/>
    <w:rsid w:val="009564E1"/>
    <w:rsid w:val="00956B56"/>
    <w:rsid w:val="00957073"/>
    <w:rsid w:val="00957A9E"/>
    <w:rsid w:val="00957B30"/>
    <w:rsid w:val="00957E25"/>
    <w:rsid w:val="00960103"/>
    <w:rsid w:val="00960440"/>
    <w:rsid w:val="00960597"/>
    <w:rsid w:val="00961C72"/>
    <w:rsid w:val="00961F1B"/>
    <w:rsid w:val="00962639"/>
    <w:rsid w:val="00962D29"/>
    <w:rsid w:val="00962F1A"/>
    <w:rsid w:val="00963CD2"/>
    <w:rsid w:val="00964540"/>
    <w:rsid w:val="009649A2"/>
    <w:rsid w:val="00964BBC"/>
    <w:rsid w:val="00965D79"/>
    <w:rsid w:val="009661DB"/>
    <w:rsid w:val="00966A7E"/>
    <w:rsid w:val="00966C16"/>
    <w:rsid w:val="00966E72"/>
    <w:rsid w:val="00966F80"/>
    <w:rsid w:val="009675C4"/>
    <w:rsid w:val="00967D27"/>
    <w:rsid w:val="00967D34"/>
    <w:rsid w:val="009701E9"/>
    <w:rsid w:val="00970334"/>
    <w:rsid w:val="00971A72"/>
    <w:rsid w:val="00972384"/>
    <w:rsid w:val="00972548"/>
    <w:rsid w:val="00972606"/>
    <w:rsid w:val="00972EA8"/>
    <w:rsid w:val="00972EBD"/>
    <w:rsid w:val="009730E2"/>
    <w:rsid w:val="009733BF"/>
    <w:rsid w:val="00973D2D"/>
    <w:rsid w:val="00973F1B"/>
    <w:rsid w:val="00974888"/>
    <w:rsid w:val="009752F3"/>
    <w:rsid w:val="00975C76"/>
    <w:rsid w:val="00976DA2"/>
    <w:rsid w:val="00980FC3"/>
    <w:rsid w:val="009820AE"/>
    <w:rsid w:val="0098286E"/>
    <w:rsid w:val="0098380F"/>
    <w:rsid w:val="00983941"/>
    <w:rsid w:val="009858BC"/>
    <w:rsid w:val="009865CF"/>
    <w:rsid w:val="00986780"/>
    <w:rsid w:val="00987DAA"/>
    <w:rsid w:val="00987FBF"/>
    <w:rsid w:val="009900E3"/>
    <w:rsid w:val="00991865"/>
    <w:rsid w:val="00992518"/>
    <w:rsid w:val="00992CB8"/>
    <w:rsid w:val="00992D33"/>
    <w:rsid w:val="00993325"/>
    <w:rsid w:val="00993924"/>
    <w:rsid w:val="00993C1D"/>
    <w:rsid w:val="009943B9"/>
    <w:rsid w:val="00994779"/>
    <w:rsid w:val="00994B63"/>
    <w:rsid w:val="00995FCF"/>
    <w:rsid w:val="00996159"/>
    <w:rsid w:val="009963D5"/>
    <w:rsid w:val="0099745A"/>
    <w:rsid w:val="009A051F"/>
    <w:rsid w:val="009A103C"/>
    <w:rsid w:val="009A157A"/>
    <w:rsid w:val="009A19D4"/>
    <w:rsid w:val="009A2313"/>
    <w:rsid w:val="009A2C37"/>
    <w:rsid w:val="009A32C4"/>
    <w:rsid w:val="009A3CB0"/>
    <w:rsid w:val="009A51D4"/>
    <w:rsid w:val="009A6273"/>
    <w:rsid w:val="009A6AFF"/>
    <w:rsid w:val="009A73C6"/>
    <w:rsid w:val="009B0295"/>
    <w:rsid w:val="009B0FC9"/>
    <w:rsid w:val="009B1480"/>
    <w:rsid w:val="009B1E91"/>
    <w:rsid w:val="009B21F8"/>
    <w:rsid w:val="009B2D34"/>
    <w:rsid w:val="009B400F"/>
    <w:rsid w:val="009B4958"/>
    <w:rsid w:val="009B4C00"/>
    <w:rsid w:val="009B5523"/>
    <w:rsid w:val="009B6E84"/>
    <w:rsid w:val="009B73A3"/>
    <w:rsid w:val="009B7938"/>
    <w:rsid w:val="009B7AB8"/>
    <w:rsid w:val="009B7BC7"/>
    <w:rsid w:val="009C106F"/>
    <w:rsid w:val="009C1255"/>
    <w:rsid w:val="009C16C9"/>
    <w:rsid w:val="009C19A9"/>
    <w:rsid w:val="009C2DB7"/>
    <w:rsid w:val="009C376C"/>
    <w:rsid w:val="009C44CC"/>
    <w:rsid w:val="009C46EF"/>
    <w:rsid w:val="009C4CE3"/>
    <w:rsid w:val="009C5277"/>
    <w:rsid w:val="009C53F8"/>
    <w:rsid w:val="009C734C"/>
    <w:rsid w:val="009C73CD"/>
    <w:rsid w:val="009C7F17"/>
    <w:rsid w:val="009D0180"/>
    <w:rsid w:val="009D1670"/>
    <w:rsid w:val="009D2FAC"/>
    <w:rsid w:val="009D3B31"/>
    <w:rsid w:val="009D43FB"/>
    <w:rsid w:val="009D4911"/>
    <w:rsid w:val="009D5173"/>
    <w:rsid w:val="009D581A"/>
    <w:rsid w:val="009D6216"/>
    <w:rsid w:val="009D72C6"/>
    <w:rsid w:val="009D79FE"/>
    <w:rsid w:val="009D7B84"/>
    <w:rsid w:val="009D7B96"/>
    <w:rsid w:val="009E04FC"/>
    <w:rsid w:val="009E0BE4"/>
    <w:rsid w:val="009E1199"/>
    <w:rsid w:val="009E1B6D"/>
    <w:rsid w:val="009E1E23"/>
    <w:rsid w:val="009E33EB"/>
    <w:rsid w:val="009E3B1B"/>
    <w:rsid w:val="009E4A6A"/>
    <w:rsid w:val="009E541D"/>
    <w:rsid w:val="009E6EFE"/>
    <w:rsid w:val="009F088F"/>
    <w:rsid w:val="009F35AD"/>
    <w:rsid w:val="009F3D47"/>
    <w:rsid w:val="009F4264"/>
    <w:rsid w:val="009F4EB2"/>
    <w:rsid w:val="009F4F76"/>
    <w:rsid w:val="009F52D0"/>
    <w:rsid w:val="009F54B2"/>
    <w:rsid w:val="009F55E4"/>
    <w:rsid w:val="009F58A0"/>
    <w:rsid w:val="009F6248"/>
    <w:rsid w:val="009F69CF"/>
    <w:rsid w:val="00A01791"/>
    <w:rsid w:val="00A01999"/>
    <w:rsid w:val="00A01EC4"/>
    <w:rsid w:val="00A0215A"/>
    <w:rsid w:val="00A02EA6"/>
    <w:rsid w:val="00A04DB6"/>
    <w:rsid w:val="00A055F8"/>
    <w:rsid w:val="00A063FB"/>
    <w:rsid w:val="00A06558"/>
    <w:rsid w:val="00A06C96"/>
    <w:rsid w:val="00A0728C"/>
    <w:rsid w:val="00A075FE"/>
    <w:rsid w:val="00A07A0F"/>
    <w:rsid w:val="00A07D73"/>
    <w:rsid w:val="00A10F57"/>
    <w:rsid w:val="00A1206B"/>
    <w:rsid w:val="00A13351"/>
    <w:rsid w:val="00A14D13"/>
    <w:rsid w:val="00A15611"/>
    <w:rsid w:val="00A1564B"/>
    <w:rsid w:val="00A1611A"/>
    <w:rsid w:val="00A166A8"/>
    <w:rsid w:val="00A1675C"/>
    <w:rsid w:val="00A168F8"/>
    <w:rsid w:val="00A2002D"/>
    <w:rsid w:val="00A201DF"/>
    <w:rsid w:val="00A201F0"/>
    <w:rsid w:val="00A20EE9"/>
    <w:rsid w:val="00A2138A"/>
    <w:rsid w:val="00A21B06"/>
    <w:rsid w:val="00A225FC"/>
    <w:rsid w:val="00A22B33"/>
    <w:rsid w:val="00A22B8A"/>
    <w:rsid w:val="00A22D37"/>
    <w:rsid w:val="00A23D43"/>
    <w:rsid w:val="00A24781"/>
    <w:rsid w:val="00A25156"/>
    <w:rsid w:val="00A255C6"/>
    <w:rsid w:val="00A2642D"/>
    <w:rsid w:val="00A265FC"/>
    <w:rsid w:val="00A26947"/>
    <w:rsid w:val="00A26FE5"/>
    <w:rsid w:val="00A2715D"/>
    <w:rsid w:val="00A27BF6"/>
    <w:rsid w:val="00A30311"/>
    <w:rsid w:val="00A3087D"/>
    <w:rsid w:val="00A313C4"/>
    <w:rsid w:val="00A31CAC"/>
    <w:rsid w:val="00A32D97"/>
    <w:rsid w:val="00A33AAA"/>
    <w:rsid w:val="00A3486C"/>
    <w:rsid w:val="00A34C1B"/>
    <w:rsid w:val="00A3518F"/>
    <w:rsid w:val="00A35BC7"/>
    <w:rsid w:val="00A364EC"/>
    <w:rsid w:val="00A3770A"/>
    <w:rsid w:val="00A37824"/>
    <w:rsid w:val="00A37C10"/>
    <w:rsid w:val="00A40629"/>
    <w:rsid w:val="00A40AF7"/>
    <w:rsid w:val="00A41024"/>
    <w:rsid w:val="00A42738"/>
    <w:rsid w:val="00A42829"/>
    <w:rsid w:val="00A42AB1"/>
    <w:rsid w:val="00A440B3"/>
    <w:rsid w:val="00A4430F"/>
    <w:rsid w:val="00A460EE"/>
    <w:rsid w:val="00A465C1"/>
    <w:rsid w:val="00A46E27"/>
    <w:rsid w:val="00A47A87"/>
    <w:rsid w:val="00A523FF"/>
    <w:rsid w:val="00A52E8B"/>
    <w:rsid w:val="00A52EC6"/>
    <w:rsid w:val="00A52ECB"/>
    <w:rsid w:val="00A53108"/>
    <w:rsid w:val="00A53F63"/>
    <w:rsid w:val="00A55E2A"/>
    <w:rsid w:val="00A55E62"/>
    <w:rsid w:val="00A564E8"/>
    <w:rsid w:val="00A5728D"/>
    <w:rsid w:val="00A574A1"/>
    <w:rsid w:val="00A57CA3"/>
    <w:rsid w:val="00A60C3C"/>
    <w:rsid w:val="00A60D13"/>
    <w:rsid w:val="00A61F95"/>
    <w:rsid w:val="00A61FBF"/>
    <w:rsid w:val="00A623AB"/>
    <w:rsid w:val="00A62439"/>
    <w:rsid w:val="00A644D9"/>
    <w:rsid w:val="00A646E2"/>
    <w:rsid w:val="00A649E2"/>
    <w:rsid w:val="00A64CD7"/>
    <w:rsid w:val="00A64FC6"/>
    <w:rsid w:val="00A6594D"/>
    <w:rsid w:val="00A65CB4"/>
    <w:rsid w:val="00A65D3E"/>
    <w:rsid w:val="00A66B6C"/>
    <w:rsid w:val="00A6716E"/>
    <w:rsid w:val="00A677B0"/>
    <w:rsid w:val="00A678F8"/>
    <w:rsid w:val="00A67EF5"/>
    <w:rsid w:val="00A707F1"/>
    <w:rsid w:val="00A70DC2"/>
    <w:rsid w:val="00A70F48"/>
    <w:rsid w:val="00A712D5"/>
    <w:rsid w:val="00A7199F"/>
    <w:rsid w:val="00A721F9"/>
    <w:rsid w:val="00A72666"/>
    <w:rsid w:val="00A72CC7"/>
    <w:rsid w:val="00A73346"/>
    <w:rsid w:val="00A73347"/>
    <w:rsid w:val="00A736B2"/>
    <w:rsid w:val="00A73A75"/>
    <w:rsid w:val="00A7477E"/>
    <w:rsid w:val="00A749D4"/>
    <w:rsid w:val="00A753CD"/>
    <w:rsid w:val="00A75482"/>
    <w:rsid w:val="00A75A3D"/>
    <w:rsid w:val="00A76EF2"/>
    <w:rsid w:val="00A774F3"/>
    <w:rsid w:val="00A77E8D"/>
    <w:rsid w:val="00A77EAE"/>
    <w:rsid w:val="00A802C3"/>
    <w:rsid w:val="00A804A8"/>
    <w:rsid w:val="00A807E6"/>
    <w:rsid w:val="00A81153"/>
    <w:rsid w:val="00A81C32"/>
    <w:rsid w:val="00A82222"/>
    <w:rsid w:val="00A82630"/>
    <w:rsid w:val="00A82AEA"/>
    <w:rsid w:val="00A83093"/>
    <w:rsid w:val="00A83495"/>
    <w:rsid w:val="00A83F84"/>
    <w:rsid w:val="00A85325"/>
    <w:rsid w:val="00A8584D"/>
    <w:rsid w:val="00A86C98"/>
    <w:rsid w:val="00A87185"/>
    <w:rsid w:val="00A87B41"/>
    <w:rsid w:val="00A90AA0"/>
    <w:rsid w:val="00A910F3"/>
    <w:rsid w:val="00A912E6"/>
    <w:rsid w:val="00A9180A"/>
    <w:rsid w:val="00A91B1D"/>
    <w:rsid w:val="00A92461"/>
    <w:rsid w:val="00A929B3"/>
    <w:rsid w:val="00A92AAC"/>
    <w:rsid w:val="00A93803"/>
    <w:rsid w:val="00A9539A"/>
    <w:rsid w:val="00A95458"/>
    <w:rsid w:val="00A9575B"/>
    <w:rsid w:val="00A9590B"/>
    <w:rsid w:val="00A96907"/>
    <w:rsid w:val="00A97890"/>
    <w:rsid w:val="00AA07BA"/>
    <w:rsid w:val="00AA08E8"/>
    <w:rsid w:val="00AA0C07"/>
    <w:rsid w:val="00AA1DC2"/>
    <w:rsid w:val="00AA40AA"/>
    <w:rsid w:val="00AA4EB2"/>
    <w:rsid w:val="00AA5158"/>
    <w:rsid w:val="00AA5C92"/>
    <w:rsid w:val="00AA5DB3"/>
    <w:rsid w:val="00AA6566"/>
    <w:rsid w:val="00AA664C"/>
    <w:rsid w:val="00AA7174"/>
    <w:rsid w:val="00AA742C"/>
    <w:rsid w:val="00AA7C13"/>
    <w:rsid w:val="00AA7CC4"/>
    <w:rsid w:val="00AB09E2"/>
    <w:rsid w:val="00AB0DF5"/>
    <w:rsid w:val="00AB2251"/>
    <w:rsid w:val="00AB253B"/>
    <w:rsid w:val="00AB3D54"/>
    <w:rsid w:val="00AB4A5F"/>
    <w:rsid w:val="00AB57E3"/>
    <w:rsid w:val="00AB6A42"/>
    <w:rsid w:val="00AB6C6B"/>
    <w:rsid w:val="00AB6FA7"/>
    <w:rsid w:val="00AB6FC7"/>
    <w:rsid w:val="00AB7CC6"/>
    <w:rsid w:val="00AB7D8C"/>
    <w:rsid w:val="00AC0340"/>
    <w:rsid w:val="00AC04CE"/>
    <w:rsid w:val="00AC0617"/>
    <w:rsid w:val="00AC0A74"/>
    <w:rsid w:val="00AC0EBB"/>
    <w:rsid w:val="00AC12C5"/>
    <w:rsid w:val="00AC1EAD"/>
    <w:rsid w:val="00AC380F"/>
    <w:rsid w:val="00AC47C6"/>
    <w:rsid w:val="00AC70FA"/>
    <w:rsid w:val="00AC74C1"/>
    <w:rsid w:val="00AC7AB9"/>
    <w:rsid w:val="00AD09EE"/>
    <w:rsid w:val="00AD0ABC"/>
    <w:rsid w:val="00AD1AE9"/>
    <w:rsid w:val="00AD1C0F"/>
    <w:rsid w:val="00AD1FDB"/>
    <w:rsid w:val="00AD3399"/>
    <w:rsid w:val="00AD4582"/>
    <w:rsid w:val="00AD4E5C"/>
    <w:rsid w:val="00AD5467"/>
    <w:rsid w:val="00AD620E"/>
    <w:rsid w:val="00AD6B68"/>
    <w:rsid w:val="00AD6F5C"/>
    <w:rsid w:val="00AD734D"/>
    <w:rsid w:val="00AD7B17"/>
    <w:rsid w:val="00AD7B96"/>
    <w:rsid w:val="00AD7C98"/>
    <w:rsid w:val="00AE1743"/>
    <w:rsid w:val="00AE2C83"/>
    <w:rsid w:val="00AE3396"/>
    <w:rsid w:val="00AE4A95"/>
    <w:rsid w:val="00AE4F0D"/>
    <w:rsid w:val="00AE6167"/>
    <w:rsid w:val="00AE6407"/>
    <w:rsid w:val="00AE65ED"/>
    <w:rsid w:val="00AE6834"/>
    <w:rsid w:val="00AE6B09"/>
    <w:rsid w:val="00AE6CA9"/>
    <w:rsid w:val="00AE7180"/>
    <w:rsid w:val="00AE75D9"/>
    <w:rsid w:val="00AE7B80"/>
    <w:rsid w:val="00AF1253"/>
    <w:rsid w:val="00AF14C0"/>
    <w:rsid w:val="00AF159E"/>
    <w:rsid w:val="00AF1D3C"/>
    <w:rsid w:val="00AF1F34"/>
    <w:rsid w:val="00AF1F61"/>
    <w:rsid w:val="00AF2A8B"/>
    <w:rsid w:val="00AF2B3A"/>
    <w:rsid w:val="00AF4422"/>
    <w:rsid w:val="00AF47C3"/>
    <w:rsid w:val="00AF4822"/>
    <w:rsid w:val="00AF5755"/>
    <w:rsid w:val="00AF63C2"/>
    <w:rsid w:val="00AF73B9"/>
    <w:rsid w:val="00AF7465"/>
    <w:rsid w:val="00AF76AB"/>
    <w:rsid w:val="00B00E3C"/>
    <w:rsid w:val="00B018BF"/>
    <w:rsid w:val="00B020E6"/>
    <w:rsid w:val="00B025E2"/>
    <w:rsid w:val="00B02A83"/>
    <w:rsid w:val="00B02D1D"/>
    <w:rsid w:val="00B049F1"/>
    <w:rsid w:val="00B04A98"/>
    <w:rsid w:val="00B04D89"/>
    <w:rsid w:val="00B05FBC"/>
    <w:rsid w:val="00B0615D"/>
    <w:rsid w:val="00B073E9"/>
    <w:rsid w:val="00B07C89"/>
    <w:rsid w:val="00B10599"/>
    <w:rsid w:val="00B10BD6"/>
    <w:rsid w:val="00B11EAC"/>
    <w:rsid w:val="00B123C6"/>
    <w:rsid w:val="00B13022"/>
    <w:rsid w:val="00B13211"/>
    <w:rsid w:val="00B1391F"/>
    <w:rsid w:val="00B13D8F"/>
    <w:rsid w:val="00B1400B"/>
    <w:rsid w:val="00B14522"/>
    <w:rsid w:val="00B14F92"/>
    <w:rsid w:val="00B15608"/>
    <w:rsid w:val="00B16ABA"/>
    <w:rsid w:val="00B1719C"/>
    <w:rsid w:val="00B1793D"/>
    <w:rsid w:val="00B2092A"/>
    <w:rsid w:val="00B21270"/>
    <w:rsid w:val="00B21741"/>
    <w:rsid w:val="00B218BC"/>
    <w:rsid w:val="00B21B52"/>
    <w:rsid w:val="00B2204B"/>
    <w:rsid w:val="00B2323E"/>
    <w:rsid w:val="00B237C8"/>
    <w:rsid w:val="00B239A3"/>
    <w:rsid w:val="00B23A8A"/>
    <w:rsid w:val="00B23C4C"/>
    <w:rsid w:val="00B23EA6"/>
    <w:rsid w:val="00B25069"/>
    <w:rsid w:val="00B25F63"/>
    <w:rsid w:val="00B26375"/>
    <w:rsid w:val="00B26815"/>
    <w:rsid w:val="00B26C0B"/>
    <w:rsid w:val="00B27346"/>
    <w:rsid w:val="00B273F6"/>
    <w:rsid w:val="00B305F2"/>
    <w:rsid w:val="00B30826"/>
    <w:rsid w:val="00B30896"/>
    <w:rsid w:val="00B30901"/>
    <w:rsid w:val="00B3191D"/>
    <w:rsid w:val="00B31FB3"/>
    <w:rsid w:val="00B327A0"/>
    <w:rsid w:val="00B32B08"/>
    <w:rsid w:val="00B32EB8"/>
    <w:rsid w:val="00B33468"/>
    <w:rsid w:val="00B33DF8"/>
    <w:rsid w:val="00B34354"/>
    <w:rsid w:val="00B34429"/>
    <w:rsid w:val="00B34D73"/>
    <w:rsid w:val="00B3517F"/>
    <w:rsid w:val="00B368CC"/>
    <w:rsid w:val="00B36F8E"/>
    <w:rsid w:val="00B3721D"/>
    <w:rsid w:val="00B37B97"/>
    <w:rsid w:val="00B40655"/>
    <w:rsid w:val="00B406E6"/>
    <w:rsid w:val="00B40D5B"/>
    <w:rsid w:val="00B4122E"/>
    <w:rsid w:val="00B41B52"/>
    <w:rsid w:val="00B4261F"/>
    <w:rsid w:val="00B42AF6"/>
    <w:rsid w:val="00B42FDA"/>
    <w:rsid w:val="00B43000"/>
    <w:rsid w:val="00B433CA"/>
    <w:rsid w:val="00B44580"/>
    <w:rsid w:val="00B44DEC"/>
    <w:rsid w:val="00B45042"/>
    <w:rsid w:val="00B452D3"/>
    <w:rsid w:val="00B46662"/>
    <w:rsid w:val="00B4759F"/>
    <w:rsid w:val="00B50014"/>
    <w:rsid w:val="00B50955"/>
    <w:rsid w:val="00B50E10"/>
    <w:rsid w:val="00B50EB1"/>
    <w:rsid w:val="00B51220"/>
    <w:rsid w:val="00B513F2"/>
    <w:rsid w:val="00B5155C"/>
    <w:rsid w:val="00B51989"/>
    <w:rsid w:val="00B51FD1"/>
    <w:rsid w:val="00B52FAB"/>
    <w:rsid w:val="00B53484"/>
    <w:rsid w:val="00B53793"/>
    <w:rsid w:val="00B5395E"/>
    <w:rsid w:val="00B53D0C"/>
    <w:rsid w:val="00B53DBF"/>
    <w:rsid w:val="00B54198"/>
    <w:rsid w:val="00B545AD"/>
    <w:rsid w:val="00B547DC"/>
    <w:rsid w:val="00B56A13"/>
    <w:rsid w:val="00B56C36"/>
    <w:rsid w:val="00B57F23"/>
    <w:rsid w:val="00B603BA"/>
    <w:rsid w:val="00B60AE9"/>
    <w:rsid w:val="00B61874"/>
    <w:rsid w:val="00B61F58"/>
    <w:rsid w:val="00B62243"/>
    <w:rsid w:val="00B65369"/>
    <w:rsid w:val="00B663F6"/>
    <w:rsid w:val="00B703BF"/>
    <w:rsid w:val="00B70BCA"/>
    <w:rsid w:val="00B70FFD"/>
    <w:rsid w:val="00B712DB"/>
    <w:rsid w:val="00B71528"/>
    <w:rsid w:val="00B71A16"/>
    <w:rsid w:val="00B71CE3"/>
    <w:rsid w:val="00B724E5"/>
    <w:rsid w:val="00B7261E"/>
    <w:rsid w:val="00B72765"/>
    <w:rsid w:val="00B72D48"/>
    <w:rsid w:val="00B73D85"/>
    <w:rsid w:val="00B74F42"/>
    <w:rsid w:val="00B75388"/>
    <w:rsid w:val="00B75673"/>
    <w:rsid w:val="00B75DDF"/>
    <w:rsid w:val="00B7678C"/>
    <w:rsid w:val="00B77707"/>
    <w:rsid w:val="00B814CD"/>
    <w:rsid w:val="00B822BE"/>
    <w:rsid w:val="00B82C81"/>
    <w:rsid w:val="00B82E6A"/>
    <w:rsid w:val="00B83AE4"/>
    <w:rsid w:val="00B8407E"/>
    <w:rsid w:val="00B847FD"/>
    <w:rsid w:val="00B84DC4"/>
    <w:rsid w:val="00B855D5"/>
    <w:rsid w:val="00B86B25"/>
    <w:rsid w:val="00B90711"/>
    <w:rsid w:val="00B909A7"/>
    <w:rsid w:val="00B90C1B"/>
    <w:rsid w:val="00B92101"/>
    <w:rsid w:val="00B924A5"/>
    <w:rsid w:val="00B93397"/>
    <w:rsid w:val="00B93668"/>
    <w:rsid w:val="00B93A96"/>
    <w:rsid w:val="00B944DA"/>
    <w:rsid w:val="00B94BD6"/>
    <w:rsid w:val="00B950B3"/>
    <w:rsid w:val="00B95675"/>
    <w:rsid w:val="00B96113"/>
    <w:rsid w:val="00B969CA"/>
    <w:rsid w:val="00B979B2"/>
    <w:rsid w:val="00BA0964"/>
    <w:rsid w:val="00BA1CE1"/>
    <w:rsid w:val="00BA2D78"/>
    <w:rsid w:val="00BA3D6F"/>
    <w:rsid w:val="00BA3D97"/>
    <w:rsid w:val="00BA451E"/>
    <w:rsid w:val="00BA474D"/>
    <w:rsid w:val="00BA4A01"/>
    <w:rsid w:val="00BA4AD3"/>
    <w:rsid w:val="00BA5482"/>
    <w:rsid w:val="00BA58C0"/>
    <w:rsid w:val="00BA68BE"/>
    <w:rsid w:val="00BA6AFB"/>
    <w:rsid w:val="00BA7817"/>
    <w:rsid w:val="00BA7ED3"/>
    <w:rsid w:val="00BB0021"/>
    <w:rsid w:val="00BB00C8"/>
    <w:rsid w:val="00BB00FA"/>
    <w:rsid w:val="00BB1577"/>
    <w:rsid w:val="00BB17B7"/>
    <w:rsid w:val="00BB2224"/>
    <w:rsid w:val="00BB280F"/>
    <w:rsid w:val="00BB2A45"/>
    <w:rsid w:val="00BB2B23"/>
    <w:rsid w:val="00BB2C57"/>
    <w:rsid w:val="00BB3ED1"/>
    <w:rsid w:val="00BB4003"/>
    <w:rsid w:val="00BB4513"/>
    <w:rsid w:val="00BB4758"/>
    <w:rsid w:val="00BB4886"/>
    <w:rsid w:val="00BB4C6B"/>
    <w:rsid w:val="00BB5542"/>
    <w:rsid w:val="00BB559A"/>
    <w:rsid w:val="00BB5E0F"/>
    <w:rsid w:val="00BB5E99"/>
    <w:rsid w:val="00BB5F0B"/>
    <w:rsid w:val="00BB6583"/>
    <w:rsid w:val="00BB6828"/>
    <w:rsid w:val="00BB7A2F"/>
    <w:rsid w:val="00BB7C94"/>
    <w:rsid w:val="00BC054E"/>
    <w:rsid w:val="00BC0848"/>
    <w:rsid w:val="00BC0AF3"/>
    <w:rsid w:val="00BC0F1C"/>
    <w:rsid w:val="00BC158E"/>
    <w:rsid w:val="00BC32E3"/>
    <w:rsid w:val="00BC3A69"/>
    <w:rsid w:val="00BC4A27"/>
    <w:rsid w:val="00BC4E2D"/>
    <w:rsid w:val="00BC5307"/>
    <w:rsid w:val="00BC6683"/>
    <w:rsid w:val="00BC6BEF"/>
    <w:rsid w:val="00BC6C42"/>
    <w:rsid w:val="00BC73D2"/>
    <w:rsid w:val="00BC745F"/>
    <w:rsid w:val="00BC7A2A"/>
    <w:rsid w:val="00BC8D87"/>
    <w:rsid w:val="00BD117F"/>
    <w:rsid w:val="00BD2119"/>
    <w:rsid w:val="00BD293C"/>
    <w:rsid w:val="00BD3026"/>
    <w:rsid w:val="00BD3512"/>
    <w:rsid w:val="00BD50EF"/>
    <w:rsid w:val="00BD5912"/>
    <w:rsid w:val="00BD595E"/>
    <w:rsid w:val="00BD5E42"/>
    <w:rsid w:val="00BD6187"/>
    <w:rsid w:val="00BD69F3"/>
    <w:rsid w:val="00BD6C18"/>
    <w:rsid w:val="00BD6D8E"/>
    <w:rsid w:val="00BD7A74"/>
    <w:rsid w:val="00BE0066"/>
    <w:rsid w:val="00BE0C24"/>
    <w:rsid w:val="00BE14DD"/>
    <w:rsid w:val="00BE1838"/>
    <w:rsid w:val="00BE3CD6"/>
    <w:rsid w:val="00BE4F5D"/>
    <w:rsid w:val="00BE5123"/>
    <w:rsid w:val="00BE5E5D"/>
    <w:rsid w:val="00BE6003"/>
    <w:rsid w:val="00BE6086"/>
    <w:rsid w:val="00BE6163"/>
    <w:rsid w:val="00BE6E62"/>
    <w:rsid w:val="00BE6F7E"/>
    <w:rsid w:val="00BF0726"/>
    <w:rsid w:val="00BF1596"/>
    <w:rsid w:val="00BF2F36"/>
    <w:rsid w:val="00BF3D2E"/>
    <w:rsid w:val="00BF3DDD"/>
    <w:rsid w:val="00BF3EB7"/>
    <w:rsid w:val="00BF42E1"/>
    <w:rsid w:val="00BF4771"/>
    <w:rsid w:val="00BF4919"/>
    <w:rsid w:val="00BF577F"/>
    <w:rsid w:val="00BF60D3"/>
    <w:rsid w:val="00BF641D"/>
    <w:rsid w:val="00BF673A"/>
    <w:rsid w:val="00BF6BB3"/>
    <w:rsid w:val="00BF6BDA"/>
    <w:rsid w:val="00BF75ED"/>
    <w:rsid w:val="00BF78F3"/>
    <w:rsid w:val="00C0014C"/>
    <w:rsid w:val="00C00BE5"/>
    <w:rsid w:val="00C016A7"/>
    <w:rsid w:val="00C0249D"/>
    <w:rsid w:val="00C026D4"/>
    <w:rsid w:val="00C029A7"/>
    <w:rsid w:val="00C030D7"/>
    <w:rsid w:val="00C03C0E"/>
    <w:rsid w:val="00C04639"/>
    <w:rsid w:val="00C048E7"/>
    <w:rsid w:val="00C04FAA"/>
    <w:rsid w:val="00C0541A"/>
    <w:rsid w:val="00C05DD7"/>
    <w:rsid w:val="00C06932"/>
    <w:rsid w:val="00C0697B"/>
    <w:rsid w:val="00C069B8"/>
    <w:rsid w:val="00C06A7F"/>
    <w:rsid w:val="00C0701C"/>
    <w:rsid w:val="00C071DF"/>
    <w:rsid w:val="00C07EFB"/>
    <w:rsid w:val="00C1041C"/>
    <w:rsid w:val="00C10447"/>
    <w:rsid w:val="00C10771"/>
    <w:rsid w:val="00C10E02"/>
    <w:rsid w:val="00C10F77"/>
    <w:rsid w:val="00C11401"/>
    <w:rsid w:val="00C118B3"/>
    <w:rsid w:val="00C1238D"/>
    <w:rsid w:val="00C12E90"/>
    <w:rsid w:val="00C130B6"/>
    <w:rsid w:val="00C13AC2"/>
    <w:rsid w:val="00C140BF"/>
    <w:rsid w:val="00C141F3"/>
    <w:rsid w:val="00C1672F"/>
    <w:rsid w:val="00C168B8"/>
    <w:rsid w:val="00C16C42"/>
    <w:rsid w:val="00C16DE6"/>
    <w:rsid w:val="00C17285"/>
    <w:rsid w:val="00C17434"/>
    <w:rsid w:val="00C204D5"/>
    <w:rsid w:val="00C205AE"/>
    <w:rsid w:val="00C20E0F"/>
    <w:rsid w:val="00C20FD7"/>
    <w:rsid w:val="00C218A3"/>
    <w:rsid w:val="00C23D50"/>
    <w:rsid w:val="00C240B9"/>
    <w:rsid w:val="00C245E6"/>
    <w:rsid w:val="00C24B51"/>
    <w:rsid w:val="00C24DBD"/>
    <w:rsid w:val="00C24F0C"/>
    <w:rsid w:val="00C26013"/>
    <w:rsid w:val="00C2637C"/>
    <w:rsid w:val="00C2640E"/>
    <w:rsid w:val="00C26EC8"/>
    <w:rsid w:val="00C2761C"/>
    <w:rsid w:val="00C27948"/>
    <w:rsid w:val="00C30715"/>
    <w:rsid w:val="00C314F1"/>
    <w:rsid w:val="00C338ED"/>
    <w:rsid w:val="00C33BBB"/>
    <w:rsid w:val="00C34194"/>
    <w:rsid w:val="00C35874"/>
    <w:rsid w:val="00C367A8"/>
    <w:rsid w:val="00C36FAB"/>
    <w:rsid w:val="00C3703C"/>
    <w:rsid w:val="00C37A63"/>
    <w:rsid w:val="00C37D0B"/>
    <w:rsid w:val="00C4057D"/>
    <w:rsid w:val="00C4125C"/>
    <w:rsid w:val="00C41372"/>
    <w:rsid w:val="00C418DD"/>
    <w:rsid w:val="00C41950"/>
    <w:rsid w:val="00C41CB1"/>
    <w:rsid w:val="00C43D8A"/>
    <w:rsid w:val="00C44A53"/>
    <w:rsid w:val="00C450B4"/>
    <w:rsid w:val="00C4574D"/>
    <w:rsid w:val="00C46195"/>
    <w:rsid w:val="00C4659B"/>
    <w:rsid w:val="00C46A52"/>
    <w:rsid w:val="00C47967"/>
    <w:rsid w:val="00C47D6F"/>
    <w:rsid w:val="00C509C4"/>
    <w:rsid w:val="00C52892"/>
    <w:rsid w:val="00C538E2"/>
    <w:rsid w:val="00C53940"/>
    <w:rsid w:val="00C53B25"/>
    <w:rsid w:val="00C53D7F"/>
    <w:rsid w:val="00C540FF"/>
    <w:rsid w:val="00C55871"/>
    <w:rsid w:val="00C56710"/>
    <w:rsid w:val="00C57240"/>
    <w:rsid w:val="00C578B9"/>
    <w:rsid w:val="00C60281"/>
    <w:rsid w:val="00C60E15"/>
    <w:rsid w:val="00C60EA0"/>
    <w:rsid w:val="00C6235D"/>
    <w:rsid w:val="00C62BC3"/>
    <w:rsid w:val="00C637A0"/>
    <w:rsid w:val="00C651DA"/>
    <w:rsid w:val="00C656C6"/>
    <w:rsid w:val="00C6598A"/>
    <w:rsid w:val="00C65F47"/>
    <w:rsid w:val="00C6606D"/>
    <w:rsid w:val="00C669B5"/>
    <w:rsid w:val="00C673BC"/>
    <w:rsid w:val="00C67CD1"/>
    <w:rsid w:val="00C67CE5"/>
    <w:rsid w:val="00C67FFD"/>
    <w:rsid w:val="00C70B62"/>
    <w:rsid w:val="00C70C0B"/>
    <w:rsid w:val="00C71CE4"/>
    <w:rsid w:val="00C72240"/>
    <w:rsid w:val="00C72AFF"/>
    <w:rsid w:val="00C73AD0"/>
    <w:rsid w:val="00C73B23"/>
    <w:rsid w:val="00C73DAB"/>
    <w:rsid w:val="00C74078"/>
    <w:rsid w:val="00C74415"/>
    <w:rsid w:val="00C74FFA"/>
    <w:rsid w:val="00C75022"/>
    <w:rsid w:val="00C75114"/>
    <w:rsid w:val="00C75F93"/>
    <w:rsid w:val="00C77E9C"/>
    <w:rsid w:val="00C77EF4"/>
    <w:rsid w:val="00C8077F"/>
    <w:rsid w:val="00C808C1"/>
    <w:rsid w:val="00C80915"/>
    <w:rsid w:val="00C82285"/>
    <w:rsid w:val="00C82B6E"/>
    <w:rsid w:val="00C834E6"/>
    <w:rsid w:val="00C834EB"/>
    <w:rsid w:val="00C83D05"/>
    <w:rsid w:val="00C84A77"/>
    <w:rsid w:val="00C85125"/>
    <w:rsid w:val="00C8585D"/>
    <w:rsid w:val="00C85A11"/>
    <w:rsid w:val="00C8681A"/>
    <w:rsid w:val="00C87773"/>
    <w:rsid w:val="00C8785B"/>
    <w:rsid w:val="00C87A0C"/>
    <w:rsid w:val="00C87B85"/>
    <w:rsid w:val="00C91A81"/>
    <w:rsid w:val="00C91DB0"/>
    <w:rsid w:val="00C91E7C"/>
    <w:rsid w:val="00C92210"/>
    <w:rsid w:val="00C92C55"/>
    <w:rsid w:val="00C92D41"/>
    <w:rsid w:val="00C931EE"/>
    <w:rsid w:val="00C93E2C"/>
    <w:rsid w:val="00C93EAC"/>
    <w:rsid w:val="00C94A1E"/>
    <w:rsid w:val="00C94FFB"/>
    <w:rsid w:val="00C950C8"/>
    <w:rsid w:val="00C95CB6"/>
    <w:rsid w:val="00C9637E"/>
    <w:rsid w:val="00C9677D"/>
    <w:rsid w:val="00C9690A"/>
    <w:rsid w:val="00C96D2D"/>
    <w:rsid w:val="00C96D49"/>
    <w:rsid w:val="00C97195"/>
    <w:rsid w:val="00C97984"/>
    <w:rsid w:val="00C97A44"/>
    <w:rsid w:val="00CA0058"/>
    <w:rsid w:val="00CA05C4"/>
    <w:rsid w:val="00CA0C77"/>
    <w:rsid w:val="00CA3708"/>
    <w:rsid w:val="00CA49C6"/>
    <w:rsid w:val="00CA59D2"/>
    <w:rsid w:val="00CA66C1"/>
    <w:rsid w:val="00CA671E"/>
    <w:rsid w:val="00CA6A6C"/>
    <w:rsid w:val="00CA736E"/>
    <w:rsid w:val="00CA7779"/>
    <w:rsid w:val="00CB06AF"/>
    <w:rsid w:val="00CB1CF3"/>
    <w:rsid w:val="00CB1EBD"/>
    <w:rsid w:val="00CB28BB"/>
    <w:rsid w:val="00CB2FF3"/>
    <w:rsid w:val="00CB4E9F"/>
    <w:rsid w:val="00CB7807"/>
    <w:rsid w:val="00CB7872"/>
    <w:rsid w:val="00CB78F4"/>
    <w:rsid w:val="00CB7BC7"/>
    <w:rsid w:val="00CC05C8"/>
    <w:rsid w:val="00CC0746"/>
    <w:rsid w:val="00CC145D"/>
    <w:rsid w:val="00CC15F9"/>
    <w:rsid w:val="00CC1F32"/>
    <w:rsid w:val="00CC250F"/>
    <w:rsid w:val="00CC33C7"/>
    <w:rsid w:val="00CC39CB"/>
    <w:rsid w:val="00CC48A6"/>
    <w:rsid w:val="00CC5BE0"/>
    <w:rsid w:val="00CC5DCF"/>
    <w:rsid w:val="00CC7849"/>
    <w:rsid w:val="00CC7F72"/>
    <w:rsid w:val="00CD0514"/>
    <w:rsid w:val="00CD0544"/>
    <w:rsid w:val="00CD1C45"/>
    <w:rsid w:val="00CD1E18"/>
    <w:rsid w:val="00CD2105"/>
    <w:rsid w:val="00CD2D31"/>
    <w:rsid w:val="00CD3155"/>
    <w:rsid w:val="00CD3564"/>
    <w:rsid w:val="00CD4453"/>
    <w:rsid w:val="00CD523D"/>
    <w:rsid w:val="00CD5A47"/>
    <w:rsid w:val="00CD6023"/>
    <w:rsid w:val="00CD6800"/>
    <w:rsid w:val="00CD7363"/>
    <w:rsid w:val="00CD7431"/>
    <w:rsid w:val="00CD75F8"/>
    <w:rsid w:val="00CE01BA"/>
    <w:rsid w:val="00CE0276"/>
    <w:rsid w:val="00CE0B11"/>
    <w:rsid w:val="00CE17E2"/>
    <w:rsid w:val="00CE1CB1"/>
    <w:rsid w:val="00CE1D7E"/>
    <w:rsid w:val="00CE3E5A"/>
    <w:rsid w:val="00CE4701"/>
    <w:rsid w:val="00CE4A1F"/>
    <w:rsid w:val="00CE4C23"/>
    <w:rsid w:val="00CE5508"/>
    <w:rsid w:val="00CE6672"/>
    <w:rsid w:val="00CE71FE"/>
    <w:rsid w:val="00CE789E"/>
    <w:rsid w:val="00CE7E94"/>
    <w:rsid w:val="00CF1E53"/>
    <w:rsid w:val="00CF2E18"/>
    <w:rsid w:val="00CF4C8C"/>
    <w:rsid w:val="00CF75D9"/>
    <w:rsid w:val="00CF7F1B"/>
    <w:rsid w:val="00D0121B"/>
    <w:rsid w:val="00D013AF"/>
    <w:rsid w:val="00D02B7B"/>
    <w:rsid w:val="00D05A5E"/>
    <w:rsid w:val="00D06EF9"/>
    <w:rsid w:val="00D0746D"/>
    <w:rsid w:val="00D07A0C"/>
    <w:rsid w:val="00D106C3"/>
    <w:rsid w:val="00D110A0"/>
    <w:rsid w:val="00D111A5"/>
    <w:rsid w:val="00D113B5"/>
    <w:rsid w:val="00D12C7E"/>
    <w:rsid w:val="00D12D2B"/>
    <w:rsid w:val="00D13304"/>
    <w:rsid w:val="00D13397"/>
    <w:rsid w:val="00D14EAA"/>
    <w:rsid w:val="00D15489"/>
    <w:rsid w:val="00D156AA"/>
    <w:rsid w:val="00D160D3"/>
    <w:rsid w:val="00D17B64"/>
    <w:rsid w:val="00D17BD9"/>
    <w:rsid w:val="00D21301"/>
    <w:rsid w:val="00D21413"/>
    <w:rsid w:val="00D22168"/>
    <w:rsid w:val="00D22373"/>
    <w:rsid w:val="00D233CB"/>
    <w:rsid w:val="00D2579C"/>
    <w:rsid w:val="00D279A4"/>
    <w:rsid w:val="00D3037F"/>
    <w:rsid w:val="00D3072E"/>
    <w:rsid w:val="00D30F7A"/>
    <w:rsid w:val="00D31444"/>
    <w:rsid w:val="00D314D1"/>
    <w:rsid w:val="00D31CE9"/>
    <w:rsid w:val="00D32434"/>
    <w:rsid w:val="00D32678"/>
    <w:rsid w:val="00D32E6C"/>
    <w:rsid w:val="00D33209"/>
    <w:rsid w:val="00D35B08"/>
    <w:rsid w:val="00D35D9B"/>
    <w:rsid w:val="00D364D2"/>
    <w:rsid w:val="00D374B7"/>
    <w:rsid w:val="00D37945"/>
    <w:rsid w:val="00D41D32"/>
    <w:rsid w:val="00D41EF6"/>
    <w:rsid w:val="00D42092"/>
    <w:rsid w:val="00D42737"/>
    <w:rsid w:val="00D430C8"/>
    <w:rsid w:val="00D43CC5"/>
    <w:rsid w:val="00D444C4"/>
    <w:rsid w:val="00D4478F"/>
    <w:rsid w:val="00D44E37"/>
    <w:rsid w:val="00D44EC3"/>
    <w:rsid w:val="00D45544"/>
    <w:rsid w:val="00D4554D"/>
    <w:rsid w:val="00D45810"/>
    <w:rsid w:val="00D460A2"/>
    <w:rsid w:val="00D46ED2"/>
    <w:rsid w:val="00D47ED0"/>
    <w:rsid w:val="00D4A77D"/>
    <w:rsid w:val="00D50C52"/>
    <w:rsid w:val="00D50C7B"/>
    <w:rsid w:val="00D50CD1"/>
    <w:rsid w:val="00D52A58"/>
    <w:rsid w:val="00D52AA9"/>
    <w:rsid w:val="00D5398C"/>
    <w:rsid w:val="00D54135"/>
    <w:rsid w:val="00D55249"/>
    <w:rsid w:val="00D558A3"/>
    <w:rsid w:val="00D55C05"/>
    <w:rsid w:val="00D565F0"/>
    <w:rsid w:val="00D56902"/>
    <w:rsid w:val="00D56B89"/>
    <w:rsid w:val="00D56E8E"/>
    <w:rsid w:val="00D575EF"/>
    <w:rsid w:val="00D605AD"/>
    <w:rsid w:val="00D608FE"/>
    <w:rsid w:val="00D61471"/>
    <w:rsid w:val="00D61D0B"/>
    <w:rsid w:val="00D6233A"/>
    <w:rsid w:val="00D624D9"/>
    <w:rsid w:val="00D63D67"/>
    <w:rsid w:val="00D64428"/>
    <w:rsid w:val="00D64C25"/>
    <w:rsid w:val="00D64C57"/>
    <w:rsid w:val="00D65715"/>
    <w:rsid w:val="00D65791"/>
    <w:rsid w:val="00D67735"/>
    <w:rsid w:val="00D67912"/>
    <w:rsid w:val="00D67984"/>
    <w:rsid w:val="00D67FA8"/>
    <w:rsid w:val="00D70C52"/>
    <w:rsid w:val="00D728D9"/>
    <w:rsid w:val="00D73D1F"/>
    <w:rsid w:val="00D75507"/>
    <w:rsid w:val="00D75A84"/>
    <w:rsid w:val="00D75ED8"/>
    <w:rsid w:val="00D761C1"/>
    <w:rsid w:val="00D76B9B"/>
    <w:rsid w:val="00D76F48"/>
    <w:rsid w:val="00D776D7"/>
    <w:rsid w:val="00D77938"/>
    <w:rsid w:val="00D779CD"/>
    <w:rsid w:val="00D77B8E"/>
    <w:rsid w:val="00D77FF9"/>
    <w:rsid w:val="00D80EE1"/>
    <w:rsid w:val="00D8200C"/>
    <w:rsid w:val="00D82977"/>
    <w:rsid w:val="00D8333D"/>
    <w:rsid w:val="00D83A2A"/>
    <w:rsid w:val="00D841B7"/>
    <w:rsid w:val="00D848C5"/>
    <w:rsid w:val="00D85014"/>
    <w:rsid w:val="00D853D5"/>
    <w:rsid w:val="00D86D97"/>
    <w:rsid w:val="00D86E54"/>
    <w:rsid w:val="00D877DB"/>
    <w:rsid w:val="00D87C54"/>
    <w:rsid w:val="00D87DDD"/>
    <w:rsid w:val="00D905A0"/>
    <w:rsid w:val="00D90EC3"/>
    <w:rsid w:val="00D9122B"/>
    <w:rsid w:val="00D91794"/>
    <w:rsid w:val="00D92C82"/>
    <w:rsid w:val="00D9314B"/>
    <w:rsid w:val="00D9345C"/>
    <w:rsid w:val="00D93BBC"/>
    <w:rsid w:val="00D94E33"/>
    <w:rsid w:val="00D965D6"/>
    <w:rsid w:val="00D969CC"/>
    <w:rsid w:val="00D97D04"/>
    <w:rsid w:val="00DA09B6"/>
    <w:rsid w:val="00DA13C1"/>
    <w:rsid w:val="00DA166D"/>
    <w:rsid w:val="00DA2598"/>
    <w:rsid w:val="00DA2731"/>
    <w:rsid w:val="00DA2BBA"/>
    <w:rsid w:val="00DA3C0B"/>
    <w:rsid w:val="00DA3FF8"/>
    <w:rsid w:val="00DA46B9"/>
    <w:rsid w:val="00DA4760"/>
    <w:rsid w:val="00DA4913"/>
    <w:rsid w:val="00DA5D04"/>
    <w:rsid w:val="00DA7D28"/>
    <w:rsid w:val="00DA7D64"/>
    <w:rsid w:val="00DB24E2"/>
    <w:rsid w:val="00DB2D25"/>
    <w:rsid w:val="00DB4033"/>
    <w:rsid w:val="00DB44EA"/>
    <w:rsid w:val="00DB4B89"/>
    <w:rsid w:val="00DB4BE6"/>
    <w:rsid w:val="00DB4FBA"/>
    <w:rsid w:val="00DB59BE"/>
    <w:rsid w:val="00DB650F"/>
    <w:rsid w:val="00DB67A5"/>
    <w:rsid w:val="00DB67B6"/>
    <w:rsid w:val="00DB6D4D"/>
    <w:rsid w:val="00DB7178"/>
    <w:rsid w:val="00DB742D"/>
    <w:rsid w:val="00DC052F"/>
    <w:rsid w:val="00DC1112"/>
    <w:rsid w:val="00DC1E3E"/>
    <w:rsid w:val="00DC1E79"/>
    <w:rsid w:val="00DC2677"/>
    <w:rsid w:val="00DC36AB"/>
    <w:rsid w:val="00DC4920"/>
    <w:rsid w:val="00DC4B49"/>
    <w:rsid w:val="00DC4C4F"/>
    <w:rsid w:val="00DC4E3E"/>
    <w:rsid w:val="00DC556F"/>
    <w:rsid w:val="00DC7875"/>
    <w:rsid w:val="00DC7A14"/>
    <w:rsid w:val="00DC7F11"/>
    <w:rsid w:val="00DD074B"/>
    <w:rsid w:val="00DD0879"/>
    <w:rsid w:val="00DD1510"/>
    <w:rsid w:val="00DD1BE5"/>
    <w:rsid w:val="00DD218A"/>
    <w:rsid w:val="00DD3528"/>
    <w:rsid w:val="00DD4AC8"/>
    <w:rsid w:val="00DD56AD"/>
    <w:rsid w:val="00DD5C74"/>
    <w:rsid w:val="00DD63F9"/>
    <w:rsid w:val="00DD7C9C"/>
    <w:rsid w:val="00DE02EF"/>
    <w:rsid w:val="00DE0320"/>
    <w:rsid w:val="00DE0C62"/>
    <w:rsid w:val="00DE1190"/>
    <w:rsid w:val="00DE1214"/>
    <w:rsid w:val="00DE1273"/>
    <w:rsid w:val="00DE1713"/>
    <w:rsid w:val="00DE1B03"/>
    <w:rsid w:val="00DE24D7"/>
    <w:rsid w:val="00DE34B4"/>
    <w:rsid w:val="00DE3CE3"/>
    <w:rsid w:val="00DE4593"/>
    <w:rsid w:val="00DE498D"/>
    <w:rsid w:val="00DE5346"/>
    <w:rsid w:val="00DE5B3C"/>
    <w:rsid w:val="00DE5F88"/>
    <w:rsid w:val="00DE6923"/>
    <w:rsid w:val="00DE7A0D"/>
    <w:rsid w:val="00DE7F99"/>
    <w:rsid w:val="00DF0819"/>
    <w:rsid w:val="00DF0C41"/>
    <w:rsid w:val="00DF2806"/>
    <w:rsid w:val="00DF47D4"/>
    <w:rsid w:val="00DF4C30"/>
    <w:rsid w:val="00DF5540"/>
    <w:rsid w:val="00DF5D15"/>
    <w:rsid w:val="00DF6413"/>
    <w:rsid w:val="00DF6A1D"/>
    <w:rsid w:val="00DF6A91"/>
    <w:rsid w:val="00DF6E7D"/>
    <w:rsid w:val="00DF758B"/>
    <w:rsid w:val="00E0089C"/>
    <w:rsid w:val="00E01031"/>
    <w:rsid w:val="00E02A06"/>
    <w:rsid w:val="00E02A0D"/>
    <w:rsid w:val="00E046DC"/>
    <w:rsid w:val="00E05724"/>
    <w:rsid w:val="00E0664A"/>
    <w:rsid w:val="00E06B04"/>
    <w:rsid w:val="00E1069C"/>
    <w:rsid w:val="00E1075C"/>
    <w:rsid w:val="00E10BCD"/>
    <w:rsid w:val="00E11043"/>
    <w:rsid w:val="00E115C7"/>
    <w:rsid w:val="00E126B6"/>
    <w:rsid w:val="00E12F6A"/>
    <w:rsid w:val="00E14614"/>
    <w:rsid w:val="00E15126"/>
    <w:rsid w:val="00E156C0"/>
    <w:rsid w:val="00E17578"/>
    <w:rsid w:val="00E175B6"/>
    <w:rsid w:val="00E17631"/>
    <w:rsid w:val="00E177DF"/>
    <w:rsid w:val="00E201B4"/>
    <w:rsid w:val="00E2109E"/>
    <w:rsid w:val="00E21CF2"/>
    <w:rsid w:val="00E23D64"/>
    <w:rsid w:val="00E24106"/>
    <w:rsid w:val="00E24274"/>
    <w:rsid w:val="00E24FDF"/>
    <w:rsid w:val="00E2639E"/>
    <w:rsid w:val="00E26DF2"/>
    <w:rsid w:val="00E26FB4"/>
    <w:rsid w:val="00E27B57"/>
    <w:rsid w:val="00E30723"/>
    <w:rsid w:val="00E30843"/>
    <w:rsid w:val="00E30D00"/>
    <w:rsid w:val="00E30E6A"/>
    <w:rsid w:val="00E3148E"/>
    <w:rsid w:val="00E318AD"/>
    <w:rsid w:val="00E31FA1"/>
    <w:rsid w:val="00E32585"/>
    <w:rsid w:val="00E32AF1"/>
    <w:rsid w:val="00E32DA4"/>
    <w:rsid w:val="00E32DDB"/>
    <w:rsid w:val="00E32EEB"/>
    <w:rsid w:val="00E334A5"/>
    <w:rsid w:val="00E334AE"/>
    <w:rsid w:val="00E335C6"/>
    <w:rsid w:val="00E33980"/>
    <w:rsid w:val="00E33B62"/>
    <w:rsid w:val="00E33C99"/>
    <w:rsid w:val="00E3420E"/>
    <w:rsid w:val="00E34AF7"/>
    <w:rsid w:val="00E35117"/>
    <w:rsid w:val="00E35A58"/>
    <w:rsid w:val="00E36A64"/>
    <w:rsid w:val="00E36B0A"/>
    <w:rsid w:val="00E371E2"/>
    <w:rsid w:val="00E37731"/>
    <w:rsid w:val="00E3775C"/>
    <w:rsid w:val="00E40498"/>
    <w:rsid w:val="00E4178B"/>
    <w:rsid w:val="00E42346"/>
    <w:rsid w:val="00E42D9A"/>
    <w:rsid w:val="00E43293"/>
    <w:rsid w:val="00E43669"/>
    <w:rsid w:val="00E4382C"/>
    <w:rsid w:val="00E44198"/>
    <w:rsid w:val="00E4428E"/>
    <w:rsid w:val="00E446A1"/>
    <w:rsid w:val="00E451F2"/>
    <w:rsid w:val="00E45E9F"/>
    <w:rsid w:val="00E46B06"/>
    <w:rsid w:val="00E470CD"/>
    <w:rsid w:val="00E4799C"/>
    <w:rsid w:val="00E509AE"/>
    <w:rsid w:val="00E50F8E"/>
    <w:rsid w:val="00E51383"/>
    <w:rsid w:val="00E5206D"/>
    <w:rsid w:val="00E52A98"/>
    <w:rsid w:val="00E53883"/>
    <w:rsid w:val="00E53E42"/>
    <w:rsid w:val="00E5424D"/>
    <w:rsid w:val="00E55AC1"/>
    <w:rsid w:val="00E55C79"/>
    <w:rsid w:val="00E56163"/>
    <w:rsid w:val="00E57E25"/>
    <w:rsid w:val="00E6088D"/>
    <w:rsid w:val="00E60A37"/>
    <w:rsid w:val="00E60BE0"/>
    <w:rsid w:val="00E61D22"/>
    <w:rsid w:val="00E620BD"/>
    <w:rsid w:val="00E6227F"/>
    <w:rsid w:val="00E63760"/>
    <w:rsid w:val="00E639DE"/>
    <w:rsid w:val="00E63E6D"/>
    <w:rsid w:val="00E640B3"/>
    <w:rsid w:val="00E64307"/>
    <w:rsid w:val="00E64C6A"/>
    <w:rsid w:val="00E64DA6"/>
    <w:rsid w:val="00E65671"/>
    <w:rsid w:val="00E65C4E"/>
    <w:rsid w:val="00E66B03"/>
    <w:rsid w:val="00E66B2F"/>
    <w:rsid w:val="00E6743A"/>
    <w:rsid w:val="00E6796D"/>
    <w:rsid w:val="00E67DFF"/>
    <w:rsid w:val="00E70A7B"/>
    <w:rsid w:val="00E70F63"/>
    <w:rsid w:val="00E7141D"/>
    <w:rsid w:val="00E714C5"/>
    <w:rsid w:val="00E71D53"/>
    <w:rsid w:val="00E72494"/>
    <w:rsid w:val="00E724C8"/>
    <w:rsid w:val="00E72E8C"/>
    <w:rsid w:val="00E73140"/>
    <w:rsid w:val="00E734B7"/>
    <w:rsid w:val="00E7383F"/>
    <w:rsid w:val="00E747EA"/>
    <w:rsid w:val="00E748B9"/>
    <w:rsid w:val="00E74F30"/>
    <w:rsid w:val="00E75A25"/>
    <w:rsid w:val="00E75FC8"/>
    <w:rsid w:val="00E75FDA"/>
    <w:rsid w:val="00E76C58"/>
    <w:rsid w:val="00E772F3"/>
    <w:rsid w:val="00E77A66"/>
    <w:rsid w:val="00E800F6"/>
    <w:rsid w:val="00E80771"/>
    <w:rsid w:val="00E81895"/>
    <w:rsid w:val="00E81E9D"/>
    <w:rsid w:val="00E82C01"/>
    <w:rsid w:val="00E836C5"/>
    <w:rsid w:val="00E84476"/>
    <w:rsid w:val="00E85CD7"/>
    <w:rsid w:val="00E87330"/>
    <w:rsid w:val="00E877E9"/>
    <w:rsid w:val="00E87CD1"/>
    <w:rsid w:val="00E91147"/>
    <w:rsid w:val="00E9150C"/>
    <w:rsid w:val="00E91B29"/>
    <w:rsid w:val="00E925D5"/>
    <w:rsid w:val="00E9323E"/>
    <w:rsid w:val="00E9341F"/>
    <w:rsid w:val="00E93BF7"/>
    <w:rsid w:val="00E93CFD"/>
    <w:rsid w:val="00E951EE"/>
    <w:rsid w:val="00E96084"/>
    <w:rsid w:val="00E961D3"/>
    <w:rsid w:val="00E971AB"/>
    <w:rsid w:val="00E97253"/>
    <w:rsid w:val="00E972A2"/>
    <w:rsid w:val="00E97335"/>
    <w:rsid w:val="00EA05E0"/>
    <w:rsid w:val="00EA12B9"/>
    <w:rsid w:val="00EA13A0"/>
    <w:rsid w:val="00EA21E3"/>
    <w:rsid w:val="00EA2DBA"/>
    <w:rsid w:val="00EA2E87"/>
    <w:rsid w:val="00EA2E92"/>
    <w:rsid w:val="00EA323C"/>
    <w:rsid w:val="00EA3E59"/>
    <w:rsid w:val="00EA3E98"/>
    <w:rsid w:val="00EA403C"/>
    <w:rsid w:val="00EA453B"/>
    <w:rsid w:val="00EA479B"/>
    <w:rsid w:val="00EA4A3C"/>
    <w:rsid w:val="00EA6D5A"/>
    <w:rsid w:val="00EA6F4E"/>
    <w:rsid w:val="00EA76B8"/>
    <w:rsid w:val="00EB1FA1"/>
    <w:rsid w:val="00EB2F5E"/>
    <w:rsid w:val="00EB32DD"/>
    <w:rsid w:val="00EB41C1"/>
    <w:rsid w:val="00EB4C5F"/>
    <w:rsid w:val="00EB54C5"/>
    <w:rsid w:val="00EB5ACA"/>
    <w:rsid w:val="00EB5E77"/>
    <w:rsid w:val="00EB6692"/>
    <w:rsid w:val="00EB6780"/>
    <w:rsid w:val="00EB6A27"/>
    <w:rsid w:val="00EB6C19"/>
    <w:rsid w:val="00EB7510"/>
    <w:rsid w:val="00EB7D90"/>
    <w:rsid w:val="00EC116E"/>
    <w:rsid w:val="00EC1385"/>
    <w:rsid w:val="00EC1B50"/>
    <w:rsid w:val="00EC2FF6"/>
    <w:rsid w:val="00EC30E9"/>
    <w:rsid w:val="00EC33AD"/>
    <w:rsid w:val="00EC47FC"/>
    <w:rsid w:val="00EC4CCE"/>
    <w:rsid w:val="00EC4D12"/>
    <w:rsid w:val="00EC4F13"/>
    <w:rsid w:val="00EC6D69"/>
    <w:rsid w:val="00EC72CF"/>
    <w:rsid w:val="00EC7C21"/>
    <w:rsid w:val="00ED01D4"/>
    <w:rsid w:val="00ED04CD"/>
    <w:rsid w:val="00ED0A7A"/>
    <w:rsid w:val="00ED13A3"/>
    <w:rsid w:val="00ED2272"/>
    <w:rsid w:val="00ED29D3"/>
    <w:rsid w:val="00ED2CD9"/>
    <w:rsid w:val="00ED2E7E"/>
    <w:rsid w:val="00ED350B"/>
    <w:rsid w:val="00ED4902"/>
    <w:rsid w:val="00ED4FDA"/>
    <w:rsid w:val="00ED5744"/>
    <w:rsid w:val="00ED5ECF"/>
    <w:rsid w:val="00ED788A"/>
    <w:rsid w:val="00EE06D0"/>
    <w:rsid w:val="00EE0D62"/>
    <w:rsid w:val="00EE1011"/>
    <w:rsid w:val="00EE1B76"/>
    <w:rsid w:val="00EE1E50"/>
    <w:rsid w:val="00EE2644"/>
    <w:rsid w:val="00EE26F7"/>
    <w:rsid w:val="00EE3250"/>
    <w:rsid w:val="00EE3EE3"/>
    <w:rsid w:val="00EE418E"/>
    <w:rsid w:val="00EE5448"/>
    <w:rsid w:val="00EE58EB"/>
    <w:rsid w:val="00EE5DD5"/>
    <w:rsid w:val="00EE7DA1"/>
    <w:rsid w:val="00EF03A6"/>
    <w:rsid w:val="00EF0764"/>
    <w:rsid w:val="00EF202B"/>
    <w:rsid w:val="00EF257A"/>
    <w:rsid w:val="00EF29FD"/>
    <w:rsid w:val="00EF2B93"/>
    <w:rsid w:val="00EF2D6B"/>
    <w:rsid w:val="00EF38D0"/>
    <w:rsid w:val="00EF43D6"/>
    <w:rsid w:val="00EF4B8D"/>
    <w:rsid w:val="00EF6856"/>
    <w:rsid w:val="00EF739D"/>
    <w:rsid w:val="00EF7CAF"/>
    <w:rsid w:val="00F00CC6"/>
    <w:rsid w:val="00F00D78"/>
    <w:rsid w:val="00F011B3"/>
    <w:rsid w:val="00F014EF"/>
    <w:rsid w:val="00F01744"/>
    <w:rsid w:val="00F01AC4"/>
    <w:rsid w:val="00F01EF1"/>
    <w:rsid w:val="00F0212D"/>
    <w:rsid w:val="00F02CFB"/>
    <w:rsid w:val="00F03292"/>
    <w:rsid w:val="00F03E79"/>
    <w:rsid w:val="00F040A7"/>
    <w:rsid w:val="00F05113"/>
    <w:rsid w:val="00F054C1"/>
    <w:rsid w:val="00F05E7C"/>
    <w:rsid w:val="00F05FE2"/>
    <w:rsid w:val="00F0619C"/>
    <w:rsid w:val="00F06682"/>
    <w:rsid w:val="00F06FD6"/>
    <w:rsid w:val="00F0743F"/>
    <w:rsid w:val="00F07716"/>
    <w:rsid w:val="00F07AFD"/>
    <w:rsid w:val="00F07D14"/>
    <w:rsid w:val="00F07FCE"/>
    <w:rsid w:val="00F10728"/>
    <w:rsid w:val="00F10DE3"/>
    <w:rsid w:val="00F11171"/>
    <w:rsid w:val="00F1222B"/>
    <w:rsid w:val="00F1266D"/>
    <w:rsid w:val="00F1275B"/>
    <w:rsid w:val="00F1344D"/>
    <w:rsid w:val="00F13524"/>
    <w:rsid w:val="00F1478E"/>
    <w:rsid w:val="00F14A5A"/>
    <w:rsid w:val="00F14DDE"/>
    <w:rsid w:val="00F15437"/>
    <w:rsid w:val="00F156BD"/>
    <w:rsid w:val="00F16388"/>
    <w:rsid w:val="00F17404"/>
    <w:rsid w:val="00F2093A"/>
    <w:rsid w:val="00F2106B"/>
    <w:rsid w:val="00F210F3"/>
    <w:rsid w:val="00F217DF"/>
    <w:rsid w:val="00F21922"/>
    <w:rsid w:val="00F21C08"/>
    <w:rsid w:val="00F23835"/>
    <w:rsid w:val="00F239F1"/>
    <w:rsid w:val="00F240F3"/>
    <w:rsid w:val="00F25C41"/>
    <w:rsid w:val="00F25DFC"/>
    <w:rsid w:val="00F2647C"/>
    <w:rsid w:val="00F2682C"/>
    <w:rsid w:val="00F26BD0"/>
    <w:rsid w:val="00F27302"/>
    <w:rsid w:val="00F27480"/>
    <w:rsid w:val="00F2757A"/>
    <w:rsid w:val="00F27AAC"/>
    <w:rsid w:val="00F302BD"/>
    <w:rsid w:val="00F309CB"/>
    <w:rsid w:val="00F30B44"/>
    <w:rsid w:val="00F30B50"/>
    <w:rsid w:val="00F3384C"/>
    <w:rsid w:val="00F33F3E"/>
    <w:rsid w:val="00F3481F"/>
    <w:rsid w:val="00F35CB0"/>
    <w:rsid w:val="00F3648D"/>
    <w:rsid w:val="00F36EA7"/>
    <w:rsid w:val="00F370BA"/>
    <w:rsid w:val="00F370E0"/>
    <w:rsid w:val="00F3735B"/>
    <w:rsid w:val="00F37436"/>
    <w:rsid w:val="00F37B96"/>
    <w:rsid w:val="00F37BB6"/>
    <w:rsid w:val="00F40E25"/>
    <w:rsid w:val="00F418B5"/>
    <w:rsid w:val="00F41AD8"/>
    <w:rsid w:val="00F4259C"/>
    <w:rsid w:val="00F42ACA"/>
    <w:rsid w:val="00F4305B"/>
    <w:rsid w:val="00F4322B"/>
    <w:rsid w:val="00F43820"/>
    <w:rsid w:val="00F44B9F"/>
    <w:rsid w:val="00F4519E"/>
    <w:rsid w:val="00F4531B"/>
    <w:rsid w:val="00F45BB2"/>
    <w:rsid w:val="00F45CB1"/>
    <w:rsid w:val="00F45D6E"/>
    <w:rsid w:val="00F4696B"/>
    <w:rsid w:val="00F471CE"/>
    <w:rsid w:val="00F475CB"/>
    <w:rsid w:val="00F50A19"/>
    <w:rsid w:val="00F50B16"/>
    <w:rsid w:val="00F50DF8"/>
    <w:rsid w:val="00F518C6"/>
    <w:rsid w:val="00F519B0"/>
    <w:rsid w:val="00F51B5D"/>
    <w:rsid w:val="00F51F25"/>
    <w:rsid w:val="00F52901"/>
    <w:rsid w:val="00F52B4E"/>
    <w:rsid w:val="00F53733"/>
    <w:rsid w:val="00F54640"/>
    <w:rsid w:val="00F54B8A"/>
    <w:rsid w:val="00F5574A"/>
    <w:rsid w:val="00F55DAA"/>
    <w:rsid w:val="00F55ED0"/>
    <w:rsid w:val="00F56996"/>
    <w:rsid w:val="00F57A4E"/>
    <w:rsid w:val="00F62918"/>
    <w:rsid w:val="00F62AB1"/>
    <w:rsid w:val="00F62D67"/>
    <w:rsid w:val="00F63808"/>
    <w:rsid w:val="00F639B9"/>
    <w:rsid w:val="00F63A7F"/>
    <w:rsid w:val="00F63D60"/>
    <w:rsid w:val="00F6430E"/>
    <w:rsid w:val="00F64C4F"/>
    <w:rsid w:val="00F64DC4"/>
    <w:rsid w:val="00F6555F"/>
    <w:rsid w:val="00F66B1A"/>
    <w:rsid w:val="00F70093"/>
    <w:rsid w:val="00F719E7"/>
    <w:rsid w:val="00F72B9B"/>
    <w:rsid w:val="00F72C1E"/>
    <w:rsid w:val="00F72C79"/>
    <w:rsid w:val="00F74C25"/>
    <w:rsid w:val="00F75893"/>
    <w:rsid w:val="00F75D3F"/>
    <w:rsid w:val="00F766EF"/>
    <w:rsid w:val="00F76982"/>
    <w:rsid w:val="00F76AA5"/>
    <w:rsid w:val="00F76DA5"/>
    <w:rsid w:val="00F8085F"/>
    <w:rsid w:val="00F8109B"/>
    <w:rsid w:val="00F827E8"/>
    <w:rsid w:val="00F82CBD"/>
    <w:rsid w:val="00F831AA"/>
    <w:rsid w:val="00F831F0"/>
    <w:rsid w:val="00F83493"/>
    <w:rsid w:val="00F84711"/>
    <w:rsid w:val="00F84B20"/>
    <w:rsid w:val="00F867D0"/>
    <w:rsid w:val="00F86821"/>
    <w:rsid w:val="00F870ED"/>
    <w:rsid w:val="00F92259"/>
    <w:rsid w:val="00F92430"/>
    <w:rsid w:val="00F92A8A"/>
    <w:rsid w:val="00F92E8B"/>
    <w:rsid w:val="00F9331C"/>
    <w:rsid w:val="00F93CC0"/>
    <w:rsid w:val="00F95934"/>
    <w:rsid w:val="00F9655F"/>
    <w:rsid w:val="00F971E5"/>
    <w:rsid w:val="00F97901"/>
    <w:rsid w:val="00F97D87"/>
    <w:rsid w:val="00FA113D"/>
    <w:rsid w:val="00FA1F83"/>
    <w:rsid w:val="00FA2383"/>
    <w:rsid w:val="00FA3A0E"/>
    <w:rsid w:val="00FA3F93"/>
    <w:rsid w:val="00FA41C4"/>
    <w:rsid w:val="00FA4516"/>
    <w:rsid w:val="00FA4ED9"/>
    <w:rsid w:val="00FA5122"/>
    <w:rsid w:val="00FA51E2"/>
    <w:rsid w:val="00FA58FF"/>
    <w:rsid w:val="00FA5DCA"/>
    <w:rsid w:val="00FA754E"/>
    <w:rsid w:val="00FB02EC"/>
    <w:rsid w:val="00FB040A"/>
    <w:rsid w:val="00FB10FE"/>
    <w:rsid w:val="00FB1821"/>
    <w:rsid w:val="00FB52F1"/>
    <w:rsid w:val="00FB5564"/>
    <w:rsid w:val="00FB619B"/>
    <w:rsid w:val="00FB68E0"/>
    <w:rsid w:val="00FB787A"/>
    <w:rsid w:val="00FB7908"/>
    <w:rsid w:val="00FB7CB3"/>
    <w:rsid w:val="00FB7FA1"/>
    <w:rsid w:val="00FC2CBE"/>
    <w:rsid w:val="00FC3BE6"/>
    <w:rsid w:val="00FC3CD0"/>
    <w:rsid w:val="00FC40F7"/>
    <w:rsid w:val="00FC53D0"/>
    <w:rsid w:val="00FC5A06"/>
    <w:rsid w:val="00FC622F"/>
    <w:rsid w:val="00FC66B8"/>
    <w:rsid w:val="00FC6AA5"/>
    <w:rsid w:val="00FD0868"/>
    <w:rsid w:val="00FD0C30"/>
    <w:rsid w:val="00FD1388"/>
    <w:rsid w:val="00FD1ECE"/>
    <w:rsid w:val="00FD3782"/>
    <w:rsid w:val="00FD41BD"/>
    <w:rsid w:val="00FD4D20"/>
    <w:rsid w:val="00FD5A3D"/>
    <w:rsid w:val="00FD6654"/>
    <w:rsid w:val="00FD73A7"/>
    <w:rsid w:val="00FD7632"/>
    <w:rsid w:val="00FD78D2"/>
    <w:rsid w:val="00FD7B5E"/>
    <w:rsid w:val="00FE05FC"/>
    <w:rsid w:val="00FE0873"/>
    <w:rsid w:val="00FE1AEF"/>
    <w:rsid w:val="00FE238C"/>
    <w:rsid w:val="00FE2443"/>
    <w:rsid w:val="00FE27D3"/>
    <w:rsid w:val="00FE3901"/>
    <w:rsid w:val="00FE3A9F"/>
    <w:rsid w:val="00FE4E6B"/>
    <w:rsid w:val="00FE5123"/>
    <w:rsid w:val="00FE5C04"/>
    <w:rsid w:val="00FE61BD"/>
    <w:rsid w:val="00FE78DF"/>
    <w:rsid w:val="00FE7E8C"/>
    <w:rsid w:val="00FF03E4"/>
    <w:rsid w:val="00FF0920"/>
    <w:rsid w:val="00FF0EDC"/>
    <w:rsid w:val="00FF11AA"/>
    <w:rsid w:val="00FF1F3D"/>
    <w:rsid w:val="00FF4A4E"/>
    <w:rsid w:val="00FF5145"/>
    <w:rsid w:val="00FF5589"/>
    <w:rsid w:val="00FF5CF4"/>
    <w:rsid w:val="00FF5D68"/>
    <w:rsid w:val="00FF6562"/>
    <w:rsid w:val="00FF6D5B"/>
    <w:rsid w:val="0108BFA0"/>
    <w:rsid w:val="010D747A"/>
    <w:rsid w:val="011B3C9B"/>
    <w:rsid w:val="0120CB78"/>
    <w:rsid w:val="01331962"/>
    <w:rsid w:val="0145E386"/>
    <w:rsid w:val="014FE654"/>
    <w:rsid w:val="015A5568"/>
    <w:rsid w:val="01666682"/>
    <w:rsid w:val="017023F9"/>
    <w:rsid w:val="017D58CF"/>
    <w:rsid w:val="019DC9D4"/>
    <w:rsid w:val="019DFA95"/>
    <w:rsid w:val="01B1DAEC"/>
    <w:rsid w:val="01B48ED5"/>
    <w:rsid w:val="01BA8792"/>
    <w:rsid w:val="01BF324F"/>
    <w:rsid w:val="01D78E9E"/>
    <w:rsid w:val="01E5EDD4"/>
    <w:rsid w:val="01EF9F86"/>
    <w:rsid w:val="01F7BEE2"/>
    <w:rsid w:val="0205A86C"/>
    <w:rsid w:val="02099487"/>
    <w:rsid w:val="020B2D88"/>
    <w:rsid w:val="020C2533"/>
    <w:rsid w:val="021611B8"/>
    <w:rsid w:val="022A364F"/>
    <w:rsid w:val="022CD2E2"/>
    <w:rsid w:val="024576FF"/>
    <w:rsid w:val="024A74AD"/>
    <w:rsid w:val="025FAD41"/>
    <w:rsid w:val="0261C151"/>
    <w:rsid w:val="027C4F7E"/>
    <w:rsid w:val="027FA74C"/>
    <w:rsid w:val="0283CCB1"/>
    <w:rsid w:val="028570DA"/>
    <w:rsid w:val="02C890CF"/>
    <w:rsid w:val="02DAC19C"/>
    <w:rsid w:val="02E88631"/>
    <w:rsid w:val="02F37550"/>
    <w:rsid w:val="02F55B80"/>
    <w:rsid w:val="02FBA426"/>
    <w:rsid w:val="030542A4"/>
    <w:rsid w:val="0307B017"/>
    <w:rsid w:val="030F3429"/>
    <w:rsid w:val="032072D2"/>
    <w:rsid w:val="03289596"/>
    <w:rsid w:val="0330534A"/>
    <w:rsid w:val="03337223"/>
    <w:rsid w:val="033BE6A3"/>
    <w:rsid w:val="0354A96A"/>
    <w:rsid w:val="035702B9"/>
    <w:rsid w:val="035B0D48"/>
    <w:rsid w:val="035D2A30"/>
    <w:rsid w:val="035E5120"/>
    <w:rsid w:val="03603440"/>
    <w:rsid w:val="0361B33A"/>
    <w:rsid w:val="0364F325"/>
    <w:rsid w:val="036F0AA6"/>
    <w:rsid w:val="0388F6A5"/>
    <w:rsid w:val="038EC979"/>
    <w:rsid w:val="0395FDB0"/>
    <w:rsid w:val="0396FACA"/>
    <w:rsid w:val="039E519F"/>
    <w:rsid w:val="03AC5273"/>
    <w:rsid w:val="03B06A90"/>
    <w:rsid w:val="03BACDE8"/>
    <w:rsid w:val="03C7A3EE"/>
    <w:rsid w:val="03C9A1F4"/>
    <w:rsid w:val="03CBD3C4"/>
    <w:rsid w:val="03CCBBF1"/>
    <w:rsid w:val="03E14760"/>
    <w:rsid w:val="03E93E0E"/>
    <w:rsid w:val="03F40454"/>
    <w:rsid w:val="03F9FF3B"/>
    <w:rsid w:val="0412B236"/>
    <w:rsid w:val="041FEB8E"/>
    <w:rsid w:val="0420E795"/>
    <w:rsid w:val="042B372C"/>
    <w:rsid w:val="042FDBCA"/>
    <w:rsid w:val="0433DDD1"/>
    <w:rsid w:val="04400823"/>
    <w:rsid w:val="044E3E75"/>
    <w:rsid w:val="044FEB1B"/>
    <w:rsid w:val="04615E1F"/>
    <w:rsid w:val="04796A17"/>
    <w:rsid w:val="04859B63"/>
    <w:rsid w:val="048A6E46"/>
    <w:rsid w:val="048BDE76"/>
    <w:rsid w:val="04986510"/>
    <w:rsid w:val="049AC356"/>
    <w:rsid w:val="04A267B3"/>
    <w:rsid w:val="04AA3D84"/>
    <w:rsid w:val="04AAE808"/>
    <w:rsid w:val="04AD8AD6"/>
    <w:rsid w:val="04B16150"/>
    <w:rsid w:val="04C0BE01"/>
    <w:rsid w:val="04C26863"/>
    <w:rsid w:val="04C3FBB7"/>
    <w:rsid w:val="04CC6FDD"/>
    <w:rsid w:val="04D7C4ED"/>
    <w:rsid w:val="04F1288C"/>
    <w:rsid w:val="04FB2AEF"/>
    <w:rsid w:val="050635C9"/>
    <w:rsid w:val="052D1611"/>
    <w:rsid w:val="0535503E"/>
    <w:rsid w:val="0536B667"/>
    <w:rsid w:val="053863FF"/>
    <w:rsid w:val="05407DC3"/>
    <w:rsid w:val="05465568"/>
    <w:rsid w:val="05533C15"/>
    <w:rsid w:val="0555FA4F"/>
    <w:rsid w:val="055B45C6"/>
    <w:rsid w:val="0570C772"/>
    <w:rsid w:val="05787A6E"/>
    <w:rsid w:val="05820BB4"/>
    <w:rsid w:val="0589332C"/>
    <w:rsid w:val="058AE321"/>
    <w:rsid w:val="058E70EC"/>
    <w:rsid w:val="05911E0F"/>
    <w:rsid w:val="05932340"/>
    <w:rsid w:val="059F77F7"/>
    <w:rsid w:val="05A090BC"/>
    <w:rsid w:val="05A168DC"/>
    <w:rsid w:val="05A3E67F"/>
    <w:rsid w:val="05A9F533"/>
    <w:rsid w:val="05B2FF26"/>
    <w:rsid w:val="05B7C525"/>
    <w:rsid w:val="05B7E0A3"/>
    <w:rsid w:val="05BE2931"/>
    <w:rsid w:val="05BFF3E9"/>
    <w:rsid w:val="05D38D3E"/>
    <w:rsid w:val="05DA1E48"/>
    <w:rsid w:val="05E7796E"/>
    <w:rsid w:val="05EA0ED6"/>
    <w:rsid w:val="05F4D9EC"/>
    <w:rsid w:val="060E60C8"/>
    <w:rsid w:val="061C7808"/>
    <w:rsid w:val="0637DC6A"/>
    <w:rsid w:val="06431AC2"/>
    <w:rsid w:val="064B9E1A"/>
    <w:rsid w:val="066DD4B6"/>
    <w:rsid w:val="06754298"/>
    <w:rsid w:val="067EB712"/>
    <w:rsid w:val="06932F57"/>
    <w:rsid w:val="06943E0F"/>
    <w:rsid w:val="06945BD7"/>
    <w:rsid w:val="069777F6"/>
    <w:rsid w:val="06A4378F"/>
    <w:rsid w:val="06AB4619"/>
    <w:rsid w:val="06C652E4"/>
    <w:rsid w:val="06C9970C"/>
    <w:rsid w:val="06CACDFF"/>
    <w:rsid w:val="06D0C5E6"/>
    <w:rsid w:val="06DCA414"/>
    <w:rsid w:val="06E08BD7"/>
    <w:rsid w:val="06F91A13"/>
    <w:rsid w:val="07076380"/>
    <w:rsid w:val="07090EF1"/>
    <w:rsid w:val="07339B25"/>
    <w:rsid w:val="073C9B97"/>
    <w:rsid w:val="0740BEF1"/>
    <w:rsid w:val="0742456C"/>
    <w:rsid w:val="0744E579"/>
    <w:rsid w:val="075638E1"/>
    <w:rsid w:val="075C153F"/>
    <w:rsid w:val="076BCD65"/>
    <w:rsid w:val="07791B02"/>
    <w:rsid w:val="0781852E"/>
    <w:rsid w:val="0784E884"/>
    <w:rsid w:val="07900CFC"/>
    <w:rsid w:val="07911D36"/>
    <w:rsid w:val="07936D79"/>
    <w:rsid w:val="079722D2"/>
    <w:rsid w:val="079993C2"/>
    <w:rsid w:val="07AA7A42"/>
    <w:rsid w:val="07ADE6D8"/>
    <w:rsid w:val="07B7DB6B"/>
    <w:rsid w:val="07B825A0"/>
    <w:rsid w:val="07C002D6"/>
    <w:rsid w:val="07CB67EC"/>
    <w:rsid w:val="07D47E5F"/>
    <w:rsid w:val="0808E567"/>
    <w:rsid w:val="08118963"/>
    <w:rsid w:val="081A79E4"/>
    <w:rsid w:val="0824CA2E"/>
    <w:rsid w:val="084165E1"/>
    <w:rsid w:val="0841F8C0"/>
    <w:rsid w:val="08461A93"/>
    <w:rsid w:val="08496E15"/>
    <w:rsid w:val="084B218A"/>
    <w:rsid w:val="084D15AB"/>
    <w:rsid w:val="084F9EE6"/>
    <w:rsid w:val="08568A83"/>
    <w:rsid w:val="08570A37"/>
    <w:rsid w:val="08714EDA"/>
    <w:rsid w:val="0871AF42"/>
    <w:rsid w:val="08733078"/>
    <w:rsid w:val="0873961D"/>
    <w:rsid w:val="0880C8F4"/>
    <w:rsid w:val="0884F2DF"/>
    <w:rsid w:val="0887A362"/>
    <w:rsid w:val="088A04B6"/>
    <w:rsid w:val="08958661"/>
    <w:rsid w:val="0897E441"/>
    <w:rsid w:val="089F179E"/>
    <w:rsid w:val="08CF3C4E"/>
    <w:rsid w:val="08E05D22"/>
    <w:rsid w:val="08E9076C"/>
    <w:rsid w:val="08F5F64C"/>
    <w:rsid w:val="08F6DB07"/>
    <w:rsid w:val="08FF0167"/>
    <w:rsid w:val="0919A730"/>
    <w:rsid w:val="0921AF98"/>
    <w:rsid w:val="09230014"/>
    <w:rsid w:val="0923A224"/>
    <w:rsid w:val="0924BCDE"/>
    <w:rsid w:val="092AA057"/>
    <w:rsid w:val="09315126"/>
    <w:rsid w:val="09476005"/>
    <w:rsid w:val="09535CDC"/>
    <w:rsid w:val="09655122"/>
    <w:rsid w:val="096AE0C8"/>
    <w:rsid w:val="096BC4D0"/>
    <w:rsid w:val="096D5279"/>
    <w:rsid w:val="0978688C"/>
    <w:rsid w:val="0985EBC7"/>
    <w:rsid w:val="09883E92"/>
    <w:rsid w:val="098A8518"/>
    <w:rsid w:val="098A9409"/>
    <w:rsid w:val="0994C234"/>
    <w:rsid w:val="0998591C"/>
    <w:rsid w:val="09A191F6"/>
    <w:rsid w:val="09B914E2"/>
    <w:rsid w:val="09BBA82C"/>
    <w:rsid w:val="09C146C5"/>
    <w:rsid w:val="09C55254"/>
    <w:rsid w:val="09C5569E"/>
    <w:rsid w:val="09D1AA8C"/>
    <w:rsid w:val="09D728ED"/>
    <w:rsid w:val="09D86B2F"/>
    <w:rsid w:val="09E89695"/>
    <w:rsid w:val="09E9A170"/>
    <w:rsid w:val="09F7B847"/>
    <w:rsid w:val="09FF273D"/>
    <w:rsid w:val="0A00F1E2"/>
    <w:rsid w:val="0A013A43"/>
    <w:rsid w:val="0A058C12"/>
    <w:rsid w:val="0A123B13"/>
    <w:rsid w:val="0A21ECEB"/>
    <w:rsid w:val="0A335E6A"/>
    <w:rsid w:val="0A339225"/>
    <w:rsid w:val="0A342969"/>
    <w:rsid w:val="0A3892ED"/>
    <w:rsid w:val="0A3C6FCD"/>
    <w:rsid w:val="0A5626A7"/>
    <w:rsid w:val="0A59C1B8"/>
    <w:rsid w:val="0A642CC4"/>
    <w:rsid w:val="0A6640D2"/>
    <w:rsid w:val="0A673DAD"/>
    <w:rsid w:val="0A6EF89E"/>
    <w:rsid w:val="0A72C212"/>
    <w:rsid w:val="0A774E5F"/>
    <w:rsid w:val="0A7B49B6"/>
    <w:rsid w:val="0A7E42F6"/>
    <w:rsid w:val="0A80654B"/>
    <w:rsid w:val="0A80B4C2"/>
    <w:rsid w:val="0A882BAC"/>
    <w:rsid w:val="0A895F10"/>
    <w:rsid w:val="0A8FB804"/>
    <w:rsid w:val="0A9804A9"/>
    <w:rsid w:val="0A9D060F"/>
    <w:rsid w:val="0AA173B8"/>
    <w:rsid w:val="0AA66A40"/>
    <w:rsid w:val="0AA9F657"/>
    <w:rsid w:val="0AAEA5B8"/>
    <w:rsid w:val="0AB50497"/>
    <w:rsid w:val="0AC7ADBE"/>
    <w:rsid w:val="0AD73A1C"/>
    <w:rsid w:val="0ADB2A98"/>
    <w:rsid w:val="0AE84CF3"/>
    <w:rsid w:val="0AFD3DA7"/>
    <w:rsid w:val="0AFE2384"/>
    <w:rsid w:val="0B1353C5"/>
    <w:rsid w:val="0B157609"/>
    <w:rsid w:val="0B1E6B3F"/>
    <w:rsid w:val="0B20A659"/>
    <w:rsid w:val="0B2A768A"/>
    <w:rsid w:val="0B35E452"/>
    <w:rsid w:val="0B40862D"/>
    <w:rsid w:val="0B415317"/>
    <w:rsid w:val="0B4EF009"/>
    <w:rsid w:val="0B55C840"/>
    <w:rsid w:val="0B683B01"/>
    <w:rsid w:val="0B690763"/>
    <w:rsid w:val="0B6CC635"/>
    <w:rsid w:val="0B82D362"/>
    <w:rsid w:val="0B84DF26"/>
    <w:rsid w:val="0B866E9E"/>
    <w:rsid w:val="0B87FE75"/>
    <w:rsid w:val="0B8E067B"/>
    <w:rsid w:val="0B9559CC"/>
    <w:rsid w:val="0B997FD5"/>
    <w:rsid w:val="0B9CE1B0"/>
    <w:rsid w:val="0BDCD4F4"/>
    <w:rsid w:val="0BDDA8CC"/>
    <w:rsid w:val="0BF43AA6"/>
    <w:rsid w:val="0BFF1A76"/>
    <w:rsid w:val="0C058187"/>
    <w:rsid w:val="0C0581A2"/>
    <w:rsid w:val="0C14705F"/>
    <w:rsid w:val="0C281CF2"/>
    <w:rsid w:val="0C353FCC"/>
    <w:rsid w:val="0C3A3602"/>
    <w:rsid w:val="0C4C955C"/>
    <w:rsid w:val="0C53CD10"/>
    <w:rsid w:val="0C561540"/>
    <w:rsid w:val="0C59505A"/>
    <w:rsid w:val="0C5D13E6"/>
    <w:rsid w:val="0C5FCDA5"/>
    <w:rsid w:val="0C64C4E8"/>
    <w:rsid w:val="0C6AC4AF"/>
    <w:rsid w:val="0C6DB840"/>
    <w:rsid w:val="0C73B4CA"/>
    <w:rsid w:val="0C73CEBA"/>
    <w:rsid w:val="0C7B4A9C"/>
    <w:rsid w:val="0C90D936"/>
    <w:rsid w:val="0C9316E1"/>
    <w:rsid w:val="0C944028"/>
    <w:rsid w:val="0C94942C"/>
    <w:rsid w:val="0C9AE7E0"/>
    <w:rsid w:val="0CB45FA2"/>
    <w:rsid w:val="0CCBFDCF"/>
    <w:rsid w:val="0CD40EB9"/>
    <w:rsid w:val="0CD6DCA3"/>
    <w:rsid w:val="0CD8FC8E"/>
    <w:rsid w:val="0CE22AB0"/>
    <w:rsid w:val="0CF2F9D6"/>
    <w:rsid w:val="0CF84223"/>
    <w:rsid w:val="0D0D4DD5"/>
    <w:rsid w:val="0D0F6D94"/>
    <w:rsid w:val="0D12618B"/>
    <w:rsid w:val="0D13FF46"/>
    <w:rsid w:val="0D144CB2"/>
    <w:rsid w:val="0D39224B"/>
    <w:rsid w:val="0D44D814"/>
    <w:rsid w:val="0D48F5E4"/>
    <w:rsid w:val="0D4CB2F5"/>
    <w:rsid w:val="0D4CF122"/>
    <w:rsid w:val="0D559DB7"/>
    <w:rsid w:val="0D59AE73"/>
    <w:rsid w:val="0D604582"/>
    <w:rsid w:val="0D625FFC"/>
    <w:rsid w:val="0D6E925D"/>
    <w:rsid w:val="0D84F95F"/>
    <w:rsid w:val="0D8786B7"/>
    <w:rsid w:val="0D8D1CD3"/>
    <w:rsid w:val="0D97AA80"/>
    <w:rsid w:val="0D9CC76C"/>
    <w:rsid w:val="0DA2EBC6"/>
    <w:rsid w:val="0DBC8FE4"/>
    <w:rsid w:val="0DC6C14E"/>
    <w:rsid w:val="0DCAA705"/>
    <w:rsid w:val="0DCE3853"/>
    <w:rsid w:val="0DD202BD"/>
    <w:rsid w:val="0DD2728A"/>
    <w:rsid w:val="0DDB6933"/>
    <w:rsid w:val="0DE74FA9"/>
    <w:rsid w:val="0DF24DEA"/>
    <w:rsid w:val="0DF45592"/>
    <w:rsid w:val="0DFA035A"/>
    <w:rsid w:val="0DFE685F"/>
    <w:rsid w:val="0E06A6B8"/>
    <w:rsid w:val="0E0A10F1"/>
    <w:rsid w:val="0E0A1486"/>
    <w:rsid w:val="0E0A4757"/>
    <w:rsid w:val="0E0C66D3"/>
    <w:rsid w:val="0E107CA1"/>
    <w:rsid w:val="0E18366A"/>
    <w:rsid w:val="0E23477B"/>
    <w:rsid w:val="0E289EFD"/>
    <w:rsid w:val="0E2C85EA"/>
    <w:rsid w:val="0E30356C"/>
    <w:rsid w:val="0E3BC652"/>
    <w:rsid w:val="0E463E76"/>
    <w:rsid w:val="0E4881F8"/>
    <w:rsid w:val="0E537656"/>
    <w:rsid w:val="0E5415B1"/>
    <w:rsid w:val="0E54890D"/>
    <w:rsid w:val="0E59EBF4"/>
    <w:rsid w:val="0E5AC68E"/>
    <w:rsid w:val="0E5E412C"/>
    <w:rsid w:val="0E683E6A"/>
    <w:rsid w:val="0E79EE8E"/>
    <w:rsid w:val="0E862A29"/>
    <w:rsid w:val="0E892FCC"/>
    <w:rsid w:val="0E8B28DF"/>
    <w:rsid w:val="0E963CDD"/>
    <w:rsid w:val="0EA2B81D"/>
    <w:rsid w:val="0EBD11B1"/>
    <w:rsid w:val="0EBE48F2"/>
    <w:rsid w:val="0ED66A82"/>
    <w:rsid w:val="0EEDE88A"/>
    <w:rsid w:val="0EEE2BFC"/>
    <w:rsid w:val="0EF2F596"/>
    <w:rsid w:val="0F06B802"/>
    <w:rsid w:val="0F0A4CF3"/>
    <w:rsid w:val="0F0D7EB9"/>
    <w:rsid w:val="0F104140"/>
    <w:rsid w:val="0F16ED15"/>
    <w:rsid w:val="0F1AD3AC"/>
    <w:rsid w:val="0F2069CD"/>
    <w:rsid w:val="0F26FCFB"/>
    <w:rsid w:val="0F2D5B54"/>
    <w:rsid w:val="0F36A865"/>
    <w:rsid w:val="0F43C1E3"/>
    <w:rsid w:val="0F468BD8"/>
    <w:rsid w:val="0F516F29"/>
    <w:rsid w:val="0F56FD51"/>
    <w:rsid w:val="0F67C206"/>
    <w:rsid w:val="0F78DC6C"/>
    <w:rsid w:val="0F7EF858"/>
    <w:rsid w:val="0F7F0E83"/>
    <w:rsid w:val="0F80527B"/>
    <w:rsid w:val="0F843089"/>
    <w:rsid w:val="0F8AD65A"/>
    <w:rsid w:val="0F945546"/>
    <w:rsid w:val="0F95D3BB"/>
    <w:rsid w:val="0F9B1EE1"/>
    <w:rsid w:val="0FAB263E"/>
    <w:rsid w:val="0FABAB35"/>
    <w:rsid w:val="0FB96045"/>
    <w:rsid w:val="0FB9CB1C"/>
    <w:rsid w:val="0FBCAF64"/>
    <w:rsid w:val="0FC96247"/>
    <w:rsid w:val="0FD924E2"/>
    <w:rsid w:val="0FE9184B"/>
    <w:rsid w:val="0FEA5385"/>
    <w:rsid w:val="0FF1405D"/>
    <w:rsid w:val="0FF4AAF1"/>
    <w:rsid w:val="0FF8A6B5"/>
    <w:rsid w:val="1003F604"/>
    <w:rsid w:val="1005D07A"/>
    <w:rsid w:val="10083BD1"/>
    <w:rsid w:val="1010E8EC"/>
    <w:rsid w:val="1017A1FC"/>
    <w:rsid w:val="101B3357"/>
    <w:rsid w:val="1023C5F0"/>
    <w:rsid w:val="1037827A"/>
    <w:rsid w:val="104A0CF7"/>
    <w:rsid w:val="104D12DC"/>
    <w:rsid w:val="104F2040"/>
    <w:rsid w:val="10505F9F"/>
    <w:rsid w:val="10573B0E"/>
    <w:rsid w:val="105B7315"/>
    <w:rsid w:val="1066A241"/>
    <w:rsid w:val="10672AD2"/>
    <w:rsid w:val="107EB2B1"/>
    <w:rsid w:val="10819455"/>
    <w:rsid w:val="1082AA8C"/>
    <w:rsid w:val="108491E4"/>
    <w:rsid w:val="1091919A"/>
    <w:rsid w:val="10AFA4DC"/>
    <w:rsid w:val="10BB0D68"/>
    <w:rsid w:val="10CCCC7A"/>
    <w:rsid w:val="10D77B8C"/>
    <w:rsid w:val="10E894B1"/>
    <w:rsid w:val="10F073F4"/>
    <w:rsid w:val="10F4AA90"/>
    <w:rsid w:val="10FE303A"/>
    <w:rsid w:val="11119098"/>
    <w:rsid w:val="111BCA16"/>
    <w:rsid w:val="111E5E73"/>
    <w:rsid w:val="11206945"/>
    <w:rsid w:val="11298A05"/>
    <w:rsid w:val="113C7825"/>
    <w:rsid w:val="113E1EDB"/>
    <w:rsid w:val="1152F01F"/>
    <w:rsid w:val="1168CDE7"/>
    <w:rsid w:val="116E93C9"/>
    <w:rsid w:val="1176AEBF"/>
    <w:rsid w:val="1178C2EB"/>
    <w:rsid w:val="11864790"/>
    <w:rsid w:val="11947716"/>
    <w:rsid w:val="11A111A0"/>
    <w:rsid w:val="11A8D9E4"/>
    <w:rsid w:val="11B4B403"/>
    <w:rsid w:val="11B6D2A7"/>
    <w:rsid w:val="11C20F50"/>
    <w:rsid w:val="11C25B1C"/>
    <w:rsid w:val="11C86A05"/>
    <w:rsid w:val="11D829DC"/>
    <w:rsid w:val="11F48132"/>
    <w:rsid w:val="11FFF6B6"/>
    <w:rsid w:val="1201A35F"/>
    <w:rsid w:val="120CE607"/>
    <w:rsid w:val="1214C7FA"/>
    <w:rsid w:val="121A9023"/>
    <w:rsid w:val="122359D4"/>
    <w:rsid w:val="122C07F6"/>
    <w:rsid w:val="122C1E8C"/>
    <w:rsid w:val="12318B96"/>
    <w:rsid w:val="12452FEE"/>
    <w:rsid w:val="124A5512"/>
    <w:rsid w:val="126244B7"/>
    <w:rsid w:val="126886B0"/>
    <w:rsid w:val="1283CD53"/>
    <w:rsid w:val="12A97096"/>
    <w:rsid w:val="12ACF70D"/>
    <w:rsid w:val="12C5D216"/>
    <w:rsid w:val="12C96645"/>
    <w:rsid w:val="12DCE474"/>
    <w:rsid w:val="12E7D014"/>
    <w:rsid w:val="12E92949"/>
    <w:rsid w:val="130F91B1"/>
    <w:rsid w:val="13109156"/>
    <w:rsid w:val="131446EF"/>
    <w:rsid w:val="13179AB5"/>
    <w:rsid w:val="1324A9EF"/>
    <w:rsid w:val="1329AA6D"/>
    <w:rsid w:val="1344E1A2"/>
    <w:rsid w:val="134552A3"/>
    <w:rsid w:val="134FAF23"/>
    <w:rsid w:val="135ADD4A"/>
    <w:rsid w:val="13612CA8"/>
    <w:rsid w:val="1362F6B1"/>
    <w:rsid w:val="136D36E3"/>
    <w:rsid w:val="136E1535"/>
    <w:rsid w:val="137DDAFE"/>
    <w:rsid w:val="1380A67C"/>
    <w:rsid w:val="13913F43"/>
    <w:rsid w:val="139E88A3"/>
    <w:rsid w:val="13A658C2"/>
    <w:rsid w:val="13BB5E1E"/>
    <w:rsid w:val="13C84135"/>
    <w:rsid w:val="13DFD013"/>
    <w:rsid w:val="13E4CB28"/>
    <w:rsid w:val="13E5C9A8"/>
    <w:rsid w:val="13EC16F8"/>
    <w:rsid w:val="13FCEC33"/>
    <w:rsid w:val="1411104E"/>
    <w:rsid w:val="1412C1F2"/>
    <w:rsid w:val="14246487"/>
    <w:rsid w:val="14713264"/>
    <w:rsid w:val="148CD168"/>
    <w:rsid w:val="1492C113"/>
    <w:rsid w:val="14982A78"/>
    <w:rsid w:val="14A1C8F9"/>
    <w:rsid w:val="14A9864D"/>
    <w:rsid w:val="14AB6212"/>
    <w:rsid w:val="14B413E4"/>
    <w:rsid w:val="14C25F60"/>
    <w:rsid w:val="14C7AA6C"/>
    <w:rsid w:val="14CC17D8"/>
    <w:rsid w:val="14D03BEE"/>
    <w:rsid w:val="14D50663"/>
    <w:rsid w:val="14D6FA84"/>
    <w:rsid w:val="14E3F6A5"/>
    <w:rsid w:val="14EF1BC2"/>
    <w:rsid w:val="14F2AEF8"/>
    <w:rsid w:val="1501EEAB"/>
    <w:rsid w:val="1505818E"/>
    <w:rsid w:val="151BB8F3"/>
    <w:rsid w:val="15299958"/>
    <w:rsid w:val="1530C26D"/>
    <w:rsid w:val="15349E55"/>
    <w:rsid w:val="1534D140"/>
    <w:rsid w:val="153B7CD3"/>
    <w:rsid w:val="153DDD03"/>
    <w:rsid w:val="153E4400"/>
    <w:rsid w:val="154157C9"/>
    <w:rsid w:val="154CDABD"/>
    <w:rsid w:val="1553512E"/>
    <w:rsid w:val="15582357"/>
    <w:rsid w:val="155FDE70"/>
    <w:rsid w:val="1582B95C"/>
    <w:rsid w:val="158EBEA5"/>
    <w:rsid w:val="15906E24"/>
    <w:rsid w:val="15A1354A"/>
    <w:rsid w:val="15B9A6F7"/>
    <w:rsid w:val="15B9CF21"/>
    <w:rsid w:val="15BA97B3"/>
    <w:rsid w:val="15C4D0FF"/>
    <w:rsid w:val="15C5806A"/>
    <w:rsid w:val="15CA8D70"/>
    <w:rsid w:val="15E375BE"/>
    <w:rsid w:val="15E527D9"/>
    <w:rsid w:val="15EF1E78"/>
    <w:rsid w:val="15F051E7"/>
    <w:rsid w:val="15F0CA22"/>
    <w:rsid w:val="16003D0E"/>
    <w:rsid w:val="1604C836"/>
    <w:rsid w:val="160D02C5"/>
    <w:rsid w:val="161F7B6E"/>
    <w:rsid w:val="1624B87B"/>
    <w:rsid w:val="1626EA0E"/>
    <w:rsid w:val="16308F4F"/>
    <w:rsid w:val="16331EBD"/>
    <w:rsid w:val="1643AED8"/>
    <w:rsid w:val="16582F99"/>
    <w:rsid w:val="16674B3C"/>
    <w:rsid w:val="166BFF13"/>
    <w:rsid w:val="16714D25"/>
    <w:rsid w:val="1692BB75"/>
    <w:rsid w:val="169604B1"/>
    <w:rsid w:val="16998CAD"/>
    <w:rsid w:val="169CFD0F"/>
    <w:rsid w:val="169ECC48"/>
    <w:rsid w:val="16A9CDF3"/>
    <w:rsid w:val="16ADA93F"/>
    <w:rsid w:val="16D04DC6"/>
    <w:rsid w:val="16D1E26E"/>
    <w:rsid w:val="16D8D11B"/>
    <w:rsid w:val="16D91261"/>
    <w:rsid w:val="16FF6DAD"/>
    <w:rsid w:val="172A01F4"/>
    <w:rsid w:val="1730EA8A"/>
    <w:rsid w:val="173495F7"/>
    <w:rsid w:val="1735B89E"/>
    <w:rsid w:val="17471E50"/>
    <w:rsid w:val="175D8E85"/>
    <w:rsid w:val="175DFCDA"/>
    <w:rsid w:val="175EC84E"/>
    <w:rsid w:val="17687EDB"/>
    <w:rsid w:val="1775F4A1"/>
    <w:rsid w:val="1784DFB0"/>
    <w:rsid w:val="17857E5F"/>
    <w:rsid w:val="178C2248"/>
    <w:rsid w:val="179BCDF1"/>
    <w:rsid w:val="17AE1E4C"/>
    <w:rsid w:val="17B24424"/>
    <w:rsid w:val="17B6A318"/>
    <w:rsid w:val="17B76BFB"/>
    <w:rsid w:val="17BA3432"/>
    <w:rsid w:val="17BC040A"/>
    <w:rsid w:val="17C24E49"/>
    <w:rsid w:val="17CE69B4"/>
    <w:rsid w:val="17E014C5"/>
    <w:rsid w:val="17EEA717"/>
    <w:rsid w:val="17EED9E8"/>
    <w:rsid w:val="17F94B0E"/>
    <w:rsid w:val="17FB3D92"/>
    <w:rsid w:val="1807DCB0"/>
    <w:rsid w:val="181FEBF8"/>
    <w:rsid w:val="18219A25"/>
    <w:rsid w:val="1828459F"/>
    <w:rsid w:val="182E8323"/>
    <w:rsid w:val="1837DA22"/>
    <w:rsid w:val="183F1FE9"/>
    <w:rsid w:val="1849629D"/>
    <w:rsid w:val="184A75FA"/>
    <w:rsid w:val="18550F33"/>
    <w:rsid w:val="185552EE"/>
    <w:rsid w:val="186D1102"/>
    <w:rsid w:val="18709900"/>
    <w:rsid w:val="18720559"/>
    <w:rsid w:val="1874E2C2"/>
    <w:rsid w:val="1878667C"/>
    <w:rsid w:val="187F2C20"/>
    <w:rsid w:val="188174A2"/>
    <w:rsid w:val="1886D69D"/>
    <w:rsid w:val="1889D1A7"/>
    <w:rsid w:val="188D308C"/>
    <w:rsid w:val="188D653A"/>
    <w:rsid w:val="189558B2"/>
    <w:rsid w:val="189C8438"/>
    <w:rsid w:val="18A1B4CF"/>
    <w:rsid w:val="18A55137"/>
    <w:rsid w:val="18A9538A"/>
    <w:rsid w:val="18B7FC3E"/>
    <w:rsid w:val="18B882DA"/>
    <w:rsid w:val="18BA881D"/>
    <w:rsid w:val="18BAC5A7"/>
    <w:rsid w:val="18BB4CB2"/>
    <w:rsid w:val="18CF8C32"/>
    <w:rsid w:val="18D1D3E7"/>
    <w:rsid w:val="18F6F027"/>
    <w:rsid w:val="18FC89B4"/>
    <w:rsid w:val="18FD932D"/>
    <w:rsid w:val="190BDC2A"/>
    <w:rsid w:val="1911617B"/>
    <w:rsid w:val="192B7B2A"/>
    <w:rsid w:val="193B08CA"/>
    <w:rsid w:val="193B15A1"/>
    <w:rsid w:val="194F33CD"/>
    <w:rsid w:val="196E0EE6"/>
    <w:rsid w:val="1970D787"/>
    <w:rsid w:val="19722BB8"/>
    <w:rsid w:val="197BBDE8"/>
    <w:rsid w:val="19828284"/>
    <w:rsid w:val="1984CDD0"/>
    <w:rsid w:val="19A1BF6B"/>
    <w:rsid w:val="19A5F8E3"/>
    <w:rsid w:val="19B6105D"/>
    <w:rsid w:val="19CF5EFD"/>
    <w:rsid w:val="19D23835"/>
    <w:rsid w:val="19E11C1C"/>
    <w:rsid w:val="19E975C1"/>
    <w:rsid w:val="19EF99B1"/>
    <w:rsid w:val="19F35D21"/>
    <w:rsid w:val="19FE8D5D"/>
    <w:rsid w:val="1A0615C0"/>
    <w:rsid w:val="1A1676AA"/>
    <w:rsid w:val="1A188FBB"/>
    <w:rsid w:val="1A2EDE27"/>
    <w:rsid w:val="1A45544F"/>
    <w:rsid w:val="1A4B5538"/>
    <w:rsid w:val="1A5D8EFD"/>
    <w:rsid w:val="1A62FB84"/>
    <w:rsid w:val="1A65A85C"/>
    <w:rsid w:val="1A6A88AD"/>
    <w:rsid w:val="1A890A93"/>
    <w:rsid w:val="1A89538D"/>
    <w:rsid w:val="1AA3589E"/>
    <w:rsid w:val="1AA5299E"/>
    <w:rsid w:val="1AADB142"/>
    <w:rsid w:val="1AAFD7FD"/>
    <w:rsid w:val="1AB11B28"/>
    <w:rsid w:val="1AB42192"/>
    <w:rsid w:val="1ACC264D"/>
    <w:rsid w:val="1AD01AF5"/>
    <w:rsid w:val="1ADB6F1E"/>
    <w:rsid w:val="1AE0E91A"/>
    <w:rsid w:val="1AF23F63"/>
    <w:rsid w:val="1AF4E0A7"/>
    <w:rsid w:val="1B1496D6"/>
    <w:rsid w:val="1B4077D4"/>
    <w:rsid w:val="1B43FAFD"/>
    <w:rsid w:val="1B647D24"/>
    <w:rsid w:val="1B676ECF"/>
    <w:rsid w:val="1B67A389"/>
    <w:rsid w:val="1B79927E"/>
    <w:rsid w:val="1B8213BC"/>
    <w:rsid w:val="1B91B1D2"/>
    <w:rsid w:val="1B99B56F"/>
    <w:rsid w:val="1BA26F01"/>
    <w:rsid w:val="1BA6B64B"/>
    <w:rsid w:val="1BADDE01"/>
    <w:rsid w:val="1BBEBC3E"/>
    <w:rsid w:val="1BC7E973"/>
    <w:rsid w:val="1BCF8463"/>
    <w:rsid w:val="1BD82A93"/>
    <w:rsid w:val="1BDD9409"/>
    <w:rsid w:val="1BF13758"/>
    <w:rsid w:val="1BF9C687"/>
    <w:rsid w:val="1C019B35"/>
    <w:rsid w:val="1C08A684"/>
    <w:rsid w:val="1C093FCD"/>
    <w:rsid w:val="1C172BFE"/>
    <w:rsid w:val="1C180324"/>
    <w:rsid w:val="1C185CAC"/>
    <w:rsid w:val="1C268FE3"/>
    <w:rsid w:val="1C277758"/>
    <w:rsid w:val="1C2D5D57"/>
    <w:rsid w:val="1C310348"/>
    <w:rsid w:val="1C3123D4"/>
    <w:rsid w:val="1C4C2AF2"/>
    <w:rsid w:val="1C5F936B"/>
    <w:rsid w:val="1C64D5B2"/>
    <w:rsid w:val="1C8011D1"/>
    <w:rsid w:val="1C804836"/>
    <w:rsid w:val="1C83FA0B"/>
    <w:rsid w:val="1C8D7F20"/>
    <w:rsid w:val="1C937CF3"/>
    <w:rsid w:val="1CAC8AFD"/>
    <w:rsid w:val="1CAE2598"/>
    <w:rsid w:val="1CB5715D"/>
    <w:rsid w:val="1CCDE159"/>
    <w:rsid w:val="1CD220C7"/>
    <w:rsid w:val="1CE8E52D"/>
    <w:rsid w:val="1CF05D7B"/>
    <w:rsid w:val="1CF9B53F"/>
    <w:rsid w:val="1D0D812E"/>
    <w:rsid w:val="1D1A555C"/>
    <w:rsid w:val="1D29EA36"/>
    <w:rsid w:val="1D370A84"/>
    <w:rsid w:val="1D3B0983"/>
    <w:rsid w:val="1D516760"/>
    <w:rsid w:val="1D56B52A"/>
    <w:rsid w:val="1D5C26D1"/>
    <w:rsid w:val="1D72412D"/>
    <w:rsid w:val="1D7273FE"/>
    <w:rsid w:val="1D761350"/>
    <w:rsid w:val="1D7A6B69"/>
    <w:rsid w:val="1D87A70C"/>
    <w:rsid w:val="1D8F6368"/>
    <w:rsid w:val="1D9DBD26"/>
    <w:rsid w:val="1DA17D8E"/>
    <w:rsid w:val="1DA35F47"/>
    <w:rsid w:val="1DAEA3FC"/>
    <w:rsid w:val="1DCB357A"/>
    <w:rsid w:val="1DCED941"/>
    <w:rsid w:val="1DE44B16"/>
    <w:rsid w:val="1DF1629C"/>
    <w:rsid w:val="1DFE02AB"/>
    <w:rsid w:val="1E14FBDF"/>
    <w:rsid w:val="1E18737B"/>
    <w:rsid w:val="1E1CE587"/>
    <w:rsid w:val="1E1D5FD0"/>
    <w:rsid w:val="1E294F81"/>
    <w:rsid w:val="1E32B964"/>
    <w:rsid w:val="1E3615D5"/>
    <w:rsid w:val="1E401E27"/>
    <w:rsid w:val="1E447EFE"/>
    <w:rsid w:val="1E67CE5F"/>
    <w:rsid w:val="1E696319"/>
    <w:rsid w:val="1E6BA4D9"/>
    <w:rsid w:val="1E7B0CC4"/>
    <w:rsid w:val="1E7DD71B"/>
    <w:rsid w:val="1E8676F8"/>
    <w:rsid w:val="1E874FB0"/>
    <w:rsid w:val="1E87FC3A"/>
    <w:rsid w:val="1E8A550F"/>
    <w:rsid w:val="1EA72D3C"/>
    <w:rsid w:val="1EA8C568"/>
    <w:rsid w:val="1EAAA909"/>
    <w:rsid w:val="1EABB100"/>
    <w:rsid w:val="1EB07F22"/>
    <w:rsid w:val="1EB31853"/>
    <w:rsid w:val="1EB3747A"/>
    <w:rsid w:val="1EB7D124"/>
    <w:rsid w:val="1ED493FA"/>
    <w:rsid w:val="1EEEAB19"/>
    <w:rsid w:val="1EEEC118"/>
    <w:rsid w:val="1EEF27B5"/>
    <w:rsid w:val="1EFABE5A"/>
    <w:rsid w:val="1F334C0B"/>
    <w:rsid w:val="1F3A6D00"/>
    <w:rsid w:val="1F431BB3"/>
    <w:rsid w:val="1F46074B"/>
    <w:rsid w:val="1F46612D"/>
    <w:rsid w:val="1F544579"/>
    <w:rsid w:val="1F578DB1"/>
    <w:rsid w:val="1F59E8E6"/>
    <w:rsid w:val="1F6F0F0C"/>
    <w:rsid w:val="1F751984"/>
    <w:rsid w:val="1F767ED9"/>
    <w:rsid w:val="1F8A1D99"/>
    <w:rsid w:val="1F92475D"/>
    <w:rsid w:val="1FA0673D"/>
    <w:rsid w:val="1FA2FCB7"/>
    <w:rsid w:val="1FC1171A"/>
    <w:rsid w:val="1FC51FE2"/>
    <w:rsid w:val="1FD705A2"/>
    <w:rsid w:val="1FD95E15"/>
    <w:rsid w:val="20136795"/>
    <w:rsid w:val="202150CA"/>
    <w:rsid w:val="20237A53"/>
    <w:rsid w:val="202A3629"/>
    <w:rsid w:val="2031A0E9"/>
    <w:rsid w:val="2037DCA0"/>
    <w:rsid w:val="20457BBD"/>
    <w:rsid w:val="204B5364"/>
    <w:rsid w:val="204BCB05"/>
    <w:rsid w:val="204C0494"/>
    <w:rsid w:val="204D10FB"/>
    <w:rsid w:val="204F7036"/>
    <w:rsid w:val="205B7ACF"/>
    <w:rsid w:val="2064679A"/>
    <w:rsid w:val="20734388"/>
    <w:rsid w:val="207BB65D"/>
    <w:rsid w:val="2083CC61"/>
    <w:rsid w:val="208EE822"/>
    <w:rsid w:val="20921F2A"/>
    <w:rsid w:val="209D9F46"/>
    <w:rsid w:val="209FBA78"/>
    <w:rsid w:val="20BD2097"/>
    <w:rsid w:val="20C87AF1"/>
    <w:rsid w:val="20CA1523"/>
    <w:rsid w:val="20CAD160"/>
    <w:rsid w:val="20CE5B6E"/>
    <w:rsid w:val="20D0629C"/>
    <w:rsid w:val="20D4881A"/>
    <w:rsid w:val="20DC9857"/>
    <w:rsid w:val="20E7EC49"/>
    <w:rsid w:val="20EE1367"/>
    <w:rsid w:val="20EFCE33"/>
    <w:rsid w:val="20F0B74B"/>
    <w:rsid w:val="2100476B"/>
    <w:rsid w:val="21049F73"/>
    <w:rsid w:val="2105845A"/>
    <w:rsid w:val="210736F2"/>
    <w:rsid w:val="210D93A6"/>
    <w:rsid w:val="2115E268"/>
    <w:rsid w:val="2118FFF8"/>
    <w:rsid w:val="2124A6F4"/>
    <w:rsid w:val="212CA0D2"/>
    <w:rsid w:val="21343474"/>
    <w:rsid w:val="2136C42A"/>
    <w:rsid w:val="2147A387"/>
    <w:rsid w:val="21514649"/>
    <w:rsid w:val="21550092"/>
    <w:rsid w:val="21591B9D"/>
    <w:rsid w:val="2163F47D"/>
    <w:rsid w:val="2165C954"/>
    <w:rsid w:val="216BE799"/>
    <w:rsid w:val="2174EB7F"/>
    <w:rsid w:val="2184EE93"/>
    <w:rsid w:val="218D9BA6"/>
    <w:rsid w:val="219166C6"/>
    <w:rsid w:val="21929EE4"/>
    <w:rsid w:val="2198BC91"/>
    <w:rsid w:val="219926CE"/>
    <w:rsid w:val="21AC3FFA"/>
    <w:rsid w:val="21B289F6"/>
    <w:rsid w:val="21B56E2E"/>
    <w:rsid w:val="21BE47D9"/>
    <w:rsid w:val="21C28890"/>
    <w:rsid w:val="21C6068A"/>
    <w:rsid w:val="21CAC327"/>
    <w:rsid w:val="21D45B09"/>
    <w:rsid w:val="21D53275"/>
    <w:rsid w:val="21E6702D"/>
    <w:rsid w:val="21E7726A"/>
    <w:rsid w:val="21EB567C"/>
    <w:rsid w:val="21F1D2D7"/>
    <w:rsid w:val="21F6847F"/>
    <w:rsid w:val="21FE6F06"/>
    <w:rsid w:val="220BE3F1"/>
    <w:rsid w:val="220D0DE7"/>
    <w:rsid w:val="22188E96"/>
    <w:rsid w:val="2218DAF6"/>
    <w:rsid w:val="221F52A1"/>
    <w:rsid w:val="2228B6D0"/>
    <w:rsid w:val="222E1136"/>
    <w:rsid w:val="2237B4FF"/>
    <w:rsid w:val="223E5D3D"/>
    <w:rsid w:val="22469BCE"/>
    <w:rsid w:val="2254E50C"/>
    <w:rsid w:val="2280F751"/>
    <w:rsid w:val="228F022E"/>
    <w:rsid w:val="228FC062"/>
    <w:rsid w:val="22900CA1"/>
    <w:rsid w:val="22947DB7"/>
    <w:rsid w:val="229CE786"/>
    <w:rsid w:val="22AB76C6"/>
    <w:rsid w:val="22BDCDDF"/>
    <w:rsid w:val="22BF83E4"/>
    <w:rsid w:val="22CACDF0"/>
    <w:rsid w:val="22CCB4E3"/>
    <w:rsid w:val="22D691AE"/>
    <w:rsid w:val="22D6D6DF"/>
    <w:rsid w:val="22D958C8"/>
    <w:rsid w:val="22DBE2D7"/>
    <w:rsid w:val="22E6C80E"/>
    <w:rsid w:val="22F29729"/>
    <w:rsid w:val="22FA1357"/>
    <w:rsid w:val="23001872"/>
    <w:rsid w:val="230AC367"/>
    <w:rsid w:val="231A39ED"/>
    <w:rsid w:val="231E0C75"/>
    <w:rsid w:val="232310E1"/>
    <w:rsid w:val="23276E09"/>
    <w:rsid w:val="232A69AB"/>
    <w:rsid w:val="234C5929"/>
    <w:rsid w:val="234EAC29"/>
    <w:rsid w:val="234F380E"/>
    <w:rsid w:val="235D26F4"/>
    <w:rsid w:val="23658186"/>
    <w:rsid w:val="2374259E"/>
    <w:rsid w:val="2387C92A"/>
    <w:rsid w:val="2396A752"/>
    <w:rsid w:val="239A3F67"/>
    <w:rsid w:val="23BC4429"/>
    <w:rsid w:val="23BD34F8"/>
    <w:rsid w:val="23BEF05D"/>
    <w:rsid w:val="23CF3595"/>
    <w:rsid w:val="23D7ED1F"/>
    <w:rsid w:val="23EB899A"/>
    <w:rsid w:val="23EFBE93"/>
    <w:rsid w:val="23F0B56D"/>
    <w:rsid w:val="23F343ED"/>
    <w:rsid w:val="23FBAF3B"/>
    <w:rsid w:val="240487CB"/>
    <w:rsid w:val="240AD261"/>
    <w:rsid w:val="241725EA"/>
    <w:rsid w:val="241A3A8B"/>
    <w:rsid w:val="242408A8"/>
    <w:rsid w:val="2429728C"/>
    <w:rsid w:val="242D0565"/>
    <w:rsid w:val="242ED25B"/>
    <w:rsid w:val="242F6345"/>
    <w:rsid w:val="24349874"/>
    <w:rsid w:val="243E4D05"/>
    <w:rsid w:val="24485E3B"/>
    <w:rsid w:val="246DE525"/>
    <w:rsid w:val="246E2DD1"/>
    <w:rsid w:val="2477A537"/>
    <w:rsid w:val="247AC3F6"/>
    <w:rsid w:val="247D9EEC"/>
    <w:rsid w:val="24832A67"/>
    <w:rsid w:val="24852F69"/>
    <w:rsid w:val="24962EC9"/>
    <w:rsid w:val="24988053"/>
    <w:rsid w:val="249FFAC7"/>
    <w:rsid w:val="24B98E91"/>
    <w:rsid w:val="24CACB7A"/>
    <w:rsid w:val="24E17222"/>
    <w:rsid w:val="24E62FA4"/>
    <w:rsid w:val="24E789EE"/>
    <w:rsid w:val="24E7E5D0"/>
    <w:rsid w:val="24E8298A"/>
    <w:rsid w:val="25147A1C"/>
    <w:rsid w:val="2514FA1F"/>
    <w:rsid w:val="2517BC8B"/>
    <w:rsid w:val="2518DFA4"/>
    <w:rsid w:val="25249196"/>
    <w:rsid w:val="25306F98"/>
    <w:rsid w:val="253803DB"/>
    <w:rsid w:val="2543F224"/>
    <w:rsid w:val="254412E7"/>
    <w:rsid w:val="254BBD51"/>
    <w:rsid w:val="254DFC82"/>
    <w:rsid w:val="25506168"/>
    <w:rsid w:val="25552032"/>
    <w:rsid w:val="255A033E"/>
    <w:rsid w:val="2569EB9E"/>
    <w:rsid w:val="25912DBF"/>
    <w:rsid w:val="2594D88A"/>
    <w:rsid w:val="25C8A409"/>
    <w:rsid w:val="25D5E2B8"/>
    <w:rsid w:val="25F1E5BB"/>
    <w:rsid w:val="25F42986"/>
    <w:rsid w:val="25F6FC95"/>
    <w:rsid w:val="260F8DDB"/>
    <w:rsid w:val="26181AF7"/>
    <w:rsid w:val="261A7F98"/>
    <w:rsid w:val="2623268F"/>
    <w:rsid w:val="262641FC"/>
    <w:rsid w:val="262BD9E7"/>
    <w:rsid w:val="2639F556"/>
    <w:rsid w:val="264BE610"/>
    <w:rsid w:val="2658965C"/>
    <w:rsid w:val="265C2D9B"/>
    <w:rsid w:val="2661BD41"/>
    <w:rsid w:val="26669733"/>
    <w:rsid w:val="2678468C"/>
    <w:rsid w:val="267F8E55"/>
    <w:rsid w:val="2690EB7B"/>
    <w:rsid w:val="2696DD91"/>
    <w:rsid w:val="26A7739F"/>
    <w:rsid w:val="26A98CE2"/>
    <w:rsid w:val="26B1E9A7"/>
    <w:rsid w:val="26C91281"/>
    <w:rsid w:val="26CF42B3"/>
    <w:rsid w:val="26D73BDE"/>
    <w:rsid w:val="26D75FCB"/>
    <w:rsid w:val="26E506E6"/>
    <w:rsid w:val="27094112"/>
    <w:rsid w:val="27183962"/>
    <w:rsid w:val="271EDE6F"/>
    <w:rsid w:val="272CEE00"/>
    <w:rsid w:val="27461592"/>
    <w:rsid w:val="2747556D"/>
    <w:rsid w:val="275DCB88"/>
    <w:rsid w:val="2769DC44"/>
    <w:rsid w:val="2771C339"/>
    <w:rsid w:val="277F965C"/>
    <w:rsid w:val="278B3D58"/>
    <w:rsid w:val="278F15B0"/>
    <w:rsid w:val="27953B11"/>
    <w:rsid w:val="27AD2364"/>
    <w:rsid w:val="27B4BC62"/>
    <w:rsid w:val="27B5CEAC"/>
    <w:rsid w:val="27B9482D"/>
    <w:rsid w:val="27BA3766"/>
    <w:rsid w:val="27BF716F"/>
    <w:rsid w:val="27C05C81"/>
    <w:rsid w:val="27C3DD3D"/>
    <w:rsid w:val="27C73737"/>
    <w:rsid w:val="27C886EF"/>
    <w:rsid w:val="27DDFB84"/>
    <w:rsid w:val="27E12E33"/>
    <w:rsid w:val="27EE1117"/>
    <w:rsid w:val="27F1F198"/>
    <w:rsid w:val="27F47DBA"/>
    <w:rsid w:val="2804B72D"/>
    <w:rsid w:val="280EEBDB"/>
    <w:rsid w:val="281E85E4"/>
    <w:rsid w:val="28486E46"/>
    <w:rsid w:val="2853A0B8"/>
    <w:rsid w:val="285665DC"/>
    <w:rsid w:val="2859D9BD"/>
    <w:rsid w:val="2859D9F1"/>
    <w:rsid w:val="28632E82"/>
    <w:rsid w:val="286830D3"/>
    <w:rsid w:val="286EAE6B"/>
    <w:rsid w:val="2875AC4D"/>
    <w:rsid w:val="28769D19"/>
    <w:rsid w:val="28898FE4"/>
    <w:rsid w:val="28960905"/>
    <w:rsid w:val="28986B6F"/>
    <w:rsid w:val="28B3E18A"/>
    <w:rsid w:val="28B42F57"/>
    <w:rsid w:val="28BD1E10"/>
    <w:rsid w:val="28C0F107"/>
    <w:rsid w:val="28C1EA9B"/>
    <w:rsid w:val="28D12EF6"/>
    <w:rsid w:val="28D20CAD"/>
    <w:rsid w:val="28D813C3"/>
    <w:rsid w:val="28EFDB1B"/>
    <w:rsid w:val="28F18DFE"/>
    <w:rsid w:val="28F249EB"/>
    <w:rsid w:val="28F2A6C3"/>
    <w:rsid w:val="28F3F996"/>
    <w:rsid w:val="28F58A0D"/>
    <w:rsid w:val="28FC0B3A"/>
    <w:rsid w:val="2909F6AA"/>
    <w:rsid w:val="29152C4E"/>
    <w:rsid w:val="291C4A64"/>
    <w:rsid w:val="292FFC72"/>
    <w:rsid w:val="29398F75"/>
    <w:rsid w:val="293E340F"/>
    <w:rsid w:val="29462D11"/>
    <w:rsid w:val="2954899E"/>
    <w:rsid w:val="295721E5"/>
    <w:rsid w:val="295D3C12"/>
    <w:rsid w:val="29633C30"/>
    <w:rsid w:val="296BA076"/>
    <w:rsid w:val="29895E02"/>
    <w:rsid w:val="298D58C3"/>
    <w:rsid w:val="29A01953"/>
    <w:rsid w:val="29A25DD3"/>
    <w:rsid w:val="29A4B484"/>
    <w:rsid w:val="29A59297"/>
    <w:rsid w:val="29AED26A"/>
    <w:rsid w:val="29B3EF4E"/>
    <w:rsid w:val="29BF2827"/>
    <w:rsid w:val="29C072CB"/>
    <w:rsid w:val="29C206CC"/>
    <w:rsid w:val="29C6F795"/>
    <w:rsid w:val="29C7FAAF"/>
    <w:rsid w:val="29D23F81"/>
    <w:rsid w:val="29E98DFD"/>
    <w:rsid w:val="29EE97C7"/>
    <w:rsid w:val="29F4F831"/>
    <w:rsid w:val="2A06E8E8"/>
    <w:rsid w:val="2A0CB852"/>
    <w:rsid w:val="2A0F008D"/>
    <w:rsid w:val="2A0FFC26"/>
    <w:rsid w:val="2A126D7A"/>
    <w:rsid w:val="2A169E16"/>
    <w:rsid w:val="2A2506C2"/>
    <w:rsid w:val="2A25908A"/>
    <w:rsid w:val="2A2AE1A0"/>
    <w:rsid w:val="2A3B7174"/>
    <w:rsid w:val="2A40E1D4"/>
    <w:rsid w:val="2A473461"/>
    <w:rsid w:val="2A4B2F38"/>
    <w:rsid w:val="2A4F6A77"/>
    <w:rsid w:val="2A6E398B"/>
    <w:rsid w:val="2A72A6A6"/>
    <w:rsid w:val="2A775E2B"/>
    <w:rsid w:val="2A84BB82"/>
    <w:rsid w:val="2A8CD97E"/>
    <w:rsid w:val="2A92D641"/>
    <w:rsid w:val="2AA17D06"/>
    <w:rsid w:val="2AB04447"/>
    <w:rsid w:val="2ABD58D2"/>
    <w:rsid w:val="2AC9E16B"/>
    <w:rsid w:val="2ACC347E"/>
    <w:rsid w:val="2AE456E5"/>
    <w:rsid w:val="2AECAE7A"/>
    <w:rsid w:val="2AF9C9B8"/>
    <w:rsid w:val="2AFA671C"/>
    <w:rsid w:val="2B094F39"/>
    <w:rsid w:val="2B09F6A8"/>
    <w:rsid w:val="2B1588B1"/>
    <w:rsid w:val="2B2634C7"/>
    <w:rsid w:val="2B3202DB"/>
    <w:rsid w:val="2B38DBF7"/>
    <w:rsid w:val="2B3FF5D2"/>
    <w:rsid w:val="2B4292C1"/>
    <w:rsid w:val="2B529039"/>
    <w:rsid w:val="2B572A94"/>
    <w:rsid w:val="2B597993"/>
    <w:rsid w:val="2B60DDE6"/>
    <w:rsid w:val="2B67617D"/>
    <w:rsid w:val="2B688427"/>
    <w:rsid w:val="2B74CEAE"/>
    <w:rsid w:val="2B7AB3F5"/>
    <w:rsid w:val="2B7D361B"/>
    <w:rsid w:val="2B8128A4"/>
    <w:rsid w:val="2B82FE28"/>
    <w:rsid w:val="2B873245"/>
    <w:rsid w:val="2B8E0C3D"/>
    <w:rsid w:val="2B907A1E"/>
    <w:rsid w:val="2B9A2C0E"/>
    <w:rsid w:val="2BA33030"/>
    <w:rsid w:val="2BABE403"/>
    <w:rsid w:val="2BAE3DDB"/>
    <w:rsid w:val="2BB0FC02"/>
    <w:rsid w:val="2BBFF771"/>
    <w:rsid w:val="2BD9C9FF"/>
    <w:rsid w:val="2BE3E34A"/>
    <w:rsid w:val="2BE7D08E"/>
    <w:rsid w:val="2BEA1854"/>
    <w:rsid w:val="2BEA418D"/>
    <w:rsid w:val="2BEBCD4D"/>
    <w:rsid w:val="2BEF4EDA"/>
    <w:rsid w:val="2BF5C480"/>
    <w:rsid w:val="2C01F308"/>
    <w:rsid w:val="2C0958E8"/>
    <w:rsid w:val="2C11B6A0"/>
    <w:rsid w:val="2C58EDBA"/>
    <w:rsid w:val="2C5BBBE8"/>
    <w:rsid w:val="2C64C892"/>
    <w:rsid w:val="2C714658"/>
    <w:rsid w:val="2C7521AE"/>
    <w:rsid w:val="2C771CA7"/>
    <w:rsid w:val="2C7FB6D3"/>
    <w:rsid w:val="2C7FB945"/>
    <w:rsid w:val="2C85CD0C"/>
    <w:rsid w:val="2C8982F8"/>
    <w:rsid w:val="2C930CFB"/>
    <w:rsid w:val="2C9386E4"/>
    <w:rsid w:val="2C9BA47E"/>
    <w:rsid w:val="2CA04E84"/>
    <w:rsid w:val="2CB22CD1"/>
    <w:rsid w:val="2CC43C96"/>
    <w:rsid w:val="2CCBF584"/>
    <w:rsid w:val="2CD275B6"/>
    <w:rsid w:val="2CD48547"/>
    <w:rsid w:val="2CD7591D"/>
    <w:rsid w:val="2CECC899"/>
    <w:rsid w:val="2CEE6B32"/>
    <w:rsid w:val="2CF04095"/>
    <w:rsid w:val="2D1E333A"/>
    <w:rsid w:val="2D27841F"/>
    <w:rsid w:val="2D2C446C"/>
    <w:rsid w:val="2D309502"/>
    <w:rsid w:val="2D3D6803"/>
    <w:rsid w:val="2D413861"/>
    <w:rsid w:val="2D429BBB"/>
    <w:rsid w:val="2D4E5A6E"/>
    <w:rsid w:val="2D513D44"/>
    <w:rsid w:val="2D5194F4"/>
    <w:rsid w:val="2D55DCA1"/>
    <w:rsid w:val="2D5BC7D2"/>
    <w:rsid w:val="2D5D0B2C"/>
    <w:rsid w:val="2D7C05A8"/>
    <w:rsid w:val="2D88B8D3"/>
    <w:rsid w:val="2D8A0975"/>
    <w:rsid w:val="2D8DD3DA"/>
    <w:rsid w:val="2D937140"/>
    <w:rsid w:val="2DA2D5AD"/>
    <w:rsid w:val="2DA5C0C1"/>
    <w:rsid w:val="2DACE7A0"/>
    <w:rsid w:val="2DB5BEC5"/>
    <w:rsid w:val="2DBB28C7"/>
    <w:rsid w:val="2DBCFAFB"/>
    <w:rsid w:val="2DC0118B"/>
    <w:rsid w:val="2DC77D39"/>
    <w:rsid w:val="2DCECCCC"/>
    <w:rsid w:val="2DD01987"/>
    <w:rsid w:val="2DDB7BEE"/>
    <w:rsid w:val="2DE0737D"/>
    <w:rsid w:val="2E0CBDD2"/>
    <w:rsid w:val="2E11CF2D"/>
    <w:rsid w:val="2E181923"/>
    <w:rsid w:val="2E23EF7D"/>
    <w:rsid w:val="2E2889DF"/>
    <w:rsid w:val="2E295023"/>
    <w:rsid w:val="2E2B1590"/>
    <w:rsid w:val="2E329D74"/>
    <w:rsid w:val="2E379CC5"/>
    <w:rsid w:val="2E48A49C"/>
    <w:rsid w:val="2E564DA5"/>
    <w:rsid w:val="2E66E8D2"/>
    <w:rsid w:val="2E7178DD"/>
    <w:rsid w:val="2E74629D"/>
    <w:rsid w:val="2E767FFE"/>
    <w:rsid w:val="2E856DE6"/>
    <w:rsid w:val="2E8CD6DC"/>
    <w:rsid w:val="2E906E71"/>
    <w:rsid w:val="2E96EE76"/>
    <w:rsid w:val="2E999E66"/>
    <w:rsid w:val="2E9B3901"/>
    <w:rsid w:val="2EA85553"/>
    <w:rsid w:val="2EC1BA28"/>
    <w:rsid w:val="2ECB8C0F"/>
    <w:rsid w:val="2EDF3056"/>
    <w:rsid w:val="2EF146C1"/>
    <w:rsid w:val="2EFEDC4E"/>
    <w:rsid w:val="2F0C2D7E"/>
    <w:rsid w:val="2F336814"/>
    <w:rsid w:val="2F487C06"/>
    <w:rsid w:val="2F4A2D8C"/>
    <w:rsid w:val="2F50754C"/>
    <w:rsid w:val="2F56ED16"/>
    <w:rsid w:val="2F61029D"/>
    <w:rsid w:val="2F66C643"/>
    <w:rsid w:val="2F7799FF"/>
    <w:rsid w:val="2F782515"/>
    <w:rsid w:val="2F8F5A20"/>
    <w:rsid w:val="2F9535A7"/>
    <w:rsid w:val="2FA1DBA0"/>
    <w:rsid w:val="2FAB7D55"/>
    <w:rsid w:val="2FAD1039"/>
    <w:rsid w:val="2FAFB6CD"/>
    <w:rsid w:val="2FB3FD53"/>
    <w:rsid w:val="2FB8ABFE"/>
    <w:rsid w:val="2FBCAFF5"/>
    <w:rsid w:val="2FBFCE47"/>
    <w:rsid w:val="2FC56237"/>
    <w:rsid w:val="2FD29CB5"/>
    <w:rsid w:val="2FD31D79"/>
    <w:rsid w:val="2FF32F9D"/>
    <w:rsid w:val="2FFF6C38"/>
    <w:rsid w:val="300D13BA"/>
    <w:rsid w:val="3012A375"/>
    <w:rsid w:val="30187998"/>
    <w:rsid w:val="3021FE22"/>
    <w:rsid w:val="3022DA2E"/>
    <w:rsid w:val="303702E7"/>
    <w:rsid w:val="303BB98F"/>
    <w:rsid w:val="3044C783"/>
    <w:rsid w:val="304A5731"/>
    <w:rsid w:val="3063BCB2"/>
    <w:rsid w:val="30648B75"/>
    <w:rsid w:val="30697F71"/>
    <w:rsid w:val="3071C58E"/>
    <w:rsid w:val="3075EE9C"/>
    <w:rsid w:val="3076E49B"/>
    <w:rsid w:val="30859B7A"/>
    <w:rsid w:val="308BFFDE"/>
    <w:rsid w:val="309612EA"/>
    <w:rsid w:val="30AFBC69"/>
    <w:rsid w:val="30B7F276"/>
    <w:rsid w:val="30EC45AD"/>
    <w:rsid w:val="30ED2DBC"/>
    <w:rsid w:val="30EF4CF2"/>
    <w:rsid w:val="30F1A6EF"/>
    <w:rsid w:val="30F58E39"/>
    <w:rsid w:val="310A5AD9"/>
    <w:rsid w:val="310E0FA3"/>
    <w:rsid w:val="310E3E79"/>
    <w:rsid w:val="3114DA4D"/>
    <w:rsid w:val="31280CE2"/>
    <w:rsid w:val="31316784"/>
    <w:rsid w:val="314463F1"/>
    <w:rsid w:val="314F9450"/>
    <w:rsid w:val="31545C0E"/>
    <w:rsid w:val="31588056"/>
    <w:rsid w:val="31617FC1"/>
    <w:rsid w:val="316292A8"/>
    <w:rsid w:val="316B4A75"/>
    <w:rsid w:val="316E9EEC"/>
    <w:rsid w:val="3170C972"/>
    <w:rsid w:val="3175E051"/>
    <w:rsid w:val="31944B32"/>
    <w:rsid w:val="319E5EF5"/>
    <w:rsid w:val="31A13B6B"/>
    <w:rsid w:val="31A49A94"/>
    <w:rsid w:val="31B03CEC"/>
    <w:rsid w:val="31B93B30"/>
    <w:rsid w:val="31BD8A88"/>
    <w:rsid w:val="31C80F33"/>
    <w:rsid w:val="31C83AD1"/>
    <w:rsid w:val="31F2B6B7"/>
    <w:rsid w:val="31F748AA"/>
    <w:rsid w:val="31FAF542"/>
    <w:rsid w:val="3204817D"/>
    <w:rsid w:val="321C8056"/>
    <w:rsid w:val="3245BEF2"/>
    <w:rsid w:val="324CA751"/>
    <w:rsid w:val="3253C2D7"/>
    <w:rsid w:val="325F94C0"/>
    <w:rsid w:val="32881D0B"/>
    <w:rsid w:val="328FE55D"/>
    <w:rsid w:val="3296CDBD"/>
    <w:rsid w:val="329E9762"/>
    <w:rsid w:val="32A410DD"/>
    <w:rsid w:val="32BEC722"/>
    <w:rsid w:val="32E8B855"/>
    <w:rsid w:val="32F450B7"/>
    <w:rsid w:val="32FDCDC9"/>
    <w:rsid w:val="33008E5B"/>
    <w:rsid w:val="33054737"/>
    <w:rsid w:val="330846FD"/>
    <w:rsid w:val="33097442"/>
    <w:rsid w:val="331005A7"/>
    <w:rsid w:val="3313E81A"/>
    <w:rsid w:val="3321D3CD"/>
    <w:rsid w:val="33266FE7"/>
    <w:rsid w:val="332D35C0"/>
    <w:rsid w:val="3335D7D7"/>
    <w:rsid w:val="33382562"/>
    <w:rsid w:val="333C81A3"/>
    <w:rsid w:val="33435664"/>
    <w:rsid w:val="3362B6F2"/>
    <w:rsid w:val="336A6A79"/>
    <w:rsid w:val="336C261A"/>
    <w:rsid w:val="336C2B9C"/>
    <w:rsid w:val="33767E80"/>
    <w:rsid w:val="338C2A69"/>
    <w:rsid w:val="338F2783"/>
    <w:rsid w:val="339393DD"/>
    <w:rsid w:val="33972FD2"/>
    <w:rsid w:val="33A3657A"/>
    <w:rsid w:val="33A7DC8C"/>
    <w:rsid w:val="33AD891C"/>
    <w:rsid w:val="33B2908B"/>
    <w:rsid w:val="33B3A19A"/>
    <w:rsid w:val="33B9AE79"/>
    <w:rsid w:val="33C245B9"/>
    <w:rsid w:val="33D059EE"/>
    <w:rsid w:val="33E18F53"/>
    <w:rsid w:val="33E53F44"/>
    <w:rsid w:val="33E60605"/>
    <w:rsid w:val="33EF8F1E"/>
    <w:rsid w:val="34084C9C"/>
    <w:rsid w:val="341EE281"/>
    <w:rsid w:val="342278EE"/>
    <w:rsid w:val="3428580B"/>
    <w:rsid w:val="342911FD"/>
    <w:rsid w:val="343757F4"/>
    <w:rsid w:val="3448BCAC"/>
    <w:rsid w:val="344E6FB9"/>
    <w:rsid w:val="3455B576"/>
    <w:rsid w:val="348401BC"/>
    <w:rsid w:val="3484FCC7"/>
    <w:rsid w:val="3487A543"/>
    <w:rsid w:val="348C286F"/>
    <w:rsid w:val="348CFE17"/>
    <w:rsid w:val="349034E2"/>
    <w:rsid w:val="34A2841C"/>
    <w:rsid w:val="34A50626"/>
    <w:rsid w:val="34B50601"/>
    <w:rsid w:val="34B9B0B3"/>
    <w:rsid w:val="34C14207"/>
    <w:rsid w:val="34FD26AB"/>
    <w:rsid w:val="35042ABB"/>
    <w:rsid w:val="35063ADA"/>
    <w:rsid w:val="350A2076"/>
    <w:rsid w:val="350CE2FD"/>
    <w:rsid w:val="351371E3"/>
    <w:rsid w:val="352106E6"/>
    <w:rsid w:val="3522BAE1"/>
    <w:rsid w:val="35254BA9"/>
    <w:rsid w:val="35281E0D"/>
    <w:rsid w:val="352C746E"/>
    <w:rsid w:val="3535D9D8"/>
    <w:rsid w:val="354BB2CE"/>
    <w:rsid w:val="35542118"/>
    <w:rsid w:val="3557F431"/>
    <w:rsid w:val="356F88ED"/>
    <w:rsid w:val="3578CCF6"/>
    <w:rsid w:val="357D0F84"/>
    <w:rsid w:val="3582852C"/>
    <w:rsid w:val="359218CE"/>
    <w:rsid w:val="359514AC"/>
    <w:rsid w:val="35A428EB"/>
    <w:rsid w:val="35A5CF90"/>
    <w:rsid w:val="35A87BEC"/>
    <w:rsid w:val="35AA5136"/>
    <w:rsid w:val="35C113D5"/>
    <w:rsid w:val="35D80904"/>
    <w:rsid w:val="35E1DF78"/>
    <w:rsid w:val="35E3F1BE"/>
    <w:rsid w:val="35E46C36"/>
    <w:rsid w:val="35E8052E"/>
    <w:rsid w:val="35EC0D74"/>
    <w:rsid w:val="35EE7B33"/>
    <w:rsid w:val="35F467BE"/>
    <w:rsid w:val="360C6F42"/>
    <w:rsid w:val="360DCE8D"/>
    <w:rsid w:val="3611383C"/>
    <w:rsid w:val="36230AB8"/>
    <w:rsid w:val="36244D6F"/>
    <w:rsid w:val="3628E64C"/>
    <w:rsid w:val="3631E910"/>
    <w:rsid w:val="3636A8C2"/>
    <w:rsid w:val="363AFEE0"/>
    <w:rsid w:val="363CB80C"/>
    <w:rsid w:val="3641BB99"/>
    <w:rsid w:val="364EC2B1"/>
    <w:rsid w:val="3651EA20"/>
    <w:rsid w:val="3679D72D"/>
    <w:rsid w:val="368FA18F"/>
    <w:rsid w:val="3690F496"/>
    <w:rsid w:val="36971BDF"/>
    <w:rsid w:val="369B8056"/>
    <w:rsid w:val="369CA6FF"/>
    <w:rsid w:val="36A8A4A6"/>
    <w:rsid w:val="36ACF351"/>
    <w:rsid w:val="36BBC4F3"/>
    <w:rsid w:val="36C82EFD"/>
    <w:rsid w:val="36D2BC83"/>
    <w:rsid w:val="36DD01A2"/>
    <w:rsid w:val="36DFE267"/>
    <w:rsid w:val="36E45557"/>
    <w:rsid w:val="36EC55E6"/>
    <w:rsid w:val="36F5B37E"/>
    <w:rsid w:val="36FABC92"/>
    <w:rsid w:val="371A6928"/>
    <w:rsid w:val="3725D239"/>
    <w:rsid w:val="372ED643"/>
    <w:rsid w:val="37350367"/>
    <w:rsid w:val="37366A93"/>
    <w:rsid w:val="3738B477"/>
    <w:rsid w:val="373FB150"/>
    <w:rsid w:val="37421C36"/>
    <w:rsid w:val="374E1598"/>
    <w:rsid w:val="376DDFDA"/>
    <w:rsid w:val="37779853"/>
    <w:rsid w:val="377C5C32"/>
    <w:rsid w:val="378AB051"/>
    <w:rsid w:val="378AF3A6"/>
    <w:rsid w:val="378B2E45"/>
    <w:rsid w:val="3791D62F"/>
    <w:rsid w:val="3798A06F"/>
    <w:rsid w:val="379D988A"/>
    <w:rsid w:val="37A2A146"/>
    <w:rsid w:val="37A74136"/>
    <w:rsid w:val="37CBE0D8"/>
    <w:rsid w:val="37D272A3"/>
    <w:rsid w:val="37DB387E"/>
    <w:rsid w:val="37E7D5C8"/>
    <w:rsid w:val="37E7F961"/>
    <w:rsid w:val="37EC9ED9"/>
    <w:rsid w:val="38099B16"/>
    <w:rsid w:val="380BD8F4"/>
    <w:rsid w:val="380EFD34"/>
    <w:rsid w:val="3820D6EA"/>
    <w:rsid w:val="382251F5"/>
    <w:rsid w:val="38265887"/>
    <w:rsid w:val="3829108B"/>
    <w:rsid w:val="382AA0F4"/>
    <w:rsid w:val="38310FE0"/>
    <w:rsid w:val="383715F7"/>
    <w:rsid w:val="38403329"/>
    <w:rsid w:val="3845501A"/>
    <w:rsid w:val="3847FAC9"/>
    <w:rsid w:val="384C6225"/>
    <w:rsid w:val="3851A0E4"/>
    <w:rsid w:val="38553AEE"/>
    <w:rsid w:val="38596A1C"/>
    <w:rsid w:val="385B9DB3"/>
    <w:rsid w:val="3861ADDD"/>
    <w:rsid w:val="38676F08"/>
    <w:rsid w:val="387177E8"/>
    <w:rsid w:val="38758B99"/>
    <w:rsid w:val="38976719"/>
    <w:rsid w:val="389E2C2A"/>
    <w:rsid w:val="38A0D4B7"/>
    <w:rsid w:val="38A5090C"/>
    <w:rsid w:val="38A532C1"/>
    <w:rsid w:val="38A9DBFE"/>
    <w:rsid w:val="38B586DE"/>
    <w:rsid w:val="38B5CA19"/>
    <w:rsid w:val="38C78BC9"/>
    <w:rsid w:val="38D30E02"/>
    <w:rsid w:val="38E2842B"/>
    <w:rsid w:val="38E6DA49"/>
    <w:rsid w:val="38EECC58"/>
    <w:rsid w:val="38FF0D8B"/>
    <w:rsid w:val="3902AB01"/>
    <w:rsid w:val="390554E3"/>
    <w:rsid w:val="39074F58"/>
    <w:rsid w:val="390AFAE1"/>
    <w:rsid w:val="390C454F"/>
    <w:rsid w:val="391A58F8"/>
    <w:rsid w:val="391EBF84"/>
    <w:rsid w:val="393FDEC8"/>
    <w:rsid w:val="3945332C"/>
    <w:rsid w:val="394A69DE"/>
    <w:rsid w:val="3950FACF"/>
    <w:rsid w:val="3962CF83"/>
    <w:rsid w:val="39711150"/>
    <w:rsid w:val="39761196"/>
    <w:rsid w:val="39867696"/>
    <w:rsid w:val="398E3AAD"/>
    <w:rsid w:val="39962010"/>
    <w:rsid w:val="39AF7FF0"/>
    <w:rsid w:val="39BBEBB5"/>
    <w:rsid w:val="39CE5D90"/>
    <w:rsid w:val="39D32118"/>
    <w:rsid w:val="39E5EE5E"/>
    <w:rsid w:val="39EE35F3"/>
    <w:rsid w:val="39F69AAF"/>
    <w:rsid w:val="39FEE972"/>
    <w:rsid w:val="3A02A86B"/>
    <w:rsid w:val="3A06546B"/>
    <w:rsid w:val="3A0A36D3"/>
    <w:rsid w:val="3A1C18E2"/>
    <w:rsid w:val="3A1D1588"/>
    <w:rsid w:val="3A3C9411"/>
    <w:rsid w:val="3A636CCE"/>
    <w:rsid w:val="3A7F2285"/>
    <w:rsid w:val="3A8447FA"/>
    <w:rsid w:val="3A89907E"/>
    <w:rsid w:val="3A8C760A"/>
    <w:rsid w:val="3A92312C"/>
    <w:rsid w:val="3A99F86E"/>
    <w:rsid w:val="3A9A044F"/>
    <w:rsid w:val="3A9C8B42"/>
    <w:rsid w:val="3AA09E0B"/>
    <w:rsid w:val="3AA1571A"/>
    <w:rsid w:val="3AACFC9F"/>
    <w:rsid w:val="3ABC5B0F"/>
    <w:rsid w:val="3ABCB51E"/>
    <w:rsid w:val="3ABFA169"/>
    <w:rsid w:val="3AC525AC"/>
    <w:rsid w:val="3AD48CF2"/>
    <w:rsid w:val="3ADB9EF7"/>
    <w:rsid w:val="3AECC310"/>
    <w:rsid w:val="3AF44E39"/>
    <w:rsid w:val="3B0E48C5"/>
    <w:rsid w:val="3B1B1660"/>
    <w:rsid w:val="3B2919E9"/>
    <w:rsid w:val="3B2B1227"/>
    <w:rsid w:val="3B499055"/>
    <w:rsid w:val="3B4AC891"/>
    <w:rsid w:val="3B517076"/>
    <w:rsid w:val="3B5A50E8"/>
    <w:rsid w:val="3B5C204B"/>
    <w:rsid w:val="3B6DED71"/>
    <w:rsid w:val="3B7212A3"/>
    <w:rsid w:val="3B757C5E"/>
    <w:rsid w:val="3B78794F"/>
    <w:rsid w:val="3B7B2C0E"/>
    <w:rsid w:val="3B9E1C36"/>
    <w:rsid w:val="3BA6F003"/>
    <w:rsid w:val="3BA768F5"/>
    <w:rsid w:val="3BB67035"/>
    <w:rsid w:val="3BC5CB14"/>
    <w:rsid w:val="3BD56614"/>
    <w:rsid w:val="3BDD14C3"/>
    <w:rsid w:val="3BDF4693"/>
    <w:rsid w:val="3BDF688C"/>
    <w:rsid w:val="3BE67F44"/>
    <w:rsid w:val="3BF75113"/>
    <w:rsid w:val="3C0CB2BD"/>
    <w:rsid w:val="3C109151"/>
    <w:rsid w:val="3C1E0039"/>
    <w:rsid w:val="3C36370F"/>
    <w:rsid w:val="3C3828D2"/>
    <w:rsid w:val="3C3CA1DE"/>
    <w:rsid w:val="3C477B44"/>
    <w:rsid w:val="3C4D9289"/>
    <w:rsid w:val="3C4D9642"/>
    <w:rsid w:val="3C637782"/>
    <w:rsid w:val="3C6BB3DB"/>
    <w:rsid w:val="3C9631F3"/>
    <w:rsid w:val="3C9B8F4E"/>
    <w:rsid w:val="3CA753EE"/>
    <w:rsid w:val="3CB08401"/>
    <w:rsid w:val="3CB6D027"/>
    <w:rsid w:val="3CBBA791"/>
    <w:rsid w:val="3CBDAC0B"/>
    <w:rsid w:val="3CC506F0"/>
    <w:rsid w:val="3CCDD3EF"/>
    <w:rsid w:val="3CCF55A5"/>
    <w:rsid w:val="3CD6DE84"/>
    <w:rsid w:val="3CD7637B"/>
    <w:rsid w:val="3CD85106"/>
    <w:rsid w:val="3CD9D6E5"/>
    <w:rsid w:val="3CDFA63E"/>
    <w:rsid w:val="3CE3DEBB"/>
    <w:rsid w:val="3CE48292"/>
    <w:rsid w:val="3CECEF9E"/>
    <w:rsid w:val="3CF4FD34"/>
    <w:rsid w:val="3CF8454F"/>
    <w:rsid w:val="3CFF64C9"/>
    <w:rsid w:val="3D228DC9"/>
    <w:rsid w:val="3D28E97A"/>
    <w:rsid w:val="3D333223"/>
    <w:rsid w:val="3D39B839"/>
    <w:rsid w:val="3D473E77"/>
    <w:rsid w:val="3D4B09A5"/>
    <w:rsid w:val="3D505DA1"/>
    <w:rsid w:val="3D53875A"/>
    <w:rsid w:val="3D6932C3"/>
    <w:rsid w:val="3D6DA300"/>
    <w:rsid w:val="3D6F408C"/>
    <w:rsid w:val="3D76293A"/>
    <w:rsid w:val="3D7B38ED"/>
    <w:rsid w:val="3D7B6EC0"/>
    <w:rsid w:val="3D7E9831"/>
    <w:rsid w:val="3D7EE032"/>
    <w:rsid w:val="3D804A30"/>
    <w:rsid w:val="3D8E0625"/>
    <w:rsid w:val="3DA7D4DA"/>
    <w:rsid w:val="3DAD5D47"/>
    <w:rsid w:val="3DADDB37"/>
    <w:rsid w:val="3DB23534"/>
    <w:rsid w:val="3DB434A9"/>
    <w:rsid w:val="3DBB53DA"/>
    <w:rsid w:val="3DC95892"/>
    <w:rsid w:val="3DD38535"/>
    <w:rsid w:val="3DD86064"/>
    <w:rsid w:val="3DE4ABF9"/>
    <w:rsid w:val="3DF56EA5"/>
    <w:rsid w:val="3DFDAEC4"/>
    <w:rsid w:val="3E0CFA25"/>
    <w:rsid w:val="3E10E723"/>
    <w:rsid w:val="3E1A34F7"/>
    <w:rsid w:val="3E26D465"/>
    <w:rsid w:val="3E66A460"/>
    <w:rsid w:val="3E6BA726"/>
    <w:rsid w:val="3E89F987"/>
    <w:rsid w:val="3E8A302F"/>
    <w:rsid w:val="3E8D69DE"/>
    <w:rsid w:val="3E956F9D"/>
    <w:rsid w:val="3EA22959"/>
    <w:rsid w:val="3EA97285"/>
    <w:rsid w:val="3EAE77D8"/>
    <w:rsid w:val="3EB1D79D"/>
    <w:rsid w:val="3ED0045B"/>
    <w:rsid w:val="3ED0663F"/>
    <w:rsid w:val="3ED861B4"/>
    <w:rsid w:val="3EE9BAD9"/>
    <w:rsid w:val="3EEDC224"/>
    <w:rsid w:val="3F05CE77"/>
    <w:rsid w:val="3F0A0D61"/>
    <w:rsid w:val="3F0EA532"/>
    <w:rsid w:val="3F174DDD"/>
    <w:rsid w:val="3F1CC335"/>
    <w:rsid w:val="3F1D472C"/>
    <w:rsid w:val="3F201F65"/>
    <w:rsid w:val="3F3BC57B"/>
    <w:rsid w:val="3F42835E"/>
    <w:rsid w:val="3F434D5F"/>
    <w:rsid w:val="3F4AA7FA"/>
    <w:rsid w:val="3F546929"/>
    <w:rsid w:val="3F5D42E1"/>
    <w:rsid w:val="3F5F5766"/>
    <w:rsid w:val="3F6D7572"/>
    <w:rsid w:val="3F7BF612"/>
    <w:rsid w:val="3F968F8A"/>
    <w:rsid w:val="3F96D4FA"/>
    <w:rsid w:val="3F9BD0F2"/>
    <w:rsid w:val="3FA3A69C"/>
    <w:rsid w:val="3FA4D58C"/>
    <w:rsid w:val="3FA6C66C"/>
    <w:rsid w:val="3FAA4220"/>
    <w:rsid w:val="3FB0FD63"/>
    <w:rsid w:val="3FB66F7D"/>
    <w:rsid w:val="3FC5511B"/>
    <w:rsid w:val="3FCA0F29"/>
    <w:rsid w:val="3FCFF83B"/>
    <w:rsid w:val="3FD030AE"/>
    <w:rsid w:val="3FE31277"/>
    <w:rsid w:val="3FE6EF7F"/>
    <w:rsid w:val="3FF9F0DB"/>
    <w:rsid w:val="3FFEB61B"/>
    <w:rsid w:val="4002A692"/>
    <w:rsid w:val="401A5A7F"/>
    <w:rsid w:val="401E1E25"/>
    <w:rsid w:val="40297E50"/>
    <w:rsid w:val="402CDB93"/>
    <w:rsid w:val="4032F192"/>
    <w:rsid w:val="40375B6E"/>
    <w:rsid w:val="4037DF28"/>
    <w:rsid w:val="4038411B"/>
    <w:rsid w:val="403D54A9"/>
    <w:rsid w:val="4048ED81"/>
    <w:rsid w:val="405285B7"/>
    <w:rsid w:val="40659F13"/>
    <w:rsid w:val="406A10EF"/>
    <w:rsid w:val="407ADA18"/>
    <w:rsid w:val="408EEB27"/>
    <w:rsid w:val="4090CFEA"/>
    <w:rsid w:val="409185D8"/>
    <w:rsid w:val="4091E73D"/>
    <w:rsid w:val="4092AE2A"/>
    <w:rsid w:val="4092E6F1"/>
    <w:rsid w:val="40A57F69"/>
    <w:rsid w:val="40A90B3E"/>
    <w:rsid w:val="40AD3972"/>
    <w:rsid w:val="40B0D6E2"/>
    <w:rsid w:val="40BB0280"/>
    <w:rsid w:val="40C08DF6"/>
    <w:rsid w:val="40C0C45B"/>
    <w:rsid w:val="40C48A05"/>
    <w:rsid w:val="40D76B82"/>
    <w:rsid w:val="40DE53BF"/>
    <w:rsid w:val="40EA59B2"/>
    <w:rsid w:val="40EACDC3"/>
    <w:rsid w:val="410980F4"/>
    <w:rsid w:val="4109FBB9"/>
    <w:rsid w:val="4145DAFC"/>
    <w:rsid w:val="41486F61"/>
    <w:rsid w:val="4159887A"/>
    <w:rsid w:val="4168C3D8"/>
    <w:rsid w:val="416F0071"/>
    <w:rsid w:val="41788AED"/>
    <w:rsid w:val="417C4385"/>
    <w:rsid w:val="41829C79"/>
    <w:rsid w:val="4185930C"/>
    <w:rsid w:val="41A86754"/>
    <w:rsid w:val="41A8E99C"/>
    <w:rsid w:val="41B5DB5B"/>
    <w:rsid w:val="41BBC6A0"/>
    <w:rsid w:val="41BD007E"/>
    <w:rsid w:val="41C1016C"/>
    <w:rsid w:val="41C19DED"/>
    <w:rsid w:val="41C656F2"/>
    <w:rsid w:val="41C95F96"/>
    <w:rsid w:val="41D3782B"/>
    <w:rsid w:val="41E856A3"/>
    <w:rsid w:val="41ECEF04"/>
    <w:rsid w:val="41F16A72"/>
    <w:rsid w:val="41FE5F2F"/>
    <w:rsid w:val="42058A81"/>
    <w:rsid w:val="420EE365"/>
    <w:rsid w:val="42233101"/>
    <w:rsid w:val="422ABB88"/>
    <w:rsid w:val="422C0FA9"/>
    <w:rsid w:val="422C3462"/>
    <w:rsid w:val="422D4996"/>
    <w:rsid w:val="422E3B23"/>
    <w:rsid w:val="42413DBC"/>
    <w:rsid w:val="424A88EB"/>
    <w:rsid w:val="425CECA0"/>
    <w:rsid w:val="42632C6A"/>
    <w:rsid w:val="4270FFF1"/>
    <w:rsid w:val="427A05F2"/>
    <w:rsid w:val="427B2DC4"/>
    <w:rsid w:val="428AC8B8"/>
    <w:rsid w:val="429787B0"/>
    <w:rsid w:val="42A6CB5F"/>
    <w:rsid w:val="42C12513"/>
    <w:rsid w:val="42C328E4"/>
    <w:rsid w:val="42D3C36D"/>
    <w:rsid w:val="42E00A45"/>
    <w:rsid w:val="42E235AC"/>
    <w:rsid w:val="42E5E788"/>
    <w:rsid w:val="42E6F113"/>
    <w:rsid w:val="42F10B67"/>
    <w:rsid w:val="43066319"/>
    <w:rsid w:val="430E4BDF"/>
    <w:rsid w:val="430F9EC6"/>
    <w:rsid w:val="431BEF79"/>
    <w:rsid w:val="431DD18B"/>
    <w:rsid w:val="43268D72"/>
    <w:rsid w:val="434307D2"/>
    <w:rsid w:val="434A4250"/>
    <w:rsid w:val="434F40F3"/>
    <w:rsid w:val="435F0E61"/>
    <w:rsid w:val="43612F6D"/>
    <w:rsid w:val="43640A3F"/>
    <w:rsid w:val="436A1D8D"/>
    <w:rsid w:val="436C4E8E"/>
    <w:rsid w:val="4377996C"/>
    <w:rsid w:val="43910C61"/>
    <w:rsid w:val="43922477"/>
    <w:rsid w:val="43959772"/>
    <w:rsid w:val="43A74480"/>
    <w:rsid w:val="43AF353F"/>
    <w:rsid w:val="43B05E62"/>
    <w:rsid w:val="43B55E80"/>
    <w:rsid w:val="43B6607E"/>
    <w:rsid w:val="43CC3DF6"/>
    <w:rsid w:val="43D429D1"/>
    <w:rsid w:val="43D4E429"/>
    <w:rsid w:val="43D93F9A"/>
    <w:rsid w:val="43E12D20"/>
    <w:rsid w:val="43E81FC3"/>
    <w:rsid w:val="43EF74BE"/>
    <w:rsid w:val="4405398A"/>
    <w:rsid w:val="440CA36B"/>
    <w:rsid w:val="44148CB2"/>
    <w:rsid w:val="442CBD77"/>
    <w:rsid w:val="443A425D"/>
    <w:rsid w:val="444A1679"/>
    <w:rsid w:val="444B4D5F"/>
    <w:rsid w:val="446373EE"/>
    <w:rsid w:val="44655656"/>
    <w:rsid w:val="447A7FF7"/>
    <w:rsid w:val="44864A7B"/>
    <w:rsid w:val="44885F5F"/>
    <w:rsid w:val="4488DA31"/>
    <w:rsid w:val="449C8252"/>
    <w:rsid w:val="44A0AC60"/>
    <w:rsid w:val="44A0EF74"/>
    <w:rsid w:val="44A4F6EB"/>
    <w:rsid w:val="44B60A84"/>
    <w:rsid w:val="44B68DD0"/>
    <w:rsid w:val="44C2ED66"/>
    <w:rsid w:val="44C4EEF1"/>
    <w:rsid w:val="44C59EE4"/>
    <w:rsid w:val="44CA9F5A"/>
    <w:rsid w:val="44CFF741"/>
    <w:rsid w:val="44D0AA58"/>
    <w:rsid w:val="44DEE890"/>
    <w:rsid w:val="44FEA2C3"/>
    <w:rsid w:val="45049686"/>
    <w:rsid w:val="45091D5F"/>
    <w:rsid w:val="450CD3C2"/>
    <w:rsid w:val="451F0225"/>
    <w:rsid w:val="4527E801"/>
    <w:rsid w:val="452BFB04"/>
    <w:rsid w:val="45380DDC"/>
    <w:rsid w:val="4542DAF9"/>
    <w:rsid w:val="45465EC7"/>
    <w:rsid w:val="455797C0"/>
    <w:rsid w:val="4561594A"/>
    <w:rsid w:val="4563907B"/>
    <w:rsid w:val="4568B663"/>
    <w:rsid w:val="456C26F4"/>
    <w:rsid w:val="457124A3"/>
    <w:rsid w:val="4572D5E7"/>
    <w:rsid w:val="457D0D5E"/>
    <w:rsid w:val="45886334"/>
    <w:rsid w:val="459EA3E9"/>
    <w:rsid w:val="45A1E213"/>
    <w:rsid w:val="45A6784A"/>
    <w:rsid w:val="45B8C714"/>
    <w:rsid w:val="45BB132E"/>
    <w:rsid w:val="45C98C31"/>
    <w:rsid w:val="45CA2836"/>
    <w:rsid w:val="45D33B74"/>
    <w:rsid w:val="45DEB784"/>
    <w:rsid w:val="45FDDEC6"/>
    <w:rsid w:val="46127035"/>
    <w:rsid w:val="461D29D7"/>
    <w:rsid w:val="4626932E"/>
    <w:rsid w:val="463864B7"/>
    <w:rsid w:val="46456391"/>
    <w:rsid w:val="465A0DA1"/>
    <w:rsid w:val="465CC03B"/>
    <w:rsid w:val="465E054F"/>
    <w:rsid w:val="46627E44"/>
    <w:rsid w:val="466D0400"/>
    <w:rsid w:val="467AAA82"/>
    <w:rsid w:val="467B19C1"/>
    <w:rsid w:val="46836FC5"/>
    <w:rsid w:val="468C5F78"/>
    <w:rsid w:val="4690710B"/>
    <w:rsid w:val="4691F832"/>
    <w:rsid w:val="469ACDE3"/>
    <w:rsid w:val="46B3A224"/>
    <w:rsid w:val="46B83D5B"/>
    <w:rsid w:val="46C534AB"/>
    <w:rsid w:val="46C5B9DD"/>
    <w:rsid w:val="46CE4C92"/>
    <w:rsid w:val="46E52B89"/>
    <w:rsid w:val="46E73C72"/>
    <w:rsid w:val="46FC83AA"/>
    <w:rsid w:val="470B5F3B"/>
    <w:rsid w:val="471267DF"/>
    <w:rsid w:val="4719A854"/>
    <w:rsid w:val="472CF175"/>
    <w:rsid w:val="47349DF8"/>
    <w:rsid w:val="47354E10"/>
    <w:rsid w:val="4735BDA7"/>
    <w:rsid w:val="474850B7"/>
    <w:rsid w:val="474CDDA7"/>
    <w:rsid w:val="474CE66D"/>
    <w:rsid w:val="474E21DB"/>
    <w:rsid w:val="475B45AE"/>
    <w:rsid w:val="47609B0C"/>
    <w:rsid w:val="476BE0A5"/>
    <w:rsid w:val="47781312"/>
    <w:rsid w:val="4778937E"/>
    <w:rsid w:val="477B1F5D"/>
    <w:rsid w:val="477DD951"/>
    <w:rsid w:val="4781424F"/>
    <w:rsid w:val="47903F65"/>
    <w:rsid w:val="47994748"/>
    <w:rsid w:val="47A77632"/>
    <w:rsid w:val="47C5BBD6"/>
    <w:rsid w:val="47C68574"/>
    <w:rsid w:val="47CC40DC"/>
    <w:rsid w:val="47E9FAA3"/>
    <w:rsid w:val="47F161CB"/>
    <w:rsid w:val="47F9D836"/>
    <w:rsid w:val="47FD53C8"/>
    <w:rsid w:val="47FF6058"/>
    <w:rsid w:val="480876CB"/>
    <w:rsid w:val="482B5B9A"/>
    <w:rsid w:val="482C7ADC"/>
    <w:rsid w:val="4832387C"/>
    <w:rsid w:val="483C87F9"/>
    <w:rsid w:val="48478C1E"/>
    <w:rsid w:val="4848A570"/>
    <w:rsid w:val="484D2DA0"/>
    <w:rsid w:val="486194D3"/>
    <w:rsid w:val="48669023"/>
    <w:rsid w:val="4868D7D8"/>
    <w:rsid w:val="486E487B"/>
    <w:rsid w:val="487B26BF"/>
    <w:rsid w:val="487FFE41"/>
    <w:rsid w:val="489726F0"/>
    <w:rsid w:val="489C740A"/>
    <w:rsid w:val="48C955A5"/>
    <w:rsid w:val="48CD844F"/>
    <w:rsid w:val="48CDCAEA"/>
    <w:rsid w:val="48D25779"/>
    <w:rsid w:val="48D5C6DF"/>
    <w:rsid w:val="48DA874D"/>
    <w:rsid w:val="48E6AFA1"/>
    <w:rsid w:val="48E965A4"/>
    <w:rsid w:val="48F2C5B6"/>
    <w:rsid w:val="48F47A10"/>
    <w:rsid w:val="491379EF"/>
    <w:rsid w:val="4915C0CE"/>
    <w:rsid w:val="491FC338"/>
    <w:rsid w:val="49210716"/>
    <w:rsid w:val="49264EA9"/>
    <w:rsid w:val="49369EA7"/>
    <w:rsid w:val="493A22AC"/>
    <w:rsid w:val="494232F1"/>
    <w:rsid w:val="4945B888"/>
    <w:rsid w:val="495A0B15"/>
    <w:rsid w:val="495AB7BD"/>
    <w:rsid w:val="495D2773"/>
    <w:rsid w:val="496E8FC5"/>
    <w:rsid w:val="497CD37A"/>
    <w:rsid w:val="498D830C"/>
    <w:rsid w:val="498FB695"/>
    <w:rsid w:val="4999D63C"/>
    <w:rsid w:val="49A20B92"/>
    <w:rsid w:val="49B08B3C"/>
    <w:rsid w:val="49B22C43"/>
    <w:rsid w:val="49C0939B"/>
    <w:rsid w:val="49C49EE0"/>
    <w:rsid w:val="49C8ED88"/>
    <w:rsid w:val="49D1B560"/>
    <w:rsid w:val="49D94AB4"/>
    <w:rsid w:val="49DA678F"/>
    <w:rsid w:val="49DCB190"/>
    <w:rsid w:val="49DFA059"/>
    <w:rsid w:val="49E55504"/>
    <w:rsid w:val="4A03FFAE"/>
    <w:rsid w:val="4A0A6B1E"/>
    <w:rsid w:val="4A1A7A75"/>
    <w:rsid w:val="4A2B34A0"/>
    <w:rsid w:val="4A2C36D8"/>
    <w:rsid w:val="4A364A9C"/>
    <w:rsid w:val="4A3A5C8F"/>
    <w:rsid w:val="4A3F33CD"/>
    <w:rsid w:val="4A4B69DA"/>
    <w:rsid w:val="4A507E81"/>
    <w:rsid w:val="4A62453D"/>
    <w:rsid w:val="4A66D948"/>
    <w:rsid w:val="4A702710"/>
    <w:rsid w:val="4A7CB240"/>
    <w:rsid w:val="4A7CECC8"/>
    <w:rsid w:val="4A7F537E"/>
    <w:rsid w:val="4A8487C3"/>
    <w:rsid w:val="4A853605"/>
    <w:rsid w:val="4A9C76EF"/>
    <w:rsid w:val="4AA0EA81"/>
    <w:rsid w:val="4AAFDCD5"/>
    <w:rsid w:val="4AC5D52E"/>
    <w:rsid w:val="4AE60DDC"/>
    <w:rsid w:val="4AE6B806"/>
    <w:rsid w:val="4AFB42E3"/>
    <w:rsid w:val="4B053BEC"/>
    <w:rsid w:val="4B0C2F3E"/>
    <w:rsid w:val="4B13097F"/>
    <w:rsid w:val="4B1C0E8E"/>
    <w:rsid w:val="4B1C3B25"/>
    <w:rsid w:val="4B329985"/>
    <w:rsid w:val="4B35A69D"/>
    <w:rsid w:val="4B3ABDBE"/>
    <w:rsid w:val="4B41262A"/>
    <w:rsid w:val="4B44079F"/>
    <w:rsid w:val="4B551469"/>
    <w:rsid w:val="4B558D5E"/>
    <w:rsid w:val="4B577076"/>
    <w:rsid w:val="4B62A52F"/>
    <w:rsid w:val="4B650D60"/>
    <w:rsid w:val="4B68B9F8"/>
    <w:rsid w:val="4B6E5019"/>
    <w:rsid w:val="4B709BEB"/>
    <w:rsid w:val="4B717A04"/>
    <w:rsid w:val="4B8ED1CE"/>
    <w:rsid w:val="4B97E420"/>
    <w:rsid w:val="4BA48346"/>
    <w:rsid w:val="4BB3B7E7"/>
    <w:rsid w:val="4BC45AA1"/>
    <w:rsid w:val="4BD1289F"/>
    <w:rsid w:val="4BDC917B"/>
    <w:rsid w:val="4BE46EE0"/>
    <w:rsid w:val="4BE48DC4"/>
    <w:rsid w:val="4BE8B684"/>
    <w:rsid w:val="4BFCC7BC"/>
    <w:rsid w:val="4C0281E7"/>
    <w:rsid w:val="4C049B0E"/>
    <w:rsid w:val="4C04F473"/>
    <w:rsid w:val="4C068E80"/>
    <w:rsid w:val="4C128336"/>
    <w:rsid w:val="4C1EE6EA"/>
    <w:rsid w:val="4C260FE9"/>
    <w:rsid w:val="4C2C517A"/>
    <w:rsid w:val="4C370BA7"/>
    <w:rsid w:val="4C3A17FE"/>
    <w:rsid w:val="4C3E15A9"/>
    <w:rsid w:val="4C3E8016"/>
    <w:rsid w:val="4C43A405"/>
    <w:rsid w:val="4C43E6F6"/>
    <w:rsid w:val="4C461C5A"/>
    <w:rsid w:val="4C4C86A6"/>
    <w:rsid w:val="4C584DE8"/>
    <w:rsid w:val="4C63E7A9"/>
    <w:rsid w:val="4C68BD7C"/>
    <w:rsid w:val="4C7A2E2A"/>
    <w:rsid w:val="4C812346"/>
    <w:rsid w:val="4CA2AD6D"/>
    <w:rsid w:val="4CAD8884"/>
    <w:rsid w:val="4CADB13E"/>
    <w:rsid w:val="4CB420FC"/>
    <w:rsid w:val="4CBC5082"/>
    <w:rsid w:val="4CBC75AA"/>
    <w:rsid w:val="4CC6D5F2"/>
    <w:rsid w:val="4CCD3D86"/>
    <w:rsid w:val="4CCD91E3"/>
    <w:rsid w:val="4CDA70E5"/>
    <w:rsid w:val="4CE38E57"/>
    <w:rsid w:val="4CE6C3A2"/>
    <w:rsid w:val="4CE94F49"/>
    <w:rsid w:val="4CEC9675"/>
    <w:rsid w:val="4CF77366"/>
    <w:rsid w:val="4CFF7168"/>
    <w:rsid w:val="4D196EA6"/>
    <w:rsid w:val="4D20C7D6"/>
    <w:rsid w:val="4D2CC655"/>
    <w:rsid w:val="4D38C143"/>
    <w:rsid w:val="4D3BA404"/>
    <w:rsid w:val="4D46CC17"/>
    <w:rsid w:val="4D480512"/>
    <w:rsid w:val="4D54025B"/>
    <w:rsid w:val="4D74CE8D"/>
    <w:rsid w:val="4D7C51A1"/>
    <w:rsid w:val="4D8021E0"/>
    <w:rsid w:val="4DA13C0D"/>
    <w:rsid w:val="4DA71BF1"/>
    <w:rsid w:val="4DB3F612"/>
    <w:rsid w:val="4DCBBF9D"/>
    <w:rsid w:val="4DDBFC61"/>
    <w:rsid w:val="4DEA1CFD"/>
    <w:rsid w:val="4DEB6911"/>
    <w:rsid w:val="4DF7BBB3"/>
    <w:rsid w:val="4DF8CEC2"/>
    <w:rsid w:val="4E18FD8D"/>
    <w:rsid w:val="4E1D73E5"/>
    <w:rsid w:val="4E216AB1"/>
    <w:rsid w:val="4E311E38"/>
    <w:rsid w:val="4E3BC805"/>
    <w:rsid w:val="4E4DDD02"/>
    <w:rsid w:val="4E5320B3"/>
    <w:rsid w:val="4E534DA7"/>
    <w:rsid w:val="4E55B112"/>
    <w:rsid w:val="4E66AA55"/>
    <w:rsid w:val="4E6B27A5"/>
    <w:rsid w:val="4E70547D"/>
    <w:rsid w:val="4E7979BE"/>
    <w:rsid w:val="4E7C2508"/>
    <w:rsid w:val="4E7D8081"/>
    <w:rsid w:val="4E829403"/>
    <w:rsid w:val="4E8C155B"/>
    <w:rsid w:val="4E9E8A3F"/>
    <w:rsid w:val="4EA1F07A"/>
    <w:rsid w:val="4EA5DDE1"/>
    <w:rsid w:val="4EBC9EBC"/>
    <w:rsid w:val="4EC6C1A4"/>
    <w:rsid w:val="4ED9484C"/>
    <w:rsid w:val="4EE26196"/>
    <w:rsid w:val="4EE4F463"/>
    <w:rsid w:val="4EE911C6"/>
    <w:rsid w:val="4EF885D2"/>
    <w:rsid w:val="4EFDA7EA"/>
    <w:rsid w:val="4EFF1A47"/>
    <w:rsid w:val="4F027C90"/>
    <w:rsid w:val="4F0612FD"/>
    <w:rsid w:val="4F06CE32"/>
    <w:rsid w:val="4F14AD0B"/>
    <w:rsid w:val="4F1D4253"/>
    <w:rsid w:val="4F251D99"/>
    <w:rsid w:val="4F26C873"/>
    <w:rsid w:val="4F2BE46C"/>
    <w:rsid w:val="4F327031"/>
    <w:rsid w:val="4F454A02"/>
    <w:rsid w:val="4F476CB7"/>
    <w:rsid w:val="4F53B331"/>
    <w:rsid w:val="4F5BC387"/>
    <w:rsid w:val="4F5C10FF"/>
    <w:rsid w:val="4F5F188F"/>
    <w:rsid w:val="4F729D5D"/>
    <w:rsid w:val="4F73A883"/>
    <w:rsid w:val="4F7AB687"/>
    <w:rsid w:val="4F862BA6"/>
    <w:rsid w:val="4F872F2C"/>
    <w:rsid w:val="4F8C0640"/>
    <w:rsid w:val="4F8E572F"/>
    <w:rsid w:val="4F923CD0"/>
    <w:rsid w:val="4F93218E"/>
    <w:rsid w:val="4FAE530A"/>
    <w:rsid w:val="4FBF7E95"/>
    <w:rsid w:val="4FC2108D"/>
    <w:rsid w:val="4FC737B5"/>
    <w:rsid w:val="4FC7CE32"/>
    <w:rsid w:val="4FDE3A56"/>
    <w:rsid w:val="4FE28B87"/>
    <w:rsid w:val="5003E04E"/>
    <w:rsid w:val="5004DE48"/>
    <w:rsid w:val="5009B001"/>
    <w:rsid w:val="500A5CA9"/>
    <w:rsid w:val="500B8101"/>
    <w:rsid w:val="501ADD9C"/>
    <w:rsid w:val="501E6464"/>
    <w:rsid w:val="5026D372"/>
    <w:rsid w:val="5032B174"/>
    <w:rsid w:val="503B9CDB"/>
    <w:rsid w:val="504A02CB"/>
    <w:rsid w:val="504EA6F0"/>
    <w:rsid w:val="504EAFE6"/>
    <w:rsid w:val="505E76F8"/>
    <w:rsid w:val="506564E7"/>
    <w:rsid w:val="50662D21"/>
    <w:rsid w:val="5078B4D2"/>
    <w:rsid w:val="50835CE8"/>
    <w:rsid w:val="50934E68"/>
    <w:rsid w:val="509FAC81"/>
    <w:rsid w:val="50CB2BBB"/>
    <w:rsid w:val="50CDFC81"/>
    <w:rsid w:val="50CE5F58"/>
    <w:rsid w:val="50E9FB05"/>
    <w:rsid w:val="50EDE0E4"/>
    <w:rsid w:val="50F7D6C8"/>
    <w:rsid w:val="50FD72F4"/>
    <w:rsid w:val="50FE7FFD"/>
    <w:rsid w:val="510F364B"/>
    <w:rsid w:val="511163BC"/>
    <w:rsid w:val="5116D70F"/>
    <w:rsid w:val="511BED8B"/>
    <w:rsid w:val="51249159"/>
    <w:rsid w:val="512A2790"/>
    <w:rsid w:val="512D2FA1"/>
    <w:rsid w:val="513320FC"/>
    <w:rsid w:val="5138B4B4"/>
    <w:rsid w:val="513FEF5D"/>
    <w:rsid w:val="516C7DA0"/>
    <w:rsid w:val="5171CCFF"/>
    <w:rsid w:val="51758E62"/>
    <w:rsid w:val="517D2B97"/>
    <w:rsid w:val="517E651F"/>
    <w:rsid w:val="517F12EF"/>
    <w:rsid w:val="5188E230"/>
    <w:rsid w:val="5190376E"/>
    <w:rsid w:val="51972CAC"/>
    <w:rsid w:val="51A035F5"/>
    <w:rsid w:val="51B3183A"/>
    <w:rsid w:val="51B40EDD"/>
    <w:rsid w:val="51B93385"/>
    <w:rsid w:val="51C9832C"/>
    <w:rsid w:val="51CC5927"/>
    <w:rsid w:val="51D98E7E"/>
    <w:rsid w:val="51DB8CD9"/>
    <w:rsid w:val="51DE1BD9"/>
    <w:rsid w:val="51E66AE6"/>
    <w:rsid w:val="51E9047D"/>
    <w:rsid w:val="51E9C6D3"/>
    <w:rsid w:val="51EFEA30"/>
    <w:rsid w:val="520A8F1F"/>
    <w:rsid w:val="520FEF6A"/>
    <w:rsid w:val="52148987"/>
    <w:rsid w:val="52163D0D"/>
    <w:rsid w:val="521CE162"/>
    <w:rsid w:val="52225AFD"/>
    <w:rsid w:val="522948E4"/>
    <w:rsid w:val="5233B5E4"/>
    <w:rsid w:val="52445694"/>
    <w:rsid w:val="5260B57F"/>
    <w:rsid w:val="52663728"/>
    <w:rsid w:val="52AFE599"/>
    <w:rsid w:val="52BECE23"/>
    <w:rsid w:val="52CE09DB"/>
    <w:rsid w:val="52D791D9"/>
    <w:rsid w:val="52EE15D4"/>
    <w:rsid w:val="52EED2DF"/>
    <w:rsid w:val="52FAA997"/>
    <w:rsid w:val="53011F31"/>
    <w:rsid w:val="530470B3"/>
    <w:rsid w:val="530A0CF3"/>
    <w:rsid w:val="531796E7"/>
    <w:rsid w:val="532DAB43"/>
    <w:rsid w:val="532DD20E"/>
    <w:rsid w:val="532F50D8"/>
    <w:rsid w:val="533F8A5B"/>
    <w:rsid w:val="53442086"/>
    <w:rsid w:val="534DC6B7"/>
    <w:rsid w:val="5352BFD1"/>
    <w:rsid w:val="5357E099"/>
    <w:rsid w:val="535CA879"/>
    <w:rsid w:val="5365A778"/>
    <w:rsid w:val="53665C48"/>
    <w:rsid w:val="5366A773"/>
    <w:rsid w:val="536A7512"/>
    <w:rsid w:val="536FD9F5"/>
    <w:rsid w:val="537555E0"/>
    <w:rsid w:val="537BA9C0"/>
    <w:rsid w:val="5383F49F"/>
    <w:rsid w:val="538824D1"/>
    <w:rsid w:val="53AB0932"/>
    <w:rsid w:val="53BBFC39"/>
    <w:rsid w:val="53BD57FC"/>
    <w:rsid w:val="53C0403F"/>
    <w:rsid w:val="53C45DC1"/>
    <w:rsid w:val="53D5750B"/>
    <w:rsid w:val="53D97EA7"/>
    <w:rsid w:val="53DD4E59"/>
    <w:rsid w:val="53EF854F"/>
    <w:rsid w:val="53FF2C8F"/>
    <w:rsid w:val="5404C3A1"/>
    <w:rsid w:val="54131CB1"/>
    <w:rsid w:val="5418F6F4"/>
    <w:rsid w:val="541E6599"/>
    <w:rsid w:val="5427412E"/>
    <w:rsid w:val="5444237E"/>
    <w:rsid w:val="5458DEC9"/>
    <w:rsid w:val="545CA79A"/>
    <w:rsid w:val="5472DAE2"/>
    <w:rsid w:val="548A0A06"/>
    <w:rsid w:val="548E4C20"/>
    <w:rsid w:val="54984ECF"/>
    <w:rsid w:val="54A33073"/>
    <w:rsid w:val="54AE7365"/>
    <w:rsid w:val="54B4A8AF"/>
    <w:rsid w:val="54C0B4F3"/>
    <w:rsid w:val="54C0CF74"/>
    <w:rsid w:val="54C6DAEC"/>
    <w:rsid w:val="54CD3600"/>
    <w:rsid w:val="54D5666F"/>
    <w:rsid w:val="54DEDAFD"/>
    <w:rsid w:val="54ED216C"/>
    <w:rsid w:val="54EE9032"/>
    <w:rsid w:val="54F129EB"/>
    <w:rsid w:val="550159C5"/>
    <w:rsid w:val="5503FE29"/>
    <w:rsid w:val="55086E69"/>
    <w:rsid w:val="5508A2C7"/>
    <w:rsid w:val="550ACD2E"/>
    <w:rsid w:val="5517DD71"/>
    <w:rsid w:val="5518241F"/>
    <w:rsid w:val="5529E946"/>
    <w:rsid w:val="55370980"/>
    <w:rsid w:val="55381A09"/>
    <w:rsid w:val="554922FC"/>
    <w:rsid w:val="554D0B49"/>
    <w:rsid w:val="555AD1F3"/>
    <w:rsid w:val="556E3B29"/>
    <w:rsid w:val="557280E7"/>
    <w:rsid w:val="557471A9"/>
    <w:rsid w:val="55781E31"/>
    <w:rsid w:val="5578A88B"/>
    <w:rsid w:val="5582427F"/>
    <w:rsid w:val="55868F58"/>
    <w:rsid w:val="558E3EAC"/>
    <w:rsid w:val="5595BD28"/>
    <w:rsid w:val="55AD4510"/>
    <w:rsid w:val="55B1AAC7"/>
    <w:rsid w:val="55C99591"/>
    <w:rsid w:val="55DBE5C2"/>
    <w:rsid w:val="55DC1C27"/>
    <w:rsid w:val="55EA14EF"/>
    <w:rsid w:val="55F0CA0F"/>
    <w:rsid w:val="55F7B88D"/>
    <w:rsid w:val="5622A513"/>
    <w:rsid w:val="5623AE8D"/>
    <w:rsid w:val="562630AE"/>
    <w:rsid w:val="564BF41A"/>
    <w:rsid w:val="56549384"/>
    <w:rsid w:val="5662A1DA"/>
    <w:rsid w:val="56639B23"/>
    <w:rsid w:val="567EC2E3"/>
    <w:rsid w:val="5682973C"/>
    <w:rsid w:val="568ABCF9"/>
    <w:rsid w:val="568CCE77"/>
    <w:rsid w:val="56956C6B"/>
    <w:rsid w:val="56999ADB"/>
    <w:rsid w:val="569A8BD7"/>
    <w:rsid w:val="569BE5A3"/>
    <w:rsid w:val="56B1566D"/>
    <w:rsid w:val="56B4475C"/>
    <w:rsid w:val="56C02F98"/>
    <w:rsid w:val="56C64539"/>
    <w:rsid w:val="56C6B478"/>
    <w:rsid w:val="56CBCB0E"/>
    <w:rsid w:val="56F503F2"/>
    <w:rsid w:val="5706D477"/>
    <w:rsid w:val="570DFC8D"/>
    <w:rsid w:val="570EC914"/>
    <w:rsid w:val="5730A5BA"/>
    <w:rsid w:val="574BC8F9"/>
    <w:rsid w:val="5757D4FD"/>
    <w:rsid w:val="57661232"/>
    <w:rsid w:val="576D6120"/>
    <w:rsid w:val="57798C2B"/>
    <w:rsid w:val="577EB542"/>
    <w:rsid w:val="5787C8F7"/>
    <w:rsid w:val="578CA953"/>
    <w:rsid w:val="57A8ED65"/>
    <w:rsid w:val="57AAC97D"/>
    <w:rsid w:val="57AAE4A2"/>
    <w:rsid w:val="57B985E4"/>
    <w:rsid w:val="57BA067E"/>
    <w:rsid w:val="57CC70F8"/>
    <w:rsid w:val="57DD2F54"/>
    <w:rsid w:val="57EB6847"/>
    <w:rsid w:val="57F1DA10"/>
    <w:rsid w:val="57F30991"/>
    <w:rsid w:val="57FF45E4"/>
    <w:rsid w:val="580FCEE7"/>
    <w:rsid w:val="5817F81D"/>
    <w:rsid w:val="581F0A01"/>
    <w:rsid w:val="581FB8EB"/>
    <w:rsid w:val="5829401E"/>
    <w:rsid w:val="582DBD5C"/>
    <w:rsid w:val="58370AA6"/>
    <w:rsid w:val="5843F065"/>
    <w:rsid w:val="58468F77"/>
    <w:rsid w:val="585EF904"/>
    <w:rsid w:val="5865530C"/>
    <w:rsid w:val="586A90C7"/>
    <w:rsid w:val="5875D651"/>
    <w:rsid w:val="587BD8A6"/>
    <w:rsid w:val="587EBB95"/>
    <w:rsid w:val="5882A451"/>
    <w:rsid w:val="588933FF"/>
    <w:rsid w:val="588A61EB"/>
    <w:rsid w:val="58953438"/>
    <w:rsid w:val="58A6AAD0"/>
    <w:rsid w:val="58A6AFB0"/>
    <w:rsid w:val="58C6C38A"/>
    <w:rsid w:val="58E0992D"/>
    <w:rsid w:val="58E1389D"/>
    <w:rsid w:val="58E78BF4"/>
    <w:rsid w:val="58EA5220"/>
    <w:rsid w:val="5932B8E2"/>
    <w:rsid w:val="5970AEB6"/>
    <w:rsid w:val="5974F9EE"/>
    <w:rsid w:val="5986D4BA"/>
    <w:rsid w:val="598BFC22"/>
    <w:rsid w:val="598C3446"/>
    <w:rsid w:val="59A228AC"/>
    <w:rsid w:val="59D35F60"/>
    <w:rsid w:val="59D7779A"/>
    <w:rsid w:val="59E57C3E"/>
    <w:rsid w:val="59F9BB38"/>
    <w:rsid w:val="59FE3A46"/>
    <w:rsid w:val="5A24D28A"/>
    <w:rsid w:val="5A2A3309"/>
    <w:rsid w:val="5A2E5E3F"/>
    <w:rsid w:val="5A309532"/>
    <w:rsid w:val="5A41589C"/>
    <w:rsid w:val="5A44216A"/>
    <w:rsid w:val="5A47C985"/>
    <w:rsid w:val="5A514C08"/>
    <w:rsid w:val="5A5AEB4D"/>
    <w:rsid w:val="5A6CCDF6"/>
    <w:rsid w:val="5A70FDC9"/>
    <w:rsid w:val="5A819FF2"/>
    <w:rsid w:val="5A981A3A"/>
    <w:rsid w:val="5A99EA45"/>
    <w:rsid w:val="5AB2298C"/>
    <w:rsid w:val="5AB4DBF3"/>
    <w:rsid w:val="5AC93D09"/>
    <w:rsid w:val="5ACE70C0"/>
    <w:rsid w:val="5AE8A477"/>
    <w:rsid w:val="5AEE1D35"/>
    <w:rsid w:val="5AF20463"/>
    <w:rsid w:val="5AF4D439"/>
    <w:rsid w:val="5B1DC8B9"/>
    <w:rsid w:val="5B2F2E04"/>
    <w:rsid w:val="5B51A766"/>
    <w:rsid w:val="5B6BF5B4"/>
    <w:rsid w:val="5B771115"/>
    <w:rsid w:val="5B7C2EF8"/>
    <w:rsid w:val="5B84A03E"/>
    <w:rsid w:val="5BB72004"/>
    <w:rsid w:val="5BBD7195"/>
    <w:rsid w:val="5BBDE43B"/>
    <w:rsid w:val="5BBFC372"/>
    <w:rsid w:val="5BC000DB"/>
    <w:rsid w:val="5BCA4601"/>
    <w:rsid w:val="5BCD55D3"/>
    <w:rsid w:val="5BCFF73D"/>
    <w:rsid w:val="5BD34A1B"/>
    <w:rsid w:val="5BE3EE01"/>
    <w:rsid w:val="5BE7EA0F"/>
    <w:rsid w:val="5C060680"/>
    <w:rsid w:val="5C10B3EC"/>
    <w:rsid w:val="5C1BED48"/>
    <w:rsid w:val="5C1EED0E"/>
    <w:rsid w:val="5C21AE5D"/>
    <w:rsid w:val="5C265F97"/>
    <w:rsid w:val="5C2A4087"/>
    <w:rsid w:val="5C3EC4CB"/>
    <w:rsid w:val="5C576AEA"/>
    <w:rsid w:val="5C5A4AEA"/>
    <w:rsid w:val="5C5B7D51"/>
    <w:rsid w:val="5C5E98BF"/>
    <w:rsid w:val="5C6029E1"/>
    <w:rsid w:val="5C743823"/>
    <w:rsid w:val="5C7EC518"/>
    <w:rsid w:val="5C88EC76"/>
    <w:rsid w:val="5C8D467E"/>
    <w:rsid w:val="5C94EECD"/>
    <w:rsid w:val="5CA32D2B"/>
    <w:rsid w:val="5CADB725"/>
    <w:rsid w:val="5CAE7096"/>
    <w:rsid w:val="5CBD385D"/>
    <w:rsid w:val="5CD0DE9A"/>
    <w:rsid w:val="5CEE383C"/>
    <w:rsid w:val="5CF002EE"/>
    <w:rsid w:val="5CF00E81"/>
    <w:rsid w:val="5CF9CF0C"/>
    <w:rsid w:val="5D05181E"/>
    <w:rsid w:val="5D250A9C"/>
    <w:rsid w:val="5D2B3928"/>
    <w:rsid w:val="5D2E165D"/>
    <w:rsid w:val="5D34B39E"/>
    <w:rsid w:val="5D35ABCA"/>
    <w:rsid w:val="5D3A8801"/>
    <w:rsid w:val="5D3B68F9"/>
    <w:rsid w:val="5D525BCB"/>
    <w:rsid w:val="5D53D91E"/>
    <w:rsid w:val="5D631024"/>
    <w:rsid w:val="5D67C9F6"/>
    <w:rsid w:val="5D6A22B4"/>
    <w:rsid w:val="5D6C30DC"/>
    <w:rsid w:val="5D6E9E67"/>
    <w:rsid w:val="5D760E7C"/>
    <w:rsid w:val="5D7B7A5A"/>
    <w:rsid w:val="5D7D1FB1"/>
    <w:rsid w:val="5D8178B0"/>
    <w:rsid w:val="5D9DFE06"/>
    <w:rsid w:val="5DA269A7"/>
    <w:rsid w:val="5DBA9CC0"/>
    <w:rsid w:val="5DBB6524"/>
    <w:rsid w:val="5DC38FDB"/>
    <w:rsid w:val="5DC78864"/>
    <w:rsid w:val="5DC7E971"/>
    <w:rsid w:val="5DD30365"/>
    <w:rsid w:val="5DD9E01D"/>
    <w:rsid w:val="5DDD002B"/>
    <w:rsid w:val="5DE17394"/>
    <w:rsid w:val="5DE698B2"/>
    <w:rsid w:val="5DE8CE2F"/>
    <w:rsid w:val="5DF2B3F3"/>
    <w:rsid w:val="5E038D9F"/>
    <w:rsid w:val="5E0E7116"/>
    <w:rsid w:val="5E1B41AB"/>
    <w:rsid w:val="5E237A70"/>
    <w:rsid w:val="5E28FC27"/>
    <w:rsid w:val="5E2FFB51"/>
    <w:rsid w:val="5E32906D"/>
    <w:rsid w:val="5E47B839"/>
    <w:rsid w:val="5E605203"/>
    <w:rsid w:val="5E6CAB84"/>
    <w:rsid w:val="5E6CE976"/>
    <w:rsid w:val="5E6D38ED"/>
    <w:rsid w:val="5E704E0D"/>
    <w:rsid w:val="5E7552FF"/>
    <w:rsid w:val="5E82F53D"/>
    <w:rsid w:val="5E8C4389"/>
    <w:rsid w:val="5E9099ED"/>
    <w:rsid w:val="5E97BD1A"/>
    <w:rsid w:val="5E9A6940"/>
    <w:rsid w:val="5E9BD847"/>
    <w:rsid w:val="5EC00378"/>
    <w:rsid w:val="5EC00D1A"/>
    <w:rsid w:val="5EC4D70C"/>
    <w:rsid w:val="5EC8A04A"/>
    <w:rsid w:val="5EDF84C9"/>
    <w:rsid w:val="5EE4BD04"/>
    <w:rsid w:val="5EE762E5"/>
    <w:rsid w:val="5EEA5031"/>
    <w:rsid w:val="5EFF45EC"/>
    <w:rsid w:val="5F01E6C3"/>
    <w:rsid w:val="5F058D0D"/>
    <w:rsid w:val="5F0AEE71"/>
    <w:rsid w:val="5F0E57B1"/>
    <w:rsid w:val="5F16731A"/>
    <w:rsid w:val="5F1A3DC0"/>
    <w:rsid w:val="5F298B35"/>
    <w:rsid w:val="5F340C8A"/>
    <w:rsid w:val="5F3B4635"/>
    <w:rsid w:val="5F521537"/>
    <w:rsid w:val="5F5C4092"/>
    <w:rsid w:val="5F7F1AB5"/>
    <w:rsid w:val="5F804020"/>
    <w:rsid w:val="5F95C41E"/>
    <w:rsid w:val="5FA04683"/>
    <w:rsid w:val="5FAA3825"/>
    <w:rsid w:val="5FB094F2"/>
    <w:rsid w:val="5FB6A7FE"/>
    <w:rsid w:val="5FB86C81"/>
    <w:rsid w:val="5FBC0788"/>
    <w:rsid w:val="5FD0A89C"/>
    <w:rsid w:val="5FEBDE22"/>
    <w:rsid w:val="5FEC2381"/>
    <w:rsid w:val="5FF0D790"/>
    <w:rsid w:val="5FF1FEC4"/>
    <w:rsid w:val="5FF2B721"/>
    <w:rsid w:val="5FF441A7"/>
    <w:rsid w:val="6002C85B"/>
    <w:rsid w:val="60297982"/>
    <w:rsid w:val="602BA36D"/>
    <w:rsid w:val="602D8433"/>
    <w:rsid w:val="603EF20B"/>
    <w:rsid w:val="60450AF5"/>
    <w:rsid w:val="60494B38"/>
    <w:rsid w:val="60499811"/>
    <w:rsid w:val="60509728"/>
    <w:rsid w:val="60541966"/>
    <w:rsid w:val="605FDED2"/>
    <w:rsid w:val="606E7071"/>
    <w:rsid w:val="60738B0B"/>
    <w:rsid w:val="6073969E"/>
    <w:rsid w:val="607CF5FD"/>
    <w:rsid w:val="608808C3"/>
    <w:rsid w:val="608956B7"/>
    <w:rsid w:val="608CAC0A"/>
    <w:rsid w:val="60970CFA"/>
    <w:rsid w:val="609A196E"/>
    <w:rsid w:val="60A280A1"/>
    <w:rsid w:val="60B2F9D2"/>
    <w:rsid w:val="60D186F0"/>
    <w:rsid w:val="60D5B4D5"/>
    <w:rsid w:val="60DD7F27"/>
    <w:rsid w:val="60F84908"/>
    <w:rsid w:val="60FA4973"/>
    <w:rsid w:val="610A0514"/>
    <w:rsid w:val="6121C8F9"/>
    <w:rsid w:val="6125F90F"/>
    <w:rsid w:val="61299738"/>
    <w:rsid w:val="614C2D70"/>
    <w:rsid w:val="615C4732"/>
    <w:rsid w:val="616CCAF6"/>
    <w:rsid w:val="61731EE4"/>
    <w:rsid w:val="61776B00"/>
    <w:rsid w:val="617A59D5"/>
    <w:rsid w:val="617BE0F7"/>
    <w:rsid w:val="6183F3CC"/>
    <w:rsid w:val="61A69391"/>
    <w:rsid w:val="61A86FD7"/>
    <w:rsid w:val="61BDFBA7"/>
    <w:rsid w:val="61CDEEC6"/>
    <w:rsid w:val="61D9117E"/>
    <w:rsid w:val="61D9CD37"/>
    <w:rsid w:val="61E5309F"/>
    <w:rsid w:val="61E6769F"/>
    <w:rsid w:val="61F43F60"/>
    <w:rsid w:val="6215E417"/>
    <w:rsid w:val="62205F28"/>
    <w:rsid w:val="62337C49"/>
    <w:rsid w:val="623F5D27"/>
    <w:rsid w:val="624242A3"/>
    <w:rsid w:val="624D61EF"/>
    <w:rsid w:val="6257C712"/>
    <w:rsid w:val="6265CA9B"/>
    <w:rsid w:val="6268A7F3"/>
    <w:rsid w:val="627F9A90"/>
    <w:rsid w:val="6280C7CF"/>
    <w:rsid w:val="62A0383C"/>
    <w:rsid w:val="62AAD2F6"/>
    <w:rsid w:val="62BFF43A"/>
    <w:rsid w:val="62C23D1C"/>
    <w:rsid w:val="62C6A729"/>
    <w:rsid w:val="62C6F0DB"/>
    <w:rsid w:val="62C9AE88"/>
    <w:rsid w:val="62CEA64F"/>
    <w:rsid w:val="62D198C7"/>
    <w:rsid w:val="62D76625"/>
    <w:rsid w:val="6308ABB6"/>
    <w:rsid w:val="630F06F9"/>
    <w:rsid w:val="630FC1F3"/>
    <w:rsid w:val="632534B6"/>
    <w:rsid w:val="63256C2E"/>
    <w:rsid w:val="6327E4DD"/>
    <w:rsid w:val="633D23D8"/>
    <w:rsid w:val="634010AA"/>
    <w:rsid w:val="634561EE"/>
    <w:rsid w:val="6349443E"/>
    <w:rsid w:val="6370D121"/>
    <w:rsid w:val="6375DD19"/>
    <w:rsid w:val="6380A6E3"/>
    <w:rsid w:val="638FE4FB"/>
    <w:rsid w:val="63A60BFB"/>
    <w:rsid w:val="63AAF9F7"/>
    <w:rsid w:val="63C6F525"/>
    <w:rsid w:val="63C7FE6A"/>
    <w:rsid w:val="63CB7EAD"/>
    <w:rsid w:val="63D9D397"/>
    <w:rsid w:val="63DB523B"/>
    <w:rsid w:val="63DDC488"/>
    <w:rsid w:val="63EDCFC3"/>
    <w:rsid w:val="63F0D6DA"/>
    <w:rsid w:val="63F6A660"/>
    <w:rsid w:val="63FAC252"/>
    <w:rsid w:val="63FF41EE"/>
    <w:rsid w:val="64157F61"/>
    <w:rsid w:val="641ACA22"/>
    <w:rsid w:val="64236E9A"/>
    <w:rsid w:val="642567D3"/>
    <w:rsid w:val="642A9147"/>
    <w:rsid w:val="6432D15F"/>
    <w:rsid w:val="643D4EF0"/>
    <w:rsid w:val="6441A550"/>
    <w:rsid w:val="6446C386"/>
    <w:rsid w:val="6457DC88"/>
    <w:rsid w:val="6458B3A6"/>
    <w:rsid w:val="6458F9B2"/>
    <w:rsid w:val="645CA68E"/>
    <w:rsid w:val="648C8988"/>
    <w:rsid w:val="648F4278"/>
    <w:rsid w:val="64A7E2FD"/>
    <w:rsid w:val="64B77953"/>
    <w:rsid w:val="64B8AE95"/>
    <w:rsid w:val="64CEE6ED"/>
    <w:rsid w:val="64F8ED3C"/>
    <w:rsid w:val="64FAFFA3"/>
    <w:rsid w:val="64FB5E55"/>
    <w:rsid w:val="64FD57D4"/>
    <w:rsid w:val="65045CD0"/>
    <w:rsid w:val="6512A454"/>
    <w:rsid w:val="651595A7"/>
    <w:rsid w:val="651CA9D2"/>
    <w:rsid w:val="651D5BD1"/>
    <w:rsid w:val="65259F45"/>
    <w:rsid w:val="652AA080"/>
    <w:rsid w:val="652EA217"/>
    <w:rsid w:val="6535CCA6"/>
    <w:rsid w:val="6540558A"/>
    <w:rsid w:val="6541E1E5"/>
    <w:rsid w:val="65434217"/>
    <w:rsid w:val="65456CA8"/>
    <w:rsid w:val="6549F186"/>
    <w:rsid w:val="654CE85A"/>
    <w:rsid w:val="6565CEE9"/>
    <w:rsid w:val="6581250A"/>
    <w:rsid w:val="658BF31D"/>
    <w:rsid w:val="659C4D88"/>
    <w:rsid w:val="659D917F"/>
    <w:rsid w:val="65A4C4FF"/>
    <w:rsid w:val="65A4DE2C"/>
    <w:rsid w:val="65B259B9"/>
    <w:rsid w:val="65B638C6"/>
    <w:rsid w:val="65DF3B1E"/>
    <w:rsid w:val="65E41289"/>
    <w:rsid w:val="65EB5660"/>
    <w:rsid w:val="6603C717"/>
    <w:rsid w:val="660C0AD4"/>
    <w:rsid w:val="66133B1A"/>
    <w:rsid w:val="66181A44"/>
    <w:rsid w:val="6618CAC0"/>
    <w:rsid w:val="661E5A66"/>
    <w:rsid w:val="662819D3"/>
    <w:rsid w:val="66409289"/>
    <w:rsid w:val="6647AD82"/>
    <w:rsid w:val="664B88F2"/>
    <w:rsid w:val="6656755C"/>
    <w:rsid w:val="66647674"/>
    <w:rsid w:val="666AB74E"/>
    <w:rsid w:val="6680572A"/>
    <w:rsid w:val="6691B195"/>
    <w:rsid w:val="66989F05"/>
    <w:rsid w:val="66A7C73B"/>
    <w:rsid w:val="66AB8E44"/>
    <w:rsid w:val="66BA1A93"/>
    <w:rsid w:val="66C281F0"/>
    <w:rsid w:val="66CED5BA"/>
    <w:rsid w:val="66D33BA7"/>
    <w:rsid w:val="66DC2B7F"/>
    <w:rsid w:val="66DE64DA"/>
    <w:rsid w:val="66EC0637"/>
    <w:rsid w:val="66F1FD37"/>
    <w:rsid w:val="66F2E8DB"/>
    <w:rsid w:val="66F3FF02"/>
    <w:rsid w:val="66FB56F9"/>
    <w:rsid w:val="66FBCD0B"/>
    <w:rsid w:val="6719A296"/>
    <w:rsid w:val="671CE296"/>
    <w:rsid w:val="67307004"/>
    <w:rsid w:val="6746BD7D"/>
    <w:rsid w:val="674D44AF"/>
    <w:rsid w:val="67614CA5"/>
    <w:rsid w:val="6764DE2C"/>
    <w:rsid w:val="676648CA"/>
    <w:rsid w:val="676D2D79"/>
    <w:rsid w:val="6776B65C"/>
    <w:rsid w:val="67849CBC"/>
    <w:rsid w:val="67852414"/>
    <w:rsid w:val="678CB08C"/>
    <w:rsid w:val="678CFE91"/>
    <w:rsid w:val="679AC207"/>
    <w:rsid w:val="679D656D"/>
    <w:rsid w:val="67B46A8E"/>
    <w:rsid w:val="67BB349B"/>
    <w:rsid w:val="67C13412"/>
    <w:rsid w:val="67C99454"/>
    <w:rsid w:val="67CC6A11"/>
    <w:rsid w:val="67DA7566"/>
    <w:rsid w:val="67DAF038"/>
    <w:rsid w:val="67F70CF2"/>
    <w:rsid w:val="67FE5E8E"/>
    <w:rsid w:val="68174CF9"/>
    <w:rsid w:val="681DCE26"/>
    <w:rsid w:val="682019F8"/>
    <w:rsid w:val="682B61CE"/>
    <w:rsid w:val="682F1395"/>
    <w:rsid w:val="682FB412"/>
    <w:rsid w:val="683B4902"/>
    <w:rsid w:val="68420337"/>
    <w:rsid w:val="6844D282"/>
    <w:rsid w:val="6856E713"/>
    <w:rsid w:val="68586327"/>
    <w:rsid w:val="685B7430"/>
    <w:rsid w:val="686F7C59"/>
    <w:rsid w:val="6872FE45"/>
    <w:rsid w:val="687A7235"/>
    <w:rsid w:val="687FFA21"/>
    <w:rsid w:val="68807177"/>
    <w:rsid w:val="68812DA1"/>
    <w:rsid w:val="689D0FE3"/>
    <w:rsid w:val="68A0D97A"/>
    <w:rsid w:val="68AA6188"/>
    <w:rsid w:val="68AD44BA"/>
    <w:rsid w:val="68AECD33"/>
    <w:rsid w:val="68BA95B3"/>
    <w:rsid w:val="68BB2CF0"/>
    <w:rsid w:val="68C3D61A"/>
    <w:rsid w:val="68C7889E"/>
    <w:rsid w:val="68CC1A4D"/>
    <w:rsid w:val="68CE8BED"/>
    <w:rsid w:val="68CFAB00"/>
    <w:rsid w:val="68DCA7D3"/>
    <w:rsid w:val="68E2773D"/>
    <w:rsid w:val="68EB8E80"/>
    <w:rsid w:val="6901B708"/>
    <w:rsid w:val="69100BB5"/>
    <w:rsid w:val="6910ABB0"/>
    <w:rsid w:val="691816AD"/>
    <w:rsid w:val="691BA238"/>
    <w:rsid w:val="692A576D"/>
    <w:rsid w:val="693A3654"/>
    <w:rsid w:val="69431BD4"/>
    <w:rsid w:val="69480ED4"/>
    <w:rsid w:val="6962DC52"/>
    <w:rsid w:val="69651683"/>
    <w:rsid w:val="697FFC0C"/>
    <w:rsid w:val="69829922"/>
    <w:rsid w:val="698A524C"/>
    <w:rsid w:val="698D8F32"/>
    <w:rsid w:val="69996918"/>
    <w:rsid w:val="699E06C1"/>
    <w:rsid w:val="69B143F7"/>
    <w:rsid w:val="69B64849"/>
    <w:rsid w:val="69BB806D"/>
    <w:rsid w:val="69EE8BEC"/>
    <w:rsid w:val="69F7D674"/>
    <w:rsid w:val="69FAA5C1"/>
    <w:rsid w:val="6A048921"/>
    <w:rsid w:val="6A08EA79"/>
    <w:rsid w:val="6A0EF4F1"/>
    <w:rsid w:val="6A332E91"/>
    <w:rsid w:val="6A36AD89"/>
    <w:rsid w:val="6A38669E"/>
    <w:rsid w:val="6A3CAF58"/>
    <w:rsid w:val="6A465984"/>
    <w:rsid w:val="6A49151B"/>
    <w:rsid w:val="6A51F319"/>
    <w:rsid w:val="6A535F00"/>
    <w:rsid w:val="6A60907D"/>
    <w:rsid w:val="6A6CB933"/>
    <w:rsid w:val="6A6DA299"/>
    <w:rsid w:val="6A737DA1"/>
    <w:rsid w:val="6A77366F"/>
    <w:rsid w:val="6A7A2034"/>
    <w:rsid w:val="6A7E8C4C"/>
    <w:rsid w:val="6A9B5BD4"/>
    <w:rsid w:val="6AA037E2"/>
    <w:rsid w:val="6AA0A118"/>
    <w:rsid w:val="6AA0B089"/>
    <w:rsid w:val="6AA45E15"/>
    <w:rsid w:val="6AB1B022"/>
    <w:rsid w:val="6AC1F5D9"/>
    <w:rsid w:val="6AC72AEC"/>
    <w:rsid w:val="6ACDFCAA"/>
    <w:rsid w:val="6ADF2459"/>
    <w:rsid w:val="6AE10F5B"/>
    <w:rsid w:val="6AE91F4D"/>
    <w:rsid w:val="6AFFCA8B"/>
    <w:rsid w:val="6B019C68"/>
    <w:rsid w:val="6B122C53"/>
    <w:rsid w:val="6B13D041"/>
    <w:rsid w:val="6B1D3FA8"/>
    <w:rsid w:val="6B2472B3"/>
    <w:rsid w:val="6B3BC53E"/>
    <w:rsid w:val="6B50484A"/>
    <w:rsid w:val="6B55140A"/>
    <w:rsid w:val="6B6271B8"/>
    <w:rsid w:val="6B66B1F5"/>
    <w:rsid w:val="6B6B2D07"/>
    <w:rsid w:val="6B75B34E"/>
    <w:rsid w:val="6B7F9053"/>
    <w:rsid w:val="6B8C11DE"/>
    <w:rsid w:val="6B96C200"/>
    <w:rsid w:val="6B9BC022"/>
    <w:rsid w:val="6BA8F47B"/>
    <w:rsid w:val="6BAD9D8B"/>
    <w:rsid w:val="6BB2965F"/>
    <w:rsid w:val="6BBB68B1"/>
    <w:rsid w:val="6BD15A03"/>
    <w:rsid w:val="6BD28312"/>
    <w:rsid w:val="6BE110C0"/>
    <w:rsid w:val="6BE62B59"/>
    <w:rsid w:val="6BEE6F16"/>
    <w:rsid w:val="6BF7E64E"/>
    <w:rsid w:val="6BF9F4B8"/>
    <w:rsid w:val="6BFB8DFD"/>
    <w:rsid w:val="6C226DC7"/>
    <w:rsid w:val="6C2C8E97"/>
    <w:rsid w:val="6C2C9A64"/>
    <w:rsid w:val="6C384F4F"/>
    <w:rsid w:val="6C3DB880"/>
    <w:rsid w:val="6C50F7D4"/>
    <w:rsid w:val="6C6A5D7B"/>
    <w:rsid w:val="6C81807F"/>
    <w:rsid w:val="6C8F4940"/>
    <w:rsid w:val="6C974257"/>
    <w:rsid w:val="6C983D7D"/>
    <w:rsid w:val="6C9C549D"/>
    <w:rsid w:val="6C9ED7DD"/>
    <w:rsid w:val="6CA1D6B1"/>
    <w:rsid w:val="6CBF045C"/>
    <w:rsid w:val="6CC5CD45"/>
    <w:rsid w:val="6CC94B50"/>
    <w:rsid w:val="6CD7ABC3"/>
    <w:rsid w:val="6CDACC37"/>
    <w:rsid w:val="6CF303C3"/>
    <w:rsid w:val="6CF7C55F"/>
    <w:rsid w:val="6CF90DA5"/>
    <w:rsid w:val="6CFE8B0A"/>
    <w:rsid w:val="6D01074C"/>
    <w:rsid w:val="6D02196A"/>
    <w:rsid w:val="6D1A506C"/>
    <w:rsid w:val="6D25FAD9"/>
    <w:rsid w:val="6D2BAA77"/>
    <w:rsid w:val="6D2FC60B"/>
    <w:rsid w:val="6D34A070"/>
    <w:rsid w:val="6D374AA7"/>
    <w:rsid w:val="6D4B3023"/>
    <w:rsid w:val="6D5BABD6"/>
    <w:rsid w:val="6D61F3B7"/>
    <w:rsid w:val="6D62C099"/>
    <w:rsid w:val="6D75BE44"/>
    <w:rsid w:val="6D7E4CDF"/>
    <w:rsid w:val="6D80B5DD"/>
    <w:rsid w:val="6D8CBAA2"/>
    <w:rsid w:val="6D8D875B"/>
    <w:rsid w:val="6D94C4C3"/>
    <w:rsid w:val="6D97F7CE"/>
    <w:rsid w:val="6DA29488"/>
    <w:rsid w:val="6DA3C17F"/>
    <w:rsid w:val="6DAC5E8C"/>
    <w:rsid w:val="6DB2FDB7"/>
    <w:rsid w:val="6DBC6570"/>
    <w:rsid w:val="6DBF7A90"/>
    <w:rsid w:val="6DDBC333"/>
    <w:rsid w:val="6DDDE2C2"/>
    <w:rsid w:val="6DE0D0B8"/>
    <w:rsid w:val="6DE23279"/>
    <w:rsid w:val="6DEDA5CC"/>
    <w:rsid w:val="6E096E79"/>
    <w:rsid w:val="6E16211D"/>
    <w:rsid w:val="6E1933E4"/>
    <w:rsid w:val="6E2333DD"/>
    <w:rsid w:val="6E2F38DB"/>
    <w:rsid w:val="6E34D4E4"/>
    <w:rsid w:val="6E608167"/>
    <w:rsid w:val="6E704F3D"/>
    <w:rsid w:val="6E77215C"/>
    <w:rsid w:val="6E79AB3F"/>
    <w:rsid w:val="6E8EF190"/>
    <w:rsid w:val="6E961DA6"/>
    <w:rsid w:val="6EC06620"/>
    <w:rsid w:val="6EC2B1F2"/>
    <w:rsid w:val="6EC63109"/>
    <w:rsid w:val="6EDA308D"/>
    <w:rsid w:val="6EDCD1B8"/>
    <w:rsid w:val="6EDF758E"/>
    <w:rsid w:val="6EE56E6D"/>
    <w:rsid w:val="6EF1F729"/>
    <w:rsid w:val="6EF2345D"/>
    <w:rsid w:val="6EF7DE5C"/>
    <w:rsid w:val="6F03AC38"/>
    <w:rsid w:val="6F0EFD78"/>
    <w:rsid w:val="6F2330A7"/>
    <w:rsid w:val="6F27032F"/>
    <w:rsid w:val="6F30349A"/>
    <w:rsid w:val="6F3087A5"/>
    <w:rsid w:val="6F34DA90"/>
    <w:rsid w:val="6F3B51CE"/>
    <w:rsid w:val="6F3D7537"/>
    <w:rsid w:val="6F4BA788"/>
    <w:rsid w:val="6F4C6A0E"/>
    <w:rsid w:val="6F4F8126"/>
    <w:rsid w:val="6F6616A9"/>
    <w:rsid w:val="6F6CC009"/>
    <w:rsid w:val="6F761986"/>
    <w:rsid w:val="6F76DC64"/>
    <w:rsid w:val="6F95FCFD"/>
    <w:rsid w:val="6F9ECAEF"/>
    <w:rsid w:val="6FB6F29D"/>
    <w:rsid w:val="6FC9459B"/>
    <w:rsid w:val="6FCA6EAC"/>
    <w:rsid w:val="6FCA7054"/>
    <w:rsid w:val="6FCC1339"/>
    <w:rsid w:val="6FCD201B"/>
    <w:rsid w:val="6FDA47E5"/>
    <w:rsid w:val="6FDD860D"/>
    <w:rsid w:val="6FE11F19"/>
    <w:rsid w:val="6FE439B8"/>
    <w:rsid w:val="6FF5615C"/>
    <w:rsid w:val="6FF68FC0"/>
    <w:rsid w:val="6FF76387"/>
    <w:rsid w:val="7007F67E"/>
    <w:rsid w:val="7008C742"/>
    <w:rsid w:val="701695AD"/>
    <w:rsid w:val="701CF6F0"/>
    <w:rsid w:val="7024CC37"/>
    <w:rsid w:val="70314575"/>
    <w:rsid w:val="70462C3E"/>
    <w:rsid w:val="704F6178"/>
    <w:rsid w:val="7065E060"/>
    <w:rsid w:val="706CC8CD"/>
    <w:rsid w:val="708070F9"/>
    <w:rsid w:val="7089716C"/>
    <w:rsid w:val="709A2056"/>
    <w:rsid w:val="70A3903F"/>
    <w:rsid w:val="70B01F93"/>
    <w:rsid w:val="70CAE5C2"/>
    <w:rsid w:val="70D0F811"/>
    <w:rsid w:val="70D47C0B"/>
    <w:rsid w:val="70DCB9A3"/>
    <w:rsid w:val="70F35214"/>
    <w:rsid w:val="70F919AF"/>
    <w:rsid w:val="71098B73"/>
    <w:rsid w:val="71127956"/>
    <w:rsid w:val="7115D25A"/>
    <w:rsid w:val="711E454A"/>
    <w:rsid w:val="711F890B"/>
    <w:rsid w:val="7130D466"/>
    <w:rsid w:val="7130EA4F"/>
    <w:rsid w:val="713DC63D"/>
    <w:rsid w:val="714919EE"/>
    <w:rsid w:val="71613D75"/>
    <w:rsid w:val="717182B3"/>
    <w:rsid w:val="71A0469D"/>
    <w:rsid w:val="71AA422A"/>
    <w:rsid w:val="71BDCFF2"/>
    <w:rsid w:val="71C380A4"/>
    <w:rsid w:val="71D173AD"/>
    <w:rsid w:val="71D9321C"/>
    <w:rsid w:val="71DD0805"/>
    <w:rsid w:val="71E38E7D"/>
    <w:rsid w:val="71EE75B2"/>
    <w:rsid w:val="71F0D2AB"/>
    <w:rsid w:val="71F6BC47"/>
    <w:rsid w:val="7200C2FB"/>
    <w:rsid w:val="72034739"/>
    <w:rsid w:val="7207DFB8"/>
    <w:rsid w:val="7239FCAB"/>
    <w:rsid w:val="72469FB1"/>
    <w:rsid w:val="7248EB3E"/>
    <w:rsid w:val="724E5325"/>
    <w:rsid w:val="724E614A"/>
    <w:rsid w:val="725FF994"/>
    <w:rsid w:val="7263777E"/>
    <w:rsid w:val="726886C1"/>
    <w:rsid w:val="72736A62"/>
    <w:rsid w:val="7273D3DB"/>
    <w:rsid w:val="727413E8"/>
    <w:rsid w:val="727733A0"/>
    <w:rsid w:val="7288E52C"/>
    <w:rsid w:val="728E1432"/>
    <w:rsid w:val="72961E7E"/>
    <w:rsid w:val="729870C1"/>
    <w:rsid w:val="72A27CC8"/>
    <w:rsid w:val="72B5E2AE"/>
    <w:rsid w:val="72BAD2C2"/>
    <w:rsid w:val="72BC9807"/>
    <w:rsid w:val="72BDB38E"/>
    <w:rsid w:val="72E6E077"/>
    <w:rsid w:val="72E9E1A1"/>
    <w:rsid w:val="72F3AAD5"/>
    <w:rsid w:val="72F5DF08"/>
    <w:rsid w:val="72FE1330"/>
    <w:rsid w:val="730B0D99"/>
    <w:rsid w:val="731524A5"/>
    <w:rsid w:val="7316287D"/>
    <w:rsid w:val="73188373"/>
    <w:rsid w:val="7318AB37"/>
    <w:rsid w:val="731FCC24"/>
    <w:rsid w:val="73267064"/>
    <w:rsid w:val="732FD24B"/>
    <w:rsid w:val="7340A56D"/>
    <w:rsid w:val="7340D8A9"/>
    <w:rsid w:val="734FAF02"/>
    <w:rsid w:val="735D9708"/>
    <w:rsid w:val="7365D500"/>
    <w:rsid w:val="736E4DB7"/>
    <w:rsid w:val="737BE23B"/>
    <w:rsid w:val="7381A04D"/>
    <w:rsid w:val="73A28DF7"/>
    <w:rsid w:val="73AE1234"/>
    <w:rsid w:val="73B94CE1"/>
    <w:rsid w:val="73BBEEA5"/>
    <w:rsid w:val="73BF1885"/>
    <w:rsid w:val="73E4AB41"/>
    <w:rsid w:val="73E88060"/>
    <w:rsid w:val="73E914A5"/>
    <w:rsid w:val="73F49921"/>
    <w:rsid w:val="73FA7730"/>
    <w:rsid w:val="740880BC"/>
    <w:rsid w:val="74088FFD"/>
    <w:rsid w:val="740BFC8F"/>
    <w:rsid w:val="74169BEF"/>
    <w:rsid w:val="743DA49E"/>
    <w:rsid w:val="74418E5A"/>
    <w:rsid w:val="744954A1"/>
    <w:rsid w:val="74495FEF"/>
    <w:rsid w:val="744D88BF"/>
    <w:rsid w:val="745F97D5"/>
    <w:rsid w:val="74706103"/>
    <w:rsid w:val="7479B99C"/>
    <w:rsid w:val="74869C8F"/>
    <w:rsid w:val="74A3C46F"/>
    <w:rsid w:val="74A983FF"/>
    <w:rsid w:val="74C4D670"/>
    <w:rsid w:val="74CCB5BF"/>
    <w:rsid w:val="74CE252E"/>
    <w:rsid w:val="74D48B7A"/>
    <w:rsid w:val="74D6DFF5"/>
    <w:rsid w:val="74E24D75"/>
    <w:rsid w:val="74F4B5AD"/>
    <w:rsid w:val="74F95075"/>
    <w:rsid w:val="74FB0F13"/>
    <w:rsid w:val="75037E3A"/>
    <w:rsid w:val="75064DF2"/>
    <w:rsid w:val="7519A770"/>
    <w:rsid w:val="751B9933"/>
    <w:rsid w:val="752181E7"/>
    <w:rsid w:val="75261674"/>
    <w:rsid w:val="7528FDA5"/>
    <w:rsid w:val="75351438"/>
    <w:rsid w:val="7538B20C"/>
    <w:rsid w:val="753AE7FB"/>
    <w:rsid w:val="754D89D7"/>
    <w:rsid w:val="7550AF0D"/>
    <w:rsid w:val="75516949"/>
    <w:rsid w:val="7563FD36"/>
    <w:rsid w:val="75662643"/>
    <w:rsid w:val="756CA282"/>
    <w:rsid w:val="7570442B"/>
    <w:rsid w:val="7572BC80"/>
    <w:rsid w:val="7583ED71"/>
    <w:rsid w:val="758F9B64"/>
    <w:rsid w:val="7593C75D"/>
    <w:rsid w:val="75B3AFC8"/>
    <w:rsid w:val="75B41A58"/>
    <w:rsid w:val="75BC62A1"/>
    <w:rsid w:val="75BF57F9"/>
    <w:rsid w:val="75CF65A2"/>
    <w:rsid w:val="75D749F0"/>
    <w:rsid w:val="75D8E424"/>
    <w:rsid w:val="75E2C011"/>
    <w:rsid w:val="75E69304"/>
    <w:rsid w:val="75E8A16D"/>
    <w:rsid w:val="75FDF74E"/>
    <w:rsid w:val="7629A7E0"/>
    <w:rsid w:val="7632B7C8"/>
    <w:rsid w:val="763FF1F8"/>
    <w:rsid w:val="7649D91D"/>
    <w:rsid w:val="7650B115"/>
    <w:rsid w:val="7656A562"/>
    <w:rsid w:val="7663FA55"/>
    <w:rsid w:val="76670DAC"/>
    <w:rsid w:val="766DB11F"/>
    <w:rsid w:val="76761B7F"/>
    <w:rsid w:val="7683A2E4"/>
    <w:rsid w:val="76BE82A8"/>
    <w:rsid w:val="76C4C0CF"/>
    <w:rsid w:val="76F0A94F"/>
    <w:rsid w:val="7700B6A1"/>
    <w:rsid w:val="770A7971"/>
    <w:rsid w:val="771EF393"/>
    <w:rsid w:val="771F1561"/>
    <w:rsid w:val="7728F074"/>
    <w:rsid w:val="7729CC71"/>
    <w:rsid w:val="772FB6F9"/>
    <w:rsid w:val="773798EC"/>
    <w:rsid w:val="7747402C"/>
    <w:rsid w:val="77488786"/>
    <w:rsid w:val="77513610"/>
    <w:rsid w:val="7753E877"/>
    <w:rsid w:val="775A0F95"/>
    <w:rsid w:val="775F3E6B"/>
    <w:rsid w:val="77787216"/>
    <w:rsid w:val="777A941E"/>
    <w:rsid w:val="777B94A1"/>
    <w:rsid w:val="777DBECB"/>
    <w:rsid w:val="7785D8E2"/>
    <w:rsid w:val="7793E0BD"/>
    <w:rsid w:val="779F6CE4"/>
    <w:rsid w:val="77A03479"/>
    <w:rsid w:val="77A0DB5B"/>
    <w:rsid w:val="77A69A43"/>
    <w:rsid w:val="77ADB0AA"/>
    <w:rsid w:val="77AE22E9"/>
    <w:rsid w:val="77BF8E8C"/>
    <w:rsid w:val="77C09543"/>
    <w:rsid w:val="77C682CF"/>
    <w:rsid w:val="77CB2EF5"/>
    <w:rsid w:val="77D64EFD"/>
    <w:rsid w:val="780ABB7B"/>
    <w:rsid w:val="780B70A2"/>
    <w:rsid w:val="781F5650"/>
    <w:rsid w:val="78209268"/>
    <w:rsid w:val="78287577"/>
    <w:rsid w:val="782A2257"/>
    <w:rsid w:val="782D541D"/>
    <w:rsid w:val="78307B92"/>
    <w:rsid w:val="78313B75"/>
    <w:rsid w:val="783AF20C"/>
    <w:rsid w:val="783B7606"/>
    <w:rsid w:val="78468712"/>
    <w:rsid w:val="7856A768"/>
    <w:rsid w:val="7857F4D3"/>
    <w:rsid w:val="7861E59C"/>
    <w:rsid w:val="7867EF56"/>
    <w:rsid w:val="786F8885"/>
    <w:rsid w:val="7871D03A"/>
    <w:rsid w:val="7872030B"/>
    <w:rsid w:val="7872B81A"/>
    <w:rsid w:val="7877DE89"/>
    <w:rsid w:val="787C0D69"/>
    <w:rsid w:val="7898FA32"/>
    <w:rsid w:val="789F2150"/>
    <w:rsid w:val="78A061DC"/>
    <w:rsid w:val="78ABC75F"/>
    <w:rsid w:val="78CA945E"/>
    <w:rsid w:val="78CDC37E"/>
    <w:rsid w:val="78D18DB5"/>
    <w:rsid w:val="78DDB3B8"/>
    <w:rsid w:val="78DDF121"/>
    <w:rsid w:val="78E01A18"/>
    <w:rsid w:val="78FD8C5C"/>
    <w:rsid w:val="790345FC"/>
    <w:rsid w:val="790FC980"/>
    <w:rsid w:val="79233BCA"/>
    <w:rsid w:val="7928A3C6"/>
    <w:rsid w:val="792ADA23"/>
    <w:rsid w:val="792C9A3F"/>
    <w:rsid w:val="792DFBC9"/>
    <w:rsid w:val="792FE5D4"/>
    <w:rsid w:val="793605F5"/>
    <w:rsid w:val="7938A7EF"/>
    <w:rsid w:val="793BFA80"/>
    <w:rsid w:val="7942D8B8"/>
    <w:rsid w:val="795CF65B"/>
    <w:rsid w:val="7965258A"/>
    <w:rsid w:val="797149F1"/>
    <w:rsid w:val="7972211A"/>
    <w:rsid w:val="797C8FD3"/>
    <w:rsid w:val="799204CA"/>
    <w:rsid w:val="79A1ED4A"/>
    <w:rsid w:val="79A31B22"/>
    <w:rsid w:val="79B4B7E1"/>
    <w:rsid w:val="79BFF30A"/>
    <w:rsid w:val="79CA1D1F"/>
    <w:rsid w:val="79E39507"/>
    <w:rsid w:val="79ECA1DE"/>
    <w:rsid w:val="79EE23D1"/>
    <w:rsid w:val="79EF3194"/>
    <w:rsid w:val="79F2AC83"/>
    <w:rsid w:val="79FBA749"/>
    <w:rsid w:val="7A01535A"/>
    <w:rsid w:val="7A28BF05"/>
    <w:rsid w:val="7A2E28D0"/>
    <w:rsid w:val="7A44E086"/>
    <w:rsid w:val="7A48C9BE"/>
    <w:rsid w:val="7A4BA71E"/>
    <w:rsid w:val="7A542D98"/>
    <w:rsid w:val="7A547322"/>
    <w:rsid w:val="7A587EEF"/>
    <w:rsid w:val="7A66B81D"/>
    <w:rsid w:val="7A6AEA6D"/>
    <w:rsid w:val="7A6BF7ED"/>
    <w:rsid w:val="7A6E5982"/>
    <w:rsid w:val="7A700F8F"/>
    <w:rsid w:val="7A7E99A8"/>
    <w:rsid w:val="7A84F1E1"/>
    <w:rsid w:val="7AB2368E"/>
    <w:rsid w:val="7AB6DFA4"/>
    <w:rsid w:val="7AC215ED"/>
    <w:rsid w:val="7AC30E8F"/>
    <w:rsid w:val="7ACE3099"/>
    <w:rsid w:val="7AD22987"/>
    <w:rsid w:val="7AE168EF"/>
    <w:rsid w:val="7AF268F6"/>
    <w:rsid w:val="7B07FA0C"/>
    <w:rsid w:val="7B0D9D64"/>
    <w:rsid w:val="7B1E0AF7"/>
    <w:rsid w:val="7B1FCC1A"/>
    <w:rsid w:val="7B201FAE"/>
    <w:rsid w:val="7B209AC9"/>
    <w:rsid w:val="7B217955"/>
    <w:rsid w:val="7B3460F0"/>
    <w:rsid w:val="7B37C587"/>
    <w:rsid w:val="7B387724"/>
    <w:rsid w:val="7B4BE195"/>
    <w:rsid w:val="7B5193CB"/>
    <w:rsid w:val="7B5DBA86"/>
    <w:rsid w:val="7B6E5B95"/>
    <w:rsid w:val="7B74EB96"/>
    <w:rsid w:val="7B76F589"/>
    <w:rsid w:val="7B7A6E5A"/>
    <w:rsid w:val="7B83E4BC"/>
    <w:rsid w:val="7B9BAA9C"/>
    <w:rsid w:val="7BB10F0B"/>
    <w:rsid w:val="7BB3B6B0"/>
    <w:rsid w:val="7BC2EB78"/>
    <w:rsid w:val="7BC6AA71"/>
    <w:rsid w:val="7BD00425"/>
    <w:rsid w:val="7BDAA24B"/>
    <w:rsid w:val="7BDD4DD7"/>
    <w:rsid w:val="7BE2CEE1"/>
    <w:rsid w:val="7BF8C881"/>
    <w:rsid w:val="7C0B0A0F"/>
    <w:rsid w:val="7C1CF904"/>
    <w:rsid w:val="7C20C9D4"/>
    <w:rsid w:val="7C210B57"/>
    <w:rsid w:val="7C2288AA"/>
    <w:rsid w:val="7C5374DE"/>
    <w:rsid w:val="7C59DE70"/>
    <w:rsid w:val="7C5ADC99"/>
    <w:rsid w:val="7C626781"/>
    <w:rsid w:val="7C673507"/>
    <w:rsid w:val="7C6B9BB8"/>
    <w:rsid w:val="7C760006"/>
    <w:rsid w:val="7C937F55"/>
    <w:rsid w:val="7C939C6E"/>
    <w:rsid w:val="7CB12EC5"/>
    <w:rsid w:val="7CB19FE9"/>
    <w:rsid w:val="7CC3E93E"/>
    <w:rsid w:val="7CDB3344"/>
    <w:rsid w:val="7CDBB5E0"/>
    <w:rsid w:val="7CDDB6A2"/>
    <w:rsid w:val="7CE2565D"/>
    <w:rsid w:val="7CE68B94"/>
    <w:rsid w:val="7CFC0AFF"/>
    <w:rsid w:val="7CFE9176"/>
    <w:rsid w:val="7D1FEC82"/>
    <w:rsid w:val="7D313779"/>
    <w:rsid w:val="7D3C9859"/>
    <w:rsid w:val="7D5357A0"/>
    <w:rsid w:val="7D55446E"/>
    <w:rsid w:val="7D59E113"/>
    <w:rsid w:val="7D6060A2"/>
    <w:rsid w:val="7D6BDB33"/>
    <w:rsid w:val="7D6C17F3"/>
    <w:rsid w:val="7D79D14A"/>
    <w:rsid w:val="7DBC5086"/>
    <w:rsid w:val="7DCA29D1"/>
    <w:rsid w:val="7DCF7D34"/>
    <w:rsid w:val="7DD15C0C"/>
    <w:rsid w:val="7DDBE21E"/>
    <w:rsid w:val="7DE05CD6"/>
    <w:rsid w:val="7DF0D7E9"/>
    <w:rsid w:val="7DFB5260"/>
    <w:rsid w:val="7DFE582C"/>
    <w:rsid w:val="7E012908"/>
    <w:rsid w:val="7E01A899"/>
    <w:rsid w:val="7E05B709"/>
    <w:rsid w:val="7E076C19"/>
    <w:rsid w:val="7E0C8A41"/>
    <w:rsid w:val="7E11DE75"/>
    <w:rsid w:val="7E1AEAC5"/>
    <w:rsid w:val="7E1BCAD9"/>
    <w:rsid w:val="7E23B7AE"/>
    <w:rsid w:val="7E27F5F7"/>
    <w:rsid w:val="7E5186FE"/>
    <w:rsid w:val="7E60E2FF"/>
    <w:rsid w:val="7E68A7B3"/>
    <w:rsid w:val="7E6A55D8"/>
    <w:rsid w:val="7E6C4925"/>
    <w:rsid w:val="7E8231EE"/>
    <w:rsid w:val="7E97E452"/>
    <w:rsid w:val="7E9FC862"/>
    <w:rsid w:val="7EA0AE56"/>
    <w:rsid w:val="7EA0B2A1"/>
    <w:rsid w:val="7EACC08F"/>
    <w:rsid w:val="7EB284C2"/>
    <w:rsid w:val="7EBA4B9D"/>
    <w:rsid w:val="7EC173A4"/>
    <w:rsid w:val="7EE04EE0"/>
    <w:rsid w:val="7EEBD678"/>
    <w:rsid w:val="7EED4B65"/>
    <w:rsid w:val="7EED752A"/>
    <w:rsid w:val="7EF76B0E"/>
    <w:rsid w:val="7EFC99E6"/>
    <w:rsid w:val="7F074B57"/>
    <w:rsid w:val="7F0C352C"/>
    <w:rsid w:val="7F17573E"/>
    <w:rsid w:val="7F19F1A7"/>
    <w:rsid w:val="7F1FD88F"/>
    <w:rsid w:val="7F2F07CB"/>
    <w:rsid w:val="7F5106BA"/>
    <w:rsid w:val="7F54C266"/>
    <w:rsid w:val="7F680343"/>
    <w:rsid w:val="7F6A5150"/>
    <w:rsid w:val="7F7CC8A1"/>
    <w:rsid w:val="7F8A6EDF"/>
    <w:rsid w:val="7FA44228"/>
    <w:rsid w:val="7FA7877D"/>
    <w:rsid w:val="7FAA44FA"/>
    <w:rsid w:val="7FAFE90C"/>
    <w:rsid w:val="7FB78907"/>
    <w:rsid w:val="7FC64E2A"/>
    <w:rsid w:val="7FC75232"/>
    <w:rsid w:val="7FD3EEBD"/>
    <w:rsid w:val="7FDD18A7"/>
    <w:rsid w:val="7FEA6939"/>
    <w:rsid w:val="7FF77E23"/>
    <w:rsid w:val="7FFD22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9F367D6"/>
  <w15:chartTrackingRefBased/>
  <w15:docId w15:val="{F498A498-482C-4271-AAA2-CB40D24F3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ED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73E0C"/>
    <w:rPr>
      <w:sz w:val="16"/>
      <w:szCs w:val="16"/>
    </w:rPr>
  </w:style>
  <w:style w:type="paragraph" w:styleId="CommentText">
    <w:name w:val="annotation text"/>
    <w:basedOn w:val="Normal"/>
    <w:link w:val="CommentTextChar"/>
    <w:uiPriority w:val="99"/>
    <w:unhideWhenUsed/>
    <w:rsid w:val="00273E0C"/>
    <w:pPr>
      <w:spacing w:after="240" w:line="240" w:lineRule="auto"/>
      <w:jc w:val="both"/>
    </w:pPr>
    <w:rPr>
      <w:rFonts w:ascii="Times New Roman" w:eastAsia="Times New Roman" w:hAnsi="Times New Roman" w:cs="Times New Roman"/>
      <w:noProof/>
      <w:sz w:val="20"/>
      <w:szCs w:val="20"/>
      <w:lang w:eastAsia="fr-BE"/>
    </w:rPr>
  </w:style>
  <w:style w:type="character" w:customStyle="1" w:styleId="CommentTextChar">
    <w:name w:val="Comment Text Char"/>
    <w:basedOn w:val="DefaultParagraphFont"/>
    <w:link w:val="CommentText"/>
    <w:uiPriority w:val="99"/>
    <w:rsid w:val="00273E0C"/>
    <w:rPr>
      <w:rFonts w:ascii="Times New Roman" w:eastAsia="Times New Roman" w:hAnsi="Times New Roman" w:cs="Times New Roman"/>
      <w:noProof/>
      <w:sz w:val="20"/>
      <w:szCs w:val="20"/>
      <w:lang w:val="pl-PL" w:eastAsia="fr-BE"/>
    </w:rPr>
  </w:style>
  <w:style w:type="paragraph" w:styleId="CommentSubject">
    <w:name w:val="annotation subject"/>
    <w:basedOn w:val="CommentText"/>
    <w:next w:val="CommentText"/>
    <w:link w:val="CommentSubjectChar"/>
    <w:uiPriority w:val="99"/>
    <w:semiHidden/>
    <w:unhideWhenUsed/>
    <w:rsid w:val="00896CE6"/>
    <w:pPr>
      <w:spacing w:after="160"/>
      <w:jc w:val="left"/>
    </w:pPr>
    <w:rPr>
      <w:rFonts w:asciiTheme="minorHAnsi" w:eastAsiaTheme="minorHAnsi" w:hAnsiTheme="minorHAnsi" w:cstheme="minorBidi"/>
      <w:b/>
      <w:bCs/>
      <w:noProof w:val="0"/>
      <w:lang w:eastAsia="en-US"/>
    </w:rPr>
  </w:style>
  <w:style w:type="character" w:customStyle="1" w:styleId="CommentSubjectChar">
    <w:name w:val="Comment Subject Char"/>
    <w:basedOn w:val="CommentTextChar"/>
    <w:link w:val="CommentSubject"/>
    <w:uiPriority w:val="99"/>
    <w:semiHidden/>
    <w:rsid w:val="00896CE6"/>
    <w:rPr>
      <w:rFonts w:ascii="Times New Roman" w:eastAsia="Times New Roman" w:hAnsi="Times New Roman" w:cs="Times New Roman"/>
      <w:b/>
      <w:bCs/>
      <w:noProof/>
      <w:sz w:val="20"/>
      <w:szCs w:val="20"/>
      <w:lang w:val="pl-PL" w:eastAsia="fr-BE"/>
    </w:rPr>
  </w:style>
  <w:style w:type="paragraph" w:styleId="BalloonText">
    <w:name w:val="Balloon Text"/>
    <w:basedOn w:val="Normal"/>
    <w:link w:val="BalloonTextChar"/>
    <w:uiPriority w:val="99"/>
    <w:semiHidden/>
    <w:unhideWhenUsed/>
    <w:rsid w:val="00896C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CE6"/>
    <w:rPr>
      <w:rFonts w:ascii="Segoe UI" w:hAnsi="Segoe UI" w:cs="Segoe UI"/>
      <w:sz w:val="18"/>
      <w:szCs w:val="18"/>
    </w:rPr>
  </w:style>
  <w:style w:type="paragraph" w:styleId="ListParagraph">
    <w:name w:val="List Paragraph"/>
    <w:basedOn w:val="Normal"/>
    <w:uiPriority w:val="34"/>
    <w:qFormat/>
    <w:rsid w:val="00603FCD"/>
    <w:pPr>
      <w:ind w:left="720"/>
      <w:contextualSpacing/>
    </w:pPr>
  </w:style>
  <w:style w:type="paragraph" w:styleId="Header">
    <w:name w:val="header"/>
    <w:basedOn w:val="Normal"/>
    <w:link w:val="HeaderChar"/>
    <w:uiPriority w:val="99"/>
    <w:unhideWhenUsed/>
    <w:rsid w:val="000F7E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ED8"/>
  </w:style>
  <w:style w:type="paragraph" w:styleId="Footer">
    <w:name w:val="footer"/>
    <w:basedOn w:val="Normal"/>
    <w:link w:val="FooterChar"/>
    <w:uiPriority w:val="99"/>
    <w:unhideWhenUsed/>
    <w:rsid w:val="000F7E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ED8"/>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143A8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143A87"/>
  </w:style>
  <w:style w:type="character" w:customStyle="1" w:styleId="eop">
    <w:name w:val="eop"/>
    <w:basedOn w:val="DefaultParagraphFont"/>
    <w:rsid w:val="00143A87"/>
  </w:style>
  <w:style w:type="paragraph" w:styleId="Caption">
    <w:name w:val="caption"/>
    <w:basedOn w:val="Normal"/>
    <w:next w:val="Normal"/>
    <w:uiPriority w:val="35"/>
    <w:unhideWhenUsed/>
    <w:qFormat/>
    <w:rsid w:val="00FB619B"/>
    <w:pPr>
      <w:spacing w:after="200" w:line="240" w:lineRule="auto"/>
    </w:pPr>
    <w:rPr>
      <w:i/>
      <w:iCs/>
      <w:color w:val="44546A" w:themeColor="text2"/>
      <w:sz w:val="18"/>
      <w:szCs w:val="18"/>
    </w:rPr>
  </w:style>
  <w:style w:type="paragraph" w:styleId="Revision">
    <w:name w:val="Revision"/>
    <w:hidden/>
    <w:uiPriority w:val="99"/>
    <w:semiHidden/>
    <w:rsid w:val="00913097"/>
    <w:pPr>
      <w:spacing w:after="0" w:line="240" w:lineRule="auto"/>
    </w:pPr>
  </w:style>
  <w:style w:type="paragraph" w:customStyle="1" w:styleId="LegalNumPar">
    <w:name w:val="LegalNumPar"/>
    <w:basedOn w:val="Normal"/>
    <w:rsid w:val="00913097"/>
    <w:pPr>
      <w:numPr>
        <w:numId w:val="22"/>
      </w:numPr>
      <w:spacing w:line="360" w:lineRule="auto"/>
    </w:pPr>
    <w:rPr>
      <w:sz w:val="24"/>
    </w:rPr>
  </w:style>
  <w:style w:type="paragraph" w:customStyle="1" w:styleId="LegalNumPar2">
    <w:name w:val="LegalNumPar2"/>
    <w:basedOn w:val="Normal"/>
    <w:rsid w:val="00913097"/>
    <w:pPr>
      <w:numPr>
        <w:ilvl w:val="1"/>
        <w:numId w:val="22"/>
      </w:numPr>
      <w:spacing w:line="360" w:lineRule="auto"/>
    </w:pPr>
    <w:rPr>
      <w:sz w:val="24"/>
    </w:rPr>
  </w:style>
  <w:style w:type="paragraph" w:customStyle="1" w:styleId="LegalNumPar3">
    <w:name w:val="LegalNumPar3"/>
    <w:basedOn w:val="Normal"/>
    <w:rsid w:val="00913097"/>
    <w:pPr>
      <w:numPr>
        <w:ilvl w:val="2"/>
        <w:numId w:val="22"/>
      </w:numPr>
      <w:spacing w:line="360" w:lineRule="auto"/>
    </w:pPr>
    <w:rPr>
      <w:sz w:val="24"/>
    </w:rPr>
  </w:style>
  <w:style w:type="table" w:styleId="TableGrid">
    <w:name w:val="Table Grid"/>
    <w:basedOn w:val="TableNormal"/>
    <w:rsid w:val="00AD6B68"/>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D6B68"/>
    <w:pPr>
      <w:spacing w:after="0" w:line="240" w:lineRule="auto"/>
      <w:contextualSpacing/>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rsid w:val="00AD6B68"/>
    <w:rPr>
      <w:rFonts w:asciiTheme="majorHAnsi" w:eastAsiaTheme="majorEastAsia" w:hAnsiTheme="majorHAnsi" w:cstheme="majorBidi"/>
      <w:spacing w:val="-10"/>
      <w:kern w:val="28"/>
      <w:sz w:val="56"/>
      <w:szCs w:val="56"/>
      <w:lang w:val="pl-PL" w:eastAsia="zh-CN"/>
    </w:rPr>
  </w:style>
  <w:style w:type="character" w:styleId="FollowedHyperlink">
    <w:name w:val="FollowedHyperlink"/>
    <w:basedOn w:val="DefaultParagraphFont"/>
    <w:uiPriority w:val="99"/>
    <w:semiHidden/>
    <w:unhideWhenUsed/>
    <w:rsid w:val="00C10447"/>
    <w:rPr>
      <w:color w:val="954F72" w:themeColor="followedHyperlink"/>
      <w:u w:val="single"/>
    </w:rPr>
  </w:style>
  <w:style w:type="character" w:customStyle="1" w:styleId="UnresolvedMention1">
    <w:name w:val="Unresolved Mention1"/>
    <w:basedOn w:val="DefaultParagraphFont"/>
    <w:uiPriority w:val="99"/>
    <w:semiHidden/>
    <w:unhideWhenUsed/>
    <w:rsid w:val="00C10447"/>
    <w:rPr>
      <w:color w:val="605E5C"/>
      <w:shd w:val="clear" w:color="auto" w:fill="E1DFDD"/>
    </w:rPr>
  </w:style>
  <w:style w:type="paragraph" w:customStyle="1" w:styleId="Briefinglist1">
    <w:name w:val="Briefing list 1"/>
    <w:basedOn w:val="Normal"/>
    <w:link w:val="Briefinglist1Char"/>
    <w:rsid w:val="007943FB"/>
    <w:pPr>
      <w:keepLines/>
      <w:numPr>
        <w:numId w:val="27"/>
      </w:numPr>
      <w:spacing w:after="120" w:line="240" w:lineRule="auto"/>
      <w:jc w:val="both"/>
    </w:pPr>
    <w:rPr>
      <w:rFonts w:ascii="Arial" w:eastAsia="Times New Roman" w:hAnsi="Arial" w:cs="Arial"/>
      <w:szCs w:val="24"/>
    </w:rPr>
  </w:style>
  <w:style w:type="character" w:customStyle="1" w:styleId="Briefinglist1Char">
    <w:name w:val="Briefing list 1 Char"/>
    <w:basedOn w:val="DefaultParagraphFont"/>
    <w:link w:val="Briefinglist1"/>
    <w:rsid w:val="007943FB"/>
    <w:rPr>
      <w:rFonts w:ascii="Arial" w:eastAsia="Times New Roman" w:hAnsi="Arial" w:cs="Arial"/>
      <w:szCs w:val="24"/>
      <w:lang w:val="pl-PL"/>
    </w:rPr>
  </w:style>
  <w:style w:type="character" w:customStyle="1" w:styleId="Mention1">
    <w:name w:val="Mention1"/>
    <w:basedOn w:val="DefaultParagraphFont"/>
    <w:uiPriority w:val="99"/>
    <w:unhideWhenUsed/>
    <w:rsid w:val="00680962"/>
    <w:rPr>
      <w:color w:val="2B579A"/>
      <w:shd w:val="clear" w:color="auto" w:fill="E6E6E6"/>
    </w:rPr>
  </w:style>
  <w:style w:type="character" w:customStyle="1" w:styleId="Marker">
    <w:name w:val="Marker"/>
    <w:basedOn w:val="DefaultParagraphFont"/>
    <w:rsid w:val="00227DA3"/>
    <w:rPr>
      <w:color w:val="0000FF"/>
      <w:shd w:val="clear" w:color="auto" w:fill="auto"/>
    </w:rPr>
  </w:style>
  <w:style w:type="paragraph" w:customStyle="1" w:styleId="Pagedecouverture">
    <w:name w:val="Page de couverture"/>
    <w:basedOn w:val="Normal"/>
    <w:next w:val="Normal"/>
    <w:rsid w:val="00227DA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27DA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7DA3"/>
    <w:rPr>
      <w:rFonts w:ascii="Times New Roman" w:hAnsi="Times New Roman" w:cs="Times New Roman"/>
      <w:sz w:val="24"/>
    </w:rPr>
  </w:style>
  <w:style w:type="paragraph" w:customStyle="1" w:styleId="FooterSensitivity">
    <w:name w:val="Footer Sensitivity"/>
    <w:basedOn w:val="Normal"/>
    <w:link w:val="FooterSensitivityChar"/>
    <w:rsid w:val="00227DA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7DA3"/>
    <w:rPr>
      <w:rFonts w:ascii="Times New Roman" w:hAnsi="Times New Roman" w:cs="Times New Roman"/>
      <w:b/>
      <w:sz w:val="32"/>
    </w:rPr>
  </w:style>
  <w:style w:type="paragraph" w:customStyle="1" w:styleId="HeaderCoverPage">
    <w:name w:val="Header Cover Page"/>
    <w:basedOn w:val="Normal"/>
    <w:link w:val="HeaderCoverPageChar"/>
    <w:rsid w:val="00227DA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7DA3"/>
    <w:rPr>
      <w:rFonts w:ascii="Times New Roman" w:hAnsi="Times New Roman" w:cs="Times New Roman"/>
      <w:sz w:val="24"/>
    </w:rPr>
  </w:style>
  <w:style w:type="paragraph" w:customStyle="1" w:styleId="HeaderSensitivity">
    <w:name w:val="Header Sensitivity"/>
    <w:basedOn w:val="Normal"/>
    <w:link w:val="HeaderSensitivityChar"/>
    <w:rsid w:val="00227DA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7DA3"/>
    <w:rPr>
      <w:rFonts w:ascii="Times New Roman" w:hAnsi="Times New Roman" w:cs="Times New Roman"/>
      <w:b/>
      <w:sz w:val="32"/>
    </w:rPr>
  </w:style>
  <w:style w:type="paragraph" w:customStyle="1" w:styleId="HeaderSensitivityRight">
    <w:name w:val="Header Sensitivity Right"/>
    <w:basedOn w:val="Normal"/>
    <w:link w:val="HeaderSensitivityRightChar"/>
    <w:rsid w:val="00227DA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7DA3"/>
    <w:rPr>
      <w:rFonts w:ascii="Times New Roman" w:hAnsi="Times New Roman" w:cs="Times New Roman"/>
      <w:sz w:val="28"/>
    </w:rPr>
  </w:style>
  <w:style w:type="character" w:customStyle="1" w:styleId="Mention2">
    <w:name w:val="Mention2"/>
    <w:basedOn w:val="DefaultParagraphFont"/>
    <w:uiPriority w:val="99"/>
    <w:unhideWhenUsed/>
    <w:rsid w:val="003B52D7"/>
    <w:rPr>
      <w:color w:val="2B579A"/>
      <w:shd w:val="clear" w:color="auto" w:fill="E6E6E6"/>
    </w:rPr>
  </w:style>
  <w:style w:type="character" w:customStyle="1" w:styleId="UnresolvedMention">
    <w:name w:val="Unresolved Mention"/>
    <w:basedOn w:val="DefaultParagraphFont"/>
    <w:uiPriority w:val="99"/>
    <w:semiHidden/>
    <w:unhideWhenUsed/>
    <w:rsid w:val="003F0089"/>
    <w:rPr>
      <w:color w:val="605E5C"/>
      <w:shd w:val="clear" w:color="auto" w:fill="E1DFDD"/>
    </w:rPr>
  </w:style>
  <w:style w:type="character" w:customStyle="1" w:styleId="Mention">
    <w:name w:val="Mention"/>
    <w:basedOn w:val="DefaultParagraphFont"/>
    <w:uiPriority w:val="99"/>
    <w:unhideWhenUsed/>
    <w:rsid w:val="00F25C4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118227">
      <w:bodyDiv w:val="1"/>
      <w:marLeft w:val="0"/>
      <w:marRight w:val="0"/>
      <w:marTop w:val="0"/>
      <w:marBottom w:val="0"/>
      <w:divBdr>
        <w:top w:val="none" w:sz="0" w:space="0" w:color="auto"/>
        <w:left w:val="none" w:sz="0" w:space="0" w:color="auto"/>
        <w:bottom w:val="none" w:sz="0" w:space="0" w:color="auto"/>
        <w:right w:val="none" w:sz="0" w:space="0" w:color="auto"/>
      </w:divBdr>
      <w:divsChild>
        <w:div w:id="1673485259">
          <w:marLeft w:val="360"/>
          <w:marRight w:val="0"/>
          <w:marTop w:val="0"/>
          <w:marBottom w:val="0"/>
          <w:divBdr>
            <w:top w:val="none" w:sz="0" w:space="0" w:color="auto"/>
            <w:left w:val="none" w:sz="0" w:space="0" w:color="auto"/>
            <w:bottom w:val="none" w:sz="0" w:space="0" w:color="auto"/>
            <w:right w:val="none" w:sz="0" w:space="0" w:color="auto"/>
          </w:divBdr>
        </w:div>
      </w:divsChild>
    </w:div>
    <w:div w:id="438984807">
      <w:bodyDiv w:val="1"/>
      <w:marLeft w:val="0"/>
      <w:marRight w:val="0"/>
      <w:marTop w:val="0"/>
      <w:marBottom w:val="0"/>
      <w:divBdr>
        <w:top w:val="none" w:sz="0" w:space="0" w:color="auto"/>
        <w:left w:val="none" w:sz="0" w:space="0" w:color="auto"/>
        <w:bottom w:val="none" w:sz="0" w:space="0" w:color="auto"/>
        <w:right w:val="none" w:sz="0" w:space="0" w:color="auto"/>
      </w:divBdr>
      <w:divsChild>
        <w:div w:id="439958649">
          <w:marLeft w:val="0"/>
          <w:marRight w:val="0"/>
          <w:marTop w:val="0"/>
          <w:marBottom w:val="0"/>
          <w:divBdr>
            <w:top w:val="none" w:sz="0" w:space="0" w:color="auto"/>
            <w:left w:val="none" w:sz="0" w:space="0" w:color="auto"/>
            <w:bottom w:val="none" w:sz="0" w:space="0" w:color="auto"/>
            <w:right w:val="none" w:sz="0" w:space="0" w:color="auto"/>
          </w:divBdr>
        </w:div>
        <w:div w:id="1450659099">
          <w:marLeft w:val="0"/>
          <w:marRight w:val="0"/>
          <w:marTop w:val="0"/>
          <w:marBottom w:val="0"/>
          <w:divBdr>
            <w:top w:val="none" w:sz="0" w:space="0" w:color="auto"/>
            <w:left w:val="none" w:sz="0" w:space="0" w:color="auto"/>
            <w:bottom w:val="none" w:sz="0" w:space="0" w:color="auto"/>
            <w:right w:val="none" w:sz="0" w:space="0" w:color="auto"/>
          </w:divBdr>
        </w:div>
      </w:divsChild>
    </w:div>
    <w:div w:id="489827954">
      <w:bodyDiv w:val="1"/>
      <w:marLeft w:val="0"/>
      <w:marRight w:val="0"/>
      <w:marTop w:val="0"/>
      <w:marBottom w:val="0"/>
      <w:divBdr>
        <w:top w:val="none" w:sz="0" w:space="0" w:color="auto"/>
        <w:left w:val="none" w:sz="0" w:space="0" w:color="auto"/>
        <w:bottom w:val="none" w:sz="0" w:space="0" w:color="auto"/>
        <w:right w:val="none" w:sz="0" w:space="0" w:color="auto"/>
      </w:divBdr>
    </w:div>
    <w:div w:id="1443112546">
      <w:bodyDiv w:val="1"/>
      <w:marLeft w:val="0"/>
      <w:marRight w:val="0"/>
      <w:marTop w:val="0"/>
      <w:marBottom w:val="0"/>
      <w:divBdr>
        <w:top w:val="none" w:sz="0" w:space="0" w:color="auto"/>
        <w:left w:val="none" w:sz="0" w:space="0" w:color="auto"/>
        <w:bottom w:val="none" w:sz="0" w:space="0" w:color="auto"/>
        <w:right w:val="none" w:sz="0" w:space="0" w:color="auto"/>
      </w:divBdr>
    </w:div>
    <w:div w:id="1805345957">
      <w:bodyDiv w:val="1"/>
      <w:marLeft w:val="0"/>
      <w:marRight w:val="0"/>
      <w:marTop w:val="0"/>
      <w:marBottom w:val="0"/>
      <w:divBdr>
        <w:top w:val="none" w:sz="0" w:space="0" w:color="auto"/>
        <w:left w:val="none" w:sz="0" w:space="0" w:color="auto"/>
        <w:bottom w:val="none" w:sz="0" w:space="0" w:color="auto"/>
        <w:right w:val="none" w:sz="0" w:space="0" w:color="auto"/>
      </w:divBdr>
    </w:div>
    <w:div w:id="1831024860">
      <w:bodyDiv w:val="1"/>
      <w:marLeft w:val="0"/>
      <w:marRight w:val="0"/>
      <w:marTop w:val="0"/>
      <w:marBottom w:val="0"/>
      <w:divBdr>
        <w:top w:val="none" w:sz="0" w:space="0" w:color="auto"/>
        <w:left w:val="none" w:sz="0" w:space="0" w:color="auto"/>
        <w:bottom w:val="none" w:sz="0" w:space="0" w:color="auto"/>
        <w:right w:val="none" w:sz="0" w:space="0" w:color="auto"/>
      </w:divBdr>
    </w:div>
    <w:div w:id="1851680014">
      <w:bodyDiv w:val="1"/>
      <w:marLeft w:val="0"/>
      <w:marRight w:val="0"/>
      <w:marTop w:val="0"/>
      <w:marBottom w:val="0"/>
      <w:divBdr>
        <w:top w:val="none" w:sz="0" w:space="0" w:color="auto"/>
        <w:left w:val="none" w:sz="0" w:space="0" w:color="auto"/>
        <w:bottom w:val="none" w:sz="0" w:space="0" w:color="auto"/>
        <w:right w:val="none" w:sz="0" w:space="0" w:color="auto"/>
      </w:divBdr>
    </w:div>
    <w:div w:id="2049992437">
      <w:bodyDiv w:val="1"/>
      <w:marLeft w:val="0"/>
      <w:marRight w:val="0"/>
      <w:marTop w:val="0"/>
      <w:marBottom w:val="0"/>
      <w:divBdr>
        <w:top w:val="none" w:sz="0" w:space="0" w:color="auto"/>
        <w:left w:val="none" w:sz="0" w:space="0" w:color="auto"/>
        <w:bottom w:val="none" w:sz="0" w:space="0" w:color="auto"/>
        <w:right w:val="none" w:sz="0" w:space="0" w:color="auto"/>
      </w:divBdr>
      <w:divsChild>
        <w:div w:id="772895418">
          <w:marLeft w:val="0"/>
          <w:marRight w:val="0"/>
          <w:marTop w:val="0"/>
          <w:marBottom w:val="0"/>
          <w:divBdr>
            <w:top w:val="none" w:sz="0" w:space="0" w:color="auto"/>
            <w:left w:val="none" w:sz="0" w:space="0" w:color="auto"/>
            <w:bottom w:val="none" w:sz="0" w:space="0" w:color="auto"/>
            <w:right w:val="none" w:sz="0" w:space="0" w:color="auto"/>
          </w:divBdr>
        </w:div>
        <w:div w:id="1178814702">
          <w:marLeft w:val="0"/>
          <w:marRight w:val="0"/>
          <w:marTop w:val="0"/>
          <w:marBottom w:val="0"/>
          <w:divBdr>
            <w:top w:val="none" w:sz="0" w:space="0" w:color="auto"/>
            <w:left w:val="none" w:sz="0" w:space="0" w:color="auto"/>
            <w:bottom w:val="none" w:sz="0" w:space="0" w:color="auto"/>
            <w:right w:val="none" w:sz="0" w:space="0" w:color="auto"/>
          </w:divBdr>
        </w:div>
        <w:div w:id="1451514867">
          <w:marLeft w:val="0"/>
          <w:marRight w:val="0"/>
          <w:marTop w:val="0"/>
          <w:marBottom w:val="0"/>
          <w:divBdr>
            <w:top w:val="none" w:sz="0" w:space="0" w:color="auto"/>
            <w:left w:val="none" w:sz="0" w:space="0" w:color="auto"/>
            <w:bottom w:val="none" w:sz="0" w:space="0" w:color="auto"/>
            <w:right w:val="none" w:sz="0" w:space="0" w:color="auto"/>
          </w:divBdr>
          <w:divsChild>
            <w:div w:id="531118179">
              <w:marLeft w:val="-75"/>
              <w:marRight w:val="0"/>
              <w:marTop w:val="30"/>
              <w:marBottom w:val="30"/>
              <w:divBdr>
                <w:top w:val="none" w:sz="0" w:space="0" w:color="auto"/>
                <w:left w:val="none" w:sz="0" w:space="0" w:color="auto"/>
                <w:bottom w:val="none" w:sz="0" w:space="0" w:color="auto"/>
                <w:right w:val="none" w:sz="0" w:space="0" w:color="auto"/>
              </w:divBdr>
              <w:divsChild>
                <w:div w:id="205152">
                  <w:marLeft w:val="0"/>
                  <w:marRight w:val="0"/>
                  <w:marTop w:val="0"/>
                  <w:marBottom w:val="0"/>
                  <w:divBdr>
                    <w:top w:val="none" w:sz="0" w:space="0" w:color="auto"/>
                    <w:left w:val="none" w:sz="0" w:space="0" w:color="auto"/>
                    <w:bottom w:val="none" w:sz="0" w:space="0" w:color="auto"/>
                    <w:right w:val="none" w:sz="0" w:space="0" w:color="auto"/>
                  </w:divBdr>
                  <w:divsChild>
                    <w:div w:id="119494137">
                      <w:marLeft w:val="0"/>
                      <w:marRight w:val="0"/>
                      <w:marTop w:val="0"/>
                      <w:marBottom w:val="0"/>
                      <w:divBdr>
                        <w:top w:val="none" w:sz="0" w:space="0" w:color="auto"/>
                        <w:left w:val="none" w:sz="0" w:space="0" w:color="auto"/>
                        <w:bottom w:val="none" w:sz="0" w:space="0" w:color="auto"/>
                        <w:right w:val="none" w:sz="0" w:space="0" w:color="auto"/>
                      </w:divBdr>
                    </w:div>
                    <w:div w:id="352417475">
                      <w:marLeft w:val="0"/>
                      <w:marRight w:val="0"/>
                      <w:marTop w:val="0"/>
                      <w:marBottom w:val="0"/>
                      <w:divBdr>
                        <w:top w:val="none" w:sz="0" w:space="0" w:color="auto"/>
                        <w:left w:val="none" w:sz="0" w:space="0" w:color="auto"/>
                        <w:bottom w:val="none" w:sz="0" w:space="0" w:color="auto"/>
                        <w:right w:val="none" w:sz="0" w:space="0" w:color="auto"/>
                      </w:divBdr>
                    </w:div>
                    <w:div w:id="968585189">
                      <w:marLeft w:val="0"/>
                      <w:marRight w:val="0"/>
                      <w:marTop w:val="0"/>
                      <w:marBottom w:val="0"/>
                      <w:divBdr>
                        <w:top w:val="none" w:sz="0" w:space="0" w:color="auto"/>
                        <w:left w:val="none" w:sz="0" w:space="0" w:color="auto"/>
                        <w:bottom w:val="none" w:sz="0" w:space="0" w:color="auto"/>
                        <w:right w:val="none" w:sz="0" w:space="0" w:color="auto"/>
                      </w:divBdr>
                    </w:div>
                    <w:div w:id="1444618466">
                      <w:marLeft w:val="0"/>
                      <w:marRight w:val="0"/>
                      <w:marTop w:val="0"/>
                      <w:marBottom w:val="0"/>
                      <w:divBdr>
                        <w:top w:val="none" w:sz="0" w:space="0" w:color="auto"/>
                        <w:left w:val="none" w:sz="0" w:space="0" w:color="auto"/>
                        <w:bottom w:val="none" w:sz="0" w:space="0" w:color="auto"/>
                        <w:right w:val="none" w:sz="0" w:space="0" w:color="auto"/>
                      </w:divBdr>
                    </w:div>
                    <w:div w:id="1463108703">
                      <w:marLeft w:val="0"/>
                      <w:marRight w:val="0"/>
                      <w:marTop w:val="0"/>
                      <w:marBottom w:val="0"/>
                      <w:divBdr>
                        <w:top w:val="none" w:sz="0" w:space="0" w:color="auto"/>
                        <w:left w:val="none" w:sz="0" w:space="0" w:color="auto"/>
                        <w:bottom w:val="none" w:sz="0" w:space="0" w:color="auto"/>
                        <w:right w:val="none" w:sz="0" w:space="0" w:color="auto"/>
                      </w:divBdr>
                    </w:div>
                  </w:divsChild>
                </w:div>
                <w:div w:id="35009825">
                  <w:marLeft w:val="0"/>
                  <w:marRight w:val="0"/>
                  <w:marTop w:val="0"/>
                  <w:marBottom w:val="0"/>
                  <w:divBdr>
                    <w:top w:val="none" w:sz="0" w:space="0" w:color="auto"/>
                    <w:left w:val="none" w:sz="0" w:space="0" w:color="auto"/>
                    <w:bottom w:val="none" w:sz="0" w:space="0" w:color="auto"/>
                    <w:right w:val="none" w:sz="0" w:space="0" w:color="auto"/>
                  </w:divBdr>
                  <w:divsChild>
                    <w:div w:id="842940150">
                      <w:marLeft w:val="0"/>
                      <w:marRight w:val="0"/>
                      <w:marTop w:val="0"/>
                      <w:marBottom w:val="0"/>
                      <w:divBdr>
                        <w:top w:val="none" w:sz="0" w:space="0" w:color="auto"/>
                        <w:left w:val="none" w:sz="0" w:space="0" w:color="auto"/>
                        <w:bottom w:val="none" w:sz="0" w:space="0" w:color="auto"/>
                        <w:right w:val="none" w:sz="0" w:space="0" w:color="auto"/>
                      </w:divBdr>
                    </w:div>
                  </w:divsChild>
                </w:div>
                <w:div w:id="56321679">
                  <w:marLeft w:val="0"/>
                  <w:marRight w:val="0"/>
                  <w:marTop w:val="0"/>
                  <w:marBottom w:val="0"/>
                  <w:divBdr>
                    <w:top w:val="none" w:sz="0" w:space="0" w:color="auto"/>
                    <w:left w:val="none" w:sz="0" w:space="0" w:color="auto"/>
                    <w:bottom w:val="none" w:sz="0" w:space="0" w:color="auto"/>
                    <w:right w:val="none" w:sz="0" w:space="0" w:color="auto"/>
                  </w:divBdr>
                  <w:divsChild>
                    <w:div w:id="1697344129">
                      <w:marLeft w:val="0"/>
                      <w:marRight w:val="0"/>
                      <w:marTop w:val="0"/>
                      <w:marBottom w:val="0"/>
                      <w:divBdr>
                        <w:top w:val="none" w:sz="0" w:space="0" w:color="auto"/>
                        <w:left w:val="none" w:sz="0" w:space="0" w:color="auto"/>
                        <w:bottom w:val="none" w:sz="0" w:space="0" w:color="auto"/>
                        <w:right w:val="none" w:sz="0" w:space="0" w:color="auto"/>
                      </w:divBdr>
                    </w:div>
                  </w:divsChild>
                </w:div>
                <w:div w:id="166210097">
                  <w:marLeft w:val="0"/>
                  <w:marRight w:val="0"/>
                  <w:marTop w:val="0"/>
                  <w:marBottom w:val="0"/>
                  <w:divBdr>
                    <w:top w:val="none" w:sz="0" w:space="0" w:color="auto"/>
                    <w:left w:val="none" w:sz="0" w:space="0" w:color="auto"/>
                    <w:bottom w:val="none" w:sz="0" w:space="0" w:color="auto"/>
                    <w:right w:val="none" w:sz="0" w:space="0" w:color="auto"/>
                  </w:divBdr>
                  <w:divsChild>
                    <w:div w:id="2100058629">
                      <w:marLeft w:val="0"/>
                      <w:marRight w:val="0"/>
                      <w:marTop w:val="0"/>
                      <w:marBottom w:val="0"/>
                      <w:divBdr>
                        <w:top w:val="none" w:sz="0" w:space="0" w:color="auto"/>
                        <w:left w:val="none" w:sz="0" w:space="0" w:color="auto"/>
                        <w:bottom w:val="none" w:sz="0" w:space="0" w:color="auto"/>
                        <w:right w:val="none" w:sz="0" w:space="0" w:color="auto"/>
                      </w:divBdr>
                    </w:div>
                  </w:divsChild>
                </w:div>
                <w:div w:id="254216572">
                  <w:marLeft w:val="0"/>
                  <w:marRight w:val="0"/>
                  <w:marTop w:val="0"/>
                  <w:marBottom w:val="0"/>
                  <w:divBdr>
                    <w:top w:val="none" w:sz="0" w:space="0" w:color="auto"/>
                    <w:left w:val="none" w:sz="0" w:space="0" w:color="auto"/>
                    <w:bottom w:val="none" w:sz="0" w:space="0" w:color="auto"/>
                    <w:right w:val="none" w:sz="0" w:space="0" w:color="auto"/>
                  </w:divBdr>
                  <w:divsChild>
                    <w:div w:id="271010899">
                      <w:marLeft w:val="0"/>
                      <w:marRight w:val="0"/>
                      <w:marTop w:val="0"/>
                      <w:marBottom w:val="0"/>
                      <w:divBdr>
                        <w:top w:val="none" w:sz="0" w:space="0" w:color="auto"/>
                        <w:left w:val="none" w:sz="0" w:space="0" w:color="auto"/>
                        <w:bottom w:val="none" w:sz="0" w:space="0" w:color="auto"/>
                        <w:right w:val="none" w:sz="0" w:space="0" w:color="auto"/>
                      </w:divBdr>
                    </w:div>
                    <w:div w:id="301890347">
                      <w:marLeft w:val="0"/>
                      <w:marRight w:val="0"/>
                      <w:marTop w:val="0"/>
                      <w:marBottom w:val="0"/>
                      <w:divBdr>
                        <w:top w:val="none" w:sz="0" w:space="0" w:color="auto"/>
                        <w:left w:val="none" w:sz="0" w:space="0" w:color="auto"/>
                        <w:bottom w:val="none" w:sz="0" w:space="0" w:color="auto"/>
                        <w:right w:val="none" w:sz="0" w:space="0" w:color="auto"/>
                      </w:divBdr>
                    </w:div>
                    <w:div w:id="1008172660">
                      <w:marLeft w:val="0"/>
                      <w:marRight w:val="0"/>
                      <w:marTop w:val="0"/>
                      <w:marBottom w:val="0"/>
                      <w:divBdr>
                        <w:top w:val="none" w:sz="0" w:space="0" w:color="auto"/>
                        <w:left w:val="none" w:sz="0" w:space="0" w:color="auto"/>
                        <w:bottom w:val="none" w:sz="0" w:space="0" w:color="auto"/>
                        <w:right w:val="none" w:sz="0" w:space="0" w:color="auto"/>
                      </w:divBdr>
                    </w:div>
                    <w:div w:id="1030497753">
                      <w:marLeft w:val="0"/>
                      <w:marRight w:val="0"/>
                      <w:marTop w:val="0"/>
                      <w:marBottom w:val="0"/>
                      <w:divBdr>
                        <w:top w:val="none" w:sz="0" w:space="0" w:color="auto"/>
                        <w:left w:val="none" w:sz="0" w:space="0" w:color="auto"/>
                        <w:bottom w:val="none" w:sz="0" w:space="0" w:color="auto"/>
                        <w:right w:val="none" w:sz="0" w:space="0" w:color="auto"/>
                      </w:divBdr>
                    </w:div>
                    <w:div w:id="1156415434">
                      <w:marLeft w:val="0"/>
                      <w:marRight w:val="0"/>
                      <w:marTop w:val="0"/>
                      <w:marBottom w:val="0"/>
                      <w:divBdr>
                        <w:top w:val="none" w:sz="0" w:space="0" w:color="auto"/>
                        <w:left w:val="none" w:sz="0" w:space="0" w:color="auto"/>
                        <w:bottom w:val="none" w:sz="0" w:space="0" w:color="auto"/>
                        <w:right w:val="none" w:sz="0" w:space="0" w:color="auto"/>
                      </w:divBdr>
                    </w:div>
                    <w:div w:id="1217085223">
                      <w:marLeft w:val="0"/>
                      <w:marRight w:val="0"/>
                      <w:marTop w:val="0"/>
                      <w:marBottom w:val="0"/>
                      <w:divBdr>
                        <w:top w:val="none" w:sz="0" w:space="0" w:color="auto"/>
                        <w:left w:val="none" w:sz="0" w:space="0" w:color="auto"/>
                        <w:bottom w:val="none" w:sz="0" w:space="0" w:color="auto"/>
                        <w:right w:val="none" w:sz="0" w:space="0" w:color="auto"/>
                      </w:divBdr>
                    </w:div>
                    <w:div w:id="1345404175">
                      <w:marLeft w:val="0"/>
                      <w:marRight w:val="0"/>
                      <w:marTop w:val="0"/>
                      <w:marBottom w:val="0"/>
                      <w:divBdr>
                        <w:top w:val="none" w:sz="0" w:space="0" w:color="auto"/>
                        <w:left w:val="none" w:sz="0" w:space="0" w:color="auto"/>
                        <w:bottom w:val="none" w:sz="0" w:space="0" w:color="auto"/>
                        <w:right w:val="none" w:sz="0" w:space="0" w:color="auto"/>
                      </w:divBdr>
                    </w:div>
                    <w:div w:id="1915238845">
                      <w:marLeft w:val="0"/>
                      <w:marRight w:val="0"/>
                      <w:marTop w:val="0"/>
                      <w:marBottom w:val="0"/>
                      <w:divBdr>
                        <w:top w:val="none" w:sz="0" w:space="0" w:color="auto"/>
                        <w:left w:val="none" w:sz="0" w:space="0" w:color="auto"/>
                        <w:bottom w:val="none" w:sz="0" w:space="0" w:color="auto"/>
                        <w:right w:val="none" w:sz="0" w:space="0" w:color="auto"/>
                      </w:divBdr>
                    </w:div>
                    <w:div w:id="2109933388">
                      <w:marLeft w:val="0"/>
                      <w:marRight w:val="0"/>
                      <w:marTop w:val="0"/>
                      <w:marBottom w:val="0"/>
                      <w:divBdr>
                        <w:top w:val="none" w:sz="0" w:space="0" w:color="auto"/>
                        <w:left w:val="none" w:sz="0" w:space="0" w:color="auto"/>
                        <w:bottom w:val="none" w:sz="0" w:space="0" w:color="auto"/>
                        <w:right w:val="none" w:sz="0" w:space="0" w:color="auto"/>
                      </w:divBdr>
                    </w:div>
                  </w:divsChild>
                </w:div>
                <w:div w:id="254243998">
                  <w:marLeft w:val="0"/>
                  <w:marRight w:val="0"/>
                  <w:marTop w:val="0"/>
                  <w:marBottom w:val="0"/>
                  <w:divBdr>
                    <w:top w:val="none" w:sz="0" w:space="0" w:color="auto"/>
                    <w:left w:val="none" w:sz="0" w:space="0" w:color="auto"/>
                    <w:bottom w:val="none" w:sz="0" w:space="0" w:color="auto"/>
                    <w:right w:val="none" w:sz="0" w:space="0" w:color="auto"/>
                  </w:divBdr>
                  <w:divsChild>
                    <w:div w:id="83458791">
                      <w:marLeft w:val="0"/>
                      <w:marRight w:val="0"/>
                      <w:marTop w:val="0"/>
                      <w:marBottom w:val="0"/>
                      <w:divBdr>
                        <w:top w:val="none" w:sz="0" w:space="0" w:color="auto"/>
                        <w:left w:val="none" w:sz="0" w:space="0" w:color="auto"/>
                        <w:bottom w:val="none" w:sz="0" w:space="0" w:color="auto"/>
                        <w:right w:val="none" w:sz="0" w:space="0" w:color="auto"/>
                      </w:divBdr>
                    </w:div>
                    <w:div w:id="384988559">
                      <w:marLeft w:val="0"/>
                      <w:marRight w:val="0"/>
                      <w:marTop w:val="0"/>
                      <w:marBottom w:val="0"/>
                      <w:divBdr>
                        <w:top w:val="none" w:sz="0" w:space="0" w:color="auto"/>
                        <w:left w:val="none" w:sz="0" w:space="0" w:color="auto"/>
                        <w:bottom w:val="none" w:sz="0" w:space="0" w:color="auto"/>
                        <w:right w:val="none" w:sz="0" w:space="0" w:color="auto"/>
                      </w:divBdr>
                    </w:div>
                    <w:div w:id="540096850">
                      <w:marLeft w:val="0"/>
                      <w:marRight w:val="0"/>
                      <w:marTop w:val="0"/>
                      <w:marBottom w:val="0"/>
                      <w:divBdr>
                        <w:top w:val="none" w:sz="0" w:space="0" w:color="auto"/>
                        <w:left w:val="none" w:sz="0" w:space="0" w:color="auto"/>
                        <w:bottom w:val="none" w:sz="0" w:space="0" w:color="auto"/>
                        <w:right w:val="none" w:sz="0" w:space="0" w:color="auto"/>
                      </w:divBdr>
                    </w:div>
                    <w:div w:id="549925533">
                      <w:marLeft w:val="0"/>
                      <w:marRight w:val="0"/>
                      <w:marTop w:val="0"/>
                      <w:marBottom w:val="0"/>
                      <w:divBdr>
                        <w:top w:val="none" w:sz="0" w:space="0" w:color="auto"/>
                        <w:left w:val="none" w:sz="0" w:space="0" w:color="auto"/>
                        <w:bottom w:val="none" w:sz="0" w:space="0" w:color="auto"/>
                        <w:right w:val="none" w:sz="0" w:space="0" w:color="auto"/>
                      </w:divBdr>
                    </w:div>
                    <w:div w:id="975600038">
                      <w:marLeft w:val="0"/>
                      <w:marRight w:val="0"/>
                      <w:marTop w:val="0"/>
                      <w:marBottom w:val="0"/>
                      <w:divBdr>
                        <w:top w:val="none" w:sz="0" w:space="0" w:color="auto"/>
                        <w:left w:val="none" w:sz="0" w:space="0" w:color="auto"/>
                        <w:bottom w:val="none" w:sz="0" w:space="0" w:color="auto"/>
                        <w:right w:val="none" w:sz="0" w:space="0" w:color="auto"/>
                      </w:divBdr>
                    </w:div>
                  </w:divsChild>
                </w:div>
                <w:div w:id="277838487">
                  <w:marLeft w:val="0"/>
                  <w:marRight w:val="0"/>
                  <w:marTop w:val="0"/>
                  <w:marBottom w:val="0"/>
                  <w:divBdr>
                    <w:top w:val="none" w:sz="0" w:space="0" w:color="auto"/>
                    <w:left w:val="none" w:sz="0" w:space="0" w:color="auto"/>
                    <w:bottom w:val="none" w:sz="0" w:space="0" w:color="auto"/>
                    <w:right w:val="none" w:sz="0" w:space="0" w:color="auto"/>
                  </w:divBdr>
                  <w:divsChild>
                    <w:div w:id="91560425">
                      <w:marLeft w:val="0"/>
                      <w:marRight w:val="0"/>
                      <w:marTop w:val="0"/>
                      <w:marBottom w:val="0"/>
                      <w:divBdr>
                        <w:top w:val="none" w:sz="0" w:space="0" w:color="auto"/>
                        <w:left w:val="none" w:sz="0" w:space="0" w:color="auto"/>
                        <w:bottom w:val="none" w:sz="0" w:space="0" w:color="auto"/>
                        <w:right w:val="none" w:sz="0" w:space="0" w:color="auto"/>
                      </w:divBdr>
                    </w:div>
                  </w:divsChild>
                </w:div>
                <w:div w:id="338896922">
                  <w:marLeft w:val="0"/>
                  <w:marRight w:val="0"/>
                  <w:marTop w:val="0"/>
                  <w:marBottom w:val="0"/>
                  <w:divBdr>
                    <w:top w:val="none" w:sz="0" w:space="0" w:color="auto"/>
                    <w:left w:val="none" w:sz="0" w:space="0" w:color="auto"/>
                    <w:bottom w:val="none" w:sz="0" w:space="0" w:color="auto"/>
                    <w:right w:val="none" w:sz="0" w:space="0" w:color="auto"/>
                  </w:divBdr>
                  <w:divsChild>
                    <w:div w:id="1522890854">
                      <w:marLeft w:val="0"/>
                      <w:marRight w:val="0"/>
                      <w:marTop w:val="0"/>
                      <w:marBottom w:val="0"/>
                      <w:divBdr>
                        <w:top w:val="none" w:sz="0" w:space="0" w:color="auto"/>
                        <w:left w:val="none" w:sz="0" w:space="0" w:color="auto"/>
                        <w:bottom w:val="none" w:sz="0" w:space="0" w:color="auto"/>
                        <w:right w:val="none" w:sz="0" w:space="0" w:color="auto"/>
                      </w:divBdr>
                    </w:div>
                  </w:divsChild>
                </w:div>
                <w:div w:id="340083754">
                  <w:marLeft w:val="0"/>
                  <w:marRight w:val="0"/>
                  <w:marTop w:val="0"/>
                  <w:marBottom w:val="0"/>
                  <w:divBdr>
                    <w:top w:val="none" w:sz="0" w:space="0" w:color="auto"/>
                    <w:left w:val="none" w:sz="0" w:space="0" w:color="auto"/>
                    <w:bottom w:val="none" w:sz="0" w:space="0" w:color="auto"/>
                    <w:right w:val="none" w:sz="0" w:space="0" w:color="auto"/>
                  </w:divBdr>
                  <w:divsChild>
                    <w:div w:id="281961899">
                      <w:marLeft w:val="0"/>
                      <w:marRight w:val="0"/>
                      <w:marTop w:val="0"/>
                      <w:marBottom w:val="0"/>
                      <w:divBdr>
                        <w:top w:val="none" w:sz="0" w:space="0" w:color="auto"/>
                        <w:left w:val="none" w:sz="0" w:space="0" w:color="auto"/>
                        <w:bottom w:val="none" w:sz="0" w:space="0" w:color="auto"/>
                        <w:right w:val="none" w:sz="0" w:space="0" w:color="auto"/>
                      </w:divBdr>
                    </w:div>
                    <w:div w:id="492793877">
                      <w:marLeft w:val="0"/>
                      <w:marRight w:val="0"/>
                      <w:marTop w:val="0"/>
                      <w:marBottom w:val="0"/>
                      <w:divBdr>
                        <w:top w:val="none" w:sz="0" w:space="0" w:color="auto"/>
                        <w:left w:val="none" w:sz="0" w:space="0" w:color="auto"/>
                        <w:bottom w:val="none" w:sz="0" w:space="0" w:color="auto"/>
                        <w:right w:val="none" w:sz="0" w:space="0" w:color="auto"/>
                      </w:divBdr>
                    </w:div>
                    <w:div w:id="1063062842">
                      <w:marLeft w:val="0"/>
                      <w:marRight w:val="0"/>
                      <w:marTop w:val="0"/>
                      <w:marBottom w:val="0"/>
                      <w:divBdr>
                        <w:top w:val="none" w:sz="0" w:space="0" w:color="auto"/>
                        <w:left w:val="none" w:sz="0" w:space="0" w:color="auto"/>
                        <w:bottom w:val="none" w:sz="0" w:space="0" w:color="auto"/>
                        <w:right w:val="none" w:sz="0" w:space="0" w:color="auto"/>
                      </w:divBdr>
                    </w:div>
                    <w:div w:id="1338996628">
                      <w:marLeft w:val="0"/>
                      <w:marRight w:val="0"/>
                      <w:marTop w:val="0"/>
                      <w:marBottom w:val="0"/>
                      <w:divBdr>
                        <w:top w:val="none" w:sz="0" w:space="0" w:color="auto"/>
                        <w:left w:val="none" w:sz="0" w:space="0" w:color="auto"/>
                        <w:bottom w:val="none" w:sz="0" w:space="0" w:color="auto"/>
                        <w:right w:val="none" w:sz="0" w:space="0" w:color="auto"/>
                      </w:divBdr>
                    </w:div>
                    <w:div w:id="1355616307">
                      <w:marLeft w:val="0"/>
                      <w:marRight w:val="0"/>
                      <w:marTop w:val="0"/>
                      <w:marBottom w:val="0"/>
                      <w:divBdr>
                        <w:top w:val="none" w:sz="0" w:space="0" w:color="auto"/>
                        <w:left w:val="none" w:sz="0" w:space="0" w:color="auto"/>
                        <w:bottom w:val="none" w:sz="0" w:space="0" w:color="auto"/>
                        <w:right w:val="none" w:sz="0" w:space="0" w:color="auto"/>
                      </w:divBdr>
                    </w:div>
                    <w:div w:id="1537740526">
                      <w:marLeft w:val="0"/>
                      <w:marRight w:val="0"/>
                      <w:marTop w:val="0"/>
                      <w:marBottom w:val="0"/>
                      <w:divBdr>
                        <w:top w:val="none" w:sz="0" w:space="0" w:color="auto"/>
                        <w:left w:val="none" w:sz="0" w:space="0" w:color="auto"/>
                        <w:bottom w:val="none" w:sz="0" w:space="0" w:color="auto"/>
                        <w:right w:val="none" w:sz="0" w:space="0" w:color="auto"/>
                      </w:divBdr>
                    </w:div>
                    <w:div w:id="1592347675">
                      <w:marLeft w:val="0"/>
                      <w:marRight w:val="0"/>
                      <w:marTop w:val="0"/>
                      <w:marBottom w:val="0"/>
                      <w:divBdr>
                        <w:top w:val="none" w:sz="0" w:space="0" w:color="auto"/>
                        <w:left w:val="none" w:sz="0" w:space="0" w:color="auto"/>
                        <w:bottom w:val="none" w:sz="0" w:space="0" w:color="auto"/>
                        <w:right w:val="none" w:sz="0" w:space="0" w:color="auto"/>
                      </w:divBdr>
                    </w:div>
                    <w:div w:id="1750693875">
                      <w:marLeft w:val="0"/>
                      <w:marRight w:val="0"/>
                      <w:marTop w:val="0"/>
                      <w:marBottom w:val="0"/>
                      <w:divBdr>
                        <w:top w:val="none" w:sz="0" w:space="0" w:color="auto"/>
                        <w:left w:val="none" w:sz="0" w:space="0" w:color="auto"/>
                        <w:bottom w:val="none" w:sz="0" w:space="0" w:color="auto"/>
                        <w:right w:val="none" w:sz="0" w:space="0" w:color="auto"/>
                      </w:divBdr>
                    </w:div>
                    <w:div w:id="1914582420">
                      <w:marLeft w:val="0"/>
                      <w:marRight w:val="0"/>
                      <w:marTop w:val="0"/>
                      <w:marBottom w:val="0"/>
                      <w:divBdr>
                        <w:top w:val="none" w:sz="0" w:space="0" w:color="auto"/>
                        <w:left w:val="none" w:sz="0" w:space="0" w:color="auto"/>
                        <w:bottom w:val="none" w:sz="0" w:space="0" w:color="auto"/>
                        <w:right w:val="none" w:sz="0" w:space="0" w:color="auto"/>
                      </w:divBdr>
                    </w:div>
                    <w:div w:id="1967199202">
                      <w:marLeft w:val="0"/>
                      <w:marRight w:val="0"/>
                      <w:marTop w:val="0"/>
                      <w:marBottom w:val="0"/>
                      <w:divBdr>
                        <w:top w:val="none" w:sz="0" w:space="0" w:color="auto"/>
                        <w:left w:val="none" w:sz="0" w:space="0" w:color="auto"/>
                        <w:bottom w:val="none" w:sz="0" w:space="0" w:color="auto"/>
                        <w:right w:val="none" w:sz="0" w:space="0" w:color="auto"/>
                      </w:divBdr>
                    </w:div>
                    <w:div w:id="2041012175">
                      <w:marLeft w:val="0"/>
                      <w:marRight w:val="0"/>
                      <w:marTop w:val="0"/>
                      <w:marBottom w:val="0"/>
                      <w:divBdr>
                        <w:top w:val="none" w:sz="0" w:space="0" w:color="auto"/>
                        <w:left w:val="none" w:sz="0" w:space="0" w:color="auto"/>
                        <w:bottom w:val="none" w:sz="0" w:space="0" w:color="auto"/>
                        <w:right w:val="none" w:sz="0" w:space="0" w:color="auto"/>
                      </w:divBdr>
                    </w:div>
                  </w:divsChild>
                </w:div>
                <w:div w:id="359360652">
                  <w:marLeft w:val="0"/>
                  <w:marRight w:val="0"/>
                  <w:marTop w:val="0"/>
                  <w:marBottom w:val="0"/>
                  <w:divBdr>
                    <w:top w:val="none" w:sz="0" w:space="0" w:color="auto"/>
                    <w:left w:val="none" w:sz="0" w:space="0" w:color="auto"/>
                    <w:bottom w:val="none" w:sz="0" w:space="0" w:color="auto"/>
                    <w:right w:val="none" w:sz="0" w:space="0" w:color="auto"/>
                  </w:divBdr>
                  <w:divsChild>
                    <w:div w:id="1180703920">
                      <w:marLeft w:val="0"/>
                      <w:marRight w:val="0"/>
                      <w:marTop w:val="0"/>
                      <w:marBottom w:val="0"/>
                      <w:divBdr>
                        <w:top w:val="none" w:sz="0" w:space="0" w:color="auto"/>
                        <w:left w:val="none" w:sz="0" w:space="0" w:color="auto"/>
                        <w:bottom w:val="none" w:sz="0" w:space="0" w:color="auto"/>
                        <w:right w:val="none" w:sz="0" w:space="0" w:color="auto"/>
                      </w:divBdr>
                    </w:div>
                  </w:divsChild>
                </w:div>
                <w:div w:id="373193956">
                  <w:marLeft w:val="0"/>
                  <w:marRight w:val="0"/>
                  <w:marTop w:val="0"/>
                  <w:marBottom w:val="0"/>
                  <w:divBdr>
                    <w:top w:val="none" w:sz="0" w:space="0" w:color="auto"/>
                    <w:left w:val="none" w:sz="0" w:space="0" w:color="auto"/>
                    <w:bottom w:val="none" w:sz="0" w:space="0" w:color="auto"/>
                    <w:right w:val="none" w:sz="0" w:space="0" w:color="auto"/>
                  </w:divBdr>
                  <w:divsChild>
                    <w:div w:id="1195920987">
                      <w:marLeft w:val="0"/>
                      <w:marRight w:val="0"/>
                      <w:marTop w:val="0"/>
                      <w:marBottom w:val="0"/>
                      <w:divBdr>
                        <w:top w:val="none" w:sz="0" w:space="0" w:color="auto"/>
                        <w:left w:val="none" w:sz="0" w:space="0" w:color="auto"/>
                        <w:bottom w:val="none" w:sz="0" w:space="0" w:color="auto"/>
                        <w:right w:val="none" w:sz="0" w:space="0" w:color="auto"/>
                      </w:divBdr>
                    </w:div>
                  </w:divsChild>
                </w:div>
                <w:div w:id="404883332">
                  <w:marLeft w:val="0"/>
                  <w:marRight w:val="0"/>
                  <w:marTop w:val="0"/>
                  <w:marBottom w:val="0"/>
                  <w:divBdr>
                    <w:top w:val="none" w:sz="0" w:space="0" w:color="auto"/>
                    <w:left w:val="none" w:sz="0" w:space="0" w:color="auto"/>
                    <w:bottom w:val="none" w:sz="0" w:space="0" w:color="auto"/>
                    <w:right w:val="none" w:sz="0" w:space="0" w:color="auto"/>
                  </w:divBdr>
                  <w:divsChild>
                    <w:div w:id="925455183">
                      <w:marLeft w:val="0"/>
                      <w:marRight w:val="0"/>
                      <w:marTop w:val="0"/>
                      <w:marBottom w:val="0"/>
                      <w:divBdr>
                        <w:top w:val="none" w:sz="0" w:space="0" w:color="auto"/>
                        <w:left w:val="none" w:sz="0" w:space="0" w:color="auto"/>
                        <w:bottom w:val="none" w:sz="0" w:space="0" w:color="auto"/>
                        <w:right w:val="none" w:sz="0" w:space="0" w:color="auto"/>
                      </w:divBdr>
                    </w:div>
                  </w:divsChild>
                </w:div>
                <w:div w:id="470365019">
                  <w:marLeft w:val="0"/>
                  <w:marRight w:val="0"/>
                  <w:marTop w:val="0"/>
                  <w:marBottom w:val="0"/>
                  <w:divBdr>
                    <w:top w:val="none" w:sz="0" w:space="0" w:color="auto"/>
                    <w:left w:val="none" w:sz="0" w:space="0" w:color="auto"/>
                    <w:bottom w:val="none" w:sz="0" w:space="0" w:color="auto"/>
                    <w:right w:val="none" w:sz="0" w:space="0" w:color="auto"/>
                  </w:divBdr>
                  <w:divsChild>
                    <w:div w:id="406461219">
                      <w:marLeft w:val="0"/>
                      <w:marRight w:val="0"/>
                      <w:marTop w:val="0"/>
                      <w:marBottom w:val="0"/>
                      <w:divBdr>
                        <w:top w:val="none" w:sz="0" w:space="0" w:color="auto"/>
                        <w:left w:val="none" w:sz="0" w:space="0" w:color="auto"/>
                        <w:bottom w:val="none" w:sz="0" w:space="0" w:color="auto"/>
                        <w:right w:val="none" w:sz="0" w:space="0" w:color="auto"/>
                      </w:divBdr>
                    </w:div>
                    <w:div w:id="1401754342">
                      <w:marLeft w:val="0"/>
                      <w:marRight w:val="0"/>
                      <w:marTop w:val="0"/>
                      <w:marBottom w:val="0"/>
                      <w:divBdr>
                        <w:top w:val="none" w:sz="0" w:space="0" w:color="auto"/>
                        <w:left w:val="none" w:sz="0" w:space="0" w:color="auto"/>
                        <w:bottom w:val="none" w:sz="0" w:space="0" w:color="auto"/>
                        <w:right w:val="none" w:sz="0" w:space="0" w:color="auto"/>
                      </w:divBdr>
                    </w:div>
                  </w:divsChild>
                </w:div>
                <w:div w:id="475800090">
                  <w:marLeft w:val="0"/>
                  <w:marRight w:val="0"/>
                  <w:marTop w:val="0"/>
                  <w:marBottom w:val="0"/>
                  <w:divBdr>
                    <w:top w:val="none" w:sz="0" w:space="0" w:color="auto"/>
                    <w:left w:val="none" w:sz="0" w:space="0" w:color="auto"/>
                    <w:bottom w:val="none" w:sz="0" w:space="0" w:color="auto"/>
                    <w:right w:val="none" w:sz="0" w:space="0" w:color="auto"/>
                  </w:divBdr>
                  <w:divsChild>
                    <w:div w:id="37946942">
                      <w:marLeft w:val="0"/>
                      <w:marRight w:val="0"/>
                      <w:marTop w:val="0"/>
                      <w:marBottom w:val="0"/>
                      <w:divBdr>
                        <w:top w:val="none" w:sz="0" w:space="0" w:color="auto"/>
                        <w:left w:val="none" w:sz="0" w:space="0" w:color="auto"/>
                        <w:bottom w:val="none" w:sz="0" w:space="0" w:color="auto"/>
                        <w:right w:val="none" w:sz="0" w:space="0" w:color="auto"/>
                      </w:divBdr>
                    </w:div>
                    <w:div w:id="116993733">
                      <w:marLeft w:val="0"/>
                      <w:marRight w:val="0"/>
                      <w:marTop w:val="0"/>
                      <w:marBottom w:val="0"/>
                      <w:divBdr>
                        <w:top w:val="none" w:sz="0" w:space="0" w:color="auto"/>
                        <w:left w:val="none" w:sz="0" w:space="0" w:color="auto"/>
                        <w:bottom w:val="none" w:sz="0" w:space="0" w:color="auto"/>
                        <w:right w:val="none" w:sz="0" w:space="0" w:color="auto"/>
                      </w:divBdr>
                    </w:div>
                    <w:div w:id="155732457">
                      <w:marLeft w:val="0"/>
                      <w:marRight w:val="0"/>
                      <w:marTop w:val="0"/>
                      <w:marBottom w:val="0"/>
                      <w:divBdr>
                        <w:top w:val="none" w:sz="0" w:space="0" w:color="auto"/>
                        <w:left w:val="none" w:sz="0" w:space="0" w:color="auto"/>
                        <w:bottom w:val="none" w:sz="0" w:space="0" w:color="auto"/>
                        <w:right w:val="none" w:sz="0" w:space="0" w:color="auto"/>
                      </w:divBdr>
                    </w:div>
                    <w:div w:id="436213530">
                      <w:marLeft w:val="0"/>
                      <w:marRight w:val="0"/>
                      <w:marTop w:val="0"/>
                      <w:marBottom w:val="0"/>
                      <w:divBdr>
                        <w:top w:val="none" w:sz="0" w:space="0" w:color="auto"/>
                        <w:left w:val="none" w:sz="0" w:space="0" w:color="auto"/>
                        <w:bottom w:val="none" w:sz="0" w:space="0" w:color="auto"/>
                        <w:right w:val="none" w:sz="0" w:space="0" w:color="auto"/>
                      </w:divBdr>
                    </w:div>
                    <w:div w:id="545025112">
                      <w:marLeft w:val="0"/>
                      <w:marRight w:val="0"/>
                      <w:marTop w:val="0"/>
                      <w:marBottom w:val="0"/>
                      <w:divBdr>
                        <w:top w:val="none" w:sz="0" w:space="0" w:color="auto"/>
                        <w:left w:val="none" w:sz="0" w:space="0" w:color="auto"/>
                        <w:bottom w:val="none" w:sz="0" w:space="0" w:color="auto"/>
                        <w:right w:val="none" w:sz="0" w:space="0" w:color="auto"/>
                      </w:divBdr>
                    </w:div>
                    <w:div w:id="621575530">
                      <w:marLeft w:val="0"/>
                      <w:marRight w:val="0"/>
                      <w:marTop w:val="0"/>
                      <w:marBottom w:val="0"/>
                      <w:divBdr>
                        <w:top w:val="none" w:sz="0" w:space="0" w:color="auto"/>
                        <w:left w:val="none" w:sz="0" w:space="0" w:color="auto"/>
                        <w:bottom w:val="none" w:sz="0" w:space="0" w:color="auto"/>
                        <w:right w:val="none" w:sz="0" w:space="0" w:color="auto"/>
                      </w:divBdr>
                    </w:div>
                    <w:div w:id="1077627299">
                      <w:marLeft w:val="0"/>
                      <w:marRight w:val="0"/>
                      <w:marTop w:val="0"/>
                      <w:marBottom w:val="0"/>
                      <w:divBdr>
                        <w:top w:val="none" w:sz="0" w:space="0" w:color="auto"/>
                        <w:left w:val="none" w:sz="0" w:space="0" w:color="auto"/>
                        <w:bottom w:val="none" w:sz="0" w:space="0" w:color="auto"/>
                        <w:right w:val="none" w:sz="0" w:space="0" w:color="auto"/>
                      </w:divBdr>
                    </w:div>
                    <w:div w:id="1464809342">
                      <w:marLeft w:val="0"/>
                      <w:marRight w:val="0"/>
                      <w:marTop w:val="0"/>
                      <w:marBottom w:val="0"/>
                      <w:divBdr>
                        <w:top w:val="none" w:sz="0" w:space="0" w:color="auto"/>
                        <w:left w:val="none" w:sz="0" w:space="0" w:color="auto"/>
                        <w:bottom w:val="none" w:sz="0" w:space="0" w:color="auto"/>
                        <w:right w:val="none" w:sz="0" w:space="0" w:color="auto"/>
                      </w:divBdr>
                    </w:div>
                    <w:div w:id="1649019372">
                      <w:marLeft w:val="0"/>
                      <w:marRight w:val="0"/>
                      <w:marTop w:val="0"/>
                      <w:marBottom w:val="0"/>
                      <w:divBdr>
                        <w:top w:val="none" w:sz="0" w:space="0" w:color="auto"/>
                        <w:left w:val="none" w:sz="0" w:space="0" w:color="auto"/>
                        <w:bottom w:val="none" w:sz="0" w:space="0" w:color="auto"/>
                        <w:right w:val="none" w:sz="0" w:space="0" w:color="auto"/>
                      </w:divBdr>
                    </w:div>
                  </w:divsChild>
                </w:div>
                <w:div w:id="537013641">
                  <w:marLeft w:val="0"/>
                  <w:marRight w:val="0"/>
                  <w:marTop w:val="0"/>
                  <w:marBottom w:val="0"/>
                  <w:divBdr>
                    <w:top w:val="none" w:sz="0" w:space="0" w:color="auto"/>
                    <w:left w:val="none" w:sz="0" w:space="0" w:color="auto"/>
                    <w:bottom w:val="none" w:sz="0" w:space="0" w:color="auto"/>
                    <w:right w:val="none" w:sz="0" w:space="0" w:color="auto"/>
                  </w:divBdr>
                  <w:divsChild>
                    <w:div w:id="182130170">
                      <w:marLeft w:val="0"/>
                      <w:marRight w:val="0"/>
                      <w:marTop w:val="0"/>
                      <w:marBottom w:val="0"/>
                      <w:divBdr>
                        <w:top w:val="none" w:sz="0" w:space="0" w:color="auto"/>
                        <w:left w:val="none" w:sz="0" w:space="0" w:color="auto"/>
                        <w:bottom w:val="none" w:sz="0" w:space="0" w:color="auto"/>
                        <w:right w:val="none" w:sz="0" w:space="0" w:color="auto"/>
                      </w:divBdr>
                    </w:div>
                    <w:div w:id="233469672">
                      <w:marLeft w:val="0"/>
                      <w:marRight w:val="0"/>
                      <w:marTop w:val="0"/>
                      <w:marBottom w:val="0"/>
                      <w:divBdr>
                        <w:top w:val="none" w:sz="0" w:space="0" w:color="auto"/>
                        <w:left w:val="none" w:sz="0" w:space="0" w:color="auto"/>
                        <w:bottom w:val="none" w:sz="0" w:space="0" w:color="auto"/>
                        <w:right w:val="none" w:sz="0" w:space="0" w:color="auto"/>
                      </w:divBdr>
                    </w:div>
                    <w:div w:id="426462955">
                      <w:marLeft w:val="0"/>
                      <w:marRight w:val="0"/>
                      <w:marTop w:val="0"/>
                      <w:marBottom w:val="0"/>
                      <w:divBdr>
                        <w:top w:val="none" w:sz="0" w:space="0" w:color="auto"/>
                        <w:left w:val="none" w:sz="0" w:space="0" w:color="auto"/>
                        <w:bottom w:val="none" w:sz="0" w:space="0" w:color="auto"/>
                        <w:right w:val="none" w:sz="0" w:space="0" w:color="auto"/>
                      </w:divBdr>
                    </w:div>
                    <w:div w:id="739911518">
                      <w:marLeft w:val="0"/>
                      <w:marRight w:val="0"/>
                      <w:marTop w:val="0"/>
                      <w:marBottom w:val="0"/>
                      <w:divBdr>
                        <w:top w:val="none" w:sz="0" w:space="0" w:color="auto"/>
                        <w:left w:val="none" w:sz="0" w:space="0" w:color="auto"/>
                        <w:bottom w:val="none" w:sz="0" w:space="0" w:color="auto"/>
                        <w:right w:val="none" w:sz="0" w:space="0" w:color="auto"/>
                      </w:divBdr>
                    </w:div>
                    <w:div w:id="1233782625">
                      <w:marLeft w:val="0"/>
                      <w:marRight w:val="0"/>
                      <w:marTop w:val="0"/>
                      <w:marBottom w:val="0"/>
                      <w:divBdr>
                        <w:top w:val="none" w:sz="0" w:space="0" w:color="auto"/>
                        <w:left w:val="none" w:sz="0" w:space="0" w:color="auto"/>
                        <w:bottom w:val="none" w:sz="0" w:space="0" w:color="auto"/>
                        <w:right w:val="none" w:sz="0" w:space="0" w:color="auto"/>
                      </w:divBdr>
                    </w:div>
                    <w:div w:id="1415974119">
                      <w:marLeft w:val="0"/>
                      <w:marRight w:val="0"/>
                      <w:marTop w:val="0"/>
                      <w:marBottom w:val="0"/>
                      <w:divBdr>
                        <w:top w:val="none" w:sz="0" w:space="0" w:color="auto"/>
                        <w:left w:val="none" w:sz="0" w:space="0" w:color="auto"/>
                        <w:bottom w:val="none" w:sz="0" w:space="0" w:color="auto"/>
                        <w:right w:val="none" w:sz="0" w:space="0" w:color="auto"/>
                      </w:divBdr>
                    </w:div>
                    <w:div w:id="1657145357">
                      <w:marLeft w:val="0"/>
                      <w:marRight w:val="0"/>
                      <w:marTop w:val="0"/>
                      <w:marBottom w:val="0"/>
                      <w:divBdr>
                        <w:top w:val="none" w:sz="0" w:space="0" w:color="auto"/>
                        <w:left w:val="none" w:sz="0" w:space="0" w:color="auto"/>
                        <w:bottom w:val="none" w:sz="0" w:space="0" w:color="auto"/>
                        <w:right w:val="none" w:sz="0" w:space="0" w:color="auto"/>
                      </w:divBdr>
                    </w:div>
                  </w:divsChild>
                </w:div>
                <w:div w:id="541402949">
                  <w:marLeft w:val="0"/>
                  <w:marRight w:val="0"/>
                  <w:marTop w:val="0"/>
                  <w:marBottom w:val="0"/>
                  <w:divBdr>
                    <w:top w:val="none" w:sz="0" w:space="0" w:color="auto"/>
                    <w:left w:val="none" w:sz="0" w:space="0" w:color="auto"/>
                    <w:bottom w:val="none" w:sz="0" w:space="0" w:color="auto"/>
                    <w:right w:val="none" w:sz="0" w:space="0" w:color="auto"/>
                  </w:divBdr>
                  <w:divsChild>
                    <w:div w:id="304746425">
                      <w:marLeft w:val="0"/>
                      <w:marRight w:val="0"/>
                      <w:marTop w:val="0"/>
                      <w:marBottom w:val="0"/>
                      <w:divBdr>
                        <w:top w:val="none" w:sz="0" w:space="0" w:color="auto"/>
                        <w:left w:val="none" w:sz="0" w:space="0" w:color="auto"/>
                        <w:bottom w:val="none" w:sz="0" w:space="0" w:color="auto"/>
                        <w:right w:val="none" w:sz="0" w:space="0" w:color="auto"/>
                      </w:divBdr>
                    </w:div>
                    <w:div w:id="432942334">
                      <w:marLeft w:val="0"/>
                      <w:marRight w:val="0"/>
                      <w:marTop w:val="0"/>
                      <w:marBottom w:val="0"/>
                      <w:divBdr>
                        <w:top w:val="none" w:sz="0" w:space="0" w:color="auto"/>
                        <w:left w:val="none" w:sz="0" w:space="0" w:color="auto"/>
                        <w:bottom w:val="none" w:sz="0" w:space="0" w:color="auto"/>
                        <w:right w:val="none" w:sz="0" w:space="0" w:color="auto"/>
                      </w:divBdr>
                    </w:div>
                    <w:div w:id="809633683">
                      <w:marLeft w:val="0"/>
                      <w:marRight w:val="0"/>
                      <w:marTop w:val="0"/>
                      <w:marBottom w:val="0"/>
                      <w:divBdr>
                        <w:top w:val="none" w:sz="0" w:space="0" w:color="auto"/>
                        <w:left w:val="none" w:sz="0" w:space="0" w:color="auto"/>
                        <w:bottom w:val="none" w:sz="0" w:space="0" w:color="auto"/>
                        <w:right w:val="none" w:sz="0" w:space="0" w:color="auto"/>
                      </w:divBdr>
                    </w:div>
                    <w:div w:id="1104837415">
                      <w:marLeft w:val="0"/>
                      <w:marRight w:val="0"/>
                      <w:marTop w:val="0"/>
                      <w:marBottom w:val="0"/>
                      <w:divBdr>
                        <w:top w:val="none" w:sz="0" w:space="0" w:color="auto"/>
                        <w:left w:val="none" w:sz="0" w:space="0" w:color="auto"/>
                        <w:bottom w:val="none" w:sz="0" w:space="0" w:color="auto"/>
                        <w:right w:val="none" w:sz="0" w:space="0" w:color="auto"/>
                      </w:divBdr>
                    </w:div>
                    <w:div w:id="1221943741">
                      <w:marLeft w:val="0"/>
                      <w:marRight w:val="0"/>
                      <w:marTop w:val="0"/>
                      <w:marBottom w:val="0"/>
                      <w:divBdr>
                        <w:top w:val="none" w:sz="0" w:space="0" w:color="auto"/>
                        <w:left w:val="none" w:sz="0" w:space="0" w:color="auto"/>
                        <w:bottom w:val="none" w:sz="0" w:space="0" w:color="auto"/>
                        <w:right w:val="none" w:sz="0" w:space="0" w:color="auto"/>
                      </w:divBdr>
                    </w:div>
                  </w:divsChild>
                </w:div>
                <w:div w:id="672536979">
                  <w:marLeft w:val="0"/>
                  <w:marRight w:val="0"/>
                  <w:marTop w:val="0"/>
                  <w:marBottom w:val="0"/>
                  <w:divBdr>
                    <w:top w:val="none" w:sz="0" w:space="0" w:color="auto"/>
                    <w:left w:val="none" w:sz="0" w:space="0" w:color="auto"/>
                    <w:bottom w:val="none" w:sz="0" w:space="0" w:color="auto"/>
                    <w:right w:val="none" w:sz="0" w:space="0" w:color="auto"/>
                  </w:divBdr>
                  <w:divsChild>
                    <w:div w:id="47842005">
                      <w:marLeft w:val="0"/>
                      <w:marRight w:val="0"/>
                      <w:marTop w:val="0"/>
                      <w:marBottom w:val="0"/>
                      <w:divBdr>
                        <w:top w:val="none" w:sz="0" w:space="0" w:color="auto"/>
                        <w:left w:val="none" w:sz="0" w:space="0" w:color="auto"/>
                        <w:bottom w:val="none" w:sz="0" w:space="0" w:color="auto"/>
                        <w:right w:val="none" w:sz="0" w:space="0" w:color="auto"/>
                      </w:divBdr>
                    </w:div>
                    <w:div w:id="107430531">
                      <w:marLeft w:val="0"/>
                      <w:marRight w:val="0"/>
                      <w:marTop w:val="0"/>
                      <w:marBottom w:val="0"/>
                      <w:divBdr>
                        <w:top w:val="none" w:sz="0" w:space="0" w:color="auto"/>
                        <w:left w:val="none" w:sz="0" w:space="0" w:color="auto"/>
                        <w:bottom w:val="none" w:sz="0" w:space="0" w:color="auto"/>
                        <w:right w:val="none" w:sz="0" w:space="0" w:color="auto"/>
                      </w:divBdr>
                    </w:div>
                    <w:div w:id="351999873">
                      <w:marLeft w:val="0"/>
                      <w:marRight w:val="0"/>
                      <w:marTop w:val="0"/>
                      <w:marBottom w:val="0"/>
                      <w:divBdr>
                        <w:top w:val="none" w:sz="0" w:space="0" w:color="auto"/>
                        <w:left w:val="none" w:sz="0" w:space="0" w:color="auto"/>
                        <w:bottom w:val="none" w:sz="0" w:space="0" w:color="auto"/>
                        <w:right w:val="none" w:sz="0" w:space="0" w:color="auto"/>
                      </w:divBdr>
                    </w:div>
                    <w:div w:id="386032155">
                      <w:marLeft w:val="0"/>
                      <w:marRight w:val="0"/>
                      <w:marTop w:val="0"/>
                      <w:marBottom w:val="0"/>
                      <w:divBdr>
                        <w:top w:val="none" w:sz="0" w:space="0" w:color="auto"/>
                        <w:left w:val="none" w:sz="0" w:space="0" w:color="auto"/>
                        <w:bottom w:val="none" w:sz="0" w:space="0" w:color="auto"/>
                        <w:right w:val="none" w:sz="0" w:space="0" w:color="auto"/>
                      </w:divBdr>
                    </w:div>
                    <w:div w:id="580797151">
                      <w:marLeft w:val="0"/>
                      <w:marRight w:val="0"/>
                      <w:marTop w:val="0"/>
                      <w:marBottom w:val="0"/>
                      <w:divBdr>
                        <w:top w:val="none" w:sz="0" w:space="0" w:color="auto"/>
                        <w:left w:val="none" w:sz="0" w:space="0" w:color="auto"/>
                        <w:bottom w:val="none" w:sz="0" w:space="0" w:color="auto"/>
                        <w:right w:val="none" w:sz="0" w:space="0" w:color="auto"/>
                      </w:divBdr>
                    </w:div>
                    <w:div w:id="868490359">
                      <w:marLeft w:val="0"/>
                      <w:marRight w:val="0"/>
                      <w:marTop w:val="0"/>
                      <w:marBottom w:val="0"/>
                      <w:divBdr>
                        <w:top w:val="none" w:sz="0" w:space="0" w:color="auto"/>
                        <w:left w:val="none" w:sz="0" w:space="0" w:color="auto"/>
                        <w:bottom w:val="none" w:sz="0" w:space="0" w:color="auto"/>
                        <w:right w:val="none" w:sz="0" w:space="0" w:color="auto"/>
                      </w:divBdr>
                    </w:div>
                    <w:div w:id="924387377">
                      <w:marLeft w:val="0"/>
                      <w:marRight w:val="0"/>
                      <w:marTop w:val="0"/>
                      <w:marBottom w:val="0"/>
                      <w:divBdr>
                        <w:top w:val="none" w:sz="0" w:space="0" w:color="auto"/>
                        <w:left w:val="none" w:sz="0" w:space="0" w:color="auto"/>
                        <w:bottom w:val="none" w:sz="0" w:space="0" w:color="auto"/>
                        <w:right w:val="none" w:sz="0" w:space="0" w:color="auto"/>
                      </w:divBdr>
                    </w:div>
                    <w:div w:id="1198853768">
                      <w:marLeft w:val="0"/>
                      <w:marRight w:val="0"/>
                      <w:marTop w:val="0"/>
                      <w:marBottom w:val="0"/>
                      <w:divBdr>
                        <w:top w:val="none" w:sz="0" w:space="0" w:color="auto"/>
                        <w:left w:val="none" w:sz="0" w:space="0" w:color="auto"/>
                        <w:bottom w:val="none" w:sz="0" w:space="0" w:color="auto"/>
                        <w:right w:val="none" w:sz="0" w:space="0" w:color="auto"/>
                      </w:divBdr>
                    </w:div>
                    <w:div w:id="1469470684">
                      <w:marLeft w:val="0"/>
                      <w:marRight w:val="0"/>
                      <w:marTop w:val="0"/>
                      <w:marBottom w:val="0"/>
                      <w:divBdr>
                        <w:top w:val="none" w:sz="0" w:space="0" w:color="auto"/>
                        <w:left w:val="none" w:sz="0" w:space="0" w:color="auto"/>
                        <w:bottom w:val="none" w:sz="0" w:space="0" w:color="auto"/>
                        <w:right w:val="none" w:sz="0" w:space="0" w:color="auto"/>
                      </w:divBdr>
                    </w:div>
                  </w:divsChild>
                </w:div>
                <w:div w:id="718240309">
                  <w:marLeft w:val="0"/>
                  <w:marRight w:val="0"/>
                  <w:marTop w:val="0"/>
                  <w:marBottom w:val="0"/>
                  <w:divBdr>
                    <w:top w:val="none" w:sz="0" w:space="0" w:color="auto"/>
                    <w:left w:val="none" w:sz="0" w:space="0" w:color="auto"/>
                    <w:bottom w:val="none" w:sz="0" w:space="0" w:color="auto"/>
                    <w:right w:val="none" w:sz="0" w:space="0" w:color="auto"/>
                  </w:divBdr>
                  <w:divsChild>
                    <w:div w:id="704065033">
                      <w:marLeft w:val="0"/>
                      <w:marRight w:val="0"/>
                      <w:marTop w:val="0"/>
                      <w:marBottom w:val="0"/>
                      <w:divBdr>
                        <w:top w:val="none" w:sz="0" w:space="0" w:color="auto"/>
                        <w:left w:val="none" w:sz="0" w:space="0" w:color="auto"/>
                        <w:bottom w:val="none" w:sz="0" w:space="0" w:color="auto"/>
                        <w:right w:val="none" w:sz="0" w:space="0" w:color="auto"/>
                      </w:divBdr>
                    </w:div>
                    <w:div w:id="829441257">
                      <w:marLeft w:val="0"/>
                      <w:marRight w:val="0"/>
                      <w:marTop w:val="0"/>
                      <w:marBottom w:val="0"/>
                      <w:divBdr>
                        <w:top w:val="none" w:sz="0" w:space="0" w:color="auto"/>
                        <w:left w:val="none" w:sz="0" w:space="0" w:color="auto"/>
                        <w:bottom w:val="none" w:sz="0" w:space="0" w:color="auto"/>
                        <w:right w:val="none" w:sz="0" w:space="0" w:color="auto"/>
                      </w:divBdr>
                    </w:div>
                    <w:div w:id="921454982">
                      <w:marLeft w:val="0"/>
                      <w:marRight w:val="0"/>
                      <w:marTop w:val="0"/>
                      <w:marBottom w:val="0"/>
                      <w:divBdr>
                        <w:top w:val="none" w:sz="0" w:space="0" w:color="auto"/>
                        <w:left w:val="none" w:sz="0" w:space="0" w:color="auto"/>
                        <w:bottom w:val="none" w:sz="0" w:space="0" w:color="auto"/>
                        <w:right w:val="none" w:sz="0" w:space="0" w:color="auto"/>
                      </w:divBdr>
                    </w:div>
                    <w:div w:id="1114130904">
                      <w:marLeft w:val="0"/>
                      <w:marRight w:val="0"/>
                      <w:marTop w:val="0"/>
                      <w:marBottom w:val="0"/>
                      <w:divBdr>
                        <w:top w:val="none" w:sz="0" w:space="0" w:color="auto"/>
                        <w:left w:val="none" w:sz="0" w:space="0" w:color="auto"/>
                        <w:bottom w:val="none" w:sz="0" w:space="0" w:color="auto"/>
                        <w:right w:val="none" w:sz="0" w:space="0" w:color="auto"/>
                      </w:divBdr>
                    </w:div>
                    <w:div w:id="1230073343">
                      <w:marLeft w:val="0"/>
                      <w:marRight w:val="0"/>
                      <w:marTop w:val="0"/>
                      <w:marBottom w:val="0"/>
                      <w:divBdr>
                        <w:top w:val="none" w:sz="0" w:space="0" w:color="auto"/>
                        <w:left w:val="none" w:sz="0" w:space="0" w:color="auto"/>
                        <w:bottom w:val="none" w:sz="0" w:space="0" w:color="auto"/>
                        <w:right w:val="none" w:sz="0" w:space="0" w:color="auto"/>
                      </w:divBdr>
                    </w:div>
                    <w:div w:id="1921518074">
                      <w:marLeft w:val="0"/>
                      <w:marRight w:val="0"/>
                      <w:marTop w:val="0"/>
                      <w:marBottom w:val="0"/>
                      <w:divBdr>
                        <w:top w:val="none" w:sz="0" w:space="0" w:color="auto"/>
                        <w:left w:val="none" w:sz="0" w:space="0" w:color="auto"/>
                        <w:bottom w:val="none" w:sz="0" w:space="0" w:color="auto"/>
                        <w:right w:val="none" w:sz="0" w:space="0" w:color="auto"/>
                      </w:divBdr>
                    </w:div>
                    <w:div w:id="2013945477">
                      <w:marLeft w:val="0"/>
                      <w:marRight w:val="0"/>
                      <w:marTop w:val="0"/>
                      <w:marBottom w:val="0"/>
                      <w:divBdr>
                        <w:top w:val="none" w:sz="0" w:space="0" w:color="auto"/>
                        <w:left w:val="none" w:sz="0" w:space="0" w:color="auto"/>
                        <w:bottom w:val="none" w:sz="0" w:space="0" w:color="auto"/>
                        <w:right w:val="none" w:sz="0" w:space="0" w:color="auto"/>
                      </w:divBdr>
                    </w:div>
                    <w:div w:id="2094937093">
                      <w:marLeft w:val="0"/>
                      <w:marRight w:val="0"/>
                      <w:marTop w:val="0"/>
                      <w:marBottom w:val="0"/>
                      <w:divBdr>
                        <w:top w:val="none" w:sz="0" w:space="0" w:color="auto"/>
                        <w:left w:val="none" w:sz="0" w:space="0" w:color="auto"/>
                        <w:bottom w:val="none" w:sz="0" w:space="0" w:color="auto"/>
                        <w:right w:val="none" w:sz="0" w:space="0" w:color="auto"/>
                      </w:divBdr>
                    </w:div>
                  </w:divsChild>
                </w:div>
                <w:div w:id="752118346">
                  <w:marLeft w:val="0"/>
                  <w:marRight w:val="0"/>
                  <w:marTop w:val="0"/>
                  <w:marBottom w:val="0"/>
                  <w:divBdr>
                    <w:top w:val="none" w:sz="0" w:space="0" w:color="auto"/>
                    <w:left w:val="none" w:sz="0" w:space="0" w:color="auto"/>
                    <w:bottom w:val="none" w:sz="0" w:space="0" w:color="auto"/>
                    <w:right w:val="none" w:sz="0" w:space="0" w:color="auto"/>
                  </w:divBdr>
                  <w:divsChild>
                    <w:div w:id="50278510">
                      <w:marLeft w:val="0"/>
                      <w:marRight w:val="0"/>
                      <w:marTop w:val="0"/>
                      <w:marBottom w:val="0"/>
                      <w:divBdr>
                        <w:top w:val="none" w:sz="0" w:space="0" w:color="auto"/>
                        <w:left w:val="none" w:sz="0" w:space="0" w:color="auto"/>
                        <w:bottom w:val="none" w:sz="0" w:space="0" w:color="auto"/>
                        <w:right w:val="none" w:sz="0" w:space="0" w:color="auto"/>
                      </w:divBdr>
                    </w:div>
                    <w:div w:id="68773342">
                      <w:marLeft w:val="0"/>
                      <w:marRight w:val="0"/>
                      <w:marTop w:val="0"/>
                      <w:marBottom w:val="0"/>
                      <w:divBdr>
                        <w:top w:val="none" w:sz="0" w:space="0" w:color="auto"/>
                        <w:left w:val="none" w:sz="0" w:space="0" w:color="auto"/>
                        <w:bottom w:val="none" w:sz="0" w:space="0" w:color="auto"/>
                        <w:right w:val="none" w:sz="0" w:space="0" w:color="auto"/>
                      </w:divBdr>
                    </w:div>
                    <w:div w:id="177276359">
                      <w:marLeft w:val="0"/>
                      <w:marRight w:val="0"/>
                      <w:marTop w:val="0"/>
                      <w:marBottom w:val="0"/>
                      <w:divBdr>
                        <w:top w:val="none" w:sz="0" w:space="0" w:color="auto"/>
                        <w:left w:val="none" w:sz="0" w:space="0" w:color="auto"/>
                        <w:bottom w:val="none" w:sz="0" w:space="0" w:color="auto"/>
                        <w:right w:val="none" w:sz="0" w:space="0" w:color="auto"/>
                      </w:divBdr>
                    </w:div>
                    <w:div w:id="339889850">
                      <w:marLeft w:val="0"/>
                      <w:marRight w:val="0"/>
                      <w:marTop w:val="0"/>
                      <w:marBottom w:val="0"/>
                      <w:divBdr>
                        <w:top w:val="none" w:sz="0" w:space="0" w:color="auto"/>
                        <w:left w:val="none" w:sz="0" w:space="0" w:color="auto"/>
                        <w:bottom w:val="none" w:sz="0" w:space="0" w:color="auto"/>
                        <w:right w:val="none" w:sz="0" w:space="0" w:color="auto"/>
                      </w:divBdr>
                    </w:div>
                    <w:div w:id="769667756">
                      <w:marLeft w:val="0"/>
                      <w:marRight w:val="0"/>
                      <w:marTop w:val="0"/>
                      <w:marBottom w:val="0"/>
                      <w:divBdr>
                        <w:top w:val="none" w:sz="0" w:space="0" w:color="auto"/>
                        <w:left w:val="none" w:sz="0" w:space="0" w:color="auto"/>
                        <w:bottom w:val="none" w:sz="0" w:space="0" w:color="auto"/>
                        <w:right w:val="none" w:sz="0" w:space="0" w:color="auto"/>
                      </w:divBdr>
                    </w:div>
                    <w:div w:id="1321226820">
                      <w:marLeft w:val="0"/>
                      <w:marRight w:val="0"/>
                      <w:marTop w:val="0"/>
                      <w:marBottom w:val="0"/>
                      <w:divBdr>
                        <w:top w:val="none" w:sz="0" w:space="0" w:color="auto"/>
                        <w:left w:val="none" w:sz="0" w:space="0" w:color="auto"/>
                        <w:bottom w:val="none" w:sz="0" w:space="0" w:color="auto"/>
                        <w:right w:val="none" w:sz="0" w:space="0" w:color="auto"/>
                      </w:divBdr>
                    </w:div>
                  </w:divsChild>
                </w:div>
                <w:div w:id="781413045">
                  <w:marLeft w:val="0"/>
                  <w:marRight w:val="0"/>
                  <w:marTop w:val="0"/>
                  <w:marBottom w:val="0"/>
                  <w:divBdr>
                    <w:top w:val="none" w:sz="0" w:space="0" w:color="auto"/>
                    <w:left w:val="none" w:sz="0" w:space="0" w:color="auto"/>
                    <w:bottom w:val="none" w:sz="0" w:space="0" w:color="auto"/>
                    <w:right w:val="none" w:sz="0" w:space="0" w:color="auto"/>
                  </w:divBdr>
                  <w:divsChild>
                    <w:div w:id="901867312">
                      <w:marLeft w:val="0"/>
                      <w:marRight w:val="0"/>
                      <w:marTop w:val="0"/>
                      <w:marBottom w:val="0"/>
                      <w:divBdr>
                        <w:top w:val="none" w:sz="0" w:space="0" w:color="auto"/>
                        <w:left w:val="none" w:sz="0" w:space="0" w:color="auto"/>
                        <w:bottom w:val="none" w:sz="0" w:space="0" w:color="auto"/>
                        <w:right w:val="none" w:sz="0" w:space="0" w:color="auto"/>
                      </w:divBdr>
                    </w:div>
                    <w:div w:id="1246761850">
                      <w:marLeft w:val="0"/>
                      <w:marRight w:val="0"/>
                      <w:marTop w:val="0"/>
                      <w:marBottom w:val="0"/>
                      <w:divBdr>
                        <w:top w:val="none" w:sz="0" w:space="0" w:color="auto"/>
                        <w:left w:val="none" w:sz="0" w:space="0" w:color="auto"/>
                        <w:bottom w:val="none" w:sz="0" w:space="0" w:color="auto"/>
                        <w:right w:val="none" w:sz="0" w:space="0" w:color="auto"/>
                      </w:divBdr>
                    </w:div>
                    <w:div w:id="1437407258">
                      <w:marLeft w:val="0"/>
                      <w:marRight w:val="0"/>
                      <w:marTop w:val="0"/>
                      <w:marBottom w:val="0"/>
                      <w:divBdr>
                        <w:top w:val="none" w:sz="0" w:space="0" w:color="auto"/>
                        <w:left w:val="none" w:sz="0" w:space="0" w:color="auto"/>
                        <w:bottom w:val="none" w:sz="0" w:space="0" w:color="auto"/>
                        <w:right w:val="none" w:sz="0" w:space="0" w:color="auto"/>
                      </w:divBdr>
                    </w:div>
                  </w:divsChild>
                </w:div>
                <w:div w:id="826092789">
                  <w:marLeft w:val="0"/>
                  <w:marRight w:val="0"/>
                  <w:marTop w:val="0"/>
                  <w:marBottom w:val="0"/>
                  <w:divBdr>
                    <w:top w:val="none" w:sz="0" w:space="0" w:color="auto"/>
                    <w:left w:val="none" w:sz="0" w:space="0" w:color="auto"/>
                    <w:bottom w:val="none" w:sz="0" w:space="0" w:color="auto"/>
                    <w:right w:val="none" w:sz="0" w:space="0" w:color="auto"/>
                  </w:divBdr>
                  <w:divsChild>
                    <w:div w:id="7412418">
                      <w:marLeft w:val="0"/>
                      <w:marRight w:val="0"/>
                      <w:marTop w:val="0"/>
                      <w:marBottom w:val="0"/>
                      <w:divBdr>
                        <w:top w:val="none" w:sz="0" w:space="0" w:color="auto"/>
                        <w:left w:val="none" w:sz="0" w:space="0" w:color="auto"/>
                        <w:bottom w:val="none" w:sz="0" w:space="0" w:color="auto"/>
                        <w:right w:val="none" w:sz="0" w:space="0" w:color="auto"/>
                      </w:divBdr>
                    </w:div>
                    <w:div w:id="180827527">
                      <w:marLeft w:val="0"/>
                      <w:marRight w:val="0"/>
                      <w:marTop w:val="0"/>
                      <w:marBottom w:val="0"/>
                      <w:divBdr>
                        <w:top w:val="none" w:sz="0" w:space="0" w:color="auto"/>
                        <w:left w:val="none" w:sz="0" w:space="0" w:color="auto"/>
                        <w:bottom w:val="none" w:sz="0" w:space="0" w:color="auto"/>
                        <w:right w:val="none" w:sz="0" w:space="0" w:color="auto"/>
                      </w:divBdr>
                    </w:div>
                    <w:div w:id="366950372">
                      <w:marLeft w:val="0"/>
                      <w:marRight w:val="0"/>
                      <w:marTop w:val="0"/>
                      <w:marBottom w:val="0"/>
                      <w:divBdr>
                        <w:top w:val="none" w:sz="0" w:space="0" w:color="auto"/>
                        <w:left w:val="none" w:sz="0" w:space="0" w:color="auto"/>
                        <w:bottom w:val="none" w:sz="0" w:space="0" w:color="auto"/>
                        <w:right w:val="none" w:sz="0" w:space="0" w:color="auto"/>
                      </w:divBdr>
                    </w:div>
                    <w:div w:id="409934858">
                      <w:marLeft w:val="0"/>
                      <w:marRight w:val="0"/>
                      <w:marTop w:val="0"/>
                      <w:marBottom w:val="0"/>
                      <w:divBdr>
                        <w:top w:val="none" w:sz="0" w:space="0" w:color="auto"/>
                        <w:left w:val="none" w:sz="0" w:space="0" w:color="auto"/>
                        <w:bottom w:val="none" w:sz="0" w:space="0" w:color="auto"/>
                        <w:right w:val="none" w:sz="0" w:space="0" w:color="auto"/>
                      </w:divBdr>
                    </w:div>
                    <w:div w:id="556206094">
                      <w:marLeft w:val="0"/>
                      <w:marRight w:val="0"/>
                      <w:marTop w:val="0"/>
                      <w:marBottom w:val="0"/>
                      <w:divBdr>
                        <w:top w:val="none" w:sz="0" w:space="0" w:color="auto"/>
                        <w:left w:val="none" w:sz="0" w:space="0" w:color="auto"/>
                        <w:bottom w:val="none" w:sz="0" w:space="0" w:color="auto"/>
                        <w:right w:val="none" w:sz="0" w:space="0" w:color="auto"/>
                      </w:divBdr>
                    </w:div>
                    <w:div w:id="616451540">
                      <w:marLeft w:val="0"/>
                      <w:marRight w:val="0"/>
                      <w:marTop w:val="0"/>
                      <w:marBottom w:val="0"/>
                      <w:divBdr>
                        <w:top w:val="none" w:sz="0" w:space="0" w:color="auto"/>
                        <w:left w:val="none" w:sz="0" w:space="0" w:color="auto"/>
                        <w:bottom w:val="none" w:sz="0" w:space="0" w:color="auto"/>
                        <w:right w:val="none" w:sz="0" w:space="0" w:color="auto"/>
                      </w:divBdr>
                    </w:div>
                    <w:div w:id="640887517">
                      <w:marLeft w:val="0"/>
                      <w:marRight w:val="0"/>
                      <w:marTop w:val="0"/>
                      <w:marBottom w:val="0"/>
                      <w:divBdr>
                        <w:top w:val="none" w:sz="0" w:space="0" w:color="auto"/>
                        <w:left w:val="none" w:sz="0" w:space="0" w:color="auto"/>
                        <w:bottom w:val="none" w:sz="0" w:space="0" w:color="auto"/>
                        <w:right w:val="none" w:sz="0" w:space="0" w:color="auto"/>
                      </w:divBdr>
                    </w:div>
                    <w:div w:id="970209318">
                      <w:marLeft w:val="0"/>
                      <w:marRight w:val="0"/>
                      <w:marTop w:val="0"/>
                      <w:marBottom w:val="0"/>
                      <w:divBdr>
                        <w:top w:val="none" w:sz="0" w:space="0" w:color="auto"/>
                        <w:left w:val="none" w:sz="0" w:space="0" w:color="auto"/>
                        <w:bottom w:val="none" w:sz="0" w:space="0" w:color="auto"/>
                        <w:right w:val="none" w:sz="0" w:space="0" w:color="auto"/>
                      </w:divBdr>
                    </w:div>
                    <w:div w:id="1256474437">
                      <w:marLeft w:val="0"/>
                      <w:marRight w:val="0"/>
                      <w:marTop w:val="0"/>
                      <w:marBottom w:val="0"/>
                      <w:divBdr>
                        <w:top w:val="none" w:sz="0" w:space="0" w:color="auto"/>
                        <w:left w:val="none" w:sz="0" w:space="0" w:color="auto"/>
                        <w:bottom w:val="none" w:sz="0" w:space="0" w:color="auto"/>
                        <w:right w:val="none" w:sz="0" w:space="0" w:color="auto"/>
                      </w:divBdr>
                    </w:div>
                    <w:div w:id="1363164018">
                      <w:marLeft w:val="0"/>
                      <w:marRight w:val="0"/>
                      <w:marTop w:val="0"/>
                      <w:marBottom w:val="0"/>
                      <w:divBdr>
                        <w:top w:val="none" w:sz="0" w:space="0" w:color="auto"/>
                        <w:left w:val="none" w:sz="0" w:space="0" w:color="auto"/>
                        <w:bottom w:val="none" w:sz="0" w:space="0" w:color="auto"/>
                        <w:right w:val="none" w:sz="0" w:space="0" w:color="auto"/>
                      </w:divBdr>
                    </w:div>
                    <w:div w:id="2103186641">
                      <w:marLeft w:val="0"/>
                      <w:marRight w:val="0"/>
                      <w:marTop w:val="0"/>
                      <w:marBottom w:val="0"/>
                      <w:divBdr>
                        <w:top w:val="none" w:sz="0" w:space="0" w:color="auto"/>
                        <w:left w:val="none" w:sz="0" w:space="0" w:color="auto"/>
                        <w:bottom w:val="none" w:sz="0" w:space="0" w:color="auto"/>
                        <w:right w:val="none" w:sz="0" w:space="0" w:color="auto"/>
                      </w:divBdr>
                    </w:div>
                  </w:divsChild>
                </w:div>
                <w:div w:id="836310624">
                  <w:marLeft w:val="0"/>
                  <w:marRight w:val="0"/>
                  <w:marTop w:val="0"/>
                  <w:marBottom w:val="0"/>
                  <w:divBdr>
                    <w:top w:val="none" w:sz="0" w:space="0" w:color="auto"/>
                    <w:left w:val="none" w:sz="0" w:space="0" w:color="auto"/>
                    <w:bottom w:val="none" w:sz="0" w:space="0" w:color="auto"/>
                    <w:right w:val="none" w:sz="0" w:space="0" w:color="auto"/>
                  </w:divBdr>
                  <w:divsChild>
                    <w:div w:id="1118259974">
                      <w:marLeft w:val="0"/>
                      <w:marRight w:val="0"/>
                      <w:marTop w:val="0"/>
                      <w:marBottom w:val="0"/>
                      <w:divBdr>
                        <w:top w:val="none" w:sz="0" w:space="0" w:color="auto"/>
                        <w:left w:val="none" w:sz="0" w:space="0" w:color="auto"/>
                        <w:bottom w:val="none" w:sz="0" w:space="0" w:color="auto"/>
                        <w:right w:val="none" w:sz="0" w:space="0" w:color="auto"/>
                      </w:divBdr>
                    </w:div>
                  </w:divsChild>
                </w:div>
                <w:div w:id="850491214">
                  <w:marLeft w:val="0"/>
                  <w:marRight w:val="0"/>
                  <w:marTop w:val="0"/>
                  <w:marBottom w:val="0"/>
                  <w:divBdr>
                    <w:top w:val="none" w:sz="0" w:space="0" w:color="auto"/>
                    <w:left w:val="none" w:sz="0" w:space="0" w:color="auto"/>
                    <w:bottom w:val="none" w:sz="0" w:space="0" w:color="auto"/>
                    <w:right w:val="none" w:sz="0" w:space="0" w:color="auto"/>
                  </w:divBdr>
                  <w:divsChild>
                    <w:div w:id="333995865">
                      <w:marLeft w:val="0"/>
                      <w:marRight w:val="0"/>
                      <w:marTop w:val="0"/>
                      <w:marBottom w:val="0"/>
                      <w:divBdr>
                        <w:top w:val="none" w:sz="0" w:space="0" w:color="auto"/>
                        <w:left w:val="none" w:sz="0" w:space="0" w:color="auto"/>
                        <w:bottom w:val="none" w:sz="0" w:space="0" w:color="auto"/>
                        <w:right w:val="none" w:sz="0" w:space="0" w:color="auto"/>
                      </w:divBdr>
                    </w:div>
                    <w:div w:id="529031281">
                      <w:marLeft w:val="0"/>
                      <w:marRight w:val="0"/>
                      <w:marTop w:val="0"/>
                      <w:marBottom w:val="0"/>
                      <w:divBdr>
                        <w:top w:val="none" w:sz="0" w:space="0" w:color="auto"/>
                        <w:left w:val="none" w:sz="0" w:space="0" w:color="auto"/>
                        <w:bottom w:val="none" w:sz="0" w:space="0" w:color="auto"/>
                        <w:right w:val="none" w:sz="0" w:space="0" w:color="auto"/>
                      </w:divBdr>
                    </w:div>
                    <w:div w:id="612983437">
                      <w:marLeft w:val="0"/>
                      <w:marRight w:val="0"/>
                      <w:marTop w:val="0"/>
                      <w:marBottom w:val="0"/>
                      <w:divBdr>
                        <w:top w:val="none" w:sz="0" w:space="0" w:color="auto"/>
                        <w:left w:val="none" w:sz="0" w:space="0" w:color="auto"/>
                        <w:bottom w:val="none" w:sz="0" w:space="0" w:color="auto"/>
                        <w:right w:val="none" w:sz="0" w:space="0" w:color="auto"/>
                      </w:divBdr>
                    </w:div>
                    <w:div w:id="673068101">
                      <w:marLeft w:val="0"/>
                      <w:marRight w:val="0"/>
                      <w:marTop w:val="0"/>
                      <w:marBottom w:val="0"/>
                      <w:divBdr>
                        <w:top w:val="none" w:sz="0" w:space="0" w:color="auto"/>
                        <w:left w:val="none" w:sz="0" w:space="0" w:color="auto"/>
                        <w:bottom w:val="none" w:sz="0" w:space="0" w:color="auto"/>
                        <w:right w:val="none" w:sz="0" w:space="0" w:color="auto"/>
                      </w:divBdr>
                    </w:div>
                    <w:div w:id="797334969">
                      <w:marLeft w:val="0"/>
                      <w:marRight w:val="0"/>
                      <w:marTop w:val="0"/>
                      <w:marBottom w:val="0"/>
                      <w:divBdr>
                        <w:top w:val="none" w:sz="0" w:space="0" w:color="auto"/>
                        <w:left w:val="none" w:sz="0" w:space="0" w:color="auto"/>
                        <w:bottom w:val="none" w:sz="0" w:space="0" w:color="auto"/>
                        <w:right w:val="none" w:sz="0" w:space="0" w:color="auto"/>
                      </w:divBdr>
                    </w:div>
                    <w:div w:id="1634284373">
                      <w:marLeft w:val="0"/>
                      <w:marRight w:val="0"/>
                      <w:marTop w:val="0"/>
                      <w:marBottom w:val="0"/>
                      <w:divBdr>
                        <w:top w:val="none" w:sz="0" w:space="0" w:color="auto"/>
                        <w:left w:val="none" w:sz="0" w:space="0" w:color="auto"/>
                        <w:bottom w:val="none" w:sz="0" w:space="0" w:color="auto"/>
                        <w:right w:val="none" w:sz="0" w:space="0" w:color="auto"/>
                      </w:divBdr>
                    </w:div>
                    <w:div w:id="1653950746">
                      <w:marLeft w:val="0"/>
                      <w:marRight w:val="0"/>
                      <w:marTop w:val="0"/>
                      <w:marBottom w:val="0"/>
                      <w:divBdr>
                        <w:top w:val="none" w:sz="0" w:space="0" w:color="auto"/>
                        <w:left w:val="none" w:sz="0" w:space="0" w:color="auto"/>
                        <w:bottom w:val="none" w:sz="0" w:space="0" w:color="auto"/>
                        <w:right w:val="none" w:sz="0" w:space="0" w:color="auto"/>
                      </w:divBdr>
                    </w:div>
                    <w:div w:id="1663116848">
                      <w:marLeft w:val="0"/>
                      <w:marRight w:val="0"/>
                      <w:marTop w:val="0"/>
                      <w:marBottom w:val="0"/>
                      <w:divBdr>
                        <w:top w:val="none" w:sz="0" w:space="0" w:color="auto"/>
                        <w:left w:val="none" w:sz="0" w:space="0" w:color="auto"/>
                        <w:bottom w:val="none" w:sz="0" w:space="0" w:color="auto"/>
                        <w:right w:val="none" w:sz="0" w:space="0" w:color="auto"/>
                      </w:divBdr>
                    </w:div>
                    <w:div w:id="1856571897">
                      <w:marLeft w:val="0"/>
                      <w:marRight w:val="0"/>
                      <w:marTop w:val="0"/>
                      <w:marBottom w:val="0"/>
                      <w:divBdr>
                        <w:top w:val="none" w:sz="0" w:space="0" w:color="auto"/>
                        <w:left w:val="none" w:sz="0" w:space="0" w:color="auto"/>
                        <w:bottom w:val="none" w:sz="0" w:space="0" w:color="auto"/>
                        <w:right w:val="none" w:sz="0" w:space="0" w:color="auto"/>
                      </w:divBdr>
                    </w:div>
                    <w:div w:id="2139566385">
                      <w:marLeft w:val="0"/>
                      <w:marRight w:val="0"/>
                      <w:marTop w:val="0"/>
                      <w:marBottom w:val="0"/>
                      <w:divBdr>
                        <w:top w:val="none" w:sz="0" w:space="0" w:color="auto"/>
                        <w:left w:val="none" w:sz="0" w:space="0" w:color="auto"/>
                        <w:bottom w:val="none" w:sz="0" w:space="0" w:color="auto"/>
                        <w:right w:val="none" w:sz="0" w:space="0" w:color="auto"/>
                      </w:divBdr>
                    </w:div>
                  </w:divsChild>
                </w:div>
                <w:div w:id="884217072">
                  <w:marLeft w:val="0"/>
                  <w:marRight w:val="0"/>
                  <w:marTop w:val="0"/>
                  <w:marBottom w:val="0"/>
                  <w:divBdr>
                    <w:top w:val="none" w:sz="0" w:space="0" w:color="auto"/>
                    <w:left w:val="none" w:sz="0" w:space="0" w:color="auto"/>
                    <w:bottom w:val="none" w:sz="0" w:space="0" w:color="auto"/>
                    <w:right w:val="none" w:sz="0" w:space="0" w:color="auto"/>
                  </w:divBdr>
                  <w:divsChild>
                    <w:div w:id="253979634">
                      <w:marLeft w:val="0"/>
                      <w:marRight w:val="0"/>
                      <w:marTop w:val="0"/>
                      <w:marBottom w:val="0"/>
                      <w:divBdr>
                        <w:top w:val="none" w:sz="0" w:space="0" w:color="auto"/>
                        <w:left w:val="none" w:sz="0" w:space="0" w:color="auto"/>
                        <w:bottom w:val="none" w:sz="0" w:space="0" w:color="auto"/>
                        <w:right w:val="none" w:sz="0" w:space="0" w:color="auto"/>
                      </w:divBdr>
                    </w:div>
                    <w:div w:id="452789657">
                      <w:marLeft w:val="0"/>
                      <w:marRight w:val="0"/>
                      <w:marTop w:val="0"/>
                      <w:marBottom w:val="0"/>
                      <w:divBdr>
                        <w:top w:val="none" w:sz="0" w:space="0" w:color="auto"/>
                        <w:left w:val="none" w:sz="0" w:space="0" w:color="auto"/>
                        <w:bottom w:val="none" w:sz="0" w:space="0" w:color="auto"/>
                        <w:right w:val="none" w:sz="0" w:space="0" w:color="auto"/>
                      </w:divBdr>
                    </w:div>
                    <w:div w:id="530076342">
                      <w:marLeft w:val="0"/>
                      <w:marRight w:val="0"/>
                      <w:marTop w:val="0"/>
                      <w:marBottom w:val="0"/>
                      <w:divBdr>
                        <w:top w:val="none" w:sz="0" w:space="0" w:color="auto"/>
                        <w:left w:val="none" w:sz="0" w:space="0" w:color="auto"/>
                        <w:bottom w:val="none" w:sz="0" w:space="0" w:color="auto"/>
                        <w:right w:val="none" w:sz="0" w:space="0" w:color="auto"/>
                      </w:divBdr>
                    </w:div>
                    <w:div w:id="689139593">
                      <w:marLeft w:val="0"/>
                      <w:marRight w:val="0"/>
                      <w:marTop w:val="0"/>
                      <w:marBottom w:val="0"/>
                      <w:divBdr>
                        <w:top w:val="none" w:sz="0" w:space="0" w:color="auto"/>
                        <w:left w:val="none" w:sz="0" w:space="0" w:color="auto"/>
                        <w:bottom w:val="none" w:sz="0" w:space="0" w:color="auto"/>
                        <w:right w:val="none" w:sz="0" w:space="0" w:color="auto"/>
                      </w:divBdr>
                    </w:div>
                    <w:div w:id="937759694">
                      <w:marLeft w:val="0"/>
                      <w:marRight w:val="0"/>
                      <w:marTop w:val="0"/>
                      <w:marBottom w:val="0"/>
                      <w:divBdr>
                        <w:top w:val="none" w:sz="0" w:space="0" w:color="auto"/>
                        <w:left w:val="none" w:sz="0" w:space="0" w:color="auto"/>
                        <w:bottom w:val="none" w:sz="0" w:space="0" w:color="auto"/>
                        <w:right w:val="none" w:sz="0" w:space="0" w:color="auto"/>
                      </w:divBdr>
                    </w:div>
                    <w:div w:id="1202744318">
                      <w:marLeft w:val="0"/>
                      <w:marRight w:val="0"/>
                      <w:marTop w:val="0"/>
                      <w:marBottom w:val="0"/>
                      <w:divBdr>
                        <w:top w:val="none" w:sz="0" w:space="0" w:color="auto"/>
                        <w:left w:val="none" w:sz="0" w:space="0" w:color="auto"/>
                        <w:bottom w:val="none" w:sz="0" w:space="0" w:color="auto"/>
                        <w:right w:val="none" w:sz="0" w:space="0" w:color="auto"/>
                      </w:divBdr>
                    </w:div>
                    <w:div w:id="1383287033">
                      <w:marLeft w:val="0"/>
                      <w:marRight w:val="0"/>
                      <w:marTop w:val="0"/>
                      <w:marBottom w:val="0"/>
                      <w:divBdr>
                        <w:top w:val="none" w:sz="0" w:space="0" w:color="auto"/>
                        <w:left w:val="none" w:sz="0" w:space="0" w:color="auto"/>
                        <w:bottom w:val="none" w:sz="0" w:space="0" w:color="auto"/>
                        <w:right w:val="none" w:sz="0" w:space="0" w:color="auto"/>
                      </w:divBdr>
                    </w:div>
                    <w:div w:id="1667367851">
                      <w:marLeft w:val="0"/>
                      <w:marRight w:val="0"/>
                      <w:marTop w:val="0"/>
                      <w:marBottom w:val="0"/>
                      <w:divBdr>
                        <w:top w:val="none" w:sz="0" w:space="0" w:color="auto"/>
                        <w:left w:val="none" w:sz="0" w:space="0" w:color="auto"/>
                        <w:bottom w:val="none" w:sz="0" w:space="0" w:color="auto"/>
                        <w:right w:val="none" w:sz="0" w:space="0" w:color="auto"/>
                      </w:divBdr>
                    </w:div>
                    <w:div w:id="1977757473">
                      <w:marLeft w:val="0"/>
                      <w:marRight w:val="0"/>
                      <w:marTop w:val="0"/>
                      <w:marBottom w:val="0"/>
                      <w:divBdr>
                        <w:top w:val="none" w:sz="0" w:space="0" w:color="auto"/>
                        <w:left w:val="none" w:sz="0" w:space="0" w:color="auto"/>
                        <w:bottom w:val="none" w:sz="0" w:space="0" w:color="auto"/>
                        <w:right w:val="none" w:sz="0" w:space="0" w:color="auto"/>
                      </w:divBdr>
                    </w:div>
                  </w:divsChild>
                </w:div>
                <w:div w:id="892159438">
                  <w:marLeft w:val="0"/>
                  <w:marRight w:val="0"/>
                  <w:marTop w:val="0"/>
                  <w:marBottom w:val="0"/>
                  <w:divBdr>
                    <w:top w:val="none" w:sz="0" w:space="0" w:color="auto"/>
                    <w:left w:val="none" w:sz="0" w:space="0" w:color="auto"/>
                    <w:bottom w:val="none" w:sz="0" w:space="0" w:color="auto"/>
                    <w:right w:val="none" w:sz="0" w:space="0" w:color="auto"/>
                  </w:divBdr>
                  <w:divsChild>
                    <w:div w:id="15204948">
                      <w:marLeft w:val="0"/>
                      <w:marRight w:val="0"/>
                      <w:marTop w:val="0"/>
                      <w:marBottom w:val="0"/>
                      <w:divBdr>
                        <w:top w:val="none" w:sz="0" w:space="0" w:color="auto"/>
                        <w:left w:val="none" w:sz="0" w:space="0" w:color="auto"/>
                        <w:bottom w:val="none" w:sz="0" w:space="0" w:color="auto"/>
                        <w:right w:val="none" w:sz="0" w:space="0" w:color="auto"/>
                      </w:divBdr>
                    </w:div>
                    <w:div w:id="702481887">
                      <w:marLeft w:val="0"/>
                      <w:marRight w:val="0"/>
                      <w:marTop w:val="0"/>
                      <w:marBottom w:val="0"/>
                      <w:divBdr>
                        <w:top w:val="none" w:sz="0" w:space="0" w:color="auto"/>
                        <w:left w:val="none" w:sz="0" w:space="0" w:color="auto"/>
                        <w:bottom w:val="none" w:sz="0" w:space="0" w:color="auto"/>
                        <w:right w:val="none" w:sz="0" w:space="0" w:color="auto"/>
                      </w:divBdr>
                    </w:div>
                    <w:div w:id="1197885676">
                      <w:marLeft w:val="0"/>
                      <w:marRight w:val="0"/>
                      <w:marTop w:val="0"/>
                      <w:marBottom w:val="0"/>
                      <w:divBdr>
                        <w:top w:val="none" w:sz="0" w:space="0" w:color="auto"/>
                        <w:left w:val="none" w:sz="0" w:space="0" w:color="auto"/>
                        <w:bottom w:val="none" w:sz="0" w:space="0" w:color="auto"/>
                        <w:right w:val="none" w:sz="0" w:space="0" w:color="auto"/>
                      </w:divBdr>
                    </w:div>
                  </w:divsChild>
                </w:div>
                <w:div w:id="899559227">
                  <w:marLeft w:val="0"/>
                  <w:marRight w:val="0"/>
                  <w:marTop w:val="0"/>
                  <w:marBottom w:val="0"/>
                  <w:divBdr>
                    <w:top w:val="none" w:sz="0" w:space="0" w:color="auto"/>
                    <w:left w:val="none" w:sz="0" w:space="0" w:color="auto"/>
                    <w:bottom w:val="none" w:sz="0" w:space="0" w:color="auto"/>
                    <w:right w:val="none" w:sz="0" w:space="0" w:color="auto"/>
                  </w:divBdr>
                  <w:divsChild>
                    <w:div w:id="1014766779">
                      <w:marLeft w:val="0"/>
                      <w:marRight w:val="0"/>
                      <w:marTop w:val="0"/>
                      <w:marBottom w:val="0"/>
                      <w:divBdr>
                        <w:top w:val="none" w:sz="0" w:space="0" w:color="auto"/>
                        <w:left w:val="none" w:sz="0" w:space="0" w:color="auto"/>
                        <w:bottom w:val="none" w:sz="0" w:space="0" w:color="auto"/>
                        <w:right w:val="none" w:sz="0" w:space="0" w:color="auto"/>
                      </w:divBdr>
                    </w:div>
                    <w:div w:id="1222253726">
                      <w:marLeft w:val="0"/>
                      <w:marRight w:val="0"/>
                      <w:marTop w:val="0"/>
                      <w:marBottom w:val="0"/>
                      <w:divBdr>
                        <w:top w:val="none" w:sz="0" w:space="0" w:color="auto"/>
                        <w:left w:val="none" w:sz="0" w:space="0" w:color="auto"/>
                        <w:bottom w:val="none" w:sz="0" w:space="0" w:color="auto"/>
                        <w:right w:val="none" w:sz="0" w:space="0" w:color="auto"/>
                      </w:divBdr>
                    </w:div>
                    <w:div w:id="2037073886">
                      <w:marLeft w:val="0"/>
                      <w:marRight w:val="0"/>
                      <w:marTop w:val="0"/>
                      <w:marBottom w:val="0"/>
                      <w:divBdr>
                        <w:top w:val="none" w:sz="0" w:space="0" w:color="auto"/>
                        <w:left w:val="none" w:sz="0" w:space="0" w:color="auto"/>
                        <w:bottom w:val="none" w:sz="0" w:space="0" w:color="auto"/>
                        <w:right w:val="none" w:sz="0" w:space="0" w:color="auto"/>
                      </w:divBdr>
                    </w:div>
                  </w:divsChild>
                </w:div>
                <w:div w:id="961350520">
                  <w:marLeft w:val="0"/>
                  <w:marRight w:val="0"/>
                  <w:marTop w:val="0"/>
                  <w:marBottom w:val="0"/>
                  <w:divBdr>
                    <w:top w:val="none" w:sz="0" w:space="0" w:color="auto"/>
                    <w:left w:val="none" w:sz="0" w:space="0" w:color="auto"/>
                    <w:bottom w:val="none" w:sz="0" w:space="0" w:color="auto"/>
                    <w:right w:val="none" w:sz="0" w:space="0" w:color="auto"/>
                  </w:divBdr>
                  <w:divsChild>
                    <w:div w:id="1469856940">
                      <w:marLeft w:val="0"/>
                      <w:marRight w:val="0"/>
                      <w:marTop w:val="0"/>
                      <w:marBottom w:val="0"/>
                      <w:divBdr>
                        <w:top w:val="none" w:sz="0" w:space="0" w:color="auto"/>
                        <w:left w:val="none" w:sz="0" w:space="0" w:color="auto"/>
                        <w:bottom w:val="none" w:sz="0" w:space="0" w:color="auto"/>
                        <w:right w:val="none" w:sz="0" w:space="0" w:color="auto"/>
                      </w:divBdr>
                    </w:div>
                  </w:divsChild>
                </w:div>
                <w:div w:id="1001393042">
                  <w:marLeft w:val="0"/>
                  <w:marRight w:val="0"/>
                  <w:marTop w:val="0"/>
                  <w:marBottom w:val="0"/>
                  <w:divBdr>
                    <w:top w:val="none" w:sz="0" w:space="0" w:color="auto"/>
                    <w:left w:val="none" w:sz="0" w:space="0" w:color="auto"/>
                    <w:bottom w:val="none" w:sz="0" w:space="0" w:color="auto"/>
                    <w:right w:val="none" w:sz="0" w:space="0" w:color="auto"/>
                  </w:divBdr>
                  <w:divsChild>
                    <w:div w:id="77363470">
                      <w:marLeft w:val="0"/>
                      <w:marRight w:val="0"/>
                      <w:marTop w:val="0"/>
                      <w:marBottom w:val="0"/>
                      <w:divBdr>
                        <w:top w:val="none" w:sz="0" w:space="0" w:color="auto"/>
                        <w:left w:val="none" w:sz="0" w:space="0" w:color="auto"/>
                        <w:bottom w:val="none" w:sz="0" w:space="0" w:color="auto"/>
                        <w:right w:val="none" w:sz="0" w:space="0" w:color="auto"/>
                      </w:divBdr>
                    </w:div>
                    <w:div w:id="269899696">
                      <w:marLeft w:val="0"/>
                      <w:marRight w:val="0"/>
                      <w:marTop w:val="0"/>
                      <w:marBottom w:val="0"/>
                      <w:divBdr>
                        <w:top w:val="none" w:sz="0" w:space="0" w:color="auto"/>
                        <w:left w:val="none" w:sz="0" w:space="0" w:color="auto"/>
                        <w:bottom w:val="none" w:sz="0" w:space="0" w:color="auto"/>
                        <w:right w:val="none" w:sz="0" w:space="0" w:color="auto"/>
                      </w:divBdr>
                    </w:div>
                    <w:div w:id="270168829">
                      <w:marLeft w:val="0"/>
                      <w:marRight w:val="0"/>
                      <w:marTop w:val="0"/>
                      <w:marBottom w:val="0"/>
                      <w:divBdr>
                        <w:top w:val="none" w:sz="0" w:space="0" w:color="auto"/>
                        <w:left w:val="none" w:sz="0" w:space="0" w:color="auto"/>
                        <w:bottom w:val="none" w:sz="0" w:space="0" w:color="auto"/>
                        <w:right w:val="none" w:sz="0" w:space="0" w:color="auto"/>
                      </w:divBdr>
                    </w:div>
                    <w:div w:id="358091205">
                      <w:marLeft w:val="0"/>
                      <w:marRight w:val="0"/>
                      <w:marTop w:val="0"/>
                      <w:marBottom w:val="0"/>
                      <w:divBdr>
                        <w:top w:val="none" w:sz="0" w:space="0" w:color="auto"/>
                        <w:left w:val="none" w:sz="0" w:space="0" w:color="auto"/>
                        <w:bottom w:val="none" w:sz="0" w:space="0" w:color="auto"/>
                        <w:right w:val="none" w:sz="0" w:space="0" w:color="auto"/>
                      </w:divBdr>
                    </w:div>
                    <w:div w:id="809052086">
                      <w:marLeft w:val="0"/>
                      <w:marRight w:val="0"/>
                      <w:marTop w:val="0"/>
                      <w:marBottom w:val="0"/>
                      <w:divBdr>
                        <w:top w:val="none" w:sz="0" w:space="0" w:color="auto"/>
                        <w:left w:val="none" w:sz="0" w:space="0" w:color="auto"/>
                        <w:bottom w:val="none" w:sz="0" w:space="0" w:color="auto"/>
                        <w:right w:val="none" w:sz="0" w:space="0" w:color="auto"/>
                      </w:divBdr>
                    </w:div>
                    <w:div w:id="897058906">
                      <w:marLeft w:val="0"/>
                      <w:marRight w:val="0"/>
                      <w:marTop w:val="0"/>
                      <w:marBottom w:val="0"/>
                      <w:divBdr>
                        <w:top w:val="none" w:sz="0" w:space="0" w:color="auto"/>
                        <w:left w:val="none" w:sz="0" w:space="0" w:color="auto"/>
                        <w:bottom w:val="none" w:sz="0" w:space="0" w:color="auto"/>
                        <w:right w:val="none" w:sz="0" w:space="0" w:color="auto"/>
                      </w:divBdr>
                    </w:div>
                    <w:div w:id="1495679506">
                      <w:marLeft w:val="0"/>
                      <w:marRight w:val="0"/>
                      <w:marTop w:val="0"/>
                      <w:marBottom w:val="0"/>
                      <w:divBdr>
                        <w:top w:val="none" w:sz="0" w:space="0" w:color="auto"/>
                        <w:left w:val="none" w:sz="0" w:space="0" w:color="auto"/>
                        <w:bottom w:val="none" w:sz="0" w:space="0" w:color="auto"/>
                        <w:right w:val="none" w:sz="0" w:space="0" w:color="auto"/>
                      </w:divBdr>
                    </w:div>
                    <w:div w:id="1567371781">
                      <w:marLeft w:val="0"/>
                      <w:marRight w:val="0"/>
                      <w:marTop w:val="0"/>
                      <w:marBottom w:val="0"/>
                      <w:divBdr>
                        <w:top w:val="none" w:sz="0" w:space="0" w:color="auto"/>
                        <w:left w:val="none" w:sz="0" w:space="0" w:color="auto"/>
                        <w:bottom w:val="none" w:sz="0" w:space="0" w:color="auto"/>
                        <w:right w:val="none" w:sz="0" w:space="0" w:color="auto"/>
                      </w:divBdr>
                    </w:div>
                    <w:div w:id="1605066902">
                      <w:marLeft w:val="0"/>
                      <w:marRight w:val="0"/>
                      <w:marTop w:val="0"/>
                      <w:marBottom w:val="0"/>
                      <w:divBdr>
                        <w:top w:val="none" w:sz="0" w:space="0" w:color="auto"/>
                        <w:left w:val="none" w:sz="0" w:space="0" w:color="auto"/>
                        <w:bottom w:val="none" w:sz="0" w:space="0" w:color="auto"/>
                        <w:right w:val="none" w:sz="0" w:space="0" w:color="auto"/>
                      </w:divBdr>
                    </w:div>
                    <w:div w:id="1862402055">
                      <w:marLeft w:val="0"/>
                      <w:marRight w:val="0"/>
                      <w:marTop w:val="0"/>
                      <w:marBottom w:val="0"/>
                      <w:divBdr>
                        <w:top w:val="none" w:sz="0" w:space="0" w:color="auto"/>
                        <w:left w:val="none" w:sz="0" w:space="0" w:color="auto"/>
                        <w:bottom w:val="none" w:sz="0" w:space="0" w:color="auto"/>
                        <w:right w:val="none" w:sz="0" w:space="0" w:color="auto"/>
                      </w:divBdr>
                    </w:div>
                    <w:div w:id="1954164902">
                      <w:marLeft w:val="0"/>
                      <w:marRight w:val="0"/>
                      <w:marTop w:val="0"/>
                      <w:marBottom w:val="0"/>
                      <w:divBdr>
                        <w:top w:val="none" w:sz="0" w:space="0" w:color="auto"/>
                        <w:left w:val="none" w:sz="0" w:space="0" w:color="auto"/>
                        <w:bottom w:val="none" w:sz="0" w:space="0" w:color="auto"/>
                        <w:right w:val="none" w:sz="0" w:space="0" w:color="auto"/>
                      </w:divBdr>
                    </w:div>
                  </w:divsChild>
                </w:div>
                <w:div w:id="1002515162">
                  <w:marLeft w:val="0"/>
                  <w:marRight w:val="0"/>
                  <w:marTop w:val="0"/>
                  <w:marBottom w:val="0"/>
                  <w:divBdr>
                    <w:top w:val="none" w:sz="0" w:space="0" w:color="auto"/>
                    <w:left w:val="none" w:sz="0" w:space="0" w:color="auto"/>
                    <w:bottom w:val="none" w:sz="0" w:space="0" w:color="auto"/>
                    <w:right w:val="none" w:sz="0" w:space="0" w:color="auto"/>
                  </w:divBdr>
                  <w:divsChild>
                    <w:div w:id="827091183">
                      <w:marLeft w:val="0"/>
                      <w:marRight w:val="0"/>
                      <w:marTop w:val="0"/>
                      <w:marBottom w:val="0"/>
                      <w:divBdr>
                        <w:top w:val="none" w:sz="0" w:space="0" w:color="auto"/>
                        <w:left w:val="none" w:sz="0" w:space="0" w:color="auto"/>
                        <w:bottom w:val="none" w:sz="0" w:space="0" w:color="auto"/>
                        <w:right w:val="none" w:sz="0" w:space="0" w:color="auto"/>
                      </w:divBdr>
                    </w:div>
                    <w:div w:id="949319870">
                      <w:marLeft w:val="0"/>
                      <w:marRight w:val="0"/>
                      <w:marTop w:val="0"/>
                      <w:marBottom w:val="0"/>
                      <w:divBdr>
                        <w:top w:val="none" w:sz="0" w:space="0" w:color="auto"/>
                        <w:left w:val="none" w:sz="0" w:space="0" w:color="auto"/>
                        <w:bottom w:val="none" w:sz="0" w:space="0" w:color="auto"/>
                        <w:right w:val="none" w:sz="0" w:space="0" w:color="auto"/>
                      </w:divBdr>
                    </w:div>
                    <w:div w:id="960377118">
                      <w:marLeft w:val="0"/>
                      <w:marRight w:val="0"/>
                      <w:marTop w:val="0"/>
                      <w:marBottom w:val="0"/>
                      <w:divBdr>
                        <w:top w:val="none" w:sz="0" w:space="0" w:color="auto"/>
                        <w:left w:val="none" w:sz="0" w:space="0" w:color="auto"/>
                        <w:bottom w:val="none" w:sz="0" w:space="0" w:color="auto"/>
                        <w:right w:val="none" w:sz="0" w:space="0" w:color="auto"/>
                      </w:divBdr>
                    </w:div>
                    <w:div w:id="1132942066">
                      <w:marLeft w:val="0"/>
                      <w:marRight w:val="0"/>
                      <w:marTop w:val="0"/>
                      <w:marBottom w:val="0"/>
                      <w:divBdr>
                        <w:top w:val="none" w:sz="0" w:space="0" w:color="auto"/>
                        <w:left w:val="none" w:sz="0" w:space="0" w:color="auto"/>
                        <w:bottom w:val="none" w:sz="0" w:space="0" w:color="auto"/>
                        <w:right w:val="none" w:sz="0" w:space="0" w:color="auto"/>
                      </w:divBdr>
                    </w:div>
                    <w:div w:id="1179350636">
                      <w:marLeft w:val="0"/>
                      <w:marRight w:val="0"/>
                      <w:marTop w:val="0"/>
                      <w:marBottom w:val="0"/>
                      <w:divBdr>
                        <w:top w:val="none" w:sz="0" w:space="0" w:color="auto"/>
                        <w:left w:val="none" w:sz="0" w:space="0" w:color="auto"/>
                        <w:bottom w:val="none" w:sz="0" w:space="0" w:color="auto"/>
                        <w:right w:val="none" w:sz="0" w:space="0" w:color="auto"/>
                      </w:divBdr>
                    </w:div>
                    <w:div w:id="1486356592">
                      <w:marLeft w:val="0"/>
                      <w:marRight w:val="0"/>
                      <w:marTop w:val="0"/>
                      <w:marBottom w:val="0"/>
                      <w:divBdr>
                        <w:top w:val="none" w:sz="0" w:space="0" w:color="auto"/>
                        <w:left w:val="none" w:sz="0" w:space="0" w:color="auto"/>
                        <w:bottom w:val="none" w:sz="0" w:space="0" w:color="auto"/>
                        <w:right w:val="none" w:sz="0" w:space="0" w:color="auto"/>
                      </w:divBdr>
                    </w:div>
                    <w:div w:id="1520312023">
                      <w:marLeft w:val="0"/>
                      <w:marRight w:val="0"/>
                      <w:marTop w:val="0"/>
                      <w:marBottom w:val="0"/>
                      <w:divBdr>
                        <w:top w:val="none" w:sz="0" w:space="0" w:color="auto"/>
                        <w:left w:val="none" w:sz="0" w:space="0" w:color="auto"/>
                        <w:bottom w:val="none" w:sz="0" w:space="0" w:color="auto"/>
                        <w:right w:val="none" w:sz="0" w:space="0" w:color="auto"/>
                      </w:divBdr>
                    </w:div>
                  </w:divsChild>
                </w:div>
                <w:div w:id="1008290794">
                  <w:marLeft w:val="0"/>
                  <w:marRight w:val="0"/>
                  <w:marTop w:val="0"/>
                  <w:marBottom w:val="0"/>
                  <w:divBdr>
                    <w:top w:val="none" w:sz="0" w:space="0" w:color="auto"/>
                    <w:left w:val="none" w:sz="0" w:space="0" w:color="auto"/>
                    <w:bottom w:val="none" w:sz="0" w:space="0" w:color="auto"/>
                    <w:right w:val="none" w:sz="0" w:space="0" w:color="auto"/>
                  </w:divBdr>
                  <w:divsChild>
                    <w:div w:id="1747148194">
                      <w:marLeft w:val="0"/>
                      <w:marRight w:val="0"/>
                      <w:marTop w:val="0"/>
                      <w:marBottom w:val="0"/>
                      <w:divBdr>
                        <w:top w:val="none" w:sz="0" w:space="0" w:color="auto"/>
                        <w:left w:val="none" w:sz="0" w:space="0" w:color="auto"/>
                        <w:bottom w:val="none" w:sz="0" w:space="0" w:color="auto"/>
                        <w:right w:val="none" w:sz="0" w:space="0" w:color="auto"/>
                      </w:divBdr>
                    </w:div>
                  </w:divsChild>
                </w:div>
                <w:div w:id="1024555718">
                  <w:marLeft w:val="0"/>
                  <w:marRight w:val="0"/>
                  <w:marTop w:val="0"/>
                  <w:marBottom w:val="0"/>
                  <w:divBdr>
                    <w:top w:val="none" w:sz="0" w:space="0" w:color="auto"/>
                    <w:left w:val="none" w:sz="0" w:space="0" w:color="auto"/>
                    <w:bottom w:val="none" w:sz="0" w:space="0" w:color="auto"/>
                    <w:right w:val="none" w:sz="0" w:space="0" w:color="auto"/>
                  </w:divBdr>
                  <w:divsChild>
                    <w:div w:id="242377329">
                      <w:marLeft w:val="0"/>
                      <w:marRight w:val="0"/>
                      <w:marTop w:val="0"/>
                      <w:marBottom w:val="0"/>
                      <w:divBdr>
                        <w:top w:val="none" w:sz="0" w:space="0" w:color="auto"/>
                        <w:left w:val="none" w:sz="0" w:space="0" w:color="auto"/>
                        <w:bottom w:val="none" w:sz="0" w:space="0" w:color="auto"/>
                        <w:right w:val="none" w:sz="0" w:space="0" w:color="auto"/>
                      </w:divBdr>
                    </w:div>
                    <w:div w:id="583994286">
                      <w:marLeft w:val="0"/>
                      <w:marRight w:val="0"/>
                      <w:marTop w:val="0"/>
                      <w:marBottom w:val="0"/>
                      <w:divBdr>
                        <w:top w:val="none" w:sz="0" w:space="0" w:color="auto"/>
                        <w:left w:val="none" w:sz="0" w:space="0" w:color="auto"/>
                        <w:bottom w:val="none" w:sz="0" w:space="0" w:color="auto"/>
                        <w:right w:val="none" w:sz="0" w:space="0" w:color="auto"/>
                      </w:divBdr>
                    </w:div>
                    <w:div w:id="620918093">
                      <w:marLeft w:val="0"/>
                      <w:marRight w:val="0"/>
                      <w:marTop w:val="0"/>
                      <w:marBottom w:val="0"/>
                      <w:divBdr>
                        <w:top w:val="none" w:sz="0" w:space="0" w:color="auto"/>
                        <w:left w:val="none" w:sz="0" w:space="0" w:color="auto"/>
                        <w:bottom w:val="none" w:sz="0" w:space="0" w:color="auto"/>
                        <w:right w:val="none" w:sz="0" w:space="0" w:color="auto"/>
                      </w:divBdr>
                    </w:div>
                    <w:div w:id="683943347">
                      <w:marLeft w:val="0"/>
                      <w:marRight w:val="0"/>
                      <w:marTop w:val="0"/>
                      <w:marBottom w:val="0"/>
                      <w:divBdr>
                        <w:top w:val="none" w:sz="0" w:space="0" w:color="auto"/>
                        <w:left w:val="none" w:sz="0" w:space="0" w:color="auto"/>
                        <w:bottom w:val="none" w:sz="0" w:space="0" w:color="auto"/>
                        <w:right w:val="none" w:sz="0" w:space="0" w:color="auto"/>
                      </w:divBdr>
                    </w:div>
                    <w:div w:id="814025111">
                      <w:marLeft w:val="0"/>
                      <w:marRight w:val="0"/>
                      <w:marTop w:val="0"/>
                      <w:marBottom w:val="0"/>
                      <w:divBdr>
                        <w:top w:val="none" w:sz="0" w:space="0" w:color="auto"/>
                        <w:left w:val="none" w:sz="0" w:space="0" w:color="auto"/>
                        <w:bottom w:val="none" w:sz="0" w:space="0" w:color="auto"/>
                        <w:right w:val="none" w:sz="0" w:space="0" w:color="auto"/>
                      </w:divBdr>
                    </w:div>
                    <w:div w:id="1324430246">
                      <w:marLeft w:val="0"/>
                      <w:marRight w:val="0"/>
                      <w:marTop w:val="0"/>
                      <w:marBottom w:val="0"/>
                      <w:divBdr>
                        <w:top w:val="none" w:sz="0" w:space="0" w:color="auto"/>
                        <w:left w:val="none" w:sz="0" w:space="0" w:color="auto"/>
                        <w:bottom w:val="none" w:sz="0" w:space="0" w:color="auto"/>
                        <w:right w:val="none" w:sz="0" w:space="0" w:color="auto"/>
                      </w:divBdr>
                    </w:div>
                    <w:div w:id="1443039514">
                      <w:marLeft w:val="0"/>
                      <w:marRight w:val="0"/>
                      <w:marTop w:val="0"/>
                      <w:marBottom w:val="0"/>
                      <w:divBdr>
                        <w:top w:val="none" w:sz="0" w:space="0" w:color="auto"/>
                        <w:left w:val="none" w:sz="0" w:space="0" w:color="auto"/>
                        <w:bottom w:val="none" w:sz="0" w:space="0" w:color="auto"/>
                        <w:right w:val="none" w:sz="0" w:space="0" w:color="auto"/>
                      </w:divBdr>
                    </w:div>
                    <w:div w:id="1685932648">
                      <w:marLeft w:val="0"/>
                      <w:marRight w:val="0"/>
                      <w:marTop w:val="0"/>
                      <w:marBottom w:val="0"/>
                      <w:divBdr>
                        <w:top w:val="none" w:sz="0" w:space="0" w:color="auto"/>
                        <w:left w:val="none" w:sz="0" w:space="0" w:color="auto"/>
                        <w:bottom w:val="none" w:sz="0" w:space="0" w:color="auto"/>
                        <w:right w:val="none" w:sz="0" w:space="0" w:color="auto"/>
                      </w:divBdr>
                    </w:div>
                  </w:divsChild>
                </w:div>
                <w:div w:id="1047529568">
                  <w:marLeft w:val="0"/>
                  <w:marRight w:val="0"/>
                  <w:marTop w:val="0"/>
                  <w:marBottom w:val="0"/>
                  <w:divBdr>
                    <w:top w:val="none" w:sz="0" w:space="0" w:color="auto"/>
                    <w:left w:val="none" w:sz="0" w:space="0" w:color="auto"/>
                    <w:bottom w:val="none" w:sz="0" w:space="0" w:color="auto"/>
                    <w:right w:val="none" w:sz="0" w:space="0" w:color="auto"/>
                  </w:divBdr>
                  <w:divsChild>
                    <w:div w:id="153840105">
                      <w:marLeft w:val="0"/>
                      <w:marRight w:val="0"/>
                      <w:marTop w:val="0"/>
                      <w:marBottom w:val="0"/>
                      <w:divBdr>
                        <w:top w:val="none" w:sz="0" w:space="0" w:color="auto"/>
                        <w:left w:val="none" w:sz="0" w:space="0" w:color="auto"/>
                        <w:bottom w:val="none" w:sz="0" w:space="0" w:color="auto"/>
                        <w:right w:val="none" w:sz="0" w:space="0" w:color="auto"/>
                      </w:divBdr>
                    </w:div>
                    <w:div w:id="1038701127">
                      <w:marLeft w:val="0"/>
                      <w:marRight w:val="0"/>
                      <w:marTop w:val="0"/>
                      <w:marBottom w:val="0"/>
                      <w:divBdr>
                        <w:top w:val="none" w:sz="0" w:space="0" w:color="auto"/>
                        <w:left w:val="none" w:sz="0" w:space="0" w:color="auto"/>
                        <w:bottom w:val="none" w:sz="0" w:space="0" w:color="auto"/>
                        <w:right w:val="none" w:sz="0" w:space="0" w:color="auto"/>
                      </w:divBdr>
                    </w:div>
                    <w:div w:id="2053573714">
                      <w:marLeft w:val="0"/>
                      <w:marRight w:val="0"/>
                      <w:marTop w:val="0"/>
                      <w:marBottom w:val="0"/>
                      <w:divBdr>
                        <w:top w:val="none" w:sz="0" w:space="0" w:color="auto"/>
                        <w:left w:val="none" w:sz="0" w:space="0" w:color="auto"/>
                        <w:bottom w:val="none" w:sz="0" w:space="0" w:color="auto"/>
                        <w:right w:val="none" w:sz="0" w:space="0" w:color="auto"/>
                      </w:divBdr>
                    </w:div>
                  </w:divsChild>
                </w:div>
                <w:div w:id="1058671437">
                  <w:marLeft w:val="0"/>
                  <w:marRight w:val="0"/>
                  <w:marTop w:val="0"/>
                  <w:marBottom w:val="0"/>
                  <w:divBdr>
                    <w:top w:val="none" w:sz="0" w:space="0" w:color="auto"/>
                    <w:left w:val="none" w:sz="0" w:space="0" w:color="auto"/>
                    <w:bottom w:val="none" w:sz="0" w:space="0" w:color="auto"/>
                    <w:right w:val="none" w:sz="0" w:space="0" w:color="auto"/>
                  </w:divBdr>
                  <w:divsChild>
                    <w:div w:id="501625140">
                      <w:marLeft w:val="0"/>
                      <w:marRight w:val="0"/>
                      <w:marTop w:val="0"/>
                      <w:marBottom w:val="0"/>
                      <w:divBdr>
                        <w:top w:val="none" w:sz="0" w:space="0" w:color="auto"/>
                        <w:left w:val="none" w:sz="0" w:space="0" w:color="auto"/>
                        <w:bottom w:val="none" w:sz="0" w:space="0" w:color="auto"/>
                        <w:right w:val="none" w:sz="0" w:space="0" w:color="auto"/>
                      </w:divBdr>
                    </w:div>
                  </w:divsChild>
                </w:div>
                <w:div w:id="1179002193">
                  <w:marLeft w:val="0"/>
                  <w:marRight w:val="0"/>
                  <w:marTop w:val="0"/>
                  <w:marBottom w:val="0"/>
                  <w:divBdr>
                    <w:top w:val="none" w:sz="0" w:space="0" w:color="auto"/>
                    <w:left w:val="none" w:sz="0" w:space="0" w:color="auto"/>
                    <w:bottom w:val="none" w:sz="0" w:space="0" w:color="auto"/>
                    <w:right w:val="none" w:sz="0" w:space="0" w:color="auto"/>
                  </w:divBdr>
                  <w:divsChild>
                    <w:div w:id="311956864">
                      <w:marLeft w:val="0"/>
                      <w:marRight w:val="0"/>
                      <w:marTop w:val="0"/>
                      <w:marBottom w:val="0"/>
                      <w:divBdr>
                        <w:top w:val="none" w:sz="0" w:space="0" w:color="auto"/>
                        <w:left w:val="none" w:sz="0" w:space="0" w:color="auto"/>
                        <w:bottom w:val="none" w:sz="0" w:space="0" w:color="auto"/>
                        <w:right w:val="none" w:sz="0" w:space="0" w:color="auto"/>
                      </w:divBdr>
                    </w:div>
                    <w:div w:id="1745881808">
                      <w:marLeft w:val="0"/>
                      <w:marRight w:val="0"/>
                      <w:marTop w:val="0"/>
                      <w:marBottom w:val="0"/>
                      <w:divBdr>
                        <w:top w:val="none" w:sz="0" w:space="0" w:color="auto"/>
                        <w:left w:val="none" w:sz="0" w:space="0" w:color="auto"/>
                        <w:bottom w:val="none" w:sz="0" w:space="0" w:color="auto"/>
                        <w:right w:val="none" w:sz="0" w:space="0" w:color="auto"/>
                      </w:divBdr>
                    </w:div>
                  </w:divsChild>
                </w:div>
                <w:div w:id="1210531977">
                  <w:marLeft w:val="0"/>
                  <w:marRight w:val="0"/>
                  <w:marTop w:val="0"/>
                  <w:marBottom w:val="0"/>
                  <w:divBdr>
                    <w:top w:val="none" w:sz="0" w:space="0" w:color="auto"/>
                    <w:left w:val="none" w:sz="0" w:space="0" w:color="auto"/>
                    <w:bottom w:val="none" w:sz="0" w:space="0" w:color="auto"/>
                    <w:right w:val="none" w:sz="0" w:space="0" w:color="auto"/>
                  </w:divBdr>
                  <w:divsChild>
                    <w:div w:id="186719192">
                      <w:marLeft w:val="0"/>
                      <w:marRight w:val="0"/>
                      <w:marTop w:val="0"/>
                      <w:marBottom w:val="0"/>
                      <w:divBdr>
                        <w:top w:val="none" w:sz="0" w:space="0" w:color="auto"/>
                        <w:left w:val="none" w:sz="0" w:space="0" w:color="auto"/>
                        <w:bottom w:val="none" w:sz="0" w:space="0" w:color="auto"/>
                        <w:right w:val="none" w:sz="0" w:space="0" w:color="auto"/>
                      </w:divBdr>
                    </w:div>
                    <w:div w:id="1101486185">
                      <w:marLeft w:val="0"/>
                      <w:marRight w:val="0"/>
                      <w:marTop w:val="0"/>
                      <w:marBottom w:val="0"/>
                      <w:divBdr>
                        <w:top w:val="none" w:sz="0" w:space="0" w:color="auto"/>
                        <w:left w:val="none" w:sz="0" w:space="0" w:color="auto"/>
                        <w:bottom w:val="none" w:sz="0" w:space="0" w:color="auto"/>
                        <w:right w:val="none" w:sz="0" w:space="0" w:color="auto"/>
                      </w:divBdr>
                    </w:div>
                    <w:div w:id="1332954983">
                      <w:marLeft w:val="0"/>
                      <w:marRight w:val="0"/>
                      <w:marTop w:val="0"/>
                      <w:marBottom w:val="0"/>
                      <w:divBdr>
                        <w:top w:val="none" w:sz="0" w:space="0" w:color="auto"/>
                        <w:left w:val="none" w:sz="0" w:space="0" w:color="auto"/>
                        <w:bottom w:val="none" w:sz="0" w:space="0" w:color="auto"/>
                        <w:right w:val="none" w:sz="0" w:space="0" w:color="auto"/>
                      </w:divBdr>
                    </w:div>
                    <w:div w:id="1831023436">
                      <w:marLeft w:val="0"/>
                      <w:marRight w:val="0"/>
                      <w:marTop w:val="0"/>
                      <w:marBottom w:val="0"/>
                      <w:divBdr>
                        <w:top w:val="none" w:sz="0" w:space="0" w:color="auto"/>
                        <w:left w:val="none" w:sz="0" w:space="0" w:color="auto"/>
                        <w:bottom w:val="none" w:sz="0" w:space="0" w:color="auto"/>
                        <w:right w:val="none" w:sz="0" w:space="0" w:color="auto"/>
                      </w:divBdr>
                    </w:div>
                    <w:div w:id="1857577677">
                      <w:marLeft w:val="0"/>
                      <w:marRight w:val="0"/>
                      <w:marTop w:val="0"/>
                      <w:marBottom w:val="0"/>
                      <w:divBdr>
                        <w:top w:val="none" w:sz="0" w:space="0" w:color="auto"/>
                        <w:left w:val="none" w:sz="0" w:space="0" w:color="auto"/>
                        <w:bottom w:val="none" w:sz="0" w:space="0" w:color="auto"/>
                        <w:right w:val="none" w:sz="0" w:space="0" w:color="auto"/>
                      </w:divBdr>
                    </w:div>
                    <w:div w:id="1899899150">
                      <w:marLeft w:val="0"/>
                      <w:marRight w:val="0"/>
                      <w:marTop w:val="0"/>
                      <w:marBottom w:val="0"/>
                      <w:divBdr>
                        <w:top w:val="none" w:sz="0" w:space="0" w:color="auto"/>
                        <w:left w:val="none" w:sz="0" w:space="0" w:color="auto"/>
                        <w:bottom w:val="none" w:sz="0" w:space="0" w:color="auto"/>
                        <w:right w:val="none" w:sz="0" w:space="0" w:color="auto"/>
                      </w:divBdr>
                    </w:div>
                    <w:div w:id="2032560538">
                      <w:marLeft w:val="0"/>
                      <w:marRight w:val="0"/>
                      <w:marTop w:val="0"/>
                      <w:marBottom w:val="0"/>
                      <w:divBdr>
                        <w:top w:val="none" w:sz="0" w:space="0" w:color="auto"/>
                        <w:left w:val="none" w:sz="0" w:space="0" w:color="auto"/>
                        <w:bottom w:val="none" w:sz="0" w:space="0" w:color="auto"/>
                        <w:right w:val="none" w:sz="0" w:space="0" w:color="auto"/>
                      </w:divBdr>
                    </w:div>
                  </w:divsChild>
                </w:div>
                <w:div w:id="1232080548">
                  <w:marLeft w:val="0"/>
                  <w:marRight w:val="0"/>
                  <w:marTop w:val="0"/>
                  <w:marBottom w:val="0"/>
                  <w:divBdr>
                    <w:top w:val="none" w:sz="0" w:space="0" w:color="auto"/>
                    <w:left w:val="none" w:sz="0" w:space="0" w:color="auto"/>
                    <w:bottom w:val="none" w:sz="0" w:space="0" w:color="auto"/>
                    <w:right w:val="none" w:sz="0" w:space="0" w:color="auto"/>
                  </w:divBdr>
                  <w:divsChild>
                    <w:div w:id="1828665680">
                      <w:marLeft w:val="0"/>
                      <w:marRight w:val="0"/>
                      <w:marTop w:val="0"/>
                      <w:marBottom w:val="0"/>
                      <w:divBdr>
                        <w:top w:val="none" w:sz="0" w:space="0" w:color="auto"/>
                        <w:left w:val="none" w:sz="0" w:space="0" w:color="auto"/>
                        <w:bottom w:val="none" w:sz="0" w:space="0" w:color="auto"/>
                        <w:right w:val="none" w:sz="0" w:space="0" w:color="auto"/>
                      </w:divBdr>
                    </w:div>
                  </w:divsChild>
                </w:div>
                <w:div w:id="1263612480">
                  <w:marLeft w:val="0"/>
                  <w:marRight w:val="0"/>
                  <w:marTop w:val="0"/>
                  <w:marBottom w:val="0"/>
                  <w:divBdr>
                    <w:top w:val="none" w:sz="0" w:space="0" w:color="auto"/>
                    <w:left w:val="none" w:sz="0" w:space="0" w:color="auto"/>
                    <w:bottom w:val="none" w:sz="0" w:space="0" w:color="auto"/>
                    <w:right w:val="none" w:sz="0" w:space="0" w:color="auto"/>
                  </w:divBdr>
                  <w:divsChild>
                    <w:div w:id="331764688">
                      <w:marLeft w:val="0"/>
                      <w:marRight w:val="0"/>
                      <w:marTop w:val="0"/>
                      <w:marBottom w:val="0"/>
                      <w:divBdr>
                        <w:top w:val="none" w:sz="0" w:space="0" w:color="auto"/>
                        <w:left w:val="none" w:sz="0" w:space="0" w:color="auto"/>
                        <w:bottom w:val="none" w:sz="0" w:space="0" w:color="auto"/>
                        <w:right w:val="none" w:sz="0" w:space="0" w:color="auto"/>
                      </w:divBdr>
                    </w:div>
                    <w:div w:id="1006790762">
                      <w:marLeft w:val="0"/>
                      <w:marRight w:val="0"/>
                      <w:marTop w:val="0"/>
                      <w:marBottom w:val="0"/>
                      <w:divBdr>
                        <w:top w:val="none" w:sz="0" w:space="0" w:color="auto"/>
                        <w:left w:val="none" w:sz="0" w:space="0" w:color="auto"/>
                        <w:bottom w:val="none" w:sz="0" w:space="0" w:color="auto"/>
                        <w:right w:val="none" w:sz="0" w:space="0" w:color="auto"/>
                      </w:divBdr>
                    </w:div>
                    <w:div w:id="1471554274">
                      <w:marLeft w:val="0"/>
                      <w:marRight w:val="0"/>
                      <w:marTop w:val="0"/>
                      <w:marBottom w:val="0"/>
                      <w:divBdr>
                        <w:top w:val="none" w:sz="0" w:space="0" w:color="auto"/>
                        <w:left w:val="none" w:sz="0" w:space="0" w:color="auto"/>
                        <w:bottom w:val="none" w:sz="0" w:space="0" w:color="auto"/>
                        <w:right w:val="none" w:sz="0" w:space="0" w:color="auto"/>
                      </w:divBdr>
                    </w:div>
                    <w:div w:id="1790776630">
                      <w:marLeft w:val="0"/>
                      <w:marRight w:val="0"/>
                      <w:marTop w:val="0"/>
                      <w:marBottom w:val="0"/>
                      <w:divBdr>
                        <w:top w:val="none" w:sz="0" w:space="0" w:color="auto"/>
                        <w:left w:val="none" w:sz="0" w:space="0" w:color="auto"/>
                        <w:bottom w:val="none" w:sz="0" w:space="0" w:color="auto"/>
                        <w:right w:val="none" w:sz="0" w:space="0" w:color="auto"/>
                      </w:divBdr>
                    </w:div>
                  </w:divsChild>
                </w:div>
                <w:div w:id="1353651467">
                  <w:marLeft w:val="0"/>
                  <w:marRight w:val="0"/>
                  <w:marTop w:val="0"/>
                  <w:marBottom w:val="0"/>
                  <w:divBdr>
                    <w:top w:val="none" w:sz="0" w:space="0" w:color="auto"/>
                    <w:left w:val="none" w:sz="0" w:space="0" w:color="auto"/>
                    <w:bottom w:val="none" w:sz="0" w:space="0" w:color="auto"/>
                    <w:right w:val="none" w:sz="0" w:space="0" w:color="auto"/>
                  </w:divBdr>
                  <w:divsChild>
                    <w:div w:id="186607832">
                      <w:marLeft w:val="0"/>
                      <w:marRight w:val="0"/>
                      <w:marTop w:val="0"/>
                      <w:marBottom w:val="0"/>
                      <w:divBdr>
                        <w:top w:val="none" w:sz="0" w:space="0" w:color="auto"/>
                        <w:left w:val="none" w:sz="0" w:space="0" w:color="auto"/>
                        <w:bottom w:val="none" w:sz="0" w:space="0" w:color="auto"/>
                        <w:right w:val="none" w:sz="0" w:space="0" w:color="auto"/>
                      </w:divBdr>
                    </w:div>
                    <w:div w:id="319818862">
                      <w:marLeft w:val="0"/>
                      <w:marRight w:val="0"/>
                      <w:marTop w:val="0"/>
                      <w:marBottom w:val="0"/>
                      <w:divBdr>
                        <w:top w:val="none" w:sz="0" w:space="0" w:color="auto"/>
                        <w:left w:val="none" w:sz="0" w:space="0" w:color="auto"/>
                        <w:bottom w:val="none" w:sz="0" w:space="0" w:color="auto"/>
                        <w:right w:val="none" w:sz="0" w:space="0" w:color="auto"/>
                      </w:divBdr>
                    </w:div>
                    <w:div w:id="704906849">
                      <w:marLeft w:val="0"/>
                      <w:marRight w:val="0"/>
                      <w:marTop w:val="0"/>
                      <w:marBottom w:val="0"/>
                      <w:divBdr>
                        <w:top w:val="none" w:sz="0" w:space="0" w:color="auto"/>
                        <w:left w:val="none" w:sz="0" w:space="0" w:color="auto"/>
                        <w:bottom w:val="none" w:sz="0" w:space="0" w:color="auto"/>
                        <w:right w:val="none" w:sz="0" w:space="0" w:color="auto"/>
                      </w:divBdr>
                    </w:div>
                    <w:div w:id="945699591">
                      <w:marLeft w:val="0"/>
                      <w:marRight w:val="0"/>
                      <w:marTop w:val="0"/>
                      <w:marBottom w:val="0"/>
                      <w:divBdr>
                        <w:top w:val="none" w:sz="0" w:space="0" w:color="auto"/>
                        <w:left w:val="none" w:sz="0" w:space="0" w:color="auto"/>
                        <w:bottom w:val="none" w:sz="0" w:space="0" w:color="auto"/>
                        <w:right w:val="none" w:sz="0" w:space="0" w:color="auto"/>
                      </w:divBdr>
                    </w:div>
                    <w:div w:id="1308895379">
                      <w:marLeft w:val="0"/>
                      <w:marRight w:val="0"/>
                      <w:marTop w:val="0"/>
                      <w:marBottom w:val="0"/>
                      <w:divBdr>
                        <w:top w:val="none" w:sz="0" w:space="0" w:color="auto"/>
                        <w:left w:val="none" w:sz="0" w:space="0" w:color="auto"/>
                        <w:bottom w:val="none" w:sz="0" w:space="0" w:color="auto"/>
                        <w:right w:val="none" w:sz="0" w:space="0" w:color="auto"/>
                      </w:divBdr>
                    </w:div>
                    <w:div w:id="1335760426">
                      <w:marLeft w:val="0"/>
                      <w:marRight w:val="0"/>
                      <w:marTop w:val="0"/>
                      <w:marBottom w:val="0"/>
                      <w:divBdr>
                        <w:top w:val="none" w:sz="0" w:space="0" w:color="auto"/>
                        <w:left w:val="none" w:sz="0" w:space="0" w:color="auto"/>
                        <w:bottom w:val="none" w:sz="0" w:space="0" w:color="auto"/>
                        <w:right w:val="none" w:sz="0" w:space="0" w:color="auto"/>
                      </w:divBdr>
                    </w:div>
                    <w:div w:id="1834685320">
                      <w:marLeft w:val="0"/>
                      <w:marRight w:val="0"/>
                      <w:marTop w:val="0"/>
                      <w:marBottom w:val="0"/>
                      <w:divBdr>
                        <w:top w:val="none" w:sz="0" w:space="0" w:color="auto"/>
                        <w:left w:val="none" w:sz="0" w:space="0" w:color="auto"/>
                        <w:bottom w:val="none" w:sz="0" w:space="0" w:color="auto"/>
                        <w:right w:val="none" w:sz="0" w:space="0" w:color="auto"/>
                      </w:divBdr>
                    </w:div>
                  </w:divsChild>
                </w:div>
                <w:div w:id="1375737396">
                  <w:marLeft w:val="0"/>
                  <w:marRight w:val="0"/>
                  <w:marTop w:val="0"/>
                  <w:marBottom w:val="0"/>
                  <w:divBdr>
                    <w:top w:val="none" w:sz="0" w:space="0" w:color="auto"/>
                    <w:left w:val="none" w:sz="0" w:space="0" w:color="auto"/>
                    <w:bottom w:val="none" w:sz="0" w:space="0" w:color="auto"/>
                    <w:right w:val="none" w:sz="0" w:space="0" w:color="auto"/>
                  </w:divBdr>
                  <w:divsChild>
                    <w:div w:id="97139906">
                      <w:marLeft w:val="0"/>
                      <w:marRight w:val="0"/>
                      <w:marTop w:val="0"/>
                      <w:marBottom w:val="0"/>
                      <w:divBdr>
                        <w:top w:val="none" w:sz="0" w:space="0" w:color="auto"/>
                        <w:left w:val="none" w:sz="0" w:space="0" w:color="auto"/>
                        <w:bottom w:val="none" w:sz="0" w:space="0" w:color="auto"/>
                        <w:right w:val="none" w:sz="0" w:space="0" w:color="auto"/>
                      </w:divBdr>
                    </w:div>
                    <w:div w:id="351034407">
                      <w:marLeft w:val="0"/>
                      <w:marRight w:val="0"/>
                      <w:marTop w:val="0"/>
                      <w:marBottom w:val="0"/>
                      <w:divBdr>
                        <w:top w:val="none" w:sz="0" w:space="0" w:color="auto"/>
                        <w:left w:val="none" w:sz="0" w:space="0" w:color="auto"/>
                        <w:bottom w:val="none" w:sz="0" w:space="0" w:color="auto"/>
                        <w:right w:val="none" w:sz="0" w:space="0" w:color="auto"/>
                      </w:divBdr>
                    </w:div>
                    <w:div w:id="488862980">
                      <w:marLeft w:val="0"/>
                      <w:marRight w:val="0"/>
                      <w:marTop w:val="0"/>
                      <w:marBottom w:val="0"/>
                      <w:divBdr>
                        <w:top w:val="none" w:sz="0" w:space="0" w:color="auto"/>
                        <w:left w:val="none" w:sz="0" w:space="0" w:color="auto"/>
                        <w:bottom w:val="none" w:sz="0" w:space="0" w:color="auto"/>
                        <w:right w:val="none" w:sz="0" w:space="0" w:color="auto"/>
                      </w:divBdr>
                    </w:div>
                    <w:div w:id="664868292">
                      <w:marLeft w:val="0"/>
                      <w:marRight w:val="0"/>
                      <w:marTop w:val="0"/>
                      <w:marBottom w:val="0"/>
                      <w:divBdr>
                        <w:top w:val="none" w:sz="0" w:space="0" w:color="auto"/>
                        <w:left w:val="none" w:sz="0" w:space="0" w:color="auto"/>
                        <w:bottom w:val="none" w:sz="0" w:space="0" w:color="auto"/>
                        <w:right w:val="none" w:sz="0" w:space="0" w:color="auto"/>
                      </w:divBdr>
                    </w:div>
                    <w:div w:id="1339380926">
                      <w:marLeft w:val="0"/>
                      <w:marRight w:val="0"/>
                      <w:marTop w:val="0"/>
                      <w:marBottom w:val="0"/>
                      <w:divBdr>
                        <w:top w:val="none" w:sz="0" w:space="0" w:color="auto"/>
                        <w:left w:val="none" w:sz="0" w:space="0" w:color="auto"/>
                        <w:bottom w:val="none" w:sz="0" w:space="0" w:color="auto"/>
                        <w:right w:val="none" w:sz="0" w:space="0" w:color="auto"/>
                      </w:divBdr>
                    </w:div>
                    <w:div w:id="1397513271">
                      <w:marLeft w:val="0"/>
                      <w:marRight w:val="0"/>
                      <w:marTop w:val="0"/>
                      <w:marBottom w:val="0"/>
                      <w:divBdr>
                        <w:top w:val="none" w:sz="0" w:space="0" w:color="auto"/>
                        <w:left w:val="none" w:sz="0" w:space="0" w:color="auto"/>
                        <w:bottom w:val="none" w:sz="0" w:space="0" w:color="auto"/>
                        <w:right w:val="none" w:sz="0" w:space="0" w:color="auto"/>
                      </w:divBdr>
                    </w:div>
                    <w:div w:id="1555652302">
                      <w:marLeft w:val="0"/>
                      <w:marRight w:val="0"/>
                      <w:marTop w:val="0"/>
                      <w:marBottom w:val="0"/>
                      <w:divBdr>
                        <w:top w:val="none" w:sz="0" w:space="0" w:color="auto"/>
                        <w:left w:val="none" w:sz="0" w:space="0" w:color="auto"/>
                        <w:bottom w:val="none" w:sz="0" w:space="0" w:color="auto"/>
                        <w:right w:val="none" w:sz="0" w:space="0" w:color="auto"/>
                      </w:divBdr>
                    </w:div>
                    <w:div w:id="1579293039">
                      <w:marLeft w:val="0"/>
                      <w:marRight w:val="0"/>
                      <w:marTop w:val="0"/>
                      <w:marBottom w:val="0"/>
                      <w:divBdr>
                        <w:top w:val="none" w:sz="0" w:space="0" w:color="auto"/>
                        <w:left w:val="none" w:sz="0" w:space="0" w:color="auto"/>
                        <w:bottom w:val="none" w:sz="0" w:space="0" w:color="auto"/>
                        <w:right w:val="none" w:sz="0" w:space="0" w:color="auto"/>
                      </w:divBdr>
                    </w:div>
                    <w:div w:id="2085567040">
                      <w:marLeft w:val="0"/>
                      <w:marRight w:val="0"/>
                      <w:marTop w:val="0"/>
                      <w:marBottom w:val="0"/>
                      <w:divBdr>
                        <w:top w:val="none" w:sz="0" w:space="0" w:color="auto"/>
                        <w:left w:val="none" w:sz="0" w:space="0" w:color="auto"/>
                        <w:bottom w:val="none" w:sz="0" w:space="0" w:color="auto"/>
                        <w:right w:val="none" w:sz="0" w:space="0" w:color="auto"/>
                      </w:divBdr>
                    </w:div>
                  </w:divsChild>
                </w:div>
                <w:div w:id="1378551955">
                  <w:marLeft w:val="0"/>
                  <w:marRight w:val="0"/>
                  <w:marTop w:val="0"/>
                  <w:marBottom w:val="0"/>
                  <w:divBdr>
                    <w:top w:val="none" w:sz="0" w:space="0" w:color="auto"/>
                    <w:left w:val="none" w:sz="0" w:space="0" w:color="auto"/>
                    <w:bottom w:val="none" w:sz="0" w:space="0" w:color="auto"/>
                    <w:right w:val="none" w:sz="0" w:space="0" w:color="auto"/>
                  </w:divBdr>
                  <w:divsChild>
                    <w:div w:id="38017177">
                      <w:marLeft w:val="0"/>
                      <w:marRight w:val="0"/>
                      <w:marTop w:val="0"/>
                      <w:marBottom w:val="0"/>
                      <w:divBdr>
                        <w:top w:val="none" w:sz="0" w:space="0" w:color="auto"/>
                        <w:left w:val="none" w:sz="0" w:space="0" w:color="auto"/>
                        <w:bottom w:val="none" w:sz="0" w:space="0" w:color="auto"/>
                        <w:right w:val="none" w:sz="0" w:space="0" w:color="auto"/>
                      </w:divBdr>
                    </w:div>
                    <w:div w:id="931745563">
                      <w:marLeft w:val="0"/>
                      <w:marRight w:val="0"/>
                      <w:marTop w:val="0"/>
                      <w:marBottom w:val="0"/>
                      <w:divBdr>
                        <w:top w:val="none" w:sz="0" w:space="0" w:color="auto"/>
                        <w:left w:val="none" w:sz="0" w:space="0" w:color="auto"/>
                        <w:bottom w:val="none" w:sz="0" w:space="0" w:color="auto"/>
                        <w:right w:val="none" w:sz="0" w:space="0" w:color="auto"/>
                      </w:divBdr>
                    </w:div>
                    <w:div w:id="1007559017">
                      <w:marLeft w:val="0"/>
                      <w:marRight w:val="0"/>
                      <w:marTop w:val="0"/>
                      <w:marBottom w:val="0"/>
                      <w:divBdr>
                        <w:top w:val="none" w:sz="0" w:space="0" w:color="auto"/>
                        <w:left w:val="none" w:sz="0" w:space="0" w:color="auto"/>
                        <w:bottom w:val="none" w:sz="0" w:space="0" w:color="auto"/>
                        <w:right w:val="none" w:sz="0" w:space="0" w:color="auto"/>
                      </w:divBdr>
                    </w:div>
                    <w:div w:id="1262495194">
                      <w:marLeft w:val="0"/>
                      <w:marRight w:val="0"/>
                      <w:marTop w:val="0"/>
                      <w:marBottom w:val="0"/>
                      <w:divBdr>
                        <w:top w:val="none" w:sz="0" w:space="0" w:color="auto"/>
                        <w:left w:val="none" w:sz="0" w:space="0" w:color="auto"/>
                        <w:bottom w:val="none" w:sz="0" w:space="0" w:color="auto"/>
                        <w:right w:val="none" w:sz="0" w:space="0" w:color="auto"/>
                      </w:divBdr>
                    </w:div>
                    <w:div w:id="1376812520">
                      <w:marLeft w:val="0"/>
                      <w:marRight w:val="0"/>
                      <w:marTop w:val="0"/>
                      <w:marBottom w:val="0"/>
                      <w:divBdr>
                        <w:top w:val="none" w:sz="0" w:space="0" w:color="auto"/>
                        <w:left w:val="none" w:sz="0" w:space="0" w:color="auto"/>
                        <w:bottom w:val="none" w:sz="0" w:space="0" w:color="auto"/>
                        <w:right w:val="none" w:sz="0" w:space="0" w:color="auto"/>
                      </w:divBdr>
                    </w:div>
                    <w:div w:id="1392390367">
                      <w:marLeft w:val="0"/>
                      <w:marRight w:val="0"/>
                      <w:marTop w:val="0"/>
                      <w:marBottom w:val="0"/>
                      <w:divBdr>
                        <w:top w:val="none" w:sz="0" w:space="0" w:color="auto"/>
                        <w:left w:val="none" w:sz="0" w:space="0" w:color="auto"/>
                        <w:bottom w:val="none" w:sz="0" w:space="0" w:color="auto"/>
                        <w:right w:val="none" w:sz="0" w:space="0" w:color="auto"/>
                      </w:divBdr>
                    </w:div>
                    <w:div w:id="1873376062">
                      <w:marLeft w:val="0"/>
                      <w:marRight w:val="0"/>
                      <w:marTop w:val="0"/>
                      <w:marBottom w:val="0"/>
                      <w:divBdr>
                        <w:top w:val="none" w:sz="0" w:space="0" w:color="auto"/>
                        <w:left w:val="none" w:sz="0" w:space="0" w:color="auto"/>
                        <w:bottom w:val="none" w:sz="0" w:space="0" w:color="auto"/>
                        <w:right w:val="none" w:sz="0" w:space="0" w:color="auto"/>
                      </w:divBdr>
                    </w:div>
                    <w:div w:id="2081974309">
                      <w:marLeft w:val="0"/>
                      <w:marRight w:val="0"/>
                      <w:marTop w:val="0"/>
                      <w:marBottom w:val="0"/>
                      <w:divBdr>
                        <w:top w:val="none" w:sz="0" w:space="0" w:color="auto"/>
                        <w:left w:val="none" w:sz="0" w:space="0" w:color="auto"/>
                        <w:bottom w:val="none" w:sz="0" w:space="0" w:color="auto"/>
                        <w:right w:val="none" w:sz="0" w:space="0" w:color="auto"/>
                      </w:divBdr>
                    </w:div>
                  </w:divsChild>
                </w:div>
                <w:div w:id="1462310017">
                  <w:marLeft w:val="0"/>
                  <w:marRight w:val="0"/>
                  <w:marTop w:val="0"/>
                  <w:marBottom w:val="0"/>
                  <w:divBdr>
                    <w:top w:val="none" w:sz="0" w:space="0" w:color="auto"/>
                    <w:left w:val="none" w:sz="0" w:space="0" w:color="auto"/>
                    <w:bottom w:val="none" w:sz="0" w:space="0" w:color="auto"/>
                    <w:right w:val="none" w:sz="0" w:space="0" w:color="auto"/>
                  </w:divBdr>
                  <w:divsChild>
                    <w:div w:id="1049194">
                      <w:marLeft w:val="0"/>
                      <w:marRight w:val="0"/>
                      <w:marTop w:val="0"/>
                      <w:marBottom w:val="0"/>
                      <w:divBdr>
                        <w:top w:val="none" w:sz="0" w:space="0" w:color="auto"/>
                        <w:left w:val="none" w:sz="0" w:space="0" w:color="auto"/>
                        <w:bottom w:val="none" w:sz="0" w:space="0" w:color="auto"/>
                        <w:right w:val="none" w:sz="0" w:space="0" w:color="auto"/>
                      </w:divBdr>
                    </w:div>
                    <w:div w:id="417948652">
                      <w:marLeft w:val="0"/>
                      <w:marRight w:val="0"/>
                      <w:marTop w:val="0"/>
                      <w:marBottom w:val="0"/>
                      <w:divBdr>
                        <w:top w:val="none" w:sz="0" w:space="0" w:color="auto"/>
                        <w:left w:val="none" w:sz="0" w:space="0" w:color="auto"/>
                        <w:bottom w:val="none" w:sz="0" w:space="0" w:color="auto"/>
                        <w:right w:val="none" w:sz="0" w:space="0" w:color="auto"/>
                      </w:divBdr>
                    </w:div>
                    <w:div w:id="736241712">
                      <w:marLeft w:val="0"/>
                      <w:marRight w:val="0"/>
                      <w:marTop w:val="0"/>
                      <w:marBottom w:val="0"/>
                      <w:divBdr>
                        <w:top w:val="none" w:sz="0" w:space="0" w:color="auto"/>
                        <w:left w:val="none" w:sz="0" w:space="0" w:color="auto"/>
                        <w:bottom w:val="none" w:sz="0" w:space="0" w:color="auto"/>
                        <w:right w:val="none" w:sz="0" w:space="0" w:color="auto"/>
                      </w:divBdr>
                    </w:div>
                  </w:divsChild>
                </w:div>
                <w:div w:id="1495684864">
                  <w:marLeft w:val="0"/>
                  <w:marRight w:val="0"/>
                  <w:marTop w:val="0"/>
                  <w:marBottom w:val="0"/>
                  <w:divBdr>
                    <w:top w:val="none" w:sz="0" w:space="0" w:color="auto"/>
                    <w:left w:val="none" w:sz="0" w:space="0" w:color="auto"/>
                    <w:bottom w:val="none" w:sz="0" w:space="0" w:color="auto"/>
                    <w:right w:val="none" w:sz="0" w:space="0" w:color="auto"/>
                  </w:divBdr>
                  <w:divsChild>
                    <w:div w:id="1019770474">
                      <w:marLeft w:val="0"/>
                      <w:marRight w:val="0"/>
                      <w:marTop w:val="0"/>
                      <w:marBottom w:val="0"/>
                      <w:divBdr>
                        <w:top w:val="none" w:sz="0" w:space="0" w:color="auto"/>
                        <w:left w:val="none" w:sz="0" w:space="0" w:color="auto"/>
                        <w:bottom w:val="none" w:sz="0" w:space="0" w:color="auto"/>
                        <w:right w:val="none" w:sz="0" w:space="0" w:color="auto"/>
                      </w:divBdr>
                    </w:div>
                    <w:div w:id="1027104890">
                      <w:marLeft w:val="0"/>
                      <w:marRight w:val="0"/>
                      <w:marTop w:val="0"/>
                      <w:marBottom w:val="0"/>
                      <w:divBdr>
                        <w:top w:val="none" w:sz="0" w:space="0" w:color="auto"/>
                        <w:left w:val="none" w:sz="0" w:space="0" w:color="auto"/>
                        <w:bottom w:val="none" w:sz="0" w:space="0" w:color="auto"/>
                        <w:right w:val="none" w:sz="0" w:space="0" w:color="auto"/>
                      </w:divBdr>
                    </w:div>
                    <w:div w:id="1093015750">
                      <w:marLeft w:val="0"/>
                      <w:marRight w:val="0"/>
                      <w:marTop w:val="0"/>
                      <w:marBottom w:val="0"/>
                      <w:divBdr>
                        <w:top w:val="none" w:sz="0" w:space="0" w:color="auto"/>
                        <w:left w:val="none" w:sz="0" w:space="0" w:color="auto"/>
                        <w:bottom w:val="none" w:sz="0" w:space="0" w:color="auto"/>
                        <w:right w:val="none" w:sz="0" w:space="0" w:color="auto"/>
                      </w:divBdr>
                    </w:div>
                    <w:div w:id="1707753251">
                      <w:marLeft w:val="0"/>
                      <w:marRight w:val="0"/>
                      <w:marTop w:val="0"/>
                      <w:marBottom w:val="0"/>
                      <w:divBdr>
                        <w:top w:val="none" w:sz="0" w:space="0" w:color="auto"/>
                        <w:left w:val="none" w:sz="0" w:space="0" w:color="auto"/>
                        <w:bottom w:val="none" w:sz="0" w:space="0" w:color="auto"/>
                        <w:right w:val="none" w:sz="0" w:space="0" w:color="auto"/>
                      </w:divBdr>
                    </w:div>
                    <w:div w:id="1727754701">
                      <w:marLeft w:val="0"/>
                      <w:marRight w:val="0"/>
                      <w:marTop w:val="0"/>
                      <w:marBottom w:val="0"/>
                      <w:divBdr>
                        <w:top w:val="none" w:sz="0" w:space="0" w:color="auto"/>
                        <w:left w:val="none" w:sz="0" w:space="0" w:color="auto"/>
                        <w:bottom w:val="none" w:sz="0" w:space="0" w:color="auto"/>
                        <w:right w:val="none" w:sz="0" w:space="0" w:color="auto"/>
                      </w:divBdr>
                    </w:div>
                    <w:div w:id="2070878101">
                      <w:marLeft w:val="0"/>
                      <w:marRight w:val="0"/>
                      <w:marTop w:val="0"/>
                      <w:marBottom w:val="0"/>
                      <w:divBdr>
                        <w:top w:val="none" w:sz="0" w:space="0" w:color="auto"/>
                        <w:left w:val="none" w:sz="0" w:space="0" w:color="auto"/>
                        <w:bottom w:val="none" w:sz="0" w:space="0" w:color="auto"/>
                        <w:right w:val="none" w:sz="0" w:space="0" w:color="auto"/>
                      </w:divBdr>
                    </w:div>
                  </w:divsChild>
                </w:div>
                <w:div w:id="1534075398">
                  <w:marLeft w:val="0"/>
                  <w:marRight w:val="0"/>
                  <w:marTop w:val="0"/>
                  <w:marBottom w:val="0"/>
                  <w:divBdr>
                    <w:top w:val="none" w:sz="0" w:space="0" w:color="auto"/>
                    <w:left w:val="none" w:sz="0" w:space="0" w:color="auto"/>
                    <w:bottom w:val="none" w:sz="0" w:space="0" w:color="auto"/>
                    <w:right w:val="none" w:sz="0" w:space="0" w:color="auto"/>
                  </w:divBdr>
                  <w:divsChild>
                    <w:div w:id="1366907592">
                      <w:marLeft w:val="0"/>
                      <w:marRight w:val="0"/>
                      <w:marTop w:val="0"/>
                      <w:marBottom w:val="0"/>
                      <w:divBdr>
                        <w:top w:val="none" w:sz="0" w:space="0" w:color="auto"/>
                        <w:left w:val="none" w:sz="0" w:space="0" w:color="auto"/>
                        <w:bottom w:val="none" w:sz="0" w:space="0" w:color="auto"/>
                        <w:right w:val="none" w:sz="0" w:space="0" w:color="auto"/>
                      </w:divBdr>
                    </w:div>
                  </w:divsChild>
                </w:div>
                <w:div w:id="1537503056">
                  <w:marLeft w:val="0"/>
                  <w:marRight w:val="0"/>
                  <w:marTop w:val="0"/>
                  <w:marBottom w:val="0"/>
                  <w:divBdr>
                    <w:top w:val="none" w:sz="0" w:space="0" w:color="auto"/>
                    <w:left w:val="none" w:sz="0" w:space="0" w:color="auto"/>
                    <w:bottom w:val="none" w:sz="0" w:space="0" w:color="auto"/>
                    <w:right w:val="none" w:sz="0" w:space="0" w:color="auto"/>
                  </w:divBdr>
                  <w:divsChild>
                    <w:div w:id="1083991683">
                      <w:marLeft w:val="0"/>
                      <w:marRight w:val="0"/>
                      <w:marTop w:val="0"/>
                      <w:marBottom w:val="0"/>
                      <w:divBdr>
                        <w:top w:val="none" w:sz="0" w:space="0" w:color="auto"/>
                        <w:left w:val="none" w:sz="0" w:space="0" w:color="auto"/>
                        <w:bottom w:val="none" w:sz="0" w:space="0" w:color="auto"/>
                        <w:right w:val="none" w:sz="0" w:space="0" w:color="auto"/>
                      </w:divBdr>
                    </w:div>
                  </w:divsChild>
                </w:div>
                <w:div w:id="1551958738">
                  <w:marLeft w:val="0"/>
                  <w:marRight w:val="0"/>
                  <w:marTop w:val="0"/>
                  <w:marBottom w:val="0"/>
                  <w:divBdr>
                    <w:top w:val="none" w:sz="0" w:space="0" w:color="auto"/>
                    <w:left w:val="none" w:sz="0" w:space="0" w:color="auto"/>
                    <w:bottom w:val="none" w:sz="0" w:space="0" w:color="auto"/>
                    <w:right w:val="none" w:sz="0" w:space="0" w:color="auto"/>
                  </w:divBdr>
                  <w:divsChild>
                    <w:div w:id="478038130">
                      <w:marLeft w:val="0"/>
                      <w:marRight w:val="0"/>
                      <w:marTop w:val="0"/>
                      <w:marBottom w:val="0"/>
                      <w:divBdr>
                        <w:top w:val="none" w:sz="0" w:space="0" w:color="auto"/>
                        <w:left w:val="none" w:sz="0" w:space="0" w:color="auto"/>
                        <w:bottom w:val="none" w:sz="0" w:space="0" w:color="auto"/>
                        <w:right w:val="none" w:sz="0" w:space="0" w:color="auto"/>
                      </w:divBdr>
                    </w:div>
                    <w:div w:id="552351318">
                      <w:marLeft w:val="0"/>
                      <w:marRight w:val="0"/>
                      <w:marTop w:val="0"/>
                      <w:marBottom w:val="0"/>
                      <w:divBdr>
                        <w:top w:val="none" w:sz="0" w:space="0" w:color="auto"/>
                        <w:left w:val="none" w:sz="0" w:space="0" w:color="auto"/>
                        <w:bottom w:val="none" w:sz="0" w:space="0" w:color="auto"/>
                        <w:right w:val="none" w:sz="0" w:space="0" w:color="auto"/>
                      </w:divBdr>
                    </w:div>
                    <w:div w:id="698048682">
                      <w:marLeft w:val="0"/>
                      <w:marRight w:val="0"/>
                      <w:marTop w:val="0"/>
                      <w:marBottom w:val="0"/>
                      <w:divBdr>
                        <w:top w:val="none" w:sz="0" w:space="0" w:color="auto"/>
                        <w:left w:val="none" w:sz="0" w:space="0" w:color="auto"/>
                        <w:bottom w:val="none" w:sz="0" w:space="0" w:color="auto"/>
                        <w:right w:val="none" w:sz="0" w:space="0" w:color="auto"/>
                      </w:divBdr>
                    </w:div>
                    <w:div w:id="993920468">
                      <w:marLeft w:val="0"/>
                      <w:marRight w:val="0"/>
                      <w:marTop w:val="0"/>
                      <w:marBottom w:val="0"/>
                      <w:divBdr>
                        <w:top w:val="none" w:sz="0" w:space="0" w:color="auto"/>
                        <w:left w:val="none" w:sz="0" w:space="0" w:color="auto"/>
                        <w:bottom w:val="none" w:sz="0" w:space="0" w:color="auto"/>
                        <w:right w:val="none" w:sz="0" w:space="0" w:color="auto"/>
                      </w:divBdr>
                    </w:div>
                    <w:div w:id="1179198708">
                      <w:marLeft w:val="0"/>
                      <w:marRight w:val="0"/>
                      <w:marTop w:val="0"/>
                      <w:marBottom w:val="0"/>
                      <w:divBdr>
                        <w:top w:val="none" w:sz="0" w:space="0" w:color="auto"/>
                        <w:left w:val="none" w:sz="0" w:space="0" w:color="auto"/>
                        <w:bottom w:val="none" w:sz="0" w:space="0" w:color="auto"/>
                        <w:right w:val="none" w:sz="0" w:space="0" w:color="auto"/>
                      </w:divBdr>
                    </w:div>
                    <w:div w:id="1266770532">
                      <w:marLeft w:val="0"/>
                      <w:marRight w:val="0"/>
                      <w:marTop w:val="0"/>
                      <w:marBottom w:val="0"/>
                      <w:divBdr>
                        <w:top w:val="none" w:sz="0" w:space="0" w:color="auto"/>
                        <w:left w:val="none" w:sz="0" w:space="0" w:color="auto"/>
                        <w:bottom w:val="none" w:sz="0" w:space="0" w:color="auto"/>
                        <w:right w:val="none" w:sz="0" w:space="0" w:color="auto"/>
                      </w:divBdr>
                    </w:div>
                    <w:div w:id="1268199432">
                      <w:marLeft w:val="0"/>
                      <w:marRight w:val="0"/>
                      <w:marTop w:val="0"/>
                      <w:marBottom w:val="0"/>
                      <w:divBdr>
                        <w:top w:val="none" w:sz="0" w:space="0" w:color="auto"/>
                        <w:left w:val="none" w:sz="0" w:space="0" w:color="auto"/>
                        <w:bottom w:val="none" w:sz="0" w:space="0" w:color="auto"/>
                        <w:right w:val="none" w:sz="0" w:space="0" w:color="auto"/>
                      </w:divBdr>
                    </w:div>
                    <w:div w:id="1824857943">
                      <w:marLeft w:val="0"/>
                      <w:marRight w:val="0"/>
                      <w:marTop w:val="0"/>
                      <w:marBottom w:val="0"/>
                      <w:divBdr>
                        <w:top w:val="none" w:sz="0" w:space="0" w:color="auto"/>
                        <w:left w:val="none" w:sz="0" w:space="0" w:color="auto"/>
                        <w:bottom w:val="none" w:sz="0" w:space="0" w:color="auto"/>
                        <w:right w:val="none" w:sz="0" w:space="0" w:color="auto"/>
                      </w:divBdr>
                    </w:div>
                  </w:divsChild>
                </w:div>
                <w:div w:id="1637834959">
                  <w:marLeft w:val="0"/>
                  <w:marRight w:val="0"/>
                  <w:marTop w:val="0"/>
                  <w:marBottom w:val="0"/>
                  <w:divBdr>
                    <w:top w:val="none" w:sz="0" w:space="0" w:color="auto"/>
                    <w:left w:val="none" w:sz="0" w:space="0" w:color="auto"/>
                    <w:bottom w:val="none" w:sz="0" w:space="0" w:color="auto"/>
                    <w:right w:val="none" w:sz="0" w:space="0" w:color="auto"/>
                  </w:divBdr>
                  <w:divsChild>
                    <w:div w:id="1398505447">
                      <w:marLeft w:val="0"/>
                      <w:marRight w:val="0"/>
                      <w:marTop w:val="0"/>
                      <w:marBottom w:val="0"/>
                      <w:divBdr>
                        <w:top w:val="none" w:sz="0" w:space="0" w:color="auto"/>
                        <w:left w:val="none" w:sz="0" w:space="0" w:color="auto"/>
                        <w:bottom w:val="none" w:sz="0" w:space="0" w:color="auto"/>
                        <w:right w:val="none" w:sz="0" w:space="0" w:color="auto"/>
                      </w:divBdr>
                    </w:div>
                  </w:divsChild>
                </w:div>
                <w:div w:id="1658415415">
                  <w:marLeft w:val="0"/>
                  <w:marRight w:val="0"/>
                  <w:marTop w:val="0"/>
                  <w:marBottom w:val="0"/>
                  <w:divBdr>
                    <w:top w:val="none" w:sz="0" w:space="0" w:color="auto"/>
                    <w:left w:val="none" w:sz="0" w:space="0" w:color="auto"/>
                    <w:bottom w:val="none" w:sz="0" w:space="0" w:color="auto"/>
                    <w:right w:val="none" w:sz="0" w:space="0" w:color="auto"/>
                  </w:divBdr>
                  <w:divsChild>
                    <w:div w:id="48695603">
                      <w:marLeft w:val="0"/>
                      <w:marRight w:val="0"/>
                      <w:marTop w:val="0"/>
                      <w:marBottom w:val="0"/>
                      <w:divBdr>
                        <w:top w:val="none" w:sz="0" w:space="0" w:color="auto"/>
                        <w:left w:val="none" w:sz="0" w:space="0" w:color="auto"/>
                        <w:bottom w:val="none" w:sz="0" w:space="0" w:color="auto"/>
                        <w:right w:val="none" w:sz="0" w:space="0" w:color="auto"/>
                      </w:divBdr>
                    </w:div>
                    <w:div w:id="1010597500">
                      <w:marLeft w:val="0"/>
                      <w:marRight w:val="0"/>
                      <w:marTop w:val="0"/>
                      <w:marBottom w:val="0"/>
                      <w:divBdr>
                        <w:top w:val="none" w:sz="0" w:space="0" w:color="auto"/>
                        <w:left w:val="none" w:sz="0" w:space="0" w:color="auto"/>
                        <w:bottom w:val="none" w:sz="0" w:space="0" w:color="auto"/>
                        <w:right w:val="none" w:sz="0" w:space="0" w:color="auto"/>
                      </w:divBdr>
                    </w:div>
                    <w:div w:id="2015109141">
                      <w:marLeft w:val="0"/>
                      <w:marRight w:val="0"/>
                      <w:marTop w:val="0"/>
                      <w:marBottom w:val="0"/>
                      <w:divBdr>
                        <w:top w:val="none" w:sz="0" w:space="0" w:color="auto"/>
                        <w:left w:val="none" w:sz="0" w:space="0" w:color="auto"/>
                        <w:bottom w:val="none" w:sz="0" w:space="0" w:color="auto"/>
                        <w:right w:val="none" w:sz="0" w:space="0" w:color="auto"/>
                      </w:divBdr>
                    </w:div>
                  </w:divsChild>
                </w:div>
                <w:div w:id="1659066821">
                  <w:marLeft w:val="0"/>
                  <w:marRight w:val="0"/>
                  <w:marTop w:val="0"/>
                  <w:marBottom w:val="0"/>
                  <w:divBdr>
                    <w:top w:val="none" w:sz="0" w:space="0" w:color="auto"/>
                    <w:left w:val="none" w:sz="0" w:space="0" w:color="auto"/>
                    <w:bottom w:val="none" w:sz="0" w:space="0" w:color="auto"/>
                    <w:right w:val="none" w:sz="0" w:space="0" w:color="auto"/>
                  </w:divBdr>
                  <w:divsChild>
                    <w:div w:id="229003379">
                      <w:marLeft w:val="0"/>
                      <w:marRight w:val="0"/>
                      <w:marTop w:val="0"/>
                      <w:marBottom w:val="0"/>
                      <w:divBdr>
                        <w:top w:val="none" w:sz="0" w:space="0" w:color="auto"/>
                        <w:left w:val="none" w:sz="0" w:space="0" w:color="auto"/>
                        <w:bottom w:val="none" w:sz="0" w:space="0" w:color="auto"/>
                        <w:right w:val="none" w:sz="0" w:space="0" w:color="auto"/>
                      </w:divBdr>
                    </w:div>
                    <w:div w:id="641156837">
                      <w:marLeft w:val="0"/>
                      <w:marRight w:val="0"/>
                      <w:marTop w:val="0"/>
                      <w:marBottom w:val="0"/>
                      <w:divBdr>
                        <w:top w:val="none" w:sz="0" w:space="0" w:color="auto"/>
                        <w:left w:val="none" w:sz="0" w:space="0" w:color="auto"/>
                        <w:bottom w:val="none" w:sz="0" w:space="0" w:color="auto"/>
                        <w:right w:val="none" w:sz="0" w:space="0" w:color="auto"/>
                      </w:divBdr>
                    </w:div>
                    <w:div w:id="969094214">
                      <w:marLeft w:val="0"/>
                      <w:marRight w:val="0"/>
                      <w:marTop w:val="0"/>
                      <w:marBottom w:val="0"/>
                      <w:divBdr>
                        <w:top w:val="none" w:sz="0" w:space="0" w:color="auto"/>
                        <w:left w:val="none" w:sz="0" w:space="0" w:color="auto"/>
                        <w:bottom w:val="none" w:sz="0" w:space="0" w:color="auto"/>
                        <w:right w:val="none" w:sz="0" w:space="0" w:color="auto"/>
                      </w:divBdr>
                    </w:div>
                    <w:div w:id="1468889696">
                      <w:marLeft w:val="0"/>
                      <w:marRight w:val="0"/>
                      <w:marTop w:val="0"/>
                      <w:marBottom w:val="0"/>
                      <w:divBdr>
                        <w:top w:val="none" w:sz="0" w:space="0" w:color="auto"/>
                        <w:left w:val="none" w:sz="0" w:space="0" w:color="auto"/>
                        <w:bottom w:val="none" w:sz="0" w:space="0" w:color="auto"/>
                        <w:right w:val="none" w:sz="0" w:space="0" w:color="auto"/>
                      </w:divBdr>
                    </w:div>
                    <w:div w:id="1831410934">
                      <w:marLeft w:val="0"/>
                      <w:marRight w:val="0"/>
                      <w:marTop w:val="0"/>
                      <w:marBottom w:val="0"/>
                      <w:divBdr>
                        <w:top w:val="none" w:sz="0" w:space="0" w:color="auto"/>
                        <w:left w:val="none" w:sz="0" w:space="0" w:color="auto"/>
                        <w:bottom w:val="none" w:sz="0" w:space="0" w:color="auto"/>
                        <w:right w:val="none" w:sz="0" w:space="0" w:color="auto"/>
                      </w:divBdr>
                    </w:div>
                    <w:div w:id="1838112379">
                      <w:marLeft w:val="0"/>
                      <w:marRight w:val="0"/>
                      <w:marTop w:val="0"/>
                      <w:marBottom w:val="0"/>
                      <w:divBdr>
                        <w:top w:val="none" w:sz="0" w:space="0" w:color="auto"/>
                        <w:left w:val="none" w:sz="0" w:space="0" w:color="auto"/>
                        <w:bottom w:val="none" w:sz="0" w:space="0" w:color="auto"/>
                        <w:right w:val="none" w:sz="0" w:space="0" w:color="auto"/>
                      </w:divBdr>
                    </w:div>
                    <w:div w:id="2089959824">
                      <w:marLeft w:val="0"/>
                      <w:marRight w:val="0"/>
                      <w:marTop w:val="0"/>
                      <w:marBottom w:val="0"/>
                      <w:divBdr>
                        <w:top w:val="none" w:sz="0" w:space="0" w:color="auto"/>
                        <w:left w:val="none" w:sz="0" w:space="0" w:color="auto"/>
                        <w:bottom w:val="none" w:sz="0" w:space="0" w:color="auto"/>
                        <w:right w:val="none" w:sz="0" w:space="0" w:color="auto"/>
                      </w:divBdr>
                    </w:div>
                  </w:divsChild>
                </w:div>
                <w:div w:id="1696687895">
                  <w:marLeft w:val="0"/>
                  <w:marRight w:val="0"/>
                  <w:marTop w:val="0"/>
                  <w:marBottom w:val="0"/>
                  <w:divBdr>
                    <w:top w:val="none" w:sz="0" w:space="0" w:color="auto"/>
                    <w:left w:val="none" w:sz="0" w:space="0" w:color="auto"/>
                    <w:bottom w:val="none" w:sz="0" w:space="0" w:color="auto"/>
                    <w:right w:val="none" w:sz="0" w:space="0" w:color="auto"/>
                  </w:divBdr>
                  <w:divsChild>
                    <w:div w:id="663822604">
                      <w:marLeft w:val="0"/>
                      <w:marRight w:val="0"/>
                      <w:marTop w:val="0"/>
                      <w:marBottom w:val="0"/>
                      <w:divBdr>
                        <w:top w:val="none" w:sz="0" w:space="0" w:color="auto"/>
                        <w:left w:val="none" w:sz="0" w:space="0" w:color="auto"/>
                        <w:bottom w:val="none" w:sz="0" w:space="0" w:color="auto"/>
                        <w:right w:val="none" w:sz="0" w:space="0" w:color="auto"/>
                      </w:divBdr>
                    </w:div>
                  </w:divsChild>
                </w:div>
                <w:div w:id="1718509182">
                  <w:marLeft w:val="0"/>
                  <w:marRight w:val="0"/>
                  <w:marTop w:val="0"/>
                  <w:marBottom w:val="0"/>
                  <w:divBdr>
                    <w:top w:val="none" w:sz="0" w:space="0" w:color="auto"/>
                    <w:left w:val="none" w:sz="0" w:space="0" w:color="auto"/>
                    <w:bottom w:val="none" w:sz="0" w:space="0" w:color="auto"/>
                    <w:right w:val="none" w:sz="0" w:space="0" w:color="auto"/>
                  </w:divBdr>
                  <w:divsChild>
                    <w:div w:id="653875095">
                      <w:marLeft w:val="0"/>
                      <w:marRight w:val="0"/>
                      <w:marTop w:val="0"/>
                      <w:marBottom w:val="0"/>
                      <w:divBdr>
                        <w:top w:val="none" w:sz="0" w:space="0" w:color="auto"/>
                        <w:left w:val="none" w:sz="0" w:space="0" w:color="auto"/>
                        <w:bottom w:val="none" w:sz="0" w:space="0" w:color="auto"/>
                        <w:right w:val="none" w:sz="0" w:space="0" w:color="auto"/>
                      </w:divBdr>
                    </w:div>
                    <w:div w:id="832640931">
                      <w:marLeft w:val="0"/>
                      <w:marRight w:val="0"/>
                      <w:marTop w:val="0"/>
                      <w:marBottom w:val="0"/>
                      <w:divBdr>
                        <w:top w:val="none" w:sz="0" w:space="0" w:color="auto"/>
                        <w:left w:val="none" w:sz="0" w:space="0" w:color="auto"/>
                        <w:bottom w:val="none" w:sz="0" w:space="0" w:color="auto"/>
                        <w:right w:val="none" w:sz="0" w:space="0" w:color="auto"/>
                      </w:divBdr>
                    </w:div>
                    <w:div w:id="974289950">
                      <w:marLeft w:val="0"/>
                      <w:marRight w:val="0"/>
                      <w:marTop w:val="0"/>
                      <w:marBottom w:val="0"/>
                      <w:divBdr>
                        <w:top w:val="none" w:sz="0" w:space="0" w:color="auto"/>
                        <w:left w:val="none" w:sz="0" w:space="0" w:color="auto"/>
                        <w:bottom w:val="none" w:sz="0" w:space="0" w:color="auto"/>
                        <w:right w:val="none" w:sz="0" w:space="0" w:color="auto"/>
                      </w:divBdr>
                    </w:div>
                    <w:div w:id="1285693894">
                      <w:marLeft w:val="0"/>
                      <w:marRight w:val="0"/>
                      <w:marTop w:val="0"/>
                      <w:marBottom w:val="0"/>
                      <w:divBdr>
                        <w:top w:val="none" w:sz="0" w:space="0" w:color="auto"/>
                        <w:left w:val="none" w:sz="0" w:space="0" w:color="auto"/>
                        <w:bottom w:val="none" w:sz="0" w:space="0" w:color="auto"/>
                        <w:right w:val="none" w:sz="0" w:space="0" w:color="auto"/>
                      </w:divBdr>
                    </w:div>
                  </w:divsChild>
                </w:div>
                <w:div w:id="1724594262">
                  <w:marLeft w:val="0"/>
                  <w:marRight w:val="0"/>
                  <w:marTop w:val="0"/>
                  <w:marBottom w:val="0"/>
                  <w:divBdr>
                    <w:top w:val="none" w:sz="0" w:space="0" w:color="auto"/>
                    <w:left w:val="none" w:sz="0" w:space="0" w:color="auto"/>
                    <w:bottom w:val="none" w:sz="0" w:space="0" w:color="auto"/>
                    <w:right w:val="none" w:sz="0" w:space="0" w:color="auto"/>
                  </w:divBdr>
                  <w:divsChild>
                    <w:div w:id="1608848705">
                      <w:marLeft w:val="0"/>
                      <w:marRight w:val="0"/>
                      <w:marTop w:val="0"/>
                      <w:marBottom w:val="0"/>
                      <w:divBdr>
                        <w:top w:val="none" w:sz="0" w:space="0" w:color="auto"/>
                        <w:left w:val="none" w:sz="0" w:space="0" w:color="auto"/>
                        <w:bottom w:val="none" w:sz="0" w:space="0" w:color="auto"/>
                        <w:right w:val="none" w:sz="0" w:space="0" w:color="auto"/>
                      </w:divBdr>
                    </w:div>
                  </w:divsChild>
                </w:div>
                <w:div w:id="1727216721">
                  <w:marLeft w:val="0"/>
                  <w:marRight w:val="0"/>
                  <w:marTop w:val="0"/>
                  <w:marBottom w:val="0"/>
                  <w:divBdr>
                    <w:top w:val="none" w:sz="0" w:space="0" w:color="auto"/>
                    <w:left w:val="none" w:sz="0" w:space="0" w:color="auto"/>
                    <w:bottom w:val="none" w:sz="0" w:space="0" w:color="auto"/>
                    <w:right w:val="none" w:sz="0" w:space="0" w:color="auto"/>
                  </w:divBdr>
                  <w:divsChild>
                    <w:div w:id="78718571">
                      <w:marLeft w:val="0"/>
                      <w:marRight w:val="0"/>
                      <w:marTop w:val="0"/>
                      <w:marBottom w:val="0"/>
                      <w:divBdr>
                        <w:top w:val="none" w:sz="0" w:space="0" w:color="auto"/>
                        <w:left w:val="none" w:sz="0" w:space="0" w:color="auto"/>
                        <w:bottom w:val="none" w:sz="0" w:space="0" w:color="auto"/>
                        <w:right w:val="none" w:sz="0" w:space="0" w:color="auto"/>
                      </w:divBdr>
                    </w:div>
                    <w:div w:id="139228535">
                      <w:marLeft w:val="0"/>
                      <w:marRight w:val="0"/>
                      <w:marTop w:val="0"/>
                      <w:marBottom w:val="0"/>
                      <w:divBdr>
                        <w:top w:val="none" w:sz="0" w:space="0" w:color="auto"/>
                        <w:left w:val="none" w:sz="0" w:space="0" w:color="auto"/>
                        <w:bottom w:val="none" w:sz="0" w:space="0" w:color="auto"/>
                        <w:right w:val="none" w:sz="0" w:space="0" w:color="auto"/>
                      </w:divBdr>
                    </w:div>
                    <w:div w:id="967474231">
                      <w:marLeft w:val="0"/>
                      <w:marRight w:val="0"/>
                      <w:marTop w:val="0"/>
                      <w:marBottom w:val="0"/>
                      <w:divBdr>
                        <w:top w:val="none" w:sz="0" w:space="0" w:color="auto"/>
                        <w:left w:val="none" w:sz="0" w:space="0" w:color="auto"/>
                        <w:bottom w:val="none" w:sz="0" w:space="0" w:color="auto"/>
                        <w:right w:val="none" w:sz="0" w:space="0" w:color="auto"/>
                      </w:divBdr>
                    </w:div>
                    <w:div w:id="1768767659">
                      <w:marLeft w:val="0"/>
                      <w:marRight w:val="0"/>
                      <w:marTop w:val="0"/>
                      <w:marBottom w:val="0"/>
                      <w:divBdr>
                        <w:top w:val="none" w:sz="0" w:space="0" w:color="auto"/>
                        <w:left w:val="none" w:sz="0" w:space="0" w:color="auto"/>
                        <w:bottom w:val="none" w:sz="0" w:space="0" w:color="auto"/>
                        <w:right w:val="none" w:sz="0" w:space="0" w:color="auto"/>
                      </w:divBdr>
                    </w:div>
                    <w:div w:id="1886022673">
                      <w:marLeft w:val="0"/>
                      <w:marRight w:val="0"/>
                      <w:marTop w:val="0"/>
                      <w:marBottom w:val="0"/>
                      <w:divBdr>
                        <w:top w:val="none" w:sz="0" w:space="0" w:color="auto"/>
                        <w:left w:val="none" w:sz="0" w:space="0" w:color="auto"/>
                        <w:bottom w:val="none" w:sz="0" w:space="0" w:color="auto"/>
                        <w:right w:val="none" w:sz="0" w:space="0" w:color="auto"/>
                      </w:divBdr>
                    </w:div>
                  </w:divsChild>
                </w:div>
                <w:div w:id="1731883804">
                  <w:marLeft w:val="0"/>
                  <w:marRight w:val="0"/>
                  <w:marTop w:val="0"/>
                  <w:marBottom w:val="0"/>
                  <w:divBdr>
                    <w:top w:val="none" w:sz="0" w:space="0" w:color="auto"/>
                    <w:left w:val="none" w:sz="0" w:space="0" w:color="auto"/>
                    <w:bottom w:val="none" w:sz="0" w:space="0" w:color="auto"/>
                    <w:right w:val="none" w:sz="0" w:space="0" w:color="auto"/>
                  </w:divBdr>
                  <w:divsChild>
                    <w:div w:id="102459906">
                      <w:marLeft w:val="0"/>
                      <w:marRight w:val="0"/>
                      <w:marTop w:val="0"/>
                      <w:marBottom w:val="0"/>
                      <w:divBdr>
                        <w:top w:val="none" w:sz="0" w:space="0" w:color="auto"/>
                        <w:left w:val="none" w:sz="0" w:space="0" w:color="auto"/>
                        <w:bottom w:val="none" w:sz="0" w:space="0" w:color="auto"/>
                        <w:right w:val="none" w:sz="0" w:space="0" w:color="auto"/>
                      </w:divBdr>
                    </w:div>
                    <w:div w:id="1585526801">
                      <w:marLeft w:val="0"/>
                      <w:marRight w:val="0"/>
                      <w:marTop w:val="0"/>
                      <w:marBottom w:val="0"/>
                      <w:divBdr>
                        <w:top w:val="none" w:sz="0" w:space="0" w:color="auto"/>
                        <w:left w:val="none" w:sz="0" w:space="0" w:color="auto"/>
                        <w:bottom w:val="none" w:sz="0" w:space="0" w:color="auto"/>
                        <w:right w:val="none" w:sz="0" w:space="0" w:color="auto"/>
                      </w:divBdr>
                    </w:div>
                    <w:div w:id="2074305722">
                      <w:marLeft w:val="0"/>
                      <w:marRight w:val="0"/>
                      <w:marTop w:val="0"/>
                      <w:marBottom w:val="0"/>
                      <w:divBdr>
                        <w:top w:val="none" w:sz="0" w:space="0" w:color="auto"/>
                        <w:left w:val="none" w:sz="0" w:space="0" w:color="auto"/>
                        <w:bottom w:val="none" w:sz="0" w:space="0" w:color="auto"/>
                        <w:right w:val="none" w:sz="0" w:space="0" w:color="auto"/>
                      </w:divBdr>
                    </w:div>
                  </w:divsChild>
                </w:div>
                <w:div w:id="1753625367">
                  <w:marLeft w:val="0"/>
                  <w:marRight w:val="0"/>
                  <w:marTop w:val="0"/>
                  <w:marBottom w:val="0"/>
                  <w:divBdr>
                    <w:top w:val="none" w:sz="0" w:space="0" w:color="auto"/>
                    <w:left w:val="none" w:sz="0" w:space="0" w:color="auto"/>
                    <w:bottom w:val="none" w:sz="0" w:space="0" w:color="auto"/>
                    <w:right w:val="none" w:sz="0" w:space="0" w:color="auto"/>
                  </w:divBdr>
                  <w:divsChild>
                    <w:div w:id="163861836">
                      <w:marLeft w:val="0"/>
                      <w:marRight w:val="0"/>
                      <w:marTop w:val="0"/>
                      <w:marBottom w:val="0"/>
                      <w:divBdr>
                        <w:top w:val="none" w:sz="0" w:space="0" w:color="auto"/>
                        <w:left w:val="none" w:sz="0" w:space="0" w:color="auto"/>
                        <w:bottom w:val="none" w:sz="0" w:space="0" w:color="auto"/>
                        <w:right w:val="none" w:sz="0" w:space="0" w:color="auto"/>
                      </w:divBdr>
                    </w:div>
                  </w:divsChild>
                </w:div>
                <w:div w:id="1784112505">
                  <w:marLeft w:val="0"/>
                  <w:marRight w:val="0"/>
                  <w:marTop w:val="0"/>
                  <w:marBottom w:val="0"/>
                  <w:divBdr>
                    <w:top w:val="none" w:sz="0" w:space="0" w:color="auto"/>
                    <w:left w:val="none" w:sz="0" w:space="0" w:color="auto"/>
                    <w:bottom w:val="none" w:sz="0" w:space="0" w:color="auto"/>
                    <w:right w:val="none" w:sz="0" w:space="0" w:color="auto"/>
                  </w:divBdr>
                  <w:divsChild>
                    <w:div w:id="150633914">
                      <w:marLeft w:val="0"/>
                      <w:marRight w:val="0"/>
                      <w:marTop w:val="0"/>
                      <w:marBottom w:val="0"/>
                      <w:divBdr>
                        <w:top w:val="none" w:sz="0" w:space="0" w:color="auto"/>
                        <w:left w:val="none" w:sz="0" w:space="0" w:color="auto"/>
                        <w:bottom w:val="none" w:sz="0" w:space="0" w:color="auto"/>
                        <w:right w:val="none" w:sz="0" w:space="0" w:color="auto"/>
                      </w:divBdr>
                    </w:div>
                    <w:div w:id="407725725">
                      <w:marLeft w:val="0"/>
                      <w:marRight w:val="0"/>
                      <w:marTop w:val="0"/>
                      <w:marBottom w:val="0"/>
                      <w:divBdr>
                        <w:top w:val="none" w:sz="0" w:space="0" w:color="auto"/>
                        <w:left w:val="none" w:sz="0" w:space="0" w:color="auto"/>
                        <w:bottom w:val="none" w:sz="0" w:space="0" w:color="auto"/>
                        <w:right w:val="none" w:sz="0" w:space="0" w:color="auto"/>
                      </w:divBdr>
                    </w:div>
                    <w:div w:id="848102729">
                      <w:marLeft w:val="0"/>
                      <w:marRight w:val="0"/>
                      <w:marTop w:val="0"/>
                      <w:marBottom w:val="0"/>
                      <w:divBdr>
                        <w:top w:val="none" w:sz="0" w:space="0" w:color="auto"/>
                        <w:left w:val="none" w:sz="0" w:space="0" w:color="auto"/>
                        <w:bottom w:val="none" w:sz="0" w:space="0" w:color="auto"/>
                        <w:right w:val="none" w:sz="0" w:space="0" w:color="auto"/>
                      </w:divBdr>
                    </w:div>
                    <w:div w:id="867335924">
                      <w:marLeft w:val="0"/>
                      <w:marRight w:val="0"/>
                      <w:marTop w:val="0"/>
                      <w:marBottom w:val="0"/>
                      <w:divBdr>
                        <w:top w:val="none" w:sz="0" w:space="0" w:color="auto"/>
                        <w:left w:val="none" w:sz="0" w:space="0" w:color="auto"/>
                        <w:bottom w:val="none" w:sz="0" w:space="0" w:color="auto"/>
                        <w:right w:val="none" w:sz="0" w:space="0" w:color="auto"/>
                      </w:divBdr>
                    </w:div>
                    <w:div w:id="1322853346">
                      <w:marLeft w:val="0"/>
                      <w:marRight w:val="0"/>
                      <w:marTop w:val="0"/>
                      <w:marBottom w:val="0"/>
                      <w:divBdr>
                        <w:top w:val="none" w:sz="0" w:space="0" w:color="auto"/>
                        <w:left w:val="none" w:sz="0" w:space="0" w:color="auto"/>
                        <w:bottom w:val="none" w:sz="0" w:space="0" w:color="auto"/>
                        <w:right w:val="none" w:sz="0" w:space="0" w:color="auto"/>
                      </w:divBdr>
                    </w:div>
                    <w:div w:id="1465855443">
                      <w:marLeft w:val="0"/>
                      <w:marRight w:val="0"/>
                      <w:marTop w:val="0"/>
                      <w:marBottom w:val="0"/>
                      <w:divBdr>
                        <w:top w:val="none" w:sz="0" w:space="0" w:color="auto"/>
                        <w:left w:val="none" w:sz="0" w:space="0" w:color="auto"/>
                        <w:bottom w:val="none" w:sz="0" w:space="0" w:color="auto"/>
                        <w:right w:val="none" w:sz="0" w:space="0" w:color="auto"/>
                      </w:divBdr>
                    </w:div>
                    <w:div w:id="1744834476">
                      <w:marLeft w:val="0"/>
                      <w:marRight w:val="0"/>
                      <w:marTop w:val="0"/>
                      <w:marBottom w:val="0"/>
                      <w:divBdr>
                        <w:top w:val="none" w:sz="0" w:space="0" w:color="auto"/>
                        <w:left w:val="none" w:sz="0" w:space="0" w:color="auto"/>
                        <w:bottom w:val="none" w:sz="0" w:space="0" w:color="auto"/>
                        <w:right w:val="none" w:sz="0" w:space="0" w:color="auto"/>
                      </w:divBdr>
                    </w:div>
                    <w:div w:id="1940136968">
                      <w:marLeft w:val="0"/>
                      <w:marRight w:val="0"/>
                      <w:marTop w:val="0"/>
                      <w:marBottom w:val="0"/>
                      <w:divBdr>
                        <w:top w:val="none" w:sz="0" w:space="0" w:color="auto"/>
                        <w:left w:val="none" w:sz="0" w:space="0" w:color="auto"/>
                        <w:bottom w:val="none" w:sz="0" w:space="0" w:color="auto"/>
                        <w:right w:val="none" w:sz="0" w:space="0" w:color="auto"/>
                      </w:divBdr>
                    </w:div>
                    <w:div w:id="2045598013">
                      <w:marLeft w:val="0"/>
                      <w:marRight w:val="0"/>
                      <w:marTop w:val="0"/>
                      <w:marBottom w:val="0"/>
                      <w:divBdr>
                        <w:top w:val="none" w:sz="0" w:space="0" w:color="auto"/>
                        <w:left w:val="none" w:sz="0" w:space="0" w:color="auto"/>
                        <w:bottom w:val="none" w:sz="0" w:space="0" w:color="auto"/>
                        <w:right w:val="none" w:sz="0" w:space="0" w:color="auto"/>
                      </w:divBdr>
                    </w:div>
                  </w:divsChild>
                </w:div>
                <w:div w:id="1847477212">
                  <w:marLeft w:val="0"/>
                  <w:marRight w:val="0"/>
                  <w:marTop w:val="0"/>
                  <w:marBottom w:val="0"/>
                  <w:divBdr>
                    <w:top w:val="none" w:sz="0" w:space="0" w:color="auto"/>
                    <w:left w:val="none" w:sz="0" w:space="0" w:color="auto"/>
                    <w:bottom w:val="none" w:sz="0" w:space="0" w:color="auto"/>
                    <w:right w:val="none" w:sz="0" w:space="0" w:color="auto"/>
                  </w:divBdr>
                  <w:divsChild>
                    <w:div w:id="81728940">
                      <w:marLeft w:val="0"/>
                      <w:marRight w:val="0"/>
                      <w:marTop w:val="0"/>
                      <w:marBottom w:val="0"/>
                      <w:divBdr>
                        <w:top w:val="none" w:sz="0" w:space="0" w:color="auto"/>
                        <w:left w:val="none" w:sz="0" w:space="0" w:color="auto"/>
                        <w:bottom w:val="none" w:sz="0" w:space="0" w:color="auto"/>
                        <w:right w:val="none" w:sz="0" w:space="0" w:color="auto"/>
                      </w:divBdr>
                    </w:div>
                    <w:div w:id="1125344940">
                      <w:marLeft w:val="0"/>
                      <w:marRight w:val="0"/>
                      <w:marTop w:val="0"/>
                      <w:marBottom w:val="0"/>
                      <w:divBdr>
                        <w:top w:val="none" w:sz="0" w:space="0" w:color="auto"/>
                        <w:left w:val="none" w:sz="0" w:space="0" w:color="auto"/>
                        <w:bottom w:val="none" w:sz="0" w:space="0" w:color="auto"/>
                        <w:right w:val="none" w:sz="0" w:space="0" w:color="auto"/>
                      </w:divBdr>
                    </w:div>
                    <w:div w:id="1910844619">
                      <w:marLeft w:val="0"/>
                      <w:marRight w:val="0"/>
                      <w:marTop w:val="0"/>
                      <w:marBottom w:val="0"/>
                      <w:divBdr>
                        <w:top w:val="none" w:sz="0" w:space="0" w:color="auto"/>
                        <w:left w:val="none" w:sz="0" w:space="0" w:color="auto"/>
                        <w:bottom w:val="none" w:sz="0" w:space="0" w:color="auto"/>
                        <w:right w:val="none" w:sz="0" w:space="0" w:color="auto"/>
                      </w:divBdr>
                    </w:div>
                    <w:div w:id="2009362245">
                      <w:marLeft w:val="0"/>
                      <w:marRight w:val="0"/>
                      <w:marTop w:val="0"/>
                      <w:marBottom w:val="0"/>
                      <w:divBdr>
                        <w:top w:val="none" w:sz="0" w:space="0" w:color="auto"/>
                        <w:left w:val="none" w:sz="0" w:space="0" w:color="auto"/>
                        <w:bottom w:val="none" w:sz="0" w:space="0" w:color="auto"/>
                        <w:right w:val="none" w:sz="0" w:space="0" w:color="auto"/>
                      </w:divBdr>
                    </w:div>
                    <w:div w:id="2141216841">
                      <w:marLeft w:val="0"/>
                      <w:marRight w:val="0"/>
                      <w:marTop w:val="0"/>
                      <w:marBottom w:val="0"/>
                      <w:divBdr>
                        <w:top w:val="none" w:sz="0" w:space="0" w:color="auto"/>
                        <w:left w:val="none" w:sz="0" w:space="0" w:color="auto"/>
                        <w:bottom w:val="none" w:sz="0" w:space="0" w:color="auto"/>
                        <w:right w:val="none" w:sz="0" w:space="0" w:color="auto"/>
                      </w:divBdr>
                    </w:div>
                  </w:divsChild>
                </w:div>
                <w:div w:id="1866092941">
                  <w:marLeft w:val="0"/>
                  <w:marRight w:val="0"/>
                  <w:marTop w:val="0"/>
                  <w:marBottom w:val="0"/>
                  <w:divBdr>
                    <w:top w:val="none" w:sz="0" w:space="0" w:color="auto"/>
                    <w:left w:val="none" w:sz="0" w:space="0" w:color="auto"/>
                    <w:bottom w:val="none" w:sz="0" w:space="0" w:color="auto"/>
                    <w:right w:val="none" w:sz="0" w:space="0" w:color="auto"/>
                  </w:divBdr>
                  <w:divsChild>
                    <w:div w:id="306205675">
                      <w:marLeft w:val="0"/>
                      <w:marRight w:val="0"/>
                      <w:marTop w:val="0"/>
                      <w:marBottom w:val="0"/>
                      <w:divBdr>
                        <w:top w:val="none" w:sz="0" w:space="0" w:color="auto"/>
                        <w:left w:val="none" w:sz="0" w:space="0" w:color="auto"/>
                        <w:bottom w:val="none" w:sz="0" w:space="0" w:color="auto"/>
                        <w:right w:val="none" w:sz="0" w:space="0" w:color="auto"/>
                      </w:divBdr>
                    </w:div>
                    <w:div w:id="1905144261">
                      <w:marLeft w:val="0"/>
                      <w:marRight w:val="0"/>
                      <w:marTop w:val="0"/>
                      <w:marBottom w:val="0"/>
                      <w:divBdr>
                        <w:top w:val="none" w:sz="0" w:space="0" w:color="auto"/>
                        <w:left w:val="none" w:sz="0" w:space="0" w:color="auto"/>
                        <w:bottom w:val="none" w:sz="0" w:space="0" w:color="auto"/>
                        <w:right w:val="none" w:sz="0" w:space="0" w:color="auto"/>
                      </w:divBdr>
                    </w:div>
                    <w:div w:id="2096317248">
                      <w:marLeft w:val="0"/>
                      <w:marRight w:val="0"/>
                      <w:marTop w:val="0"/>
                      <w:marBottom w:val="0"/>
                      <w:divBdr>
                        <w:top w:val="none" w:sz="0" w:space="0" w:color="auto"/>
                        <w:left w:val="none" w:sz="0" w:space="0" w:color="auto"/>
                        <w:bottom w:val="none" w:sz="0" w:space="0" w:color="auto"/>
                        <w:right w:val="none" w:sz="0" w:space="0" w:color="auto"/>
                      </w:divBdr>
                    </w:div>
                  </w:divsChild>
                </w:div>
                <w:div w:id="1873031787">
                  <w:marLeft w:val="0"/>
                  <w:marRight w:val="0"/>
                  <w:marTop w:val="0"/>
                  <w:marBottom w:val="0"/>
                  <w:divBdr>
                    <w:top w:val="none" w:sz="0" w:space="0" w:color="auto"/>
                    <w:left w:val="none" w:sz="0" w:space="0" w:color="auto"/>
                    <w:bottom w:val="none" w:sz="0" w:space="0" w:color="auto"/>
                    <w:right w:val="none" w:sz="0" w:space="0" w:color="auto"/>
                  </w:divBdr>
                  <w:divsChild>
                    <w:div w:id="765731177">
                      <w:marLeft w:val="0"/>
                      <w:marRight w:val="0"/>
                      <w:marTop w:val="0"/>
                      <w:marBottom w:val="0"/>
                      <w:divBdr>
                        <w:top w:val="none" w:sz="0" w:space="0" w:color="auto"/>
                        <w:left w:val="none" w:sz="0" w:space="0" w:color="auto"/>
                        <w:bottom w:val="none" w:sz="0" w:space="0" w:color="auto"/>
                        <w:right w:val="none" w:sz="0" w:space="0" w:color="auto"/>
                      </w:divBdr>
                    </w:div>
                    <w:div w:id="859274458">
                      <w:marLeft w:val="0"/>
                      <w:marRight w:val="0"/>
                      <w:marTop w:val="0"/>
                      <w:marBottom w:val="0"/>
                      <w:divBdr>
                        <w:top w:val="none" w:sz="0" w:space="0" w:color="auto"/>
                        <w:left w:val="none" w:sz="0" w:space="0" w:color="auto"/>
                        <w:bottom w:val="none" w:sz="0" w:space="0" w:color="auto"/>
                        <w:right w:val="none" w:sz="0" w:space="0" w:color="auto"/>
                      </w:divBdr>
                    </w:div>
                    <w:div w:id="950091775">
                      <w:marLeft w:val="0"/>
                      <w:marRight w:val="0"/>
                      <w:marTop w:val="0"/>
                      <w:marBottom w:val="0"/>
                      <w:divBdr>
                        <w:top w:val="none" w:sz="0" w:space="0" w:color="auto"/>
                        <w:left w:val="none" w:sz="0" w:space="0" w:color="auto"/>
                        <w:bottom w:val="none" w:sz="0" w:space="0" w:color="auto"/>
                        <w:right w:val="none" w:sz="0" w:space="0" w:color="auto"/>
                      </w:divBdr>
                    </w:div>
                  </w:divsChild>
                </w:div>
                <w:div w:id="1873766998">
                  <w:marLeft w:val="0"/>
                  <w:marRight w:val="0"/>
                  <w:marTop w:val="0"/>
                  <w:marBottom w:val="0"/>
                  <w:divBdr>
                    <w:top w:val="none" w:sz="0" w:space="0" w:color="auto"/>
                    <w:left w:val="none" w:sz="0" w:space="0" w:color="auto"/>
                    <w:bottom w:val="none" w:sz="0" w:space="0" w:color="auto"/>
                    <w:right w:val="none" w:sz="0" w:space="0" w:color="auto"/>
                  </w:divBdr>
                  <w:divsChild>
                    <w:div w:id="302541450">
                      <w:marLeft w:val="0"/>
                      <w:marRight w:val="0"/>
                      <w:marTop w:val="0"/>
                      <w:marBottom w:val="0"/>
                      <w:divBdr>
                        <w:top w:val="none" w:sz="0" w:space="0" w:color="auto"/>
                        <w:left w:val="none" w:sz="0" w:space="0" w:color="auto"/>
                        <w:bottom w:val="none" w:sz="0" w:space="0" w:color="auto"/>
                        <w:right w:val="none" w:sz="0" w:space="0" w:color="auto"/>
                      </w:divBdr>
                    </w:div>
                    <w:div w:id="847017733">
                      <w:marLeft w:val="0"/>
                      <w:marRight w:val="0"/>
                      <w:marTop w:val="0"/>
                      <w:marBottom w:val="0"/>
                      <w:divBdr>
                        <w:top w:val="none" w:sz="0" w:space="0" w:color="auto"/>
                        <w:left w:val="none" w:sz="0" w:space="0" w:color="auto"/>
                        <w:bottom w:val="none" w:sz="0" w:space="0" w:color="auto"/>
                        <w:right w:val="none" w:sz="0" w:space="0" w:color="auto"/>
                      </w:divBdr>
                    </w:div>
                    <w:div w:id="853954872">
                      <w:marLeft w:val="0"/>
                      <w:marRight w:val="0"/>
                      <w:marTop w:val="0"/>
                      <w:marBottom w:val="0"/>
                      <w:divBdr>
                        <w:top w:val="none" w:sz="0" w:space="0" w:color="auto"/>
                        <w:left w:val="none" w:sz="0" w:space="0" w:color="auto"/>
                        <w:bottom w:val="none" w:sz="0" w:space="0" w:color="auto"/>
                        <w:right w:val="none" w:sz="0" w:space="0" w:color="auto"/>
                      </w:divBdr>
                    </w:div>
                    <w:div w:id="1210609459">
                      <w:marLeft w:val="0"/>
                      <w:marRight w:val="0"/>
                      <w:marTop w:val="0"/>
                      <w:marBottom w:val="0"/>
                      <w:divBdr>
                        <w:top w:val="none" w:sz="0" w:space="0" w:color="auto"/>
                        <w:left w:val="none" w:sz="0" w:space="0" w:color="auto"/>
                        <w:bottom w:val="none" w:sz="0" w:space="0" w:color="auto"/>
                        <w:right w:val="none" w:sz="0" w:space="0" w:color="auto"/>
                      </w:divBdr>
                    </w:div>
                    <w:div w:id="1956131589">
                      <w:marLeft w:val="0"/>
                      <w:marRight w:val="0"/>
                      <w:marTop w:val="0"/>
                      <w:marBottom w:val="0"/>
                      <w:divBdr>
                        <w:top w:val="none" w:sz="0" w:space="0" w:color="auto"/>
                        <w:left w:val="none" w:sz="0" w:space="0" w:color="auto"/>
                        <w:bottom w:val="none" w:sz="0" w:space="0" w:color="auto"/>
                        <w:right w:val="none" w:sz="0" w:space="0" w:color="auto"/>
                      </w:divBdr>
                    </w:div>
                  </w:divsChild>
                </w:div>
                <w:div w:id="1951014207">
                  <w:marLeft w:val="0"/>
                  <w:marRight w:val="0"/>
                  <w:marTop w:val="0"/>
                  <w:marBottom w:val="0"/>
                  <w:divBdr>
                    <w:top w:val="none" w:sz="0" w:space="0" w:color="auto"/>
                    <w:left w:val="none" w:sz="0" w:space="0" w:color="auto"/>
                    <w:bottom w:val="none" w:sz="0" w:space="0" w:color="auto"/>
                    <w:right w:val="none" w:sz="0" w:space="0" w:color="auto"/>
                  </w:divBdr>
                  <w:divsChild>
                    <w:div w:id="1249345468">
                      <w:marLeft w:val="0"/>
                      <w:marRight w:val="0"/>
                      <w:marTop w:val="0"/>
                      <w:marBottom w:val="0"/>
                      <w:divBdr>
                        <w:top w:val="none" w:sz="0" w:space="0" w:color="auto"/>
                        <w:left w:val="none" w:sz="0" w:space="0" w:color="auto"/>
                        <w:bottom w:val="none" w:sz="0" w:space="0" w:color="auto"/>
                        <w:right w:val="none" w:sz="0" w:space="0" w:color="auto"/>
                      </w:divBdr>
                    </w:div>
                  </w:divsChild>
                </w:div>
                <w:div w:id="1964462915">
                  <w:marLeft w:val="0"/>
                  <w:marRight w:val="0"/>
                  <w:marTop w:val="0"/>
                  <w:marBottom w:val="0"/>
                  <w:divBdr>
                    <w:top w:val="none" w:sz="0" w:space="0" w:color="auto"/>
                    <w:left w:val="none" w:sz="0" w:space="0" w:color="auto"/>
                    <w:bottom w:val="none" w:sz="0" w:space="0" w:color="auto"/>
                    <w:right w:val="none" w:sz="0" w:space="0" w:color="auto"/>
                  </w:divBdr>
                  <w:divsChild>
                    <w:div w:id="53621486">
                      <w:marLeft w:val="0"/>
                      <w:marRight w:val="0"/>
                      <w:marTop w:val="0"/>
                      <w:marBottom w:val="0"/>
                      <w:divBdr>
                        <w:top w:val="none" w:sz="0" w:space="0" w:color="auto"/>
                        <w:left w:val="none" w:sz="0" w:space="0" w:color="auto"/>
                        <w:bottom w:val="none" w:sz="0" w:space="0" w:color="auto"/>
                        <w:right w:val="none" w:sz="0" w:space="0" w:color="auto"/>
                      </w:divBdr>
                    </w:div>
                  </w:divsChild>
                </w:div>
                <w:div w:id="1977445187">
                  <w:marLeft w:val="0"/>
                  <w:marRight w:val="0"/>
                  <w:marTop w:val="0"/>
                  <w:marBottom w:val="0"/>
                  <w:divBdr>
                    <w:top w:val="none" w:sz="0" w:space="0" w:color="auto"/>
                    <w:left w:val="none" w:sz="0" w:space="0" w:color="auto"/>
                    <w:bottom w:val="none" w:sz="0" w:space="0" w:color="auto"/>
                    <w:right w:val="none" w:sz="0" w:space="0" w:color="auto"/>
                  </w:divBdr>
                  <w:divsChild>
                    <w:div w:id="549683028">
                      <w:marLeft w:val="0"/>
                      <w:marRight w:val="0"/>
                      <w:marTop w:val="0"/>
                      <w:marBottom w:val="0"/>
                      <w:divBdr>
                        <w:top w:val="none" w:sz="0" w:space="0" w:color="auto"/>
                        <w:left w:val="none" w:sz="0" w:space="0" w:color="auto"/>
                        <w:bottom w:val="none" w:sz="0" w:space="0" w:color="auto"/>
                        <w:right w:val="none" w:sz="0" w:space="0" w:color="auto"/>
                      </w:divBdr>
                    </w:div>
                    <w:div w:id="1006715648">
                      <w:marLeft w:val="0"/>
                      <w:marRight w:val="0"/>
                      <w:marTop w:val="0"/>
                      <w:marBottom w:val="0"/>
                      <w:divBdr>
                        <w:top w:val="none" w:sz="0" w:space="0" w:color="auto"/>
                        <w:left w:val="none" w:sz="0" w:space="0" w:color="auto"/>
                        <w:bottom w:val="none" w:sz="0" w:space="0" w:color="auto"/>
                        <w:right w:val="none" w:sz="0" w:space="0" w:color="auto"/>
                      </w:divBdr>
                    </w:div>
                    <w:div w:id="1050957327">
                      <w:marLeft w:val="0"/>
                      <w:marRight w:val="0"/>
                      <w:marTop w:val="0"/>
                      <w:marBottom w:val="0"/>
                      <w:divBdr>
                        <w:top w:val="none" w:sz="0" w:space="0" w:color="auto"/>
                        <w:left w:val="none" w:sz="0" w:space="0" w:color="auto"/>
                        <w:bottom w:val="none" w:sz="0" w:space="0" w:color="auto"/>
                        <w:right w:val="none" w:sz="0" w:space="0" w:color="auto"/>
                      </w:divBdr>
                    </w:div>
                    <w:div w:id="1432629133">
                      <w:marLeft w:val="0"/>
                      <w:marRight w:val="0"/>
                      <w:marTop w:val="0"/>
                      <w:marBottom w:val="0"/>
                      <w:divBdr>
                        <w:top w:val="none" w:sz="0" w:space="0" w:color="auto"/>
                        <w:left w:val="none" w:sz="0" w:space="0" w:color="auto"/>
                        <w:bottom w:val="none" w:sz="0" w:space="0" w:color="auto"/>
                        <w:right w:val="none" w:sz="0" w:space="0" w:color="auto"/>
                      </w:divBdr>
                    </w:div>
                    <w:div w:id="1481724185">
                      <w:marLeft w:val="0"/>
                      <w:marRight w:val="0"/>
                      <w:marTop w:val="0"/>
                      <w:marBottom w:val="0"/>
                      <w:divBdr>
                        <w:top w:val="none" w:sz="0" w:space="0" w:color="auto"/>
                        <w:left w:val="none" w:sz="0" w:space="0" w:color="auto"/>
                        <w:bottom w:val="none" w:sz="0" w:space="0" w:color="auto"/>
                        <w:right w:val="none" w:sz="0" w:space="0" w:color="auto"/>
                      </w:divBdr>
                    </w:div>
                    <w:div w:id="1615399818">
                      <w:marLeft w:val="0"/>
                      <w:marRight w:val="0"/>
                      <w:marTop w:val="0"/>
                      <w:marBottom w:val="0"/>
                      <w:divBdr>
                        <w:top w:val="none" w:sz="0" w:space="0" w:color="auto"/>
                        <w:left w:val="none" w:sz="0" w:space="0" w:color="auto"/>
                        <w:bottom w:val="none" w:sz="0" w:space="0" w:color="auto"/>
                        <w:right w:val="none" w:sz="0" w:space="0" w:color="auto"/>
                      </w:divBdr>
                    </w:div>
                    <w:div w:id="1717385596">
                      <w:marLeft w:val="0"/>
                      <w:marRight w:val="0"/>
                      <w:marTop w:val="0"/>
                      <w:marBottom w:val="0"/>
                      <w:divBdr>
                        <w:top w:val="none" w:sz="0" w:space="0" w:color="auto"/>
                        <w:left w:val="none" w:sz="0" w:space="0" w:color="auto"/>
                        <w:bottom w:val="none" w:sz="0" w:space="0" w:color="auto"/>
                        <w:right w:val="none" w:sz="0" w:space="0" w:color="auto"/>
                      </w:divBdr>
                    </w:div>
                  </w:divsChild>
                </w:div>
                <w:div w:id="2033526266">
                  <w:marLeft w:val="0"/>
                  <w:marRight w:val="0"/>
                  <w:marTop w:val="0"/>
                  <w:marBottom w:val="0"/>
                  <w:divBdr>
                    <w:top w:val="none" w:sz="0" w:space="0" w:color="auto"/>
                    <w:left w:val="none" w:sz="0" w:space="0" w:color="auto"/>
                    <w:bottom w:val="none" w:sz="0" w:space="0" w:color="auto"/>
                    <w:right w:val="none" w:sz="0" w:space="0" w:color="auto"/>
                  </w:divBdr>
                  <w:divsChild>
                    <w:div w:id="430248631">
                      <w:marLeft w:val="0"/>
                      <w:marRight w:val="0"/>
                      <w:marTop w:val="0"/>
                      <w:marBottom w:val="0"/>
                      <w:divBdr>
                        <w:top w:val="none" w:sz="0" w:space="0" w:color="auto"/>
                        <w:left w:val="none" w:sz="0" w:space="0" w:color="auto"/>
                        <w:bottom w:val="none" w:sz="0" w:space="0" w:color="auto"/>
                        <w:right w:val="none" w:sz="0" w:space="0" w:color="auto"/>
                      </w:divBdr>
                    </w:div>
                  </w:divsChild>
                </w:div>
                <w:div w:id="2091543508">
                  <w:marLeft w:val="0"/>
                  <w:marRight w:val="0"/>
                  <w:marTop w:val="0"/>
                  <w:marBottom w:val="0"/>
                  <w:divBdr>
                    <w:top w:val="none" w:sz="0" w:space="0" w:color="auto"/>
                    <w:left w:val="none" w:sz="0" w:space="0" w:color="auto"/>
                    <w:bottom w:val="none" w:sz="0" w:space="0" w:color="auto"/>
                    <w:right w:val="none" w:sz="0" w:space="0" w:color="auto"/>
                  </w:divBdr>
                  <w:divsChild>
                    <w:div w:id="1440100499">
                      <w:marLeft w:val="0"/>
                      <w:marRight w:val="0"/>
                      <w:marTop w:val="0"/>
                      <w:marBottom w:val="0"/>
                      <w:divBdr>
                        <w:top w:val="none" w:sz="0" w:space="0" w:color="auto"/>
                        <w:left w:val="none" w:sz="0" w:space="0" w:color="auto"/>
                        <w:bottom w:val="none" w:sz="0" w:space="0" w:color="auto"/>
                        <w:right w:val="none" w:sz="0" w:space="0" w:color="auto"/>
                      </w:divBdr>
                    </w:div>
                    <w:div w:id="1446457791">
                      <w:marLeft w:val="0"/>
                      <w:marRight w:val="0"/>
                      <w:marTop w:val="0"/>
                      <w:marBottom w:val="0"/>
                      <w:divBdr>
                        <w:top w:val="none" w:sz="0" w:space="0" w:color="auto"/>
                        <w:left w:val="none" w:sz="0" w:space="0" w:color="auto"/>
                        <w:bottom w:val="none" w:sz="0" w:space="0" w:color="auto"/>
                        <w:right w:val="none" w:sz="0" w:space="0" w:color="auto"/>
                      </w:divBdr>
                    </w:div>
                    <w:div w:id="1961303988">
                      <w:marLeft w:val="0"/>
                      <w:marRight w:val="0"/>
                      <w:marTop w:val="0"/>
                      <w:marBottom w:val="0"/>
                      <w:divBdr>
                        <w:top w:val="none" w:sz="0" w:space="0" w:color="auto"/>
                        <w:left w:val="none" w:sz="0" w:space="0" w:color="auto"/>
                        <w:bottom w:val="none" w:sz="0" w:space="0" w:color="auto"/>
                        <w:right w:val="none" w:sz="0" w:space="0" w:color="auto"/>
                      </w:divBdr>
                    </w:div>
                    <w:div w:id="2089570856">
                      <w:marLeft w:val="0"/>
                      <w:marRight w:val="0"/>
                      <w:marTop w:val="0"/>
                      <w:marBottom w:val="0"/>
                      <w:divBdr>
                        <w:top w:val="none" w:sz="0" w:space="0" w:color="auto"/>
                        <w:left w:val="none" w:sz="0" w:space="0" w:color="auto"/>
                        <w:bottom w:val="none" w:sz="0" w:space="0" w:color="auto"/>
                        <w:right w:val="none" w:sz="0" w:space="0" w:color="auto"/>
                      </w:divBdr>
                    </w:div>
                  </w:divsChild>
                </w:div>
                <w:div w:id="2125880690">
                  <w:marLeft w:val="0"/>
                  <w:marRight w:val="0"/>
                  <w:marTop w:val="0"/>
                  <w:marBottom w:val="0"/>
                  <w:divBdr>
                    <w:top w:val="none" w:sz="0" w:space="0" w:color="auto"/>
                    <w:left w:val="none" w:sz="0" w:space="0" w:color="auto"/>
                    <w:bottom w:val="none" w:sz="0" w:space="0" w:color="auto"/>
                    <w:right w:val="none" w:sz="0" w:space="0" w:color="auto"/>
                  </w:divBdr>
                  <w:divsChild>
                    <w:div w:id="283731409">
                      <w:marLeft w:val="0"/>
                      <w:marRight w:val="0"/>
                      <w:marTop w:val="0"/>
                      <w:marBottom w:val="0"/>
                      <w:divBdr>
                        <w:top w:val="none" w:sz="0" w:space="0" w:color="auto"/>
                        <w:left w:val="none" w:sz="0" w:space="0" w:color="auto"/>
                        <w:bottom w:val="none" w:sz="0" w:space="0" w:color="auto"/>
                        <w:right w:val="none" w:sz="0" w:space="0" w:color="auto"/>
                      </w:divBdr>
                    </w:div>
                    <w:div w:id="923341545">
                      <w:marLeft w:val="0"/>
                      <w:marRight w:val="0"/>
                      <w:marTop w:val="0"/>
                      <w:marBottom w:val="0"/>
                      <w:divBdr>
                        <w:top w:val="none" w:sz="0" w:space="0" w:color="auto"/>
                        <w:left w:val="none" w:sz="0" w:space="0" w:color="auto"/>
                        <w:bottom w:val="none" w:sz="0" w:space="0" w:color="auto"/>
                        <w:right w:val="none" w:sz="0" w:space="0" w:color="auto"/>
                      </w:divBdr>
                    </w:div>
                    <w:div w:id="1014383754">
                      <w:marLeft w:val="0"/>
                      <w:marRight w:val="0"/>
                      <w:marTop w:val="0"/>
                      <w:marBottom w:val="0"/>
                      <w:divBdr>
                        <w:top w:val="none" w:sz="0" w:space="0" w:color="auto"/>
                        <w:left w:val="none" w:sz="0" w:space="0" w:color="auto"/>
                        <w:bottom w:val="none" w:sz="0" w:space="0" w:color="auto"/>
                        <w:right w:val="none" w:sz="0" w:space="0" w:color="auto"/>
                      </w:divBdr>
                    </w:div>
                    <w:div w:id="209007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46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https://www.entsog.eu/sites/default/files/2023-10/SO0052-23_Winter%20Supply%20Outlook%202023-24%20with%20Summer%202024%20Overview.pdf"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emf"/><Relationship Id="rId34" Type="http://schemas.openxmlformats.org/officeDocument/2006/relationships/header" Target="header5.xml"/><Relationship Id="rId42"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emf"/><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emf"/><Relationship Id="rId29" Type="http://schemas.openxmlformats.org/officeDocument/2006/relationships/hyperlink" Target="https://iea.blob.core.windows.net/assets/f2cf36a9-fd9b-44e6-8659-c342027ff9ac/Medium-TermGasReport2023-IncludingtheGasMarketReportQ4-2023.pdf" TargetMode="External"/><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5.emf"/><Relationship Id="rId32" Type="http://schemas.openxmlformats.org/officeDocument/2006/relationships/hyperlink" Target="https://www.acer.europa.eu/sites/default/files/documents/Publications/VIS-Study_Gas_Storage_Report.pdf" TargetMode="External"/><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nergy.ec.europa.eu/topics/energy-security/gas-storage_pl" TargetMode="External"/><Relationship Id="rId28" Type="http://schemas.openxmlformats.org/officeDocument/2006/relationships/hyperlink" Target="https://www.energy-community.org/dam/jcr:5ea2bce2-c49d-4941-9eb9-181597ff76e8/Secretariat&amp;%23039;s%20report%20on%20implementation%20of%20storage%20regulation.pdf" TargetMode="External"/><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acer.europa.eu/sites/default/files/documents/Publications/VIS-Study_Gas_Storage_Report.pdf" TargetMode="Externa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c.europa.eu/transparency/documents-register/" TargetMode="External"/><Relationship Id="rId27" Type="http://schemas.openxmlformats.org/officeDocument/2006/relationships/image" Target="media/image7.emf"/><Relationship Id="rId30" Type="http://schemas.openxmlformats.org/officeDocument/2006/relationships/hyperlink" Target="https://www.acer.europa.eu/sites/default/files/documents/Publications/ACER_MMR_Key_Developments_Gas_2023.pdf" TargetMode="External"/><Relationship Id="rId35"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conpapers.repec.org/article/ecojourn2/2023-03-40.htm" TargetMode="External"/><Relationship Id="rId3" Type="http://schemas.openxmlformats.org/officeDocument/2006/relationships/hyperlink" Target="https://www.acer.europa.eu/Publications/VIS-Study_Gas_Storage_Report.pdf" TargetMode="External"/><Relationship Id="rId7" Type="http://schemas.openxmlformats.org/officeDocument/2006/relationships/hyperlink" Target="https://econpapers.repec.org/article/ecojourn2/2023-03-40.htm" TargetMode="External"/><Relationship Id="rId2" Type="http://schemas.openxmlformats.org/officeDocument/2006/relationships/hyperlink" Target="https://www.acer.europa.eu/Publications/VIS-Study_Gas_Storage_Report.pdf" TargetMode="External"/><Relationship Id="rId1" Type="http://schemas.openxmlformats.org/officeDocument/2006/relationships/hyperlink" Target="https://www.acer.europa.eu/sites/default/files/documents/Official_documents/Acts_of_the_Agency/Opinions/Opinions/ACER_Opinion_11-2023_on_ENTSOG_Winter_Supply_Outlook_2023-2024.pdf" TargetMode="External"/><Relationship Id="rId6" Type="http://schemas.openxmlformats.org/officeDocument/2006/relationships/hyperlink" Target="https://www.jstor.org/stable/41323156" TargetMode="External"/><Relationship Id="rId5" Type="http://schemas.openxmlformats.org/officeDocument/2006/relationships/hyperlink" Target="https://www.jstor.org/stable/41323156" TargetMode="External"/><Relationship Id="rId4" Type="http://schemas.openxmlformats.org/officeDocument/2006/relationships/hyperlink" Target="https://www.entsog.eu/sites/default/files/2023-10/SO0052-23_Winter%20Supply%20Outlook%202023-24%20with%20Summer%202024%20Overview.pdf" TargetMode="External"/><Relationship Id="rId9" Type="http://schemas.openxmlformats.org/officeDocument/2006/relationships/hyperlink" Target="https://agsi.gie.eu/" TargetMode="External"/></Relationships>
</file>

<file path=word/documenttasks/documenttasks1.xml><?xml version="1.0" encoding="utf-8"?>
<t:Tasks xmlns:t="http://schemas.microsoft.com/office/tasks/2019/documenttasks" xmlns:oel="http://schemas.microsoft.com/office/2019/extlst">
  <t:Task id="{37494950-C68E-4BC7-8644-3D0DCCF1F154}">
    <t:Anchor>
      <t:Comment id="665451577"/>
    </t:Anchor>
    <t:History>
      <t:Event id="{D83F69AA-E33B-4BA2-A28F-E02BCD5BC9BD}" time="2023-03-02T10:20:08.228Z">
        <t:Attribution userId="S::elena.de-gregorio@ec.europa.eu::35939a7b-a50f-4aba-ab7a-5a9b06a02821" userProvider="AD" userName="DE GREGORIO Elena (ENER)"/>
        <t:Anchor>
          <t:Comment id="637754762"/>
        </t:Anchor>
        <t:Create/>
      </t:Event>
      <t:Event id="{EFE51E11-0D89-4286-8610-F9247124DDF7}" time="2023-03-02T10:20:08.228Z">
        <t:Attribution userId="S::elena.de-gregorio@ec.europa.eu::35939a7b-a50f-4aba-ab7a-5a9b06a02821" userProvider="AD" userName="DE GREGORIO Elena (ENER)"/>
        <t:Anchor>
          <t:Comment id="637754762"/>
        </t:Anchor>
        <t:Assign userId="S::Nuria.RODRIGUEZ-GOMEZ@ec.europa.eu::3780758e-563c-47e8-b5ff-407b84915558" userProvider="AD" userName="RODRIGUEZ GOMEZ Nuria (JRC-PETTEN)"/>
      </t:Event>
      <t:Event id="{A0627B32-800F-455B-A97F-8F6F4C355635}" time="2023-03-02T10:20:08.228Z">
        <t:Attribution userId="S::elena.de-gregorio@ec.europa.eu::35939a7b-a50f-4aba-ab7a-5a9b06a02821" userProvider="AD" userName="DE GREGORIO Elena (ENER)"/>
        <t:Anchor>
          <t:Comment id="637754762"/>
        </t:Anchor>
        <t:SetTitle title="@RODRIGUEZ GOMEZ Nuria (JRC-PETTEN) could you pls check based on Helena's comme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CBAA3E038356449A8E8E5EFBA56BA7" ma:contentTypeVersion="15" ma:contentTypeDescription="Create a new document." ma:contentTypeScope="" ma:versionID="1923a0cae1461222ee1a9295937dc8fb">
  <xsd:schema xmlns:xsd="http://www.w3.org/2001/XMLSchema" xmlns:xs="http://www.w3.org/2001/XMLSchema" xmlns:p="http://schemas.microsoft.com/office/2006/metadata/properties" xmlns:ns2="72bda078-25cf-4dc4-9853-c68387b648e8" xmlns:ns3="12661c1b-ebcd-4cf2-a537-0fae4d653bab" targetNamespace="http://schemas.microsoft.com/office/2006/metadata/properties" ma:root="true" ma:fieldsID="66449e583438cdc1042e2fe1e7aa4678" ns2:_="" ns3:_="">
    <xsd:import namespace="72bda078-25cf-4dc4-9853-c68387b648e8"/>
    <xsd:import namespace="12661c1b-ebcd-4cf2-a537-0fae4d653b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da078-25cf-4dc4-9853-c68387b648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61c1b-ebcd-4cf2-a537-0fae4d653b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f96f296-39b7-4fb0-847b-093ec654244c}" ma:internalName="TaxCatchAll" ma:showField="CatchAllData" ma:web="12661c1b-ebcd-4cf2-a537-0fae4d653b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bda078-25cf-4dc4-9853-c68387b648e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2661c1b-ebcd-4cf2-a537-0fae4d653ba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43229-A240-4353-91AA-78815C436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da078-25cf-4dc4-9853-c68387b648e8"/>
    <ds:schemaRef ds:uri="12661c1b-ebcd-4cf2-a537-0fae4d653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EEEB10-075D-45E7-B7F2-4829C52239D2}">
  <ds:schemaRefs>
    <ds:schemaRef ds:uri="http://schemas.microsoft.com/sharepoint/v3/contenttype/forms"/>
  </ds:schemaRefs>
</ds:datastoreItem>
</file>

<file path=customXml/itemProps3.xml><?xml version="1.0" encoding="utf-8"?>
<ds:datastoreItem xmlns:ds="http://schemas.openxmlformats.org/officeDocument/2006/customXml" ds:itemID="{6509B0E9-8EF1-468B-A183-5CF381C4E240}">
  <ds:schemaRefs>
    <ds:schemaRef ds:uri="http://schemas.microsoft.com/office/2006/metadata/properties"/>
    <ds:schemaRef ds:uri="http://schemas.microsoft.com/office/infopath/2007/PartnerControls"/>
    <ds:schemaRef ds:uri="72bda078-25cf-4dc4-9853-c68387b648e8"/>
    <ds:schemaRef ds:uri="12661c1b-ebcd-4cf2-a537-0fae4d653bab"/>
  </ds:schemaRefs>
</ds:datastoreItem>
</file>

<file path=customXml/itemProps4.xml><?xml version="1.0" encoding="utf-8"?>
<ds:datastoreItem xmlns:ds="http://schemas.openxmlformats.org/officeDocument/2006/customXml" ds:itemID="{33F8D5CE-90A1-4E0E-8D49-958F04A6A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12</Pages>
  <Words>5203</Words>
  <Characters>29661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34795</CharactersWithSpaces>
  <SharedDoc>false</SharedDoc>
  <HLinks>
    <vt:vector size="114" baseType="variant">
      <vt:variant>
        <vt:i4>5046374</vt:i4>
      </vt:variant>
      <vt:variant>
        <vt:i4>57</vt:i4>
      </vt:variant>
      <vt:variant>
        <vt:i4>0</vt:i4>
      </vt:variant>
      <vt:variant>
        <vt:i4>5</vt:i4>
      </vt:variant>
      <vt:variant>
        <vt:lpwstr>https://www.acer.europa.eu/sites/default/files/documents/Publications/VIS-Study_Gas_Storage_Report.pdf</vt:lpwstr>
      </vt:variant>
      <vt:variant>
        <vt:lpwstr/>
      </vt:variant>
      <vt:variant>
        <vt:i4>5832760</vt:i4>
      </vt:variant>
      <vt:variant>
        <vt:i4>48</vt:i4>
      </vt:variant>
      <vt:variant>
        <vt:i4>0</vt:i4>
      </vt:variant>
      <vt:variant>
        <vt:i4>5</vt:i4>
      </vt:variant>
      <vt:variant>
        <vt:lpwstr>https://www.acer.europa.eu/sites/default/files/documents/Publications/ACER_MMR_Key_Developments_Gas_2023.pdf</vt:lpwstr>
      </vt:variant>
      <vt:variant>
        <vt:lpwstr/>
      </vt:variant>
      <vt:variant>
        <vt:i4>1703947</vt:i4>
      </vt:variant>
      <vt:variant>
        <vt:i4>45</vt:i4>
      </vt:variant>
      <vt:variant>
        <vt:i4>0</vt:i4>
      </vt:variant>
      <vt:variant>
        <vt:i4>5</vt:i4>
      </vt:variant>
      <vt:variant>
        <vt:lpwstr>https://iea.blob.core.windows.net/assets/f2cf36a9-fd9b-44e6-8659-c342027ff9ac/Medium-TermGasReport2023-IncludingtheGasMarketReportQ4-2023.pdf</vt:lpwstr>
      </vt:variant>
      <vt:variant>
        <vt:lpwstr/>
      </vt:variant>
      <vt:variant>
        <vt:i4>131137</vt:i4>
      </vt:variant>
      <vt:variant>
        <vt:i4>42</vt:i4>
      </vt:variant>
      <vt:variant>
        <vt:i4>0</vt:i4>
      </vt:variant>
      <vt:variant>
        <vt:i4>5</vt:i4>
      </vt:variant>
      <vt:variant>
        <vt:lpwstr>https://www.energy-community.org/dam/jcr:5ea2bce2-c49d-4941-9eb9-181597ff76e8/Secretariat&amp;%23039;s report on implementation of storage regulation.pdf</vt:lpwstr>
      </vt:variant>
      <vt:variant>
        <vt:lpwstr/>
      </vt:variant>
      <vt:variant>
        <vt:i4>4718651</vt:i4>
      </vt:variant>
      <vt:variant>
        <vt:i4>39</vt:i4>
      </vt:variant>
      <vt:variant>
        <vt:i4>0</vt:i4>
      </vt:variant>
      <vt:variant>
        <vt:i4>5</vt:i4>
      </vt:variant>
      <vt:variant>
        <vt:lpwstr>https://www.entsog.eu/sites/default/files/2023-10/SO0052-23_Winter Supply Outlook 2023-24 with Summer 2024 Overview.pdf</vt:lpwstr>
      </vt:variant>
      <vt:variant>
        <vt:lpwstr/>
      </vt:variant>
      <vt:variant>
        <vt:i4>3407877</vt:i4>
      </vt:variant>
      <vt:variant>
        <vt:i4>30</vt:i4>
      </vt:variant>
      <vt:variant>
        <vt:i4>0</vt:i4>
      </vt:variant>
      <vt:variant>
        <vt:i4>5</vt:i4>
      </vt:variant>
      <vt:variant>
        <vt:lpwstr>https://www.acer.europa.eu/Publications/VIS-Study_Gas_Storage_Report.pdf</vt:lpwstr>
      </vt:variant>
      <vt:variant>
        <vt:lpwstr/>
      </vt:variant>
      <vt:variant>
        <vt:i4>3407877</vt:i4>
      </vt:variant>
      <vt:variant>
        <vt:i4>27</vt:i4>
      </vt:variant>
      <vt:variant>
        <vt:i4>0</vt:i4>
      </vt:variant>
      <vt:variant>
        <vt:i4>5</vt:i4>
      </vt:variant>
      <vt:variant>
        <vt:lpwstr>https://www.acer.europa.eu/Publications/VIS-Study_Gas_Storage_Report.pdf</vt:lpwstr>
      </vt:variant>
      <vt:variant>
        <vt:lpwstr/>
      </vt:variant>
      <vt:variant>
        <vt:i4>5767216</vt:i4>
      </vt:variant>
      <vt:variant>
        <vt:i4>21</vt:i4>
      </vt:variant>
      <vt:variant>
        <vt:i4>0</vt:i4>
      </vt:variant>
      <vt:variant>
        <vt:i4>5</vt:i4>
      </vt:variant>
      <vt:variant>
        <vt:lpwstr>https://energy.ec.europa.eu/topics/energy-security/gas-storage_en</vt:lpwstr>
      </vt:variant>
      <vt:variant>
        <vt:lpwstr/>
      </vt:variant>
      <vt:variant>
        <vt:i4>4980807</vt:i4>
      </vt:variant>
      <vt:variant>
        <vt:i4>18</vt:i4>
      </vt:variant>
      <vt:variant>
        <vt:i4>0</vt:i4>
      </vt:variant>
      <vt:variant>
        <vt:i4>5</vt:i4>
      </vt:variant>
      <vt:variant>
        <vt:lpwstr>https://ec.europa.eu/transparency/documents-register/</vt:lpwstr>
      </vt:variant>
      <vt:variant>
        <vt:lpwstr/>
      </vt:variant>
      <vt:variant>
        <vt:i4>5046374</vt:i4>
      </vt:variant>
      <vt:variant>
        <vt:i4>9</vt:i4>
      </vt:variant>
      <vt:variant>
        <vt:i4>0</vt:i4>
      </vt:variant>
      <vt:variant>
        <vt:i4>5</vt:i4>
      </vt:variant>
      <vt:variant>
        <vt:lpwstr>https://www.acer.europa.eu/sites/default/files/documents/Publications/VIS-Study_Gas_Storage_Report.pdf</vt:lpwstr>
      </vt:variant>
      <vt:variant>
        <vt:lpwstr/>
      </vt:variant>
      <vt:variant>
        <vt:i4>5701710</vt:i4>
      </vt:variant>
      <vt:variant>
        <vt:i4>12</vt:i4>
      </vt:variant>
      <vt:variant>
        <vt:i4>0</vt:i4>
      </vt:variant>
      <vt:variant>
        <vt:i4>5</vt:i4>
      </vt:variant>
      <vt:variant>
        <vt:lpwstr>https://agsi.gie.eu/</vt:lpwstr>
      </vt:variant>
      <vt:variant>
        <vt:lpwstr/>
      </vt:variant>
      <vt:variant>
        <vt:i4>4456518</vt:i4>
      </vt:variant>
      <vt:variant>
        <vt:i4>9</vt:i4>
      </vt:variant>
      <vt:variant>
        <vt:i4>0</vt:i4>
      </vt:variant>
      <vt:variant>
        <vt:i4>5</vt:i4>
      </vt:variant>
      <vt:variant>
        <vt:lpwstr>https://econpapers.repec.org/article/ecojourn2/2023-03-40.htm</vt:lpwstr>
      </vt:variant>
      <vt:variant>
        <vt:lpwstr/>
      </vt:variant>
      <vt:variant>
        <vt:i4>5570631</vt:i4>
      </vt:variant>
      <vt:variant>
        <vt:i4>6</vt:i4>
      </vt:variant>
      <vt:variant>
        <vt:i4>0</vt:i4>
      </vt:variant>
      <vt:variant>
        <vt:i4>5</vt:i4>
      </vt:variant>
      <vt:variant>
        <vt:lpwstr>https://www.jstor.org/stable/41323156</vt:lpwstr>
      </vt:variant>
      <vt:variant>
        <vt:lpwstr/>
      </vt:variant>
      <vt:variant>
        <vt:i4>4718651</vt:i4>
      </vt:variant>
      <vt:variant>
        <vt:i4>3</vt:i4>
      </vt:variant>
      <vt:variant>
        <vt:i4>0</vt:i4>
      </vt:variant>
      <vt:variant>
        <vt:i4>5</vt:i4>
      </vt:variant>
      <vt:variant>
        <vt:lpwstr>https://www.entsog.eu/sites/default/files/2023-10/SO0052-23_Winter Supply Outlook 2023-24 with Summer 2024 Overview.pdf</vt:lpwstr>
      </vt:variant>
      <vt:variant>
        <vt:lpwstr/>
      </vt:variant>
      <vt:variant>
        <vt:i4>4980800</vt:i4>
      </vt:variant>
      <vt:variant>
        <vt:i4>0</vt:i4>
      </vt:variant>
      <vt:variant>
        <vt:i4>0</vt:i4>
      </vt:variant>
      <vt:variant>
        <vt:i4>5</vt:i4>
      </vt:variant>
      <vt:variant>
        <vt:lpwstr>https://www.acer.europa.eu/sites/default/files/documents/Official_documents/Acts_of_the_Agency/Opinions/Opinions/ACER_Opinion_11-2023_on_ENTSOG_Winter_Supply_Outlook_2023-2024.pdf</vt:lpwstr>
      </vt:variant>
      <vt:variant>
        <vt:lpwstr/>
      </vt:variant>
      <vt:variant>
        <vt:i4>4718707</vt:i4>
      </vt:variant>
      <vt:variant>
        <vt:i4>9</vt:i4>
      </vt:variant>
      <vt:variant>
        <vt:i4>0</vt:i4>
      </vt:variant>
      <vt:variant>
        <vt:i4>5</vt:i4>
      </vt:variant>
      <vt:variant>
        <vt:lpwstr>mailto:Remi.Mayet@ec.europa.eu</vt:lpwstr>
      </vt:variant>
      <vt:variant>
        <vt:lpwstr/>
      </vt:variant>
      <vt:variant>
        <vt:i4>4718707</vt:i4>
      </vt:variant>
      <vt:variant>
        <vt:i4>6</vt:i4>
      </vt:variant>
      <vt:variant>
        <vt:i4>0</vt:i4>
      </vt:variant>
      <vt:variant>
        <vt:i4>5</vt:i4>
      </vt:variant>
      <vt:variant>
        <vt:lpwstr>mailto:Remi.Mayet@ec.europa.eu</vt:lpwstr>
      </vt:variant>
      <vt:variant>
        <vt:lpwstr/>
      </vt:variant>
      <vt:variant>
        <vt:i4>7995482</vt:i4>
      </vt:variant>
      <vt:variant>
        <vt:i4>3</vt:i4>
      </vt:variant>
      <vt:variant>
        <vt:i4>0</vt:i4>
      </vt:variant>
      <vt:variant>
        <vt:i4>5</vt:i4>
      </vt:variant>
      <vt:variant>
        <vt:lpwstr>mailto:Louis.WATINE@ec.europa.eu</vt:lpwstr>
      </vt:variant>
      <vt:variant>
        <vt:lpwstr/>
      </vt:variant>
      <vt:variant>
        <vt:i4>4718707</vt:i4>
      </vt:variant>
      <vt:variant>
        <vt:i4>0</vt:i4>
      </vt:variant>
      <vt:variant>
        <vt:i4>0</vt:i4>
      </vt:variant>
      <vt:variant>
        <vt:i4>5</vt:i4>
      </vt:variant>
      <vt:variant>
        <vt:lpwstr>mailto:Remi.Mayet@ec.europa.eu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13</cp:revision>
  <cp:lastPrinted>2024-01-25T18:44:00Z</cp:lastPrinted>
  <dcterms:created xsi:type="dcterms:W3CDTF">2024-02-14T13:32:00Z</dcterms:created>
  <dcterms:modified xsi:type="dcterms:W3CDTF">2024-03-07T08:35:00Z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2022-11-28T10:30:53Z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81970dc3-a345-4ecc-8511-44c8537945ce</vt:lpwstr>
  </property>
  <property fmtid="{D5CDD505-2E9C-101B-9397-08002B2CF9AE}" pid="8" name="MSIP_Label_6bd9ddd1-4d20-43f6-abfa-fc3c07406f94_ContentBits">
    <vt:lpwstr>0</vt:lpwstr>
  </property>
  <property fmtid="{D5CDD505-2E9C-101B-9397-08002B2CF9AE}" pid="9" name="ContentTypeId">
    <vt:lpwstr>0x010100DECBAA3E038356449A8E8E5EFBA56BA7</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Created using">
    <vt:lpwstr>LW 8.1, Build 20230124</vt:lpwstr>
  </property>
  <property fmtid="{D5CDD505-2E9C-101B-9397-08002B2CF9AE}" pid="17" name="Last edited using">
    <vt:lpwstr>LW 9.0, Build 20230317</vt:lpwstr>
  </property>
  <property name="OP_sanitized" fmtid="{D5CDD505-2E9C-101B-9397-08002B2CF9AE}" pid="18">
    <vt:lpwstr>True</vt:lpwstr>
  </property>
</Properties>
</file>