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75BF50" w14:textId="69226EC8" w:rsidR="009769E5" w:rsidRPr="00624565" w:rsidRDefault="006A11C7" w:rsidP="006A11C7">
      <w:pPr>
        <w:pStyle w:val="Pagedecouverture"/>
        <w:rPr>
          <w:noProof/>
        </w:rPr>
      </w:pPr>
      <w:r>
        <w:rPr>
          <w:noProof/>
        </w:rPr>
        <w:pict w14:anchorId="0E653E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alt="5279D93C-C9EF-4D1E-93A8-D1D9A811D9CA" style="width:455.25pt;height:355.5pt">
            <v:imagedata r:id="rId11" o:title=""/>
          </v:shape>
        </w:pict>
      </w:r>
    </w:p>
    <w:p w14:paraId="3F390AC6" w14:textId="77777777" w:rsidR="009769E5" w:rsidRPr="00624565" w:rsidRDefault="009769E5" w:rsidP="009769E5">
      <w:pPr>
        <w:rPr>
          <w:noProof/>
        </w:rPr>
        <w:sectPr w:rsidR="009769E5" w:rsidRPr="00624565" w:rsidSect="006A11C7">
          <w:footerReference w:type="default" r:id="rId12"/>
          <w:pgSz w:w="11907" w:h="16839"/>
          <w:pgMar w:top="1134" w:right="1417" w:bottom="1134" w:left="1417" w:header="709" w:footer="709" w:gutter="0"/>
          <w:pgNumType w:start="0"/>
          <w:cols w:space="720"/>
          <w:docGrid w:linePitch="360"/>
        </w:sectPr>
      </w:pPr>
    </w:p>
    <w:p w14:paraId="0A5F15F0" w14:textId="77777777" w:rsidR="009769E5" w:rsidRPr="00624565" w:rsidRDefault="009769E5" w:rsidP="009769E5">
      <w:pPr>
        <w:pStyle w:val="Exposdesmotifstitre"/>
        <w:rPr>
          <w:noProof/>
        </w:rPr>
      </w:pPr>
      <w:bookmarkStart w:id="0" w:name="_GoBack"/>
      <w:bookmarkEnd w:id="0"/>
      <w:r w:rsidRPr="00624565">
        <w:rPr>
          <w:noProof/>
        </w:rPr>
        <w:lastRenderedPageBreak/>
        <w:t>UZASADNIENIE</w:t>
      </w:r>
    </w:p>
    <w:p w14:paraId="7CD96104" w14:textId="77777777" w:rsidR="009769E5" w:rsidRPr="00624565" w:rsidRDefault="009769E5" w:rsidP="009769E5">
      <w:pPr>
        <w:pStyle w:val="ManualHeading1"/>
        <w:rPr>
          <w:noProof/>
        </w:rPr>
      </w:pPr>
      <w:r w:rsidRPr="00624565">
        <w:rPr>
          <w:noProof/>
        </w:rPr>
        <w:t>1.</w:t>
      </w:r>
      <w:r w:rsidRPr="00624565">
        <w:rPr>
          <w:noProof/>
        </w:rPr>
        <w:tab/>
        <w:t>KONTEKST WNIOSKU</w:t>
      </w:r>
    </w:p>
    <w:p w14:paraId="3A6BC593" w14:textId="4677DE59" w:rsidR="00B025AB" w:rsidRPr="00624565" w:rsidRDefault="00B025AB" w:rsidP="00B025AB">
      <w:pPr>
        <w:spacing w:after="0"/>
        <w:textAlignment w:val="baseline"/>
        <w:rPr>
          <w:rFonts w:eastAsia="Times New Roman"/>
          <w:noProof/>
        </w:rPr>
      </w:pPr>
      <w:r w:rsidRPr="00624565">
        <w:rPr>
          <w:noProof/>
        </w:rPr>
        <w:t>W marcu 20</w:t>
      </w:r>
      <w:r w:rsidRPr="003F3D2B">
        <w:rPr>
          <w:noProof/>
        </w:rPr>
        <w:t>22</w:t>
      </w:r>
      <w:r w:rsidR="003F3D2B" w:rsidRPr="003F3D2B">
        <w:rPr>
          <w:noProof/>
        </w:rPr>
        <w:t> </w:t>
      </w:r>
      <w:r w:rsidRPr="003F3D2B">
        <w:rPr>
          <w:noProof/>
        </w:rPr>
        <w:t>r.</w:t>
      </w:r>
      <w:r w:rsidRPr="00624565">
        <w:rPr>
          <w:noProof/>
        </w:rPr>
        <w:t xml:space="preserve"> Komisja wystąpiła</w:t>
      </w:r>
      <w:r w:rsidR="003F3D2B" w:rsidRPr="00624565">
        <w:rPr>
          <w:noProof/>
        </w:rPr>
        <w:t xml:space="preserve"> z</w:t>
      </w:r>
      <w:r w:rsidR="003F3D2B">
        <w:rPr>
          <w:noProof/>
        </w:rPr>
        <w:t> </w:t>
      </w:r>
      <w:r w:rsidR="003F3D2B" w:rsidRPr="00624565">
        <w:rPr>
          <w:noProof/>
        </w:rPr>
        <w:t>wni</w:t>
      </w:r>
      <w:r w:rsidRPr="00624565">
        <w:rPr>
          <w:noProof/>
        </w:rPr>
        <w:t>oskiem dotyczącym aktualizacji unijnego prawa ochrony konsumentów, aby zapewnić im ochronę</w:t>
      </w:r>
      <w:r w:rsidR="003F3D2B" w:rsidRPr="00624565">
        <w:rPr>
          <w:noProof/>
        </w:rPr>
        <w:t xml:space="preserve"> i</w:t>
      </w:r>
      <w:r w:rsidR="003F3D2B">
        <w:rPr>
          <w:noProof/>
        </w:rPr>
        <w:t> </w:t>
      </w:r>
      <w:r w:rsidR="003F3D2B" w:rsidRPr="00624565">
        <w:rPr>
          <w:noProof/>
        </w:rPr>
        <w:t>umo</w:t>
      </w:r>
      <w:r w:rsidRPr="00624565">
        <w:rPr>
          <w:noProof/>
        </w:rPr>
        <w:t>żliwić aktywny udział</w:t>
      </w:r>
      <w:r w:rsidR="003F3D2B" w:rsidRPr="00624565">
        <w:rPr>
          <w:noProof/>
        </w:rPr>
        <w:t xml:space="preserve"> w</w:t>
      </w:r>
      <w:r w:rsidR="003F3D2B">
        <w:rPr>
          <w:noProof/>
        </w:rPr>
        <w:t> </w:t>
      </w:r>
      <w:r w:rsidR="003F3D2B" w:rsidRPr="00624565">
        <w:rPr>
          <w:noProof/>
        </w:rPr>
        <w:t>tra</w:t>
      </w:r>
      <w:r w:rsidRPr="00624565">
        <w:rPr>
          <w:noProof/>
        </w:rPr>
        <w:t>nsformacji ekologicznej</w:t>
      </w:r>
      <w:r w:rsidRPr="00624565">
        <w:rPr>
          <w:rStyle w:val="FootnoteReference"/>
          <w:noProof/>
        </w:rPr>
        <w:footnoteReference w:id="2"/>
      </w:r>
      <w:r w:rsidR="003F3D2B" w:rsidRPr="00624565">
        <w:rPr>
          <w:noProof/>
        </w:rPr>
        <w:t>. W</w:t>
      </w:r>
      <w:r w:rsidR="003F3D2B">
        <w:rPr>
          <w:noProof/>
        </w:rPr>
        <w:t> </w:t>
      </w:r>
      <w:r w:rsidR="003F3D2B" w:rsidRPr="00624565">
        <w:rPr>
          <w:noProof/>
        </w:rPr>
        <w:t>nin</w:t>
      </w:r>
      <w:r w:rsidRPr="00624565">
        <w:rPr>
          <w:noProof/>
        </w:rPr>
        <w:t>iejszym wniosku przewidziano bardziej szczegółowe przepisy (</w:t>
      </w:r>
      <w:r w:rsidRPr="00624565">
        <w:rPr>
          <w:i/>
          <w:noProof/>
        </w:rPr>
        <w:t>lex specialis</w:t>
      </w:r>
      <w:r w:rsidRPr="00624565">
        <w:rPr>
          <w:noProof/>
        </w:rPr>
        <w:t>)</w:t>
      </w:r>
      <w:r w:rsidR="003F3D2B" w:rsidRPr="00624565">
        <w:rPr>
          <w:noProof/>
        </w:rPr>
        <w:t xml:space="preserve"> i</w:t>
      </w:r>
      <w:r w:rsidR="003F3D2B">
        <w:rPr>
          <w:noProof/>
        </w:rPr>
        <w:t> </w:t>
      </w:r>
      <w:r w:rsidR="003F3D2B" w:rsidRPr="00624565">
        <w:rPr>
          <w:noProof/>
        </w:rPr>
        <w:t>uzu</w:t>
      </w:r>
      <w:r w:rsidRPr="00624565">
        <w:rPr>
          <w:noProof/>
        </w:rPr>
        <w:t>pełniono proponowane zmiany</w:t>
      </w:r>
      <w:r w:rsidR="003F3D2B" w:rsidRPr="00624565">
        <w:rPr>
          <w:noProof/>
        </w:rPr>
        <w:t xml:space="preserve"> w</w:t>
      </w:r>
      <w:r w:rsidR="003F3D2B">
        <w:rPr>
          <w:noProof/>
        </w:rPr>
        <w:t> </w:t>
      </w:r>
      <w:r w:rsidR="003F3D2B" w:rsidRPr="00624565">
        <w:rPr>
          <w:noProof/>
        </w:rPr>
        <w:t>dyr</w:t>
      </w:r>
      <w:r w:rsidRPr="00624565">
        <w:rPr>
          <w:noProof/>
        </w:rPr>
        <w:t>ektywie</w:t>
      </w:r>
      <w:r w:rsidR="003F3D2B" w:rsidRPr="00624565">
        <w:rPr>
          <w:noProof/>
        </w:rPr>
        <w:t xml:space="preserve"> o</w:t>
      </w:r>
      <w:r w:rsidR="003F3D2B">
        <w:rPr>
          <w:noProof/>
        </w:rPr>
        <w:t> </w:t>
      </w:r>
      <w:r w:rsidR="003F3D2B" w:rsidRPr="00624565">
        <w:rPr>
          <w:noProof/>
        </w:rPr>
        <w:t>nie</w:t>
      </w:r>
      <w:r w:rsidRPr="00624565">
        <w:rPr>
          <w:noProof/>
        </w:rPr>
        <w:t>uczciwych praktykach handlowych</w:t>
      </w:r>
      <w:r w:rsidRPr="00624565">
        <w:rPr>
          <w:rStyle w:val="FootnoteReference"/>
          <w:rFonts w:eastAsia="Times New Roman"/>
          <w:noProof/>
        </w:rPr>
        <w:footnoteReference w:id="3"/>
      </w:r>
      <w:r w:rsidRPr="00624565">
        <w:rPr>
          <w:noProof/>
        </w:rPr>
        <w:t xml:space="preserve"> (</w:t>
      </w:r>
      <w:r w:rsidRPr="00624565">
        <w:rPr>
          <w:i/>
          <w:noProof/>
        </w:rPr>
        <w:t>lex generalis</w:t>
      </w:r>
      <w:r w:rsidRPr="00624565">
        <w:rPr>
          <w:noProof/>
        </w:rPr>
        <w:t>). Oba wnioski mają na celu rozwiązanie wspólnego zbioru problemów</w:t>
      </w:r>
      <w:r w:rsidR="003F3D2B" w:rsidRPr="00624565">
        <w:rPr>
          <w:noProof/>
        </w:rPr>
        <w:t xml:space="preserve"> w</w:t>
      </w:r>
      <w:r w:rsidR="003F3D2B">
        <w:rPr>
          <w:noProof/>
        </w:rPr>
        <w:t> </w:t>
      </w:r>
      <w:r w:rsidR="003F3D2B" w:rsidRPr="00624565">
        <w:rPr>
          <w:noProof/>
        </w:rPr>
        <w:t>dro</w:t>
      </w:r>
      <w:r w:rsidRPr="00624565">
        <w:rPr>
          <w:noProof/>
        </w:rPr>
        <w:t>dze wdrożenia różnych elementów tego samego preferowanego pakietu strategicznego określonego</w:t>
      </w:r>
      <w:r w:rsidR="003F3D2B" w:rsidRPr="00624565">
        <w:rPr>
          <w:noProof/>
        </w:rPr>
        <w:t xml:space="preserve"> w</w:t>
      </w:r>
      <w:r w:rsidR="003F3D2B">
        <w:rPr>
          <w:noProof/>
        </w:rPr>
        <w:t> </w:t>
      </w:r>
      <w:r w:rsidR="003F3D2B" w:rsidRPr="00624565">
        <w:rPr>
          <w:noProof/>
        </w:rPr>
        <w:t>oce</w:t>
      </w:r>
      <w:r w:rsidRPr="00624565">
        <w:rPr>
          <w:noProof/>
        </w:rPr>
        <w:t>nie skutków opublikowanej wraz</w:t>
      </w:r>
      <w:r w:rsidR="003F3D2B" w:rsidRPr="00624565">
        <w:rPr>
          <w:noProof/>
        </w:rPr>
        <w:t xml:space="preserve"> z</w:t>
      </w:r>
      <w:r w:rsidR="003F3D2B">
        <w:rPr>
          <w:noProof/>
        </w:rPr>
        <w:t> </w:t>
      </w:r>
      <w:r w:rsidR="003F3D2B" w:rsidRPr="00624565">
        <w:rPr>
          <w:noProof/>
        </w:rPr>
        <w:t>ini</w:t>
      </w:r>
      <w:r w:rsidRPr="00624565">
        <w:rPr>
          <w:noProof/>
        </w:rPr>
        <w:t>cjatywą dotyczącą wzmocnienia pozycji konsumentów</w:t>
      </w:r>
      <w:r w:rsidR="003F3D2B" w:rsidRPr="00624565">
        <w:rPr>
          <w:noProof/>
        </w:rPr>
        <w:t xml:space="preserve"> w</w:t>
      </w:r>
      <w:r w:rsidR="003F3D2B">
        <w:rPr>
          <w:noProof/>
        </w:rPr>
        <w:t> </w:t>
      </w:r>
      <w:r w:rsidR="003F3D2B" w:rsidRPr="00624565">
        <w:rPr>
          <w:noProof/>
        </w:rPr>
        <w:t>pro</w:t>
      </w:r>
      <w:r w:rsidRPr="00624565">
        <w:rPr>
          <w:noProof/>
        </w:rPr>
        <w:t>cesie transformacji ekologicznej</w:t>
      </w:r>
      <w:r w:rsidRPr="00624565">
        <w:rPr>
          <w:rStyle w:val="FootnoteReference"/>
          <w:rFonts w:eastAsia="Times New Roman"/>
          <w:noProof/>
        </w:rPr>
        <w:footnoteReference w:id="4"/>
      </w:r>
      <w:r w:rsidRPr="00624565">
        <w:rPr>
          <w:noProof/>
        </w:rPr>
        <w:t>.</w:t>
      </w:r>
    </w:p>
    <w:p w14:paraId="53875A43" w14:textId="0FA67EDE" w:rsidR="009769E5" w:rsidRPr="00624565" w:rsidRDefault="004D161E" w:rsidP="004D161E">
      <w:pPr>
        <w:pStyle w:val="ManualHeading2"/>
        <w:rPr>
          <w:noProof/>
        </w:rPr>
      </w:pPr>
      <w:r w:rsidRPr="00624565">
        <w:rPr>
          <w:noProof/>
        </w:rPr>
        <w:t>1.1.</w:t>
      </w:r>
      <w:r w:rsidRPr="00624565">
        <w:rPr>
          <w:noProof/>
        </w:rPr>
        <w:tab/>
        <w:t>Przyczyny</w:t>
      </w:r>
      <w:r w:rsidR="003F3D2B" w:rsidRPr="00624565">
        <w:rPr>
          <w:noProof/>
        </w:rPr>
        <w:t xml:space="preserve"> i</w:t>
      </w:r>
      <w:r w:rsidR="003F3D2B">
        <w:rPr>
          <w:noProof/>
        </w:rPr>
        <w:t> </w:t>
      </w:r>
      <w:r w:rsidR="003F3D2B" w:rsidRPr="00624565">
        <w:rPr>
          <w:noProof/>
        </w:rPr>
        <w:t>cel</w:t>
      </w:r>
      <w:r w:rsidRPr="00624565">
        <w:rPr>
          <w:noProof/>
        </w:rPr>
        <w:t>e wniosku</w:t>
      </w:r>
    </w:p>
    <w:p w14:paraId="0A9EAF95" w14:textId="6641B0A7" w:rsidR="00743A82" w:rsidRPr="00624565" w:rsidRDefault="00743A82" w:rsidP="008306B5">
      <w:pPr>
        <w:pStyle w:val="Bullet0"/>
        <w:numPr>
          <w:ilvl w:val="0"/>
          <w:numId w:val="22"/>
        </w:numPr>
        <w:rPr>
          <w:b/>
          <w:noProof/>
        </w:rPr>
      </w:pPr>
      <w:r w:rsidRPr="00624565">
        <w:rPr>
          <w:b/>
          <w:noProof/>
        </w:rPr>
        <w:t>Rola konsumentów</w:t>
      </w:r>
      <w:r w:rsidR="003F3D2B" w:rsidRPr="00624565">
        <w:rPr>
          <w:b/>
          <w:noProof/>
        </w:rPr>
        <w:t xml:space="preserve"> w</w:t>
      </w:r>
      <w:r w:rsidR="003F3D2B">
        <w:rPr>
          <w:b/>
          <w:noProof/>
        </w:rPr>
        <w:t> </w:t>
      </w:r>
      <w:r w:rsidR="003F3D2B" w:rsidRPr="00624565">
        <w:rPr>
          <w:b/>
          <w:noProof/>
        </w:rPr>
        <w:t>prz</w:t>
      </w:r>
      <w:r w:rsidRPr="00624565">
        <w:rPr>
          <w:b/>
          <w:noProof/>
        </w:rPr>
        <w:t xml:space="preserve">yspieszeniu transformacji ekologicznej </w:t>
      </w:r>
    </w:p>
    <w:p w14:paraId="04C2A88C" w14:textId="10169EF8" w:rsidR="00B025AB" w:rsidRPr="00624565" w:rsidRDefault="00B025AB" w:rsidP="00B025AB">
      <w:pPr>
        <w:tabs>
          <w:tab w:val="num" w:pos="567"/>
        </w:tabs>
        <w:rPr>
          <w:noProof/>
        </w:rPr>
      </w:pPr>
      <w:r w:rsidRPr="00624565">
        <w:rPr>
          <w:noProof/>
        </w:rPr>
        <w:t>W Europejskim Zielonym Ładzie</w:t>
      </w:r>
      <w:r w:rsidRPr="00624565">
        <w:rPr>
          <w:rStyle w:val="FootnoteReference"/>
          <w:noProof/>
        </w:rPr>
        <w:footnoteReference w:id="5"/>
      </w:r>
      <w:r w:rsidRPr="00624565">
        <w:rPr>
          <w:noProof/>
        </w:rPr>
        <w:t xml:space="preserve"> Komisja zobowiązała się do wzmocnienia pozycji konsumentów, tak aby mogli oni dokonywać bardziej świadomych wyborów</w:t>
      </w:r>
      <w:r w:rsidR="003F3D2B" w:rsidRPr="00624565">
        <w:rPr>
          <w:noProof/>
        </w:rPr>
        <w:t xml:space="preserve"> i</w:t>
      </w:r>
      <w:r w:rsidR="003F3D2B">
        <w:rPr>
          <w:noProof/>
        </w:rPr>
        <w:t> </w:t>
      </w:r>
      <w:r w:rsidR="003F3D2B" w:rsidRPr="00624565">
        <w:rPr>
          <w:noProof/>
        </w:rPr>
        <w:t>odg</w:t>
      </w:r>
      <w:r w:rsidRPr="00624565">
        <w:rPr>
          <w:noProof/>
        </w:rPr>
        <w:t>rywać aktywną rolę</w:t>
      </w:r>
      <w:r w:rsidR="003F3D2B" w:rsidRPr="00624565">
        <w:rPr>
          <w:noProof/>
        </w:rPr>
        <w:t xml:space="preserve"> w</w:t>
      </w:r>
      <w:r w:rsidR="003F3D2B">
        <w:rPr>
          <w:noProof/>
        </w:rPr>
        <w:t> </w:t>
      </w:r>
      <w:r w:rsidR="003F3D2B" w:rsidRPr="00624565">
        <w:rPr>
          <w:noProof/>
        </w:rPr>
        <w:t>tra</w:t>
      </w:r>
      <w:r w:rsidRPr="00624565">
        <w:rPr>
          <w:noProof/>
        </w:rPr>
        <w:t>nsformacji ekologicznej. Dokładniej rzecz ujmując,</w:t>
      </w:r>
      <w:r w:rsidR="003F3D2B" w:rsidRPr="00624565">
        <w:rPr>
          <w:noProof/>
        </w:rPr>
        <w:t xml:space="preserve"> w</w:t>
      </w:r>
      <w:r w:rsidR="003F3D2B">
        <w:rPr>
          <w:noProof/>
        </w:rPr>
        <w:t> </w:t>
      </w:r>
      <w:r w:rsidR="003F3D2B" w:rsidRPr="00624565">
        <w:rPr>
          <w:noProof/>
        </w:rPr>
        <w:t>Eur</w:t>
      </w:r>
      <w:r w:rsidRPr="00624565">
        <w:rPr>
          <w:noProof/>
        </w:rPr>
        <w:t>opejskim Zielonym Ładzie zawarto zobowiązanie do wyeliminowania wprowadzających</w:t>
      </w:r>
      <w:r w:rsidR="003F3D2B" w:rsidRPr="00624565">
        <w:rPr>
          <w:noProof/>
        </w:rPr>
        <w:t xml:space="preserve"> w</w:t>
      </w:r>
      <w:r w:rsidR="003F3D2B">
        <w:rPr>
          <w:noProof/>
        </w:rPr>
        <w:t> </w:t>
      </w:r>
      <w:r w:rsidR="003F3D2B" w:rsidRPr="00624565">
        <w:rPr>
          <w:noProof/>
        </w:rPr>
        <w:t>błą</w:t>
      </w:r>
      <w:r w:rsidRPr="00624565">
        <w:rPr>
          <w:noProof/>
        </w:rPr>
        <w:t>d oświadczeń środowiskowych dzięki zapewnieniu nabywcom dostępu do wiarygodnych, porównywalnych</w:t>
      </w:r>
      <w:r w:rsidR="003F3D2B" w:rsidRPr="00624565">
        <w:rPr>
          <w:noProof/>
        </w:rPr>
        <w:t xml:space="preserve"> i</w:t>
      </w:r>
      <w:r w:rsidR="003F3D2B">
        <w:rPr>
          <w:noProof/>
        </w:rPr>
        <w:t> </w:t>
      </w:r>
      <w:r w:rsidR="003F3D2B" w:rsidRPr="00624565">
        <w:rPr>
          <w:noProof/>
        </w:rPr>
        <w:t>wer</w:t>
      </w:r>
      <w:r w:rsidRPr="00624565">
        <w:rPr>
          <w:noProof/>
        </w:rPr>
        <w:t>yfikowalnych informacji, aby mogli podejmować bardziej zrównoważone decyzje</w:t>
      </w:r>
      <w:r w:rsidR="003F3D2B" w:rsidRPr="00624565">
        <w:rPr>
          <w:noProof/>
        </w:rPr>
        <w:t xml:space="preserve"> i</w:t>
      </w:r>
      <w:r w:rsidR="003F3D2B">
        <w:rPr>
          <w:noProof/>
        </w:rPr>
        <w:t> </w:t>
      </w:r>
      <w:r w:rsidR="003F3D2B" w:rsidRPr="00624565">
        <w:rPr>
          <w:noProof/>
        </w:rPr>
        <w:t>w</w:t>
      </w:r>
      <w:r w:rsidR="003F3D2B">
        <w:rPr>
          <w:noProof/>
        </w:rPr>
        <w:t> </w:t>
      </w:r>
      <w:r w:rsidR="003F3D2B" w:rsidRPr="00624565">
        <w:rPr>
          <w:noProof/>
        </w:rPr>
        <w:t>cel</w:t>
      </w:r>
      <w:r w:rsidRPr="00624565">
        <w:rPr>
          <w:noProof/>
        </w:rPr>
        <w:t>u ograniczenia ryzyka pseudoekologicznego marketingu.</w:t>
      </w:r>
      <w:r w:rsidRPr="00624565">
        <w:rPr>
          <w:i/>
          <w:noProof/>
        </w:rPr>
        <w:t xml:space="preserve"> </w:t>
      </w:r>
      <w:r w:rsidRPr="00624565">
        <w:rPr>
          <w:noProof/>
        </w:rPr>
        <w:t>Potrzebę zajęcia się problemem pseudoekologicznego marketingu uznano następnie za priorytetową zarówno</w:t>
      </w:r>
      <w:r w:rsidR="003F3D2B" w:rsidRPr="00624565">
        <w:rPr>
          <w:noProof/>
        </w:rPr>
        <w:t xml:space="preserve"> w</w:t>
      </w:r>
      <w:r w:rsidR="003F3D2B">
        <w:rPr>
          <w:noProof/>
        </w:rPr>
        <w:t> </w:t>
      </w:r>
      <w:r w:rsidR="003F3D2B" w:rsidRPr="00624565">
        <w:rPr>
          <w:noProof/>
        </w:rPr>
        <w:t>ram</w:t>
      </w:r>
      <w:r w:rsidRPr="00624565">
        <w:rPr>
          <w:noProof/>
        </w:rPr>
        <w:t>ach Nowego planu działania UE dotyczącego gospodarki</w:t>
      </w:r>
      <w:r w:rsidR="003F3D2B" w:rsidRPr="00624565">
        <w:rPr>
          <w:noProof/>
        </w:rPr>
        <w:t xml:space="preserve"> o</w:t>
      </w:r>
      <w:r w:rsidR="003F3D2B">
        <w:rPr>
          <w:noProof/>
        </w:rPr>
        <w:t> </w:t>
      </w:r>
      <w:r w:rsidR="003F3D2B" w:rsidRPr="00624565">
        <w:rPr>
          <w:noProof/>
        </w:rPr>
        <w:t>obi</w:t>
      </w:r>
      <w:r w:rsidRPr="00624565">
        <w:rPr>
          <w:noProof/>
        </w:rPr>
        <w:t>egu zamkniętym</w:t>
      </w:r>
      <w:r w:rsidRPr="00624565">
        <w:rPr>
          <w:rStyle w:val="FootnoteReference"/>
          <w:rFonts w:eastAsia="Times New Roman"/>
          <w:noProof/>
        </w:rPr>
        <w:footnoteReference w:id="6"/>
      </w:r>
      <w:r w:rsidRPr="00624565">
        <w:rPr>
          <w:noProof/>
        </w:rPr>
        <w:t>, jak</w:t>
      </w:r>
      <w:r w:rsidR="003F3D2B" w:rsidRPr="00624565">
        <w:rPr>
          <w:noProof/>
        </w:rPr>
        <w:t xml:space="preserve"> i</w:t>
      </w:r>
      <w:r w:rsidR="003F3D2B">
        <w:rPr>
          <w:noProof/>
        </w:rPr>
        <w:t> </w:t>
      </w:r>
      <w:r w:rsidR="003F3D2B" w:rsidRPr="00624565">
        <w:rPr>
          <w:noProof/>
        </w:rPr>
        <w:t>Now</w:t>
      </w:r>
      <w:r w:rsidRPr="00624565">
        <w:rPr>
          <w:noProof/>
        </w:rPr>
        <w:t>ego programu na rzecz konsumentów</w:t>
      </w:r>
      <w:r w:rsidRPr="00624565">
        <w:rPr>
          <w:rStyle w:val="FootnoteReference"/>
          <w:noProof/>
        </w:rPr>
        <w:footnoteReference w:id="7"/>
      </w:r>
      <w:r w:rsidR="003F3D2B" w:rsidRPr="00624565">
        <w:rPr>
          <w:noProof/>
        </w:rPr>
        <w:t>. W</w:t>
      </w:r>
      <w:r w:rsidR="003F3D2B">
        <w:rPr>
          <w:noProof/>
        </w:rPr>
        <w:t> </w:t>
      </w:r>
      <w:r w:rsidR="003F3D2B" w:rsidRPr="00624565">
        <w:rPr>
          <w:noProof/>
        </w:rPr>
        <w:t>nie</w:t>
      </w:r>
      <w:r w:rsidRPr="00624565">
        <w:rPr>
          <w:noProof/>
        </w:rPr>
        <w:t>dawno przyjętym planie przemysłowym Zielonego Ładu</w:t>
      </w:r>
      <w:r w:rsidRPr="00624565">
        <w:rPr>
          <w:rStyle w:val="FootnoteReference"/>
          <w:noProof/>
        </w:rPr>
        <w:footnoteReference w:id="8"/>
      </w:r>
      <w:r w:rsidRPr="00624565">
        <w:rPr>
          <w:noProof/>
        </w:rPr>
        <w:t xml:space="preserve"> ponownie podkreślono potrzebę umożliwienia konsumentom dokonywania wyborów</w:t>
      </w:r>
      <w:r w:rsidR="003F3D2B" w:rsidRPr="00624565">
        <w:rPr>
          <w:noProof/>
        </w:rPr>
        <w:t xml:space="preserve"> w</w:t>
      </w:r>
      <w:r w:rsidR="003F3D2B">
        <w:rPr>
          <w:noProof/>
        </w:rPr>
        <w:t> </w:t>
      </w:r>
      <w:r w:rsidR="003F3D2B" w:rsidRPr="00624565">
        <w:rPr>
          <w:noProof/>
        </w:rPr>
        <w:t>opa</w:t>
      </w:r>
      <w:r w:rsidRPr="00624565">
        <w:rPr>
          <w:noProof/>
        </w:rPr>
        <w:t>rciu</w:t>
      </w:r>
      <w:r w:rsidR="003F3D2B" w:rsidRPr="00624565">
        <w:rPr>
          <w:noProof/>
        </w:rPr>
        <w:t xml:space="preserve"> o</w:t>
      </w:r>
      <w:r w:rsidR="003F3D2B">
        <w:rPr>
          <w:noProof/>
        </w:rPr>
        <w:t> </w:t>
      </w:r>
      <w:r w:rsidR="003F3D2B" w:rsidRPr="00624565">
        <w:rPr>
          <w:noProof/>
        </w:rPr>
        <w:t>prz</w:t>
      </w:r>
      <w:r w:rsidRPr="00624565">
        <w:rPr>
          <w:noProof/>
        </w:rPr>
        <w:t>ejrzyste</w:t>
      </w:r>
      <w:r w:rsidR="003F3D2B" w:rsidRPr="00624565">
        <w:rPr>
          <w:noProof/>
        </w:rPr>
        <w:t xml:space="preserve"> i</w:t>
      </w:r>
      <w:r w:rsidR="003F3D2B">
        <w:rPr>
          <w:noProof/>
        </w:rPr>
        <w:t> </w:t>
      </w:r>
      <w:r w:rsidR="003F3D2B" w:rsidRPr="00624565">
        <w:rPr>
          <w:noProof/>
        </w:rPr>
        <w:t>wia</w:t>
      </w:r>
      <w:r w:rsidRPr="00624565">
        <w:rPr>
          <w:noProof/>
        </w:rPr>
        <w:t>rygodne informacje na temat zrównoważonego charakteru, trwałości</w:t>
      </w:r>
      <w:r w:rsidR="003F3D2B" w:rsidRPr="00624565">
        <w:rPr>
          <w:noProof/>
        </w:rPr>
        <w:t xml:space="preserve"> i</w:t>
      </w:r>
      <w:r w:rsidR="003F3D2B">
        <w:rPr>
          <w:noProof/>
        </w:rPr>
        <w:t> </w:t>
      </w:r>
      <w:r w:rsidR="003F3D2B" w:rsidRPr="00624565">
        <w:rPr>
          <w:noProof/>
        </w:rPr>
        <w:t>śla</w:t>
      </w:r>
      <w:r w:rsidRPr="00624565">
        <w:rPr>
          <w:noProof/>
        </w:rPr>
        <w:t>du węglowego produktów, oraz zwrócono uwagę, że przejrzystość rynku jest narzędziem ułatwiającym upowszechnienie produktów neutralnych pod względem emisji, które wyróżniają się pod względem technologicznym</w:t>
      </w:r>
      <w:r w:rsidR="003F3D2B" w:rsidRPr="00624565">
        <w:rPr>
          <w:noProof/>
        </w:rPr>
        <w:t xml:space="preserve"> i</w:t>
      </w:r>
      <w:r w:rsidR="003F3D2B">
        <w:rPr>
          <w:noProof/>
        </w:rPr>
        <w:t> </w:t>
      </w:r>
      <w:r w:rsidR="003F3D2B" w:rsidRPr="00624565">
        <w:rPr>
          <w:noProof/>
        </w:rPr>
        <w:t>śro</w:t>
      </w:r>
      <w:r w:rsidRPr="00624565">
        <w:rPr>
          <w:noProof/>
        </w:rPr>
        <w:t>dowiskowym.</w:t>
      </w:r>
    </w:p>
    <w:p w14:paraId="3AC8A5ED" w14:textId="314E1F30" w:rsidR="00B025AB" w:rsidRPr="00624565" w:rsidRDefault="00B025AB" w:rsidP="00B025AB">
      <w:pPr>
        <w:tabs>
          <w:tab w:val="num" w:pos="567"/>
        </w:tabs>
        <w:rPr>
          <w:rFonts w:eastAsia="Times New Roman"/>
          <w:noProof/>
        </w:rPr>
      </w:pPr>
      <w:r w:rsidRPr="00624565">
        <w:rPr>
          <w:noProof/>
        </w:rPr>
        <w:t>Parlament Europejski</w:t>
      </w:r>
      <w:r w:rsidR="003F3D2B" w:rsidRPr="00624565">
        <w:rPr>
          <w:noProof/>
        </w:rPr>
        <w:t xml:space="preserve"> i</w:t>
      </w:r>
      <w:r w:rsidR="003F3D2B">
        <w:rPr>
          <w:noProof/>
        </w:rPr>
        <w:t> </w:t>
      </w:r>
      <w:r w:rsidR="003F3D2B" w:rsidRPr="00624565">
        <w:rPr>
          <w:noProof/>
        </w:rPr>
        <w:t>Rad</w:t>
      </w:r>
      <w:r w:rsidRPr="00624565">
        <w:rPr>
          <w:noProof/>
        </w:rPr>
        <w:t>a wezwały Komisję, aby rozważyła możliwość podjęcia dalszych działań</w:t>
      </w:r>
      <w:r w:rsidR="003F3D2B" w:rsidRPr="00624565">
        <w:rPr>
          <w:noProof/>
        </w:rPr>
        <w:t xml:space="preserve"> w</w:t>
      </w:r>
      <w:r w:rsidR="003F3D2B">
        <w:rPr>
          <w:noProof/>
        </w:rPr>
        <w:t> </w:t>
      </w:r>
      <w:r w:rsidR="003F3D2B" w:rsidRPr="00624565">
        <w:rPr>
          <w:noProof/>
        </w:rPr>
        <w:t>tym</w:t>
      </w:r>
      <w:r w:rsidRPr="00624565">
        <w:rPr>
          <w:noProof/>
        </w:rPr>
        <w:t xml:space="preserve"> obszarze</w:t>
      </w:r>
      <w:r w:rsidR="003F3D2B" w:rsidRPr="00624565">
        <w:rPr>
          <w:noProof/>
        </w:rPr>
        <w:t>. W</w:t>
      </w:r>
      <w:r w:rsidR="003F3D2B">
        <w:rPr>
          <w:noProof/>
        </w:rPr>
        <w:t> </w:t>
      </w:r>
      <w:r w:rsidR="003F3D2B" w:rsidRPr="00624565">
        <w:rPr>
          <w:noProof/>
        </w:rPr>
        <w:t>gru</w:t>
      </w:r>
      <w:r w:rsidRPr="00624565">
        <w:rPr>
          <w:noProof/>
        </w:rPr>
        <w:t>dniu 20</w:t>
      </w:r>
      <w:r w:rsidRPr="003F3D2B">
        <w:rPr>
          <w:noProof/>
        </w:rPr>
        <w:t>20</w:t>
      </w:r>
      <w:r w:rsidR="003F3D2B" w:rsidRPr="003F3D2B">
        <w:rPr>
          <w:noProof/>
        </w:rPr>
        <w:t> </w:t>
      </w:r>
      <w:r w:rsidRPr="003F3D2B">
        <w:rPr>
          <w:noProof/>
        </w:rPr>
        <w:t>r.</w:t>
      </w:r>
      <w:r w:rsidR="003F3D2B" w:rsidRPr="00624565">
        <w:rPr>
          <w:noProof/>
        </w:rPr>
        <w:t xml:space="preserve"> w</w:t>
      </w:r>
      <w:r w:rsidR="003F3D2B">
        <w:rPr>
          <w:noProof/>
        </w:rPr>
        <w:t> </w:t>
      </w:r>
      <w:r w:rsidR="003F3D2B" w:rsidRPr="00624565">
        <w:rPr>
          <w:noProof/>
        </w:rPr>
        <w:t>swo</w:t>
      </w:r>
      <w:r w:rsidRPr="00624565">
        <w:rPr>
          <w:noProof/>
        </w:rPr>
        <w:t>ich konkluzjach pt. „Ku ekologicznej odbudowie opartej na obiegu zamkniętym”</w:t>
      </w:r>
      <w:r w:rsidRPr="00624565">
        <w:rPr>
          <w:rStyle w:val="FootnoteReference"/>
          <w:noProof/>
        </w:rPr>
        <w:footnoteReference w:id="9"/>
      </w:r>
      <w:r w:rsidRPr="00624565">
        <w:rPr>
          <w:noProof/>
        </w:rPr>
        <w:t xml:space="preserve"> Rada wyraziła uznanie dla zamiaru zapewnienia przez Komisję, aby uzasadnienia oświadczeń środowiskowych opierano na wpływie na środowisko</w:t>
      </w:r>
      <w:r w:rsidR="003F3D2B" w:rsidRPr="00624565">
        <w:rPr>
          <w:noProof/>
        </w:rPr>
        <w:t xml:space="preserve"> w</w:t>
      </w:r>
      <w:r w:rsidR="003F3D2B">
        <w:rPr>
          <w:noProof/>
        </w:rPr>
        <w:t> </w:t>
      </w:r>
      <w:r w:rsidR="003F3D2B" w:rsidRPr="00624565">
        <w:rPr>
          <w:noProof/>
        </w:rPr>
        <w:t>cał</w:t>
      </w:r>
      <w:r w:rsidRPr="00624565">
        <w:rPr>
          <w:noProof/>
        </w:rPr>
        <w:t>ym cyklu życia produktów</w:t>
      </w:r>
      <w:r w:rsidR="003F3D2B" w:rsidRPr="00624565">
        <w:rPr>
          <w:noProof/>
        </w:rPr>
        <w:t>. W</w:t>
      </w:r>
      <w:r w:rsidR="003F3D2B">
        <w:rPr>
          <w:noProof/>
        </w:rPr>
        <w:t> </w:t>
      </w:r>
      <w:r w:rsidR="003F3D2B" w:rsidRPr="00624565">
        <w:rPr>
          <w:noProof/>
        </w:rPr>
        <w:t>swo</w:t>
      </w:r>
      <w:r w:rsidRPr="00624565">
        <w:rPr>
          <w:noProof/>
        </w:rPr>
        <w:t>jej rezolucji</w:t>
      </w:r>
      <w:r w:rsidR="003F3D2B" w:rsidRPr="00624565">
        <w:rPr>
          <w:noProof/>
        </w:rPr>
        <w:t xml:space="preserve"> w</w:t>
      </w:r>
      <w:r w:rsidR="003F3D2B">
        <w:rPr>
          <w:noProof/>
        </w:rPr>
        <w:t> </w:t>
      </w:r>
      <w:r w:rsidR="003F3D2B" w:rsidRPr="00624565">
        <w:rPr>
          <w:noProof/>
        </w:rPr>
        <w:t>spr</w:t>
      </w:r>
      <w:r w:rsidRPr="00624565">
        <w:rPr>
          <w:noProof/>
        </w:rPr>
        <w:t>awie nowego planu działania dotyczącego gospodarki</w:t>
      </w:r>
      <w:r w:rsidR="003F3D2B" w:rsidRPr="00624565">
        <w:rPr>
          <w:noProof/>
        </w:rPr>
        <w:t xml:space="preserve"> o</w:t>
      </w:r>
      <w:r w:rsidR="003F3D2B">
        <w:rPr>
          <w:noProof/>
        </w:rPr>
        <w:t> </w:t>
      </w:r>
      <w:r w:rsidR="003F3D2B" w:rsidRPr="00624565">
        <w:rPr>
          <w:noProof/>
        </w:rPr>
        <w:t>obi</w:t>
      </w:r>
      <w:r w:rsidRPr="00624565">
        <w:rPr>
          <w:noProof/>
        </w:rPr>
        <w:t>egu zamkniętym</w:t>
      </w:r>
      <w:r w:rsidRPr="00624565">
        <w:rPr>
          <w:rStyle w:val="FootnoteReference"/>
          <w:noProof/>
        </w:rPr>
        <w:footnoteReference w:id="10"/>
      </w:r>
      <w:r w:rsidRPr="00624565">
        <w:rPr>
          <w:noProof/>
        </w:rPr>
        <w:t xml:space="preserve"> Parlament Europejski zdecydowanie poparł zamiar przedstawienia przez Komisję wniosków regulujących stosowanie oświadczeń środowiskowych poprzez ustanowienie solidnych</w:t>
      </w:r>
      <w:r w:rsidR="003F3D2B" w:rsidRPr="00624565">
        <w:rPr>
          <w:noProof/>
        </w:rPr>
        <w:t xml:space="preserve"> i</w:t>
      </w:r>
      <w:r w:rsidR="003F3D2B">
        <w:rPr>
          <w:noProof/>
        </w:rPr>
        <w:t> </w:t>
      </w:r>
      <w:r w:rsidR="003F3D2B" w:rsidRPr="00624565">
        <w:rPr>
          <w:noProof/>
        </w:rPr>
        <w:t>zha</w:t>
      </w:r>
      <w:r w:rsidRPr="00624565">
        <w:rPr>
          <w:noProof/>
        </w:rPr>
        <w:t xml:space="preserve">rmonizowanych metod obliczeniowych obejmujących cały łańcuch wartości. </w:t>
      </w:r>
    </w:p>
    <w:p w14:paraId="3E924F3D" w14:textId="5088C2E0" w:rsidR="00B025AB" w:rsidRPr="00624565" w:rsidRDefault="00B025AB" w:rsidP="00B025AB">
      <w:pPr>
        <w:tabs>
          <w:tab w:val="num" w:pos="567"/>
        </w:tabs>
        <w:rPr>
          <w:rFonts w:eastAsia="Times New Roman"/>
          <w:noProof/>
        </w:rPr>
      </w:pPr>
      <w:r w:rsidRPr="00624565">
        <w:rPr>
          <w:noProof/>
        </w:rPr>
        <w:t>Konsumenci chcą być lepiej informowani</w:t>
      </w:r>
      <w:r w:rsidR="003F3D2B" w:rsidRPr="00624565">
        <w:rPr>
          <w:noProof/>
        </w:rPr>
        <w:t xml:space="preserve"> o</w:t>
      </w:r>
      <w:r w:rsidR="003F3D2B">
        <w:rPr>
          <w:noProof/>
        </w:rPr>
        <w:t> </w:t>
      </w:r>
      <w:r w:rsidR="003F3D2B" w:rsidRPr="00624565">
        <w:rPr>
          <w:noProof/>
        </w:rPr>
        <w:t>wpł</w:t>
      </w:r>
      <w:r w:rsidRPr="00624565">
        <w:rPr>
          <w:noProof/>
        </w:rPr>
        <w:t>ywie ich konsumpcji na środowisko oraz dokonywać lepszych wyborów. Propozycje Konferencji</w:t>
      </w:r>
      <w:r w:rsidR="003F3D2B" w:rsidRPr="00624565">
        <w:rPr>
          <w:noProof/>
        </w:rPr>
        <w:t xml:space="preserve"> w</w:t>
      </w:r>
      <w:r w:rsidR="003F3D2B">
        <w:rPr>
          <w:noProof/>
        </w:rPr>
        <w:t> </w:t>
      </w:r>
      <w:r w:rsidR="003F3D2B" w:rsidRPr="00624565">
        <w:rPr>
          <w:noProof/>
        </w:rPr>
        <w:t>spr</w:t>
      </w:r>
      <w:r w:rsidRPr="00624565">
        <w:rPr>
          <w:noProof/>
        </w:rPr>
        <w:t>awie przyszłości Europy</w:t>
      </w:r>
      <w:r w:rsidRPr="00624565">
        <w:rPr>
          <w:rStyle w:val="FootnoteReference"/>
          <w:noProof/>
        </w:rPr>
        <w:footnoteReference w:id="11"/>
      </w:r>
      <w:r w:rsidRPr="00624565">
        <w:rPr>
          <w:noProof/>
        </w:rPr>
        <w:t xml:space="preserve"> obejmują wezwanie do większej przejrzystości</w:t>
      </w:r>
      <w:r w:rsidR="003F3D2B" w:rsidRPr="00624565">
        <w:rPr>
          <w:noProof/>
        </w:rPr>
        <w:t xml:space="preserve"> w</w:t>
      </w:r>
      <w:r w:rsidR="003F3D2B">
        <w:rPr>
          <w:noProof/>
        </w:rPr>
        <w:t> </w:t>
      </w:r>
      <w:r w:rsidR="003F3D2B" w:rsidRPr="00624565">
        <w:rPr>
          <w:noProof/>
        </w:rPr>
        <w:t>odn</w:t>
      </w:r>
      <w:r w:rsidRPr="00624565">
        <w:rPr>
          <w:noProof/>
        </w:rPr>
        <w:t>iesieniu do zrównoważonego rozwoju</w:t>
      </w:r>
      <w:r w:rsidR="003F3D2B" w:rsidRPr="00624565">
        <w:rPr>
          <w:noProof/>
        </w:rPr>
        <w:t xml:space="preserve"> i</w:t>
      </w:r>
      <w:r w:rsidR="003F3D2B">
        <w:rPr>
          <w:noProof/>
        </w:rPr>
        <w:t> </w:t>
      </w:r>
      <w:r w:rsidR="003F3D2B" w:rsidRPr="00624565">
        <w:rPr>
          <w:noProof/>
        </w:rPr>
        <w:t>śla</w:t>
      </w:r>
      <w:r w:rsidRPr="00624565">
        <w:rPr>
          <w:noProof/>
        </w:rPr>
        <w:t>du środowiskowego produktów – zawarto je</w:t>
      </w:r>
      <w:r w:rsidR="003F3D2B" w:rsidRPr="00624565">
        <w:rPr>
          <w:noProof/>
        </w:rPr>
        <w:t xml:space="preserve"> w</w:t>
      </w:r>
      <w:r w:rsidR="003F3D2B">
        <w:rPr>
          <w:noProof/>
        </w:rPr>
        <w:t> </w:t>
      </w:r>
      <w:r w:rsidR="003F3D2B" w:rsidRPr="00624565">
        <w:rPr>
          <w:noProof/>
        </w:rPr>
        <w:t>szc</w:t>
      </w:r>
      <w:r w:rsidRPr="00624565">
        <w:rPr>
          <w:noProof/>
        </w:rPr>
        <w:t>zególności</w:t>
      </w:r>
      <w:r w:rsidR="003F3D2B" w:rsidRPr="00624565">
        <w:rPr>
          <w:noProof/>
        </w:rPr>
        <w:t xml:space="preserve"> w</w:t>
      </w:r>
      <w:r w:rsidR="003F3D2B">
        <w:rPr>
          <w:noProof/>
        </w:rPr>
        <w:t> </w:t>
      </w:r>
      <w:r w:rsidR="003F3D2B" w:rsidRPr="00624565">
        <w:rPr>
          <w:noProof/>
        </w:rPr>
        <w:t>pro</w:t>
      </w:r>
      <w:r w:rsidRPr="00624565">
        <w:rPr>
          <w:noProof/>
        </w:rPr>
        <w:t xml:space="preserve">pozycji </w:t>
      </w:r>
      <w:r w:rsidRPr="003F3D2B">
        <w:rPr>
          <w:noProof/>
        </w:rPr>
        <w:t>nr</w:t>
      </w:r>
      <w:r w:rsidR="003F3D2B" w:rsidRPr="003F3D2B">
        <w:rPr>
          <w:noProof/>
        </w:rPr>
        <w:t> </w:t>
      </w:r>
      <w:r w:rsidRPr="003F3D2B">
        <w:rPr>
          <w:noProof/>
        </w:rPr>
        <w:t>5</w:t>
      </w:r>
      <w:r w:rsidRPr="00624565">
        <w:rPr>
          <w:noProof/>
        </w:rPr>
        <w:t xml:space="preserve"> dotyczącej zrównoważonej konsumpcji, pakowania</w:t>
      </w:r>
      <w:r w:rsidR="003F3D2B" w:rsidRPr="00624565">
        <w:rPr>
          <w:noProof/>
        </w:rPr>
        <w:t xml:space="preserve"> i</w:t>
      </w:r>
      <w:r w:rsidR="003F3D2B">
        <w:rPr>
          <w:noProof/>
        </w:rPr>
        <w:t> </w:t>
      </w:r>
      <w:r w:rsidR="003F3D2B" w:rsidRPr="00624565">
        <w:rPr>
          <w:noProof/>
        </w:rPr>
        <w:t>pro</w:t>
      </w:r>
      <w:r w:rsidRPr="00624565">
        <w:rPr>
          <w:noProof/>
        </w:rPr>
        <w:t>dukcji oraz</w:t>
      </w:r>
      <w:r w:rsidR="003F3D2B" w:rsidRPr="00624565">
        <w:rPr>
          <w:noProof/>
        </w:rPr>
        <w:t xml:space="preserve"> w</w:t>
      </w:r>
      <w:r w:rsidR="003F3D2B">
        <w:rPr>
          <w:noProof/>
        </w:rPr>
        <w:t> </w:t>
      </w:r>
      <w:r w:rsidR="003F3D2B" w:rsidRPr="00624565">
        <w:rPr>
          <w:noProof/>
        </w:rPr>
        <w:t>pro</w:t>
      </w:r>
      <w:r w:rsidRPr="00624565">
        <w:rPr>
          <w:noProof/>
        </w:rPr>
        <w:t xml:space="preserve">pozycji </w:t>
      </w:r>
      <w:r w:rsidRPr="003F3D2B">
        <w:rPr>
          <w:noProof/>
        </w:rPr>
        <w:t>nr</w:t>
      </w:r>
      <w:r w:rsidR="003F3D2B" w:rsidRPr="003F3D2B">
        <w:rPr>
          <w:noProof/>
        </w:rPr>
        <w:t> </w:t>
      </w:r>
      <w:r w:rsidRPr="003F3D2B">
        <w:rPr>
          <w:noProof/>
        </w:rPr>
        <w:t>2</w:t>
      </w:r>
      <w:r w:rsidRPr="00624565">
        <w:rPr>
          <w:noProof/>
        </w:rPr>
        <w:t>0 dotyczącej określenia norm w UE</w:t>
      </w:r>
      <w:r w:rsidR="003F3D2B" w:rsidRPr="00624565">
        <w:rPr>
          <w:noProof/>
        </w:rPr>
        <w:t xml:space="preserve"> i</w:t>
      </w:r>
      <w:r w:rsidR="003F3D2B">
        <w:rPr>
          <w:noProof/>
        </w:rPr>
        <w:t> </w:t>
      </w:r>
      <w:r w:rsidR="003F3D2B" w:rsidRPr="00624565">
        <w:rPr>
          <w:noProof/>
        </w:rPr>
        <w:t>poz</w:t>
      </w:r>
      <w:r w:rsidRPr="00624565">
        <w:rPr>
          <w:noProof/>
        </w:rPr>
        <w:t>a nią</w:t>
      </w:r>
      <w:r w:rsidR="003F3D2B" w:rsidRPr="00624565">
        <w:rPr>
          <w:noProof/>
        </w:rPr>
        <w:t xml:space="preserve"> w</w:t>
      </w:r>
      <w:r w:rsidR="003F3D2B">
        <w:rPr>
          <w:noProof/>
        </w:rPr>
        <w:t> </w:t>
      </w:r>
      <w:r w:rsidR="003F3D2B" w:rsidRPr="00624565">
        <w:rPr>
          <w:noProof/>
        </w:rPr>
        <w:t>pol</w:t>
      </w:r>
      <w:r w:rsidRPr="00624565">
        <w:rPr>
          <w:noProof/>
        </w:rPr>
        <w:t>ityce ochrony środowiska. Wniosek dotyczący oświadczeń środowiskowych jest odpowiedzią Komisji na to wezwanie</w:t>
      </w:r>
      <w:r w:rsidRPr="00624565">
        <w:rPr>
          <w:rStyle w:val="FootnoteReference"/>
          <w:noProof/>
        </w:rPr>
        <w:footnoteReference w:id="12"/>
      </w:r>
      <w:r w:rsidRPr="00624565">
        <w:rPr>
          <w:noProof/>
        </w:rPr>
        <w:t xml:space="preserve">. </w:t>
      </w:r>
    </w:p>
    <w:p w14:paraId="0DF69E58" w14:textId="31295F34" w:rsidR="00B025AB" w:rsidRPr="00624565" w:rsidRDefault="00B025AB" w:rsidP="00B025AB">
      <w:pPr>
        <w:tabs>
          <w:tab w:val="num" w:pos="567"/>
        </w:tabs>
        <w:rPr>
          <w:rFonts w:eastAsia="Times New Roman"/>
          <w:noProof/>
        </w:rPr>
      </w:pPr>
      <w:r w:rsidRPr="00624565">
        <w:rPr>
          <w:noProof/>
        </w:rPr>
        <w:t>Uzupełnienie ram legislacyjnych UE wspierających bardziej zrównoważoną konsumpcję przyczyni się do osiągnięcia celu zrównoważonego rozwoju 12.6, który zakłada zachęcanie przedsiębiorstw,</w:t>
      </w:r>
      <w:r w:rsidR="003F3D2B" w:rsidRPr="00624565">
        <w:rPr>
          <w:noProof/>
        </w:rPr>
        <w:t xml:space="preserve"> w</w:t>
      </w:r>
      <w:r w:rsidR="003F3D2B">
        <w:rPr>
          <w:noProof/>
        </w:rPr>
        <w:t> </w:t>
      </w:r>
      <w:r w:rsidR="003F3D2B" w:rsidRPr="00624565">
        <w:rPr>
          <w:noProof/>
        </w:rPr>
        <w:t>szc</w:t>
      </w:r>
      <w:r w:rsidRPr="00624565">
        <w:rPr>
          <w:noProof/>
        </w:rPr>
        <w:t>zególności dużych</w:t>
      </w:r>
      <w:r w:rsidR="003F3D2B" w:rsidRPr="00624565">
        <w:rPr>
          <w:noProof/>
        </w:rPr>
        <w:t xml:space="preserve"> i</w:t>
      </w:r>
      <w:r w:rsidR="003F3D2B">
        <w:rPr>
          <w:noProof/>
        </w:rPr>
        <w:t> </w:t>
      </w:r>
      <w:r w:rsidR="003F3D2B" w:rsidRPr="00624565">
        <w:rPr>
          <w:noProof/>
        </w:rPr>
        <w:t>mię</w:t>
      </w:r>
      <w:r w:rsidRPr="00624565">
        <w:rPr>
          <w:noProof/>
        </w:rPr>
        <w:t>dzynarodowych, do wdrażania praktyk</w:t>
      </w:r>
      <w:r w:rsidR="003F3D2B" w:rsidRPr="00624565">
        <w:rPr>
          <w:noProof/>
        </w:rPr>
        <w:t xml:space="preserve"> w</w:t>
      </w:r>
      <w:r w:rsidR="003F3D2B">
        <w:rPr>
          <w:noProof/>
        </w:rPr>
        <w:t> </w:t>
      </w:r>
      <w:r w:rsidR="003F3D2B" w:rsidRPr="00624565">
        <w:rPr>
          <w:noProof/>
        </w:rPr>
        <w:t>zak</w:t>
      </w:r>
      <w:r w:rsidRPr="00624565">
        <w:rPr>
          <w:noProof/>
        </w:rPr>
        <w:t>resie zrównoważonego rozwoju</w:t>
      </w:r>
      <w:r w:rsidR="003F3D2B" w:rsidRPr="00624565">
        <w:rPr>
          <w:noProof/>
        </w:rPr>
        <w:t xml:space="preserve"> i</w:t>
      </w:r>
      <w:r w:rsidR="003F3D2B">
        <w:rPr>
          <w:noProof/>
        </w:rPr>
        <w:t> </w:t>
      </w:r>
      <w:r w:rsidR="003F3D2B" w:rsidRPr="00624565">
        <w:rPr>
          <w:noProof/>
        </w:rPr>
        <w:t>uwz</w:t>
      </w:r>
      <w:r w:rsidRPr="00624565">
        <w:rPr>
          <w:noProof/>
        </w:rPr>
        <w:t>ględniania informacji na ten temat</w:t>
      </w:r>
      <w:r w:rsidR="003F3D2B" w:rsidRPr="00624565">
        <w:rPr>
          <w:noProof/>
        </w:rPr>
        <w:t xml:space="preserve"> w</w:t>
      </w:r>
      <w:r w:rsidR="003F3D2B">
        <w:rPr>
          <w:noProof/>
        </w:rPr>
        <w:t> </w:t>
      </w:r>
      <w:r w:rsidR="003F3D2B" w:rsidRPr="00624565">
        <w:rPr>
          <w:noProof/>
        </w:rPr>
        <w:t>swo</w:t>
      </w:r>
      <w:r w:rsidRPr="00624565">
        <w:rPr>
          <w:noProof/>
        </w:rPr>
        <w:t>ich cyklicznych raportach.</w:t>
      </w:r>
    </w:p>
    <w:p w14:paraId="49255EE0" w14:textId="2E942E3E" w:rsidR="00B025AB" w:rsidRPr="00624565" w:rsidRDefault="00B025AB" w:rsidP="00B025AB">
      <w:pPr>
        <w:tabs>
          <w:tab w:val="num" w:pos="567"/>
        </w:tabs>
        <w:rPr>
          <w:rFonts w:eastAsia="Times New Roman"/>
          <w:noProof/>
        </w:rPr>
      </w:pPr>
      <w:r w:rsidRPr="00624565">
        <w:rPr>
          <w:noProof/>
        </w:rPr>
        <w:t>Dalsze działania UE</w:t>
      </w:r>
      <w:r w:rsidR="003F3D2B" w:rsidRPr="00624565">
        <w:rPr>
          <w:noProof/>
        </w:rPr>
        <w:t xml:space="preserve"> w</w:t>
      </w:r>
      <w:r w:rsidR="003F3D2B">
        <w:rPr>
          <w:noProof/>
        </w:rPr>
        <w:t> </w:t>
      </w:r>
      <w:r w:rsidR="003F3D2B" w:rsidRPr="00624565">
        <w:rPr>
          <w:noProof/>
        </w:rPr>
        <w:t>tym</w:t>
      </w:r>
      <w:r w:rsidRPr="00624565">
        <w:rPr>
          <w:noProof/>
        </w:rPr>
        <w:t xml:space="preserve"> obszarze będą miały również pozytywny wpływ na globalne łańcuchy wartości obejmujące procesy produkcji</w:t>
      </w:r>
      <w:r w:rsidR="003F3D2B" w:rsidRPr="00624565">
        <w:rPr>
          <w:noProof/>
        </w:rPr>
        <w:t xml:space="preserve"> w</w:t>
      </w:r>
      <w:r w:rsidR="003F3D2B">
        <w:rPr>
          <w:noProof/>
        </w:rPr>
        <w:t> </w:t>
      </w:r>
      <w:r w:rsidR="003F3D2B" w:rsidRPr="00624565">
        <w:rPr>
          <w:noProof/>
        </w:rPr>
        <w:t>pań</w:t>
      </w:r>
      <w:r w:rsidRPr="00624565">
        <w:rPr>
          <w:noProof/>
        </w:rPr>
        <w:t>stwach trzecich</w:t>
      </w:r>
      <w:r w:rsidR="003F3D2B" w:rsidRPr="00624565">
        <w:rPr>
          <w:noProof/>
        </w:rPr>
        <w:t>. W</w:t>
      </w:r>
      <w:r w:rsidR="003F3D2B">
        <w:rPr>
          <w:noProof/>
        </w:rPr>
        <w:t> </w:t>
      </w:r>
      <w:r w:rsidR="003F3D2B" w:rsidRPr="00624565">
        <w:rPr>
          <w:noProof/>
        </w:rPr>
        <w:t>rez</w:t>
      </w:r>
      <w:r w:rsidRPr="00624565">
        <w:rPr>
          <w:noProof/>
        </w:rPr>
        <w:t>ultacie zachęci to przedsiębiorstwa</w:t>
      </w:r>
      <w:r w:rsidR="003F3D2B" w:rsidRPr="00624565">
        <w:rPr>
          <w:noProof/>
        </w:rPr>
        <w:t xml:space="preserve"> z</w:t>
      </w:r>
      <w:r w:rsidR="003F3D2B">
        <w:rPr>
          <w:noProof/>
        </w:rPr>
        <w:t> </w:t>
      </w:r>
      <w:r w:rsidR="003F3D2B" w:rsidRPr="00624565">
        <w:rPr>
          <w:noProof/>
        </w:rPr>
        <w:t>pań</w:t>
      </w:r>
      <w:r w:rsidRPr="00624565">
        <w:rPr>
          <w:noProof/>
        </w:rPr>
        <w:t>stw trzecich do udziału</w:t>
      </w:r>
      <w:r w:rsidR="003F3D2B" w:rsidRPr="00624565">
        <w:rPr>
          <w:noProof/>
        </w:rPr>
        <w:t xml:space="preserve"> w</w:t>
      </w:r>
      <w:r w:rsidR="003F3D2B">
        <w:rPr>
          <w:noProof/>
        </w:rPr>
        <w:t> </w:t>
      </w:r>
      <w:r w:rsidR="003F3D2B" w:rsidRPr="00624565">
        <w:rPr>
          <w:noProof/>
        </w:rPr>
        <w:t>tra</w:t>
      </w:r>
      <w:r w:rsidRPr="00624565">
        <w:rPr>
          <w:noProof/>
        </w:rPr>
        <w:t>nsformacji ekologicznej,</w:t>
      </w:r>
      <w:r w:rsidR="003F3D2B" w:rsidRPr="00624565">
        <w:rPr>
          <w:noProof/>
        </w:rPr>
        <w:t xml:space="preserve"> w</w:t>
      </w:r>
      <w:r w:rsidR="003F3D2B">
        <w:rPr>
          <w:noProof/>
        </w:rPr>
        <w:t> </w:t>
      </w:r>
      <w:r w:rsidR="003F3D2B" w:rsidRPr="00624565">
        <w:rPr>
          <w:noProof/>
        </w:rPr>
        <w:t>szc</w:t>
      </w:r>
      <w:r w:rsidRPr="00624565">
        <w:rPr>
          <w:noProof/>
        </w:rPr>
        <w:t>zególności przedsiębiorstwa prowadzące działalność handlową na rynku wewnętrznym UE. Wspierana będzie ponadto wielostronna współpraca</w:t>
      </w:r>
      <w:r w:rsidR="003F3D2B" w:rsidRPr="00624565">
        <w:rPr>
          <w:noProof/>
        </w:rPr>
        <w:t xml:space="preserve"> z</w:t>
      </w:r>
      <w:r w:rsidR="003F3D2B">
        <w:rPr>
          <w:noProof/>
        </w:rPr>
        <w:t> </w:t>
      </w:r>
      <w:r w:rsidR="003F3D2B" w:rsidRPr="00624565">
        <w:rPr>
          <w:noProof/>
        </w:rPr>
        <w:t>pań</w:t>
      </w:r>
      <w:r w:rsidRPr="00624565">
        <w:rPr>
          <w:noProof/>
        </w:rPr>
        <w:t>stwami trzecimi mająca na celu zapewnienie należytego zrozumienia nowych ram regulacyjnych</w:t>
      </w:r>
      <w:r w:rsidR="003F3D2B" w:rsidRPr="00624565">
        <w:rPr>
          <w:noProof/>
        </w:rPr>
        <w:t xml:space="preserve"> i</w:t>
      </w:r>
      <w:r w:rsidR="003F3D2B">
        <w:rPr>
          <w:noProof/>
        </w:rPr>
        <w:t> </w:t>
      </w:r>
      <w:r w:rsidR="003F3D2B" w:rsidRPr="00624565">
        <w:rPr>
          <w:noProof/>
        </w:rPr>
        <w:t>wyn</w:t>
      </w:r>
      <w:r w:rsidRPr="00624565">
        <w:rPr>
          <w:noProof/>
        </w:rPr>
        <w:t>ikających</w:t>
      </w:r>
      <w:r w:rsidR="003F3D2B" w:rsidRPr="00624565">
        <w:rPr>
          <w:noProof/>
        </w:rPr>
        <w:t xml:space="preserve"> z</w:t>
      </w:r>
      <w:r w:rsidR="003F3D2B">
        <w:rPr>
          <w:noProof/>
        </w:rPr>
        <w:t> </w:t>
      </w:r>
      <w:r w:rsidR="003F3D2B" w:rsidRPr="00624565">
        <w:rPr>
          <w:noProof/>
        </w:rPr>
        <w:t>nic</w:t>
      </w:r>
      <w:r w:rsidRPr="00624565">
        <w:rPr>
          <w:noProof/>
        </w:rPr>
        <w:t>h korzyści. Rozdziały dotyczące handlu</w:t>
      </w:r>
      <w:r w:rsidR="003F3D2B" w:rsidRPr="00624565">
        <w:rPr>
          <w:noProof/>
        </w:rPr>
        <w:t xml:space="preserve"> i</w:t>
      </w:r>
      <w:r w:rsidR="003F3D2B">
        <w:rPr>
          <w:noProof/>
        </w:rPr>
        <w:t> </w:t>
      </w:r>
      <w:r w:rsidR="003F3D2B" w:rsidRPr="00624565">
        <w:rPr>
          <w:noProof/>
        </w:rPr>
        <w:t>zró</w:t>
      </w:r>
      <w:r w:rsidRPr="00624565">
        <w:rPr>
          <w:noProof/>
        </w:rPr>
        <w:t>wnoważonego rozwoju zawarte</w:t>
      </w:r>
      <w:r w:rsidR="003F3D2B" w:rsidRPr="00624565">
        <w:rPr>
          <w:noProof/>
        </w:rPr>
        <w:t xml:space="preserve"> w</w:t>
      </w:r>
      <w:r w:rsidR="003F3D2B">
        <w:rPr>
          <w:noProof/>
        </w:rPr>
        <w:t> </w:t>
      </w:r>
      <w:r w:rsidR="003F3D2B" w:rsidRPr="00624565">
        <w:rPr>
          <w:noProof/>
        </w:rPr>
        <w:t>dwu</w:t>
      </w:r>
      <w:r w:rsidRPr="00624565">
        <w:rPr>
          <w:noProof/>
        </w:rPr>
        <w:t>stronnych umowach handlowych UE oraz umowach handlowych między regionami mogą dodatkowo stworzyć możliwości współpracy zgodnie</w:t>
      </w:r>
      <w:r w:rsidR="003F3D2B" w:rsidRPr="00624565">
        <w:rPr>
          <w:noProof/>
        </w:rPr>
        <w:t xml:space="preserve"> z</w:t>
      </w:r>
      <w:r w:rsidR="003F3D2B">
        <w:rPr>
          <w:noProof/>
        </w:rPr>
        <w:t> </w:t>
      </w:r>
      <w:r w:rsidR="003F3D2B" w:rsidRPr="00624565">
        <w:rPr>
          <w:noProof/>
        </w:rPr>
        <w:t>ogó</w:t>
      </w:r>
      <w:r w:rsidRPr="00624565">
        <w:rPr>
          <w:noProof/>
        </w:rPr>
        <w:t>lnymi celami UE dotyczącymi zwiększenia wymiaru zrównoważonego rozwoju</w:t>
      </w:r>
      <w:r w:rsidR="003F3D2B" w:rsidRPr="00624565">
        <w:rPr>
          <w:noProof/>
        </w:rPr>
        <w:t xml:space="preserve"> w</w:t>
      </w:r>
      <w:r w:rsidR="003F3D2B">
        <w:rPr>
          <w:noProof/>
        </w:rPr>
        <w:t> </w:t>
      </w:r>
      <w:r w:rsidR="003F3D2B" w:rsidRPr="00624565">
        <w:rPr>
          <w:noProof/>
        </w:rPr>
        <w:t>jej</w:t>
      </w:r>
      <w:r w:rsidRPr="00624565">
        <w:rPr>
          <w:noProof/>
        </w:rPr>
        <w:t xml:space="preserve"> polityce handlowej.</w:t>
      </w:r>
    </w:p>
    <w:p w14:paraId="39B58719" w14:textId="77777777" w:rsidR="00743A82" w:rsidRPr="00624565" w:rsidRDefault="00743A82" w:rsidP="006E3743">
      <w:pPr>
        <w:pStyle w:val="Bullet0"/>
        <w:rPr>
          <w:rFonts w:eastAsia="Times New Roman"/>
          <w:b/>
          <w:noProof/>
          <w:szCs w:val="24"/>
        </w:rPr>
      </w:pPr>
      <w:r w:rsidRPr="00624565">
        <w:rPr>
          <w:b/>
          <w:noProof/>
        </w:rPr>
        <w:t>Bariery utrudniające zwiększenie potencjału zielonych rynków w UE przez mocną pozycję konsumentów.</w:t>
      </w:r>
    </w:p>
    <w:p w14:paraId="040CAE1E" w14:textId="7D410A03" w:rsidR="00743A82" w:rsidRPr="00624565" w:rsidRDefault="00743A82" w:rsidP="00743A82">
      <w:pPr>
        <w:tabs>
          <w:tab w:val="num" w:pos="567"/>
        </w:tabs>
        <w:rPr>
          <w:noProof/>
        </w:rPr>
      </w:pPr>
      <w:r w:rsidRPr="00624565">
        <w:rPr>
          <w:noProof/>
        </w:rPr>
        <w:t>Pomimo chęci konsumentów do wnoszenia wkładu</w:t>
      </w:r>
      <w:r w:rsidR="003F3D2B" w:rsidRPr="00624565">
        <w:rPr>
          <w:noProof/>
        </w:rPr>
        <w:t xml:space="preserve"> w</w:t>
      </w:r>
      <w:r w:rsidR="003F3D2B">
        <w:rPr>
          <w:noProof/>
        </w:rPr>
        <w:t> </w:t>
      </w:r>
      <w:r w:rsidR="003F3D2B" w:rsidRPr="00624565">
        <w:rPr>
          <w:noProof/>
        </w:rPr>
        <w:t>cod</w:t>
      </w:r>
      <w:r w:rsidRPr="00624565">
        <w:rPr>
          <w:noProof/>
        </w:rPr>
        <w:t>ziennym życiu</w:t>
      </w:r>
      <w:r w:rsidR="003F3D2B" w:rsidRPr="00624565">
        <w:rPr>
          <w:noProof/>
        </w:rPr>
        <w:t xml:space="preserve"> w</w:t>
      </w:r>
      <w:r w:rsidR="003F3D2B">
        <w:rPr>
          <w:noProof/>
        </w:rPr>
        <w:t> </w:t>
      </w:r>
      <w:r w:rsidR="003F3D2B" w:rsidRPr="00624565">
        <w:rPr>
          <w:noProof/>
        </w:rPr>
        <w:t>bar</w:t>
      </w:r>
      <w:r w:rsidRPr="00624565">
        <w:rPr>
          <w:noProof/>
        </w:rPr>
        <w:t>dziej zieloną gospodarkę</w:t>
      </w:r>
      <w:r w:rsidR="003F3D2B" w:rsidRPr="00624565">
        <w:rPr>
          <w:noProof/>
        </w:rPr>
        <w:t xml:space="preserve"> o</w:t>
      </w:r>
      <w:r w:rsidR="003F3D2B">
        <w:rPr>
          <w:noProof/>
        </w:rPr>
        <w:t> </w:t>
      </w:r>
      <w:r w:rsidR="003F3D2B" w:rsidRPr="00624565">
        <w:rPr>
          <w:noProof/>
        </w:rPr>
        <w:t>bar</w:t>
      </w:r>
      <w:r w:rsidRPr="00624565">
        <w:rPr>
          <w:noProof/>
        </w:rPr>
        <w:t>dziej zamkniętym obiegu</w:t>
      </w:r>
      <w:r w:rsidRPr="00624565">
        <w:rPr>
          <w:rStyle w:val="FootnoteReference"/>
          <w:noProof/>
        </w:rPr>
        <w:footnoteReference w:id="13"/>
      </w:r>
      <w:r w:rsidRPr="00624565">
        <w:rPr>
          <w:noProof/>
        </w:rPr>
        <w:t>, ich aktywną</w:t>
      </w:r>
      <w:r w:rsidR="003F3D2B" w:rsidRPr="00624565">
        <w:rPr>
          <w:noProof/>
        </w:rPr>
        <w:t xml:space="preserve"> i</w:t>
      </w:r>
      <w:r w:rsidR="003F3D2B">
        <w:rPr>
          <w:noProof/>
        </w:rPr>
        <w:t> </w:t>
      </w:r>
      <w:r w:rsidR="003F3D2B" w:rsidRPr="00624565">
        <w:rPr>
          <w:noProof/>
        </w:rPr>
        <w:t>sku</w:t>
      </w:r>
      <w:r w:rsidRPr="00624565">
        <w:rPr>
          <w:noProof/>
        </w:rPr>
        <w:t>teczną rolę</w:t>
      </w:r>
      <w:r w:rsidR="003F3D2B" w:rsidRPr="00624565">
        <w:rPr>
          <w:noProof/>
        </w:rPr>
        <w:t xml:space="preserve"> w</w:t>
      </w:r>
      <w:r w:rsidR="003F3D2B">
        <w:rPr>
          <w:noProof/>
        </w:rPr>
        <w:t> </w:t>
      </w:r>
      <w:r w:rsidR="003F3D2B" w:rsidRPr="00624565">
        <w:rPr>
          <w:noProof/>
        </w:rPr>
        <w:t>tej</w:t>
      </w:r>
      <w:r w:rsidRPr="00624565">
        <w:rPr>
          <w:noProof/>
        </w:rPr>
        <w:t xml:space="preserve"> transformacji ekologicznej utrudniają bariery</w:t>
      </w:r>
      <w:r w:rsidR="003F3D2B" w:rsidRPr="00624565">
        <w:rPr>
          <w:noProof/>
        </w:rPr>
        <w:t xml:space="preserve"> w</w:t>
      </w:r>
      <w:r w:rsidR="003F3D2B">
        <w:rPr>
          <w:noProof/>
        </w:rPr>
        <w:t> </w:t>
      </w:r>
      <w:r w:rsidR="003F3D2B" w:rsidRPr="00624565">
        <w:rPr>
          <w:noProof/>
        </w:rPr>
        <w:t>dok</w:t>
      </w:r>
      <w:r w:rsidRPr="00624565">
        <w:rPr>
          <w:noProof/>
        </w:rPr>
        <w:t>onywaniu zrównoważonych środowiskowo wyborów konsumpcyjnych</w:t>
      </w:r>
      <w:r w:rsidR="003F3D2B" w:rsidRPr="00624565">
        <w:rPr>
          <w:noProof/>
        </w:rPr>
        <w:t xml:space="preserve"> w</w:t>
      </w:r>
      <w:r w:rsidR="003F3D2B">
        <w:rPr>
          <w:noProof/>
        </w:rPr>
        <w:t> </w:t>
      </w:r>
      <w:r w:rsidR="003F3D2B" w:rsidRPr="00624565">
        <w:rPr>
          <w:noProof/>
        </w:rPr>
        <w:t>pun</w:t>
      </w:r>
      <w:r w:rsidRPr="00624565">
        <w:rPr>
          <w:noProof/>
        </w:rPr>
        <w:t>ktach sprzedaży,</w:t>
      </w:r>
      <w:r w:rsidR="003F3D2B" w:rsidRPr="00624565">
        <w:rPr>
          <w:noProof/>
        </w:rPr>
        <w:t xml:space="preserve"> a</w:t>
      </w:r>
      <w:r w:rsidR="003F3D2B">
        <w:rPr>
          <w:noProof/>
        </w:rPr>
        <w:t> </w:t>
      </w:r>
      <w:r w:rsidR="003F3D2B" w:rsidRPr="00624565">
        <w:rPr>
          <w:noProof/>
        </w:rPr>
        <w:t>w</w:t>
      </w:r>
      <w:r w:rsidR="003F3D2B">
        <w:rPr>
          <w:noProof/>
        </w:rPr>
        <w:t> </w:t>
      </w:r>
      <w:r w:rsidR="003F3D2B" w:rsidRPr="00624565">
        <w:rPr>
          <w:noProof/>
        </w:rPr>
        <w:t>szc</w:t>
      </w:r>
      <w:r w:rsidRPr="00624565">
        <w:rPr>
          <w:noProof/>
        </w:rPr>
        <w:t>zególności brak zaufania do wiarygodności oświadczeń środowiskowych</w:t>
      </w:r>
      <w:r w:rsidR="003F3D2B" w:rsidRPr="00624565">
        <w:rPr>
          <w:noProof/>
        </w:rPr>
        <w:t xml:space="preserve"> i</w:t>
      </w:r>
      <w:r w:rsidR="003F3D2B">
        <w:rPr>
          <w:noProof/>
        </w:rPr>
        <w:t> </w:t>
      </w:r>
      <w:r w:rsidR="003F3D2B" w:rsidRPr="00624565">
        <w:rPr>
          <w:noProof/>
        </w:rPr>
        <w:t>roz</w:t>
      </w:r>
      <w:r w:rsidRPr="00624565">
        <w:rPr>
          <w:noProof/>
        </w:rPr>
        <w:t xml:space="preserve">powszechnienie nieuczciwych praktyk handlowych związanych ze zrównoważeniem środowiskowym produktów. </w:t>
      </w:r>
    </w:p>
    <w:p w14:paraId="758054D1" w14:textId="70AC1704" w:rsidR="00743A82" w:rsidRPr="00624565" w:rsidRDefault="00743A82" w:rsidP="00743A82">
      <w:pPr>
        <w:tabs>
          <w:tab w:val="num" w:pos="567"/>
        </w:tabs>
        <w:rPr>
          <w:noProof/>
        </w:rPr>
      </w:pPr>
      <w:r w:rsidRPr="00624565">
        <w:rPr>
          <w:noProof/>
        </w:rPr>
        <w:t>Dowody zebrane na poparcie oceny skutków</w:t>
      </w:r>
      <w:r w:rsidRPr="00624565">
        <w:rPr>
          <w:noProof/>
          <w:vertAlign w:val="superscript"/>
        </w:rPr>
        <w:t>3</w:t>
      </w:r>
      <w:r w:rsidRPr="00624565">
        <w:rPr>
          <w:noProof/>
        </w:rPr>
        <w:t xml:space="preserve"> towarzyszącej wnioskowi</w:t>
      </w:r>
      <w:r w:rsidR="003F3D2B" w:rsidRPr="00624565">
        <w:rPr>
          <w:noProof/>
        </w:rPr>
        <w:t xml:space="preserve"> w</w:t>
      </w:r>
      <w:r w:rsidR="003F3D2B">
        <w:rPr>
          <w:noProof/>
        </w:rPr>
        <w:t> </w:t>
      </w:r>
      <w:r w:rsidR="003F3D2B" w:rsidRPr="00624565">
        <w:rPr>
          <w:noProof/>
        </w:rPr>
        <w:t>spr</w:t>
      </w:r>
      <w:r w:rsidRPr="00624565">
        <w:rPr>
          <w:noProof/>
        </w:rPr>
        <w:t>awie wzmocnienia pozycji konsumentów</w:t>
      </w:r>
      <w:r w:rsidR="003F3D2B" w:rsidRPr="00624565">
        <w:rPr>
          <w:noProof/>
        </w:rPr>
        <w:t xml:space="preserve"> w</w:t>
      </w:r>
      <w:r w:rsidR="003F3D2B">
        <w:rPr>
          <w:noProof/>
        </w:rPr>
        <w:t> </w:t>
      </w:r>
      <w:r w:rsidR="003F3D2B" w:rsidRPr="00624565">
        <w:rPr>
          <w:noProof/>
        </w:rPr>
        <w:t>pro</w:t>
      </w:r>
      <w:r w:rsidRPr="00624565">
        <w:rPr>
          <w:noProof/>
        </w:rPr>
        <w:t>cesie transformacji ekologicznej, która towarzyszy także wnioskowi dotyczącemu oświadczeń środowiskowych zarówno</w:t>
      </w:r>
      <w:r w:rsidR="003F3D2B" w:rsidRPr="00624565">
        <w:rPr>
          <w:noProof/>
        </w:rPr>
        <w:t xml:space="preserve"> w</w:t>
      </w:r>
      <w:r w:rsidR="003F3D2B">
        <w:rPr>
          <w:noProof/>
        </w:rPr>
        <w:t> </w:t>
      </w:r>
      <w:r w:rsidR="003F3D2B" w:rsidRPr="00624565">
        <w:rPr>
          <w:noProof/>
        </w:rPr>
        <w:t>ram</w:t>
      </w:r>
      <w:r w:rsidRPr="00624565">
        <w:rPr>
          <w:noProof/>
        </w:rPr>
        <w:t>ach wstępnej oceny skutków</w:t>
      </w:r>
      <w:r w:rsidRPr="00624565">
        <w:rPr>
          <w:rStyle w:val="FootnoteReference"/>
          <w:noProof/>
        </w:rPr>
        <w:footnoteReference w:id="14"/>
      </w:r>
      <w:r w:rsidRPr="00624565">
        <w:rPr>
          <w:noProof/>
        </w:rPr>
        <w:t xml:space="preserve"> jak</w:t>
      </w:r>
      <w:r w:rsidR="003F3D2B" w:rsidRPr="00624565">
        <w:rPr>
          <w:noProof/>
        </w:rPr>
        <w:t xml:space="preserve"> i</w:t>
      </w:r>
      <w:r w:rsidR="003F3D2B">
        <w:rPr>
          <w:noProof/>
        </w:rPr>
        <w:t> </w:t>
      </w:r>
      <w:r w:rsidR="003F3D2B" w:rsidRPr="00624565">
        <w:rPr>
          <w:noProof/>
        </w:rPr>
        <w:t>kon</w:t>
      </w:r>
      <w:r w:rsidRPr="00624565">
        <w:rPr>
          <w:noProof/>
        </w:rPr>
        <w:t>sultacji publicznych</w:t>
      </w:r>
      <w:r w:rsidRPr="00624565">
        <w:rPr>
          <w:rStyle w:val="FootnoteReference"/>
          <w:noProof/>
        </w:rPr>
        <w:footnoteReference w:id="15"/>
      </w:r>
      <w:r w:rsidRPr="00624565">
        <w:rPr>
          <w:noProof/>
        </w:rPr>
        <w:t xml:space="preserve"> wraz</w:t>
      </w:r>
      <w:r w:rsidR="003F3D2B" w:rsidRPr="00624565">
        <w:rPr>
          <w:noProof/>
        </w:rPr>
        <w:t xml:space="preserve"> z</w:t>
      </w:r>
      <w:r w:rsidR="003F3D2B">
        <w:rPr>
          <w:noProof/>
        </w:rPr>
        <w:t> </w:t>
      </w:r>
      <w:r w:rsidR="003F3D2B" w:rsidRPr="00624565">
        <w:rPr>
          <w:noProof/>
        </w:rPr>
        <w:t>dod</w:t>
      </w:r>
      <w:r w:rsidRPr="00624565">
        <w:rPr>
          <w:noProof/>
        </w:rPr>
        <w:t>atkowymi konsultacjami publicznymi przeprowadzonymi</w:t>
      </w:r>
      <w:r w:rsidR="003F3D2B" w:rsidRPr="00624565">
        <w:rPr>
          <w:noProof/>
        </w:rPr>
        <w:t xml:space="preserve"> w</w:t>
      </w:r>
      <w:r w:rsidR="003F3D2B">
        <w:rPr>
          <w:noProof/>
        </w:rPr>
        <w:t> </w:t>
      </w:r>
      <w:r w:rsidR="003F3D2B" w:rsidRPr="00624565">
        <w:rPr>
          <w:noProof/>
        </w:rPr>
        <w:t>2</w:t>
      </w:r>
      <w:r w:rsidRPr="00624565">
        <w:rPr>
          <w:noProof/>
        </w:rPr>
        <w:t>0</w:t>
      </w:r>
      <w:r w:rsidRPr="003F3D2B">
        <w:rPr>
          <w:noProof/>
        </w:rPr>
        <w:t>20</w:t>
      </w:r>
      <w:r w:rsidR="003F3D2B" w:rsidRPr="003F3D2B">
        <w:rPr>
          <w:noProof/>
        </w:rPr>
        <w:t> </w:t>
      </w:r>
      <w:r w:rsidRPr="003F3D2B">
        <w:rPr>
          <w:noProof/>
        </w:rPr>
        <w:t>r.</w:t>
      </w:r>
      <w:r w:rsidRPr="00624565">
        <w:rPr>
          <w:rStyle w:val="FootnoteReference"/>
          <w:noProof/>
        </w:rPr>
        <w:footnoteReference w:id="16"/>
      </w:r>
      <w:r w:rsidRPr="00624565">
        <w:rPr>
          <w:noProof/>
        </w:rPr>
        <w:t>, wskazują, że nieuczciwe praktyki, takie jak pseudoekologiczny marketing oraz brak przejrzystości</w:t>
      </w:r>
      <w:r w:rsidR="003F3D2B" w:rsidRPr="00624565">
        <w:rPr>
          <w:noProof/>
        </w:rPr>
        <w:t xml:space="preserve"> i</w:t>
      </w:r>
      <w:r w:rsidR="003F3D2B">
        <w:rPr>
          <w:noProof/>
        </w:rPr>
        <w:t> </w:t>
      </w:r>
      <w:r w:rsidR="003F3D2B" w:rsidRPr="00624565">
        <w:rPr>
          <w:noProof/>
        </w:rPr>
        <w:t>wia</w:t>
      </w:r>
      <w:r w:rsidRPr="00624565">
        <w:rPr>
          <w:noProof/>
        </w:rPr>
        <w:t xml:space="preserve">rygodności oznakowania ekologicznego, występują na różnych etapach konsumpcji: na etapie reklamy, na etapie zakupu czy podczas użytkowania produktów. </w:t>
      </w:r>
    </w:p>
    <w:p w14:paraId="5742BE4D" w14:textId="55F071F2" w:rsidR="00D96629" w:rsidRPr="00624565" w:rsidRDefault="00B77759" w:rsidP="00B77759">
      <w:pPr>
        <w:tabs>
          <w:tab w:val="num" w:pos="1560"/>
        </w:tabs>
        <w:spacing w:before="0"/>
        <w:textAlignment w:val="baseline"/>
        <w:rPr>
          <w:rFonts w:eastAsia="Times New Roman"/>
          <w:i/>
          <w:noProof/>
          <w:szCs w:val="24"/>
        </w:rPr>
      </w:pPr>
      <w:r w:rsidRPr="00624565">
        <w:rPr>
          <w:b/>
          <w:i/>
          <w:noProof/>
        </w:rPr>
        <w:t>a)</w:t>
      </w:r>
      <w:r w:rsidRPr="00624565">
        <w:rPr>
          <w:i/>
          <w:noProof/>
        </w:rPr>
        <w:t xml:space="preserve"> Konsumenci spotykają się</w:t>
      </w:r>
      <w:r w:rsidR="003F3D2B" w:rsidRPr="00624565">
        <w:rPr>
          <w:i/>
          <w:noProof/>
        </w:rPr>
        <w:t xml:space="preserve"> z</w:t>
      </w:r>
      <w:r w:rsidR="003F3D2B">
        <w:rPr>
          <w:i/>
          <w:noProof/>
        </w:rPr>
        <w:t> </w:t>
      </w:r>
      <w:r w:rsidR="003F3D2B" w:rsidRPr="00624565">
        <w:rPr>
          <w:i/>
          <w:noProof/>
        </w:rPr>
        <w:t>pra</w:t>
      </w:r>
      <w:r w:rsidRPr="00624565">
        <w:rPr>
          <w:i/>
          <w:noProof/>
        </w:rPr>
        <w:t xml:space="preserve">ktyką składania niejasnych lub słabo uzasadnionych oświadczeń środowiskowych („pseudoekologiczny marketing”) </w:t>
      </w:r>
    </w:p>
    <w:p w14:paraId="368B6ADD" w14:textId="4A176EBC" w:rsidR="00D96629" w:rsidRPr="00624565" w:rsidRDefault="00D96629" w:rsidP="00D96629">
      <w:pPr>
        <w:tabs>
          <w:tab w:val="num" w:pos="567"/>
        </w:tabs>
        <w:rPr>
          <w:rFonts w:eastAsia="Times New Roman"/>
          <w:noProof/>
        </w:rPr>
      </w:pPr>
      <w:r w:rsidRPr="00624565">
        <w:rPr>
          <w:noProof/>
        </w:rPr>
        <w:t>We wniosku</w:t>
      </w:r>
      <w:r w:rsidR="003F3D2B" w:rsidRPr="00624565">
        <w:rPr>
          <w:noProof/>
        </w:rPr>
        <w:t xml:space="preserve"> w</w:t>
      </w:r>
      <w:r w:rsidR="003F3D2B">
        <w:rPr>
          <w:noProof/>
        </w:rPr>
        <w:t> </w:t>
      </w:r>
      <w:r w:rsidR="003F3D2B" w:rsidRPr="00624565">
        <w:rPr>
          <w:noProof/>
        </w:rPr>
        <w:t>spr</w:t>
      </w:r>
      <w:r w:rsidRPr="00624565">
        <w:rPr>
          <w:noProof/>
        </w:rPr>
        <w:t>awie wzmocnienia pozycji konsumentów</w:t>
      </w:r>
      <w:r w:rsidR="003F3D2B" w:rsidRPr="00624565">
        <w:rPr>
          <w:noProof/>
        </w:rPr>
        <w:t xml:space="preserve"> w</w:t>
      </w:r>
      <w:r w:rsidR="003F3D2B">
        <w:rPr>
          <w:noProof/>
        </w:rPr>
        <w:t> </w:t>
      </w:r>
      <w:r w:rsidR="003F3D2B" w:rsidRPr="00624565">
        <w:rPr>
          <w:noProof/>
        </w:rPr>
        <w:t>pro</w:t>
      </w:r>
      <w:r w:rsidRPr="00624565">
        <w:rPr>
          <w:noProof/>
        </w:rPr>
        <w:t xml:space="preserve">cesie transformacji ekologicznej </w:t>
      </w:r>
      <w:r w:rsidRPr="00624565">
        <w:rPr>
          <w:i/>
          <w:noProof/>
        </w:rPr>
        <w:t>oświadczenie środowiskowe</w:t>
      </w:r>
      <w:r w:rsidRPr="00624565">
        <w:rPr>
          <w:noProof/>
        </w:rPr>
        <w:t xml:space="preserve"> zdefiniowano jako</w:t>
      </w:r>
      <w:r w:rsidRPr="00624565">
        <w:rPr>
          <w:noProof/>
          <w:color w:val="000000"/>
          <w:bdr w:val="none" w:sz="0" w:space="0" w:color="auto" w:frame="1"/>
          <w:shd w:val="clear" w:color="auto" w:fill="FFFFFF"/>
        </w:rPr>
        <w:t>każdy komunikat lub oświadczenie – które nie są obowiązkowe na mocy prawa Unii ani prawa krajowego,</w:t>
      </w:r>
      <w:r w:rsidR="003F3D2B" w:rsidRPr="00624565">
        <w:rPr>
          <w:noProof/>
          <w:color w:val="000000"/>
          <w:bdr w:val="none" w:sz="0" w:space="0" w:color="auto" w:frame="1"/>
          <w:shd w:val="clear" w:color="auto" w:fill="FFFFFF"/>
        </w:rPr>
        <w:t xml:space="preserve"> w</w:t>
      </w:r>
      <w:r w:rsidR="003F3D2B">
        <w:rPr>
          <w:noProof/>
          <w:color w:val="000000"/>
          <w:bdr w:val="none" w:sz="0" w:space="0" w:color="auto" w:frame="1"/>
          <w:shd w:val="clear" w:color="auto" w:fill="FFFFFF"/>
        </w:rPr>
        <w:t> </w:t>
      </w:r>
      <w:r w:rsidR="003F3D2B" w:rsidRPr="00624565">
        <w:rPr>
          <w:noProof/>
          <w:color w:val="000000"/>
          <w:bdr w:val="none" w:sz="0" w:space="0" w:color="auto" w:frame="1"/>
          <w:shd w:val="clear" w:color="auto" w:fill="FFFFFF"/>
        </w:rPr>
        <w:t>tym</w:t>
      </w:r>
      <w:r w:rsidRPr="00624565">
        <w:rPr>
          <w:noProof/>
          <w:color w:val="000000"/>
          <w:bdr w:val="none" w:sz="0" w:space="0" w:color="auto" w:frame="1"/>
          <w:shd w:val="clear" w:color="auto" w:fill="FFFFFF"/>
        </w:rPr>
        <w:t xml:space="preserve"> oświadczenie</w:t>
      </w:r>
      <w:r w:rsidR="003F3D2B" w:rsidRPr="00624565">
        <w:rPr>
          <w:noProof/>
          <w:color w:val="000000"/>
          <w:bdr w:val="none" w:sz="0" w:space="0" w:color="auto" w:frame="1"/>
          <w:shd w:val="clear" w:color="auto" w:fill="FFFFFF"/>
        </w:rPr>
        <w:t xml:space="preserve"> w</w:t>
      </w:r>
      <w:r w:rsidR="003F3D2B">
        <w:rPr>
          <w:noProof/>
          <w:color w:val="000000"/>
          <w:bdr w:val="none" w:sz="0" w:space="0" w:color="auto" w:frame="1"/>
          <w:shd w:val="clear" w:color="auto" w:fill="FFFFFF"/>
        </w:rPr>
        <w:t> </w:t>
      </w:r>
      <w:r w:rsidR="003F3D2B" w:rsidRPr="00624565">
        <w:rPr>
          <w:noProof/>
          <w:color w:val="000000"/>
          <w:bdr w:val="none" w:sz="0" w:space="0" w:color="auto" w:frame="1"/>
          <w:shd w:val="clear" w:color="auto" w:fill="FFFFFF"/>
        </w:rPr>
        <w:t>pos</w:t>
      </w:r>
      <w:r w:rsidRPr="00624565">
        <w:rPr>
          <w:noProof/>
          <w:color w:val="000000"/>
          <w:bdr w:val="none" w:sz="0" w:space="0" w:color="auto" w:frame="1"/>
          <w:shd w:val="clear" w:color="auto" w:fill="FFFFFF"/>
        </w:rPr>
        <w:t>taci tekstu, ilustracji, graficzne lub symboliczne,</w:t>
      </w:r>
      <w:r w:rsidR="003F3D2B" w:rsidRPr="00624565">
        <w:rPr>
          <w:noProof/>
          <w:color w:val="000000"/>
          <w:bdr w:val="none" w:sz="0" w:space="0" w:color="auto" w:frame="1"/>
          <w:shd w:val="clear" w:color="auto" w:fill="FFFFFF"/>
        </w:rPr>
        <w:t xml:space="preserve"> w</w:t>
      </w:r>
      <w:r w:rsidR="003F3D2B">
        <w:rPr>
          <w:noProof/>
          <w:color w:val="000000"/>
          <w:bdr w:val="none" w:sz="0" w:space="0" w:color="auto" w:frame="1"/>
          <w:shd w:val="clear" w:color="auto" w:fill="FFFFFF"/>
        </w:rPr>
        <w:t> </w:t>
      </w:r>
      <w:r w:rsidR="003F3D2B" w:rsidRPr="00624565">
        <w:rPr>
          <w:noProof/>
          <w:color w:val="000000"/>
          <w:bdr w:val="none" w:sz="0" w:space="0" w:color="auto" w:frame="1"/>
          <w:shd w:val="clear" w:color="auto" w:fill="FFFFFF"/>
        </w:rPr>
        <w:t>dow</w:t>
      </w:r>
      <w:r w:rsidRPr="00624565">
        <w:rPr>
          <w:noProof/>
          <w:color w:val="000000"/>
          <w:bdr w:val="none" w:sz="0" w:space="0" w:color="auto" w:frame="1"/>
          <w:shd w:val="clear" w:color="auto" w:fill="FFFFFF"/>
        </w:rPr>
        <w:t>olnej formie,</w:t>
      </w:r>
      <w:r w:rsidR="003F3D2B" w:rsidRPr="00624565">
        <w:rPr>
          <w:noProof/>
          <w:color w:val="000000"/>
          <w:bdr w:val="none" w:sz="0" w:space="0" w:color="auto" w:frame="1"/>
          <w:shd w:val="clear" w:color="auto" w:fill="FFFFFF"/>
        </w:rPr>
        <w:t xml:space="preserve"> w</w:t>
      </w:r>
      <w:r w:rsidR="003F3D2B">
        <w:rPr>
          <w:noProof/>
          <w:color w:val="000000"/>
          <w:bdr w:val="none" w:sz="0" w:space="0" w:color="auto" w:frame="1"/>
          <w:shd w:val="clear" w:color="auto" w:fill="FFFFFF"/>
        </w:rPr>
        <w:t> </w:t>
      </w:r>
      <w:r w:rsidR="003F3D2B" w:rsidRPr="00624565">
        <w:rPr>
          <w:noProof/>
          <w:color w:val="000000"/>
          <w:bdr w:val="none" w:sz="0" w:space="0" w:color="auto" w:frame="1"/>
          <w:shd w:val="clear" w:color="auto" w:fill="FFFFFF"/>
        </w:rPr>
        <w:t>tym</w:t>
      </w:r>
      <w:r w:rsidRPr="00624565">
        <w:rPr>
          <w:noProof/>
          <w:color w:val="000000"/>
          <w:bdr w:val="none" w:sz="0" w:space="0" w:color="auto" w:frame="1"/>
          <w:shd w:val="clear" w:color="auto" w:fill="FFFFFF"/>
        </w:rPr>
        <w:t xml:space="preserve"> oznakowania, nazwy handlowe, nazwy przedsiębiorstw lub nazwy produktów,</w:t>
      </w:r>
      <w:r w:rsidR="003F3D2B" w:rsidRPr="00624565">
        <w:rPr>
          <w:noProof/>
          <w:color w:val="000000"/>
          <w:bdr w:val="none" w:sz="0" w:space="0" w:color="auto" w:frame="1"/>
          <w:shd w:val="clear" w:color="auto" w:fill="FFFFFF"/>
        </w:rPr>
        <w:t xml:space="preserve"> w</w:t>
      </w:r>
      <w:r w:rsidR="003F3D2B">
        <w:rPr>
          <w:noProof/>
          <w:color w:val="000000"/>
          <w:bdr w:val="none" w:sz="0" w:space="0" w:color="auto" w:frame="1"/>
          <w:shd w:val="clear" w:color="auto" w:fill="FFFFFF"/>
        </w:rPr>
        <w:t> </w:t>
      </w:r>
      <w:r w:rsidR="003F3D2B" w:rsidRPr="00624565">
        <w:rPr>
          <w:noProof/>
          <w:color w:val="000000"/>
          <w:bdr w:val="none" w:sz="0" w:space="0" w:color="auto" w:frame="1"/>
          <w:shd w:val="clear" w:color="auto" w:fill="FFFFFF"/>
        </w:rPr>
        <w:t>kon</w:t>
      </w:r>
      <w:r w:rsidRPr="00624565">
        <w:rPr>
          <w:noProof/>
          <w:color w:val="000000"/>
          <w:bdr w:val="none" w:sz="0" w:space="0" w:color="auto" w:frame="1"/>
          <w:shd w:val="clear" w:color="auto" w:fill="FFFFFF"/>
        </w:rPr>
        <w:t>tekście komunikacji handlowej – które stwierdza lub sugeruje, że produkt lub przedsiębiorca ma pozytywny wpływ na środowisko lub nie ma na nie żadnego wpływu, jest mniej szkodliwy dla środowiska niż, odpowiednio, inne produkty lub przedsiębiorcy, lub że oddziaływanie produktu lub przedsiębiorcy poprawiło się</w:t>
      </w:r>
      <w:r w:rsidR="003F3D2B" w:rsidRPr="00624565">
        <w:rPr>
          <w:noProof/>
          <w:color w:val="000000"/>
          <w:bdr w:val="none" w:sz="0" w:space="0" w:color="auto" w:frame="1"/>
          <w:shd w:val="clear" w:color="auto" w:fill="FFFFFF"/>
        </w:rPr>
        <w:t xml:space="preserve"> z</w:t>
      </w:r>
      <w:r w:rsidR="003F3D2B">
        <w:rPr>
          <w:noProof/>
          <w:color w:val="000000"/>
          <w:bdr w:val="none" w:sz="0" w:space="0" w:color="auto" w:frame="1"/>
          <w:shd w:val="clear" w:color="auto" w:fill="FFFFFF"/>
        </w:rPr>
        <w:t> </w:t>
      </w:r>
      <w:r w:rsidR="003F3D2B" w:rsidRPr="00624565">
        <w:rPr>
          <w:noProof/>
          <w:color w:val="000000"/>
          <w:bdr w:val="none" w:sz="0" w:space="0" w:color="auto" w:frame="1"/>
          <w:shd w:val="clear" w:color="auto" w:fill="FFFFFF"/>
        </w:rPr>
        <w:t>cza</w:t>
      </w:r>
      <w:r w:rsidRPr="00624565">
        <w:rPr>
          <w:noProof/>
          <w:color w:val="000000"/>
          <w:bdr w:val="none" w:sz="0" w:space="0" w:color="auto" w:frame="1"/>
          <w:shd w:val="clear" w:color="auto" w:fill="FFFFFF"/>
        </w:rPr>
        <w:t>sem</w:t>
      </w:r>
      <w:r w:rsidRPr="00624565">
        <w:rPr>
          <w:noProof/>
          <w:color w:val="000000"/>
          <w:bdr w:val="none" w:sz="0" w:space="0" w:color="auto" w:frame="1"/>
          <w:shd w:val="clear" w:color="auto" w:fill="FFFFFF"/>
          <w:vertAlign w:val="superscript"/>
        </w:rPr>
        <w:t>1</w:t>
      </w:r>
      <w:r w:rsidRPr="00624565">
        <w:rPr>
          <w:noProof/>
          <w:color w:val="000000"/>
          <w:bdr w:val="none" w:sz="0" w:space="0" w:color="auto" w:frame="1"/>
          <w:shd w:val="clear" w:color="auto" w:fill="FFFFFF"/>
        </w:rPr>
        <w:t>.</w:t>
      </w:r>
    </w:p>
    <w:p w14:paraId="1D8F606D" w14:textId="1782FDC5" w:rsidR="00D96629" w:rsidRPr="00624565" w:rsidRDefault="00D96629" w:rsidP="00D96629">
      <w:pPr>
        <w:tabs>
          <w:tab w:val="num" w:pos="567"/>
        </w:tabs>
        <w:rPr>
          <w:rFonts w:eastAsia="Times New Roman"/>
          <w:noProof/>
        </w:rPr>
      </w:pPr>
      <w:r w:rsidRPr="00624565">
        <w:rPr>
          <w:noProof/>
        </w:rPr>
        <w:t>Komisja przeprowadziła dwa spisy oświadczeń środowiskowych: jeden</w:t>
      </w:r>
      <w:r w:rsidR="003F3D2B" w:rsidRPr="00624565">
        <w:rPr>
          <w:noProof/>
        </w:rPr>
        <w:t xml:space="preserve"> w</w:t>
      </w:r>
      <w:r w:rsidR="003F3D2B">
        <w:rPr>
          <w:noProof/>
        </w:rPr>
        <w:t> </w:t>
      </w:r>
      <w:r w:rsidR="003F3D2B" w:rsidRPr="00624565">
        <w:rPr>
          <w:noProof/>
        </w:rPr>
        <w:t>2</w:t>
      </w:r>
      <w:r w:rsidRPr="00624565">
        <w:rPr>
          <w:noProof/>
        </w:rPr>
        <w:t>0</w:t>
      </w:r>
      <w:r w:rsidRPr="003F3D2B">
        <w:rPr>
          <w:noProof/>
        </w:rPr>
        <w:t>14</w:t>
      </w:r>
      <w:r w:rsidR="003F3D2B" w:rsidRPr="003F3D2B">
        <w:rPr>
          <w:noProof/>
        </w:rPr>
        <w:t> </w:t>
      </w:r>
      <w:r w:rsidRPr="003F3D2B">
        <w:rPr>
          <w:noProof/>
        </w:rPr>
        <w:t>r.</w:t>
      </w:r>
      <w:r w:rsidRPr="00624565">
        <w:rPr>
          <w:rStyle w:val="FootnoteReference"/>
          <w:noProof/>
        </w:rPr>
        <w:footnoteReference w:id="17"/>
      </w:r>
      <w:r w:rsidRPr="00624565">
        <w:rPr>
          <w:noProof/>
        </w:rPr>
        <w:t>,</w:t>
      </w:r>
      <w:r w:rsidR="003F3D2B" w:rsidRPr="00624565">
        <w:rPr>
          <w:noProof/>
        </w:rPr>
        <w:t xml:space="preserve"> a</w:t>
      </w:r>
      <w:r w:rsidR="003F3D2B">
        <w:rPr>
          <w:noProof/>
        </w:rPr>
        <w:t> </w:t>
      </w:r>
      <w:r w:rsidR="003F3D2B" w:rsidRPr="00624565">
        <w:rPr>
          <w:noProof/>
        </w:rPr>
        <w:t>dru</w:t>
      </w:r>
      <w:r w:rsidRPr="00624565">
        <w:rPr>
          <w:noProof/>
        </w:rPr>
        <w:t>gi</w:t>
      </w:r>
      <w:r w:rsidR="003F3D2B" w:rsidRPr="00624565">
        <w:rPr>
          <w:noProof/>
        </w:rPr>
        <w:t xml:space="preserve"> w</w:t>
      </w:r>
      <w:r w:rsidR="003F3D2B">
        <w:rPr>
          <w:noProof/>
        </w:rPr>
        <w:t> </w:t>
      </w:r>
      <w:r w:rsidR="003F3D2B" w:rsidRPr="00624565">
        <w:rPr>
          <w:noProof/>
        </w:rPr>
        <w:t>2</w:t>
      </w:r>
      <w:r w:rsidRPr="00624565">
        <w:rPr>
          <w:noProof/>
        </w:rPr>
        <w:t>0</w:t>
      </w:r>
      <w:r w:rsidRPr="003F3D2B">
        <w:rPr>
          <w:noProof/>
        </w:rPr>
        <w:t>20</w:t>
      </w:r>
      <w:r w:rsidR="003F3D2B" w:rsidRPr="003F3D2B">
        <w:rPr>
          <w:noProof/>
        </w:rPr>
        <w:t> </w:t>
      </w:r>
      <w:r w:rsidRPr="003F3D2B">
        <w:rPr>
          <w:noProof/>
        </w:rPr>
        <w:t>r.</w:t>
      </w:r>
      <w:r w:rsidRPr="00624565">
        <w:rPr>
          <w:rStyle w:val="FootnoteReference"/>
          <w:noProof/>
        </w:rPr>
        <w:footnoteReference w:id="18"/>
      </w:r>
      <w:r w:rsidRPr="00624565">
        <w:rPr>
          <w:noProof/>
        </w:rPr>
        <w:t xml:space="preserve"> W badaniach tych przeanalizowano próbę 150 oświadczeń środowiskowych dotyczących szerokiego zakresu produktów pod kątem zgodności</w:t>
      </w:r>
      <w:r w:rsidR="003F3D2B" w:rsidRPr="00624565">
        <w:rPr>
          <w:noProof/>
        </w:rPr>
        <w:t xml:space="preserve"> z</w:t>
      </w:r>
      <w:r w:rsidR="003F3D2B">
        <w:rPr>
          <w:noProof/>
        </w:rPr>
        <w:t> </w:t>
      </w:r>
      <w:r w:rsidR="003F3D2B" w:rsidRPr="00624565">
        <w:rPr>
          <w:noProof/>
        </w:rPr>
        <w:t>zas</w:t>
      </w:r>
      <w:r w:rsidRPr="00624565">
        <w:rPr>
          <w:noProof/>
        </w:rPr>
        <w:t>adami określonymi</w:t>
      </w:r>
      <w:r w:rsidR="003F3D2B" w:rsidRPr="00624565">
        <w:rPr>
          <w:noProof/>
        </w:rPr>
        <w:t xml:space="preserve"> w</w:t>
      </w:r>
      <w:r w:rsidR="003F3D2B">
        <w:rPr>
          <w:noProof/>
        </w:rPr>
        <w:t> </w:t>
      </w:r>
      <w:r w:rsidR="003F3D2B" w:rsidRPr="00624565">
        <w:rPr>
          <w:noProof/>
        </w:rPr>
        <w:t>dyr</w:t>
      </w:r>
      <w:r w:rsidRPr="00624565">
        <w:rPr>
          <w:noProof/>
        </w:rPr>
        <w:t>ektywie</w:t>
      </w:r>
      <w:r w:rsidR="003F3D2B" w:rsidRPr="00624565">
        <w:rPr>
          <w:noProof/>
        </w:rPr>
        <w:t xml:space="preserve"> o</w:t>
      </w:r>
      <w:r w:rsidR="003F3D2B">
        <w:rPr>
          <w:noProof/>
        </w:rPr>
        <w:t> </w:t>
      </w:r>
      <w:r w:rsidR="003F3D2B" w:rsidRPr="00624565">
        <w:rPr>
          <w:noProof/>
        </w:rPr>
        <w:t>nie</w:t>
      </w:r>
      <w:r w:rsidRPr="00624565">
        <w:rPr>
          <w:noProof/>
        </w:rPr>
        <w:t>uczciwych praktykach handlowych</w:t>
      </w:r>
      <w:r w:rsidRPr="00624565">
        <w:rPr>
          <w:noProof/>
          <w:vertAlign w:val="superscript"/>
        </w:rPr>
        <w:t>2</w:t>
      </w:r>
      <w:r w:rsidRPr="00624565">
        <w:rPr>
          <w:noProof/>
        </w:rPr>
        <w:t>, tj. jasnością, jednoznacznością, dokładnością</w:t>
      </w:r>
      <w:r w:rsidR="003F3D2B" w:rsidRPr="00624565">
        <w:rPr>
          <w:noProof/>
        </w:rPr>
        <w:t xml:space="preserve"> i</w:t>
      </w:r>
      <w:r w:rsidR="003F3D2B">
        <w:rPr>
          <w:noProof/>
        </w:rPr>
        <w:t> </w:t>
      </w:r>
      <w:r w:rsidR="003F3D2B" w:rsidRPr="00624565">
        <w:rPr>
          <w:noProof/>
        </w:rPr>
        <w:t>wer</w:t>
      </w:r>
      <w:r w:rsidRPr="00624565">
        <w:rPr>
          <w:noProof/>
        </w:rPr>
        <w:t>yfikowalnością</w:t>
      </w:r>
      <w:r w:rsidR="003F3D2B" w:rsidRPr="00624565">
        <w:rPr>
          <w:noProof/>
        </w:rPr>
        <w:t>. W</w:t>
      </w:r>
      <w:r w:rsidR="003F3D2B">
        <w:rPr>
          <w:noProof/>
        </w:rPr>
        <w:t> </w:t>
      </w:r>
      <w:r w:rsidR="003F3D2B" w:rsidRPr="00624565">
        <w:rPr>
          <w:noProof/>
        </w:rPr>
        <w:t>bad</w:t>
      </w:r>
      <w:r w:rsidRPr="00624565">
        <w:rPr>
          <w:noProof/>
        </w:rPr>
        <w:t>aniu</w:t>
      </w:r>
      <w:r w:rsidR="003F3D2B" w:rsidRPr="00624565">
        <w:rPr>
          <w:noProof/>
        </w:rPr>
        <w:t xml:space="preserve"> z</w:t>
      </w:r>
      <w:r w:rsidR="003F3D2B">
        <w:rPr>
          <w:noProof/>
        </w:rPr>
        <w:t> </w:t>
      </w:r>
      <w:r w:rsidR="003F3D2B" w:rsidRPr="00624565">
        <w:rPr>
          <w:noProof/>
        </w:rPr>
        <w:t>2</w:t>
      </w:r>
      <w:r w:rsidRPr="00624565">
        <w:rPr>
          <w:noProof/>
        </w:rPr>
        <w:t>0</w:t>
      </w:r>
      <w:r w:rsidRPr="003F3D2B">
        <w:rPr>
          <w:noProof/>
        </w:rPr>
        <w:t>20</w:t>
      </w:r>
      <w:r w:rsidR="003F3D2B" w:rsidRPr="003F3D2B">
        <w:rPr>
          <w:noProof/>
        </w:rPr>
        <w:t> </w:t>
      </w:r>
      <w:r w:rsidRPr="003F3D2B">
        <w:rPr>
          <w:noProof/>
        </w:rPr>
        <w:t>r.</w:t>
      </w:r>
      <w:r w:rsidRPr="00624565">
        <w:rPr>
          <w:noProof/>
        </w:rPr>
        <w:t xml:space="preserve"> stwierdzono, że </w:t>
      </w:r>
      <w:r w:rsidRPr="00624565">
        <w:rPr>
          <w:b/>
          <w:noProof/>
        </w:rPr>
        <w:t>znaczna część oświadczeń środowiskowych (53,</w:t>
      </w:r>
      <w:r w:rsidRPr="003F3D2B">
        <w:rPr>
          <w:b/>
          <w:noProof/>
        </w:rPr>
        <w:t>3</w:t>
      </w:r>
      <w:r w:rsidR="003F3D2B" w:rsidRPr="003F3D2B">
        <w:rPr>
          <w:b/>
          <w:noProof/>
        </w:rPr>
        <w:t> </w:t>
      </w:r>
      <w:r w:rsidRPr="003F3D2B">
        <w:rPr>
          <w:b/>
          <w:noProof/>
        </w:rPr>
        <w:t>%</w:t>
      </w:r>
      <w:r w:rsidRPr="00624565">
        <w:rPr>
          <w:b/>
          <w:noProof/>
        </w:rPr>
        <w:t>) zawiera niejasne, wprowadzające</w:t>
      </w:r>
      <w:r w:rsidR="003F3D2B" w:rsidRPr="00624565">
        <w:rPr>
          <w:b/>
          <w:noProof/>
        </w:rPr>
        <w:t xml:space="preserve"> w</w:t>
      </w:r>
      <w:r w:rsidR="003F3D2B">
        <w:rPr>
          <w:b/>
          <w:noProof/>
        </w:rPr>
        <w:t> </w:t>
      </w:r>
      <w:r w:rsidR="003F3D2B" w:rsidRPr="00624565">
        <w:rPr>
          <w:b/>
          <w:noProof/>
        </w:rPr>
        <w:t>błą</w:t>
      </w:r>
      <w:r w:rsidRPr="00624565">
        <w:rPr>
          <w:b/>
          <w:noProof/>
        </w:rPr>
        <w:t>d lub bezpodstawne informacje</w:t>
      </w:r>
      <w:r w:rsidRPr="00624565">
        <w:rPr>
          <w:noProof/>
        </w:rPr>
        <w:t xml:space="preserve"> na temat właściwości środowiskowych produktów</w:t>
      </w:r>
      <w:r w:rsidR="003F3D2B" w:rsidRPr="00624565">
        <w:rPr>
          <w:noProof/>
        </w:rPr>
        <w:t xml:space="preserve"> w</w:t>
      </w:r>
      <w:r w:rsidR="003F3D2B">
        <w:rPr>
          <w:noProof/>
        </w:rPr>
        <w:t> </w:t>
      </w:r>
      <w:r w:rsidR="003F3D2B" w:rsidRPr="00624565">
        <w:rPr>
          <w:noProof/>
        </w:rPr>
        <w:t>cał</w:t>
      </w:r>
      <w:r w:rsidRPr="00624565">
        <w:rPr>
          <w:noProof/>
        </w:rPr>
        <w:t>ej UE</w:t>
      </w:r>
      <w:r w:rsidR="003F3D2B" w:rsidRPr="00624565">
        <w:rPr>
          <w:noProof/>
        </w:rPr>
        <w:t xml:space="preserve"> i</w:t>
      </w:r>
      <w:r w:rsidR="003F3D2B">
        <w:rPr>
          <w:noProof/>
        </w:rPr>
        <w:t> </w:t>
      </w:r>
      <w:r w:rsidR="003F3D2B" w:rsidRPr="00624565">
        <w:rPr>
          <w:noProof/>
        </w:rPr>
        <w:t>w</w:t>
      </w:r>
      <w:r w:rsidR="003F3D2B">
        <w:rPr>
          <w:noProof/>
        </w:rPr>
        <w:t> </w:t>
      </w:r>
      <w:r w:rsidR="003F3D2B" w:rsidRPr="00624565">
        <w:rPr>
          <w:noProof/>
        </w:rPr>
        <w:t>wie</w:t>
      </w:r>
      <w:r w:rsidRPr="00624565">
        <w:rPr>
          <w:noProof/>
        </w:rPr>
        <w:t>lu kategoriach produktów</w:t>
      </w:r>
      <w:r w:rsidR="003F3D2B" w:rsidRPr="00624565">
        <w:rPr>
          <w:noProof/>
        </w:rPr>
        <w:t>. W</w:t>
      </w:r>
      <w:r w:rsidR="003F3D2B">
        <w:rPr>
          <w:noProof/>
        </w:rPr>
        <w:t> </w:t>
      </w:r>
      <w:r w:rsidR="003F3D2B" w:rsidRPr="00624565">
        <w:rPr>
          <w:noProof/>
        </w:rPr>
        <w:t>ram</w:t>
      </w:r>
      <w:r w:rsidRPr="00624565">
        <w:rPr>
          <w:noProof/>
        </w:rPr>
        <w:t>ach spisu oświadczeń środowiskowych</w:t>
      </w:r>
      <w:r w:rsidR="003F3D2B" w:rsidRPr="00624565">
        <w:rPr>
          <w:noProof/>
        </w:rPr>
        <w:t xml:space="preserve"> w</w:t>
      </w:r>
      <w:r w:rsidR="003F3D2B">
        <w:rPr>
          <w:noProof/>
        </w:rPr>
        <w:t> </w:t>
      </w:r>
      <w:r w:rsidR="003F3D2B" w:rsidRPr="00624565">
        <w:rPr>
          <w:noProof/>
        </w:rPr>
        <w:t>2</w:t>
      </w:r>
      <w:r w:rsidRPr="00624565">
        <w:rPr>
          <w:noProof/>
        </w:rPr>
        <w:t>0</w:t>
      </w:r>
      <w:r w:rsidRPr="003F3D2B">
        <w:rPr>
          <w:noProof/>
        </w:rPr>
        <w:t>20</w:t>
      </w:r>
      <w:r w:rsidR="003F3D2B" w:rsidRPr="003F3D2B">
        <w:rPr>
          <w:noProof/>
        </w:rPr>
        <w:t> </w:t>
      </w:r>
      <w:r w:rsidRPr="003F3D2B">
        <w:rPr>
          <w:noProof/>
        </w:rPr>
        <w:t>r.</w:t>
      </w:r>
      <w:r w:rsidRPr="00624565">
        <w:rPr>
          <w:noProof/>
        </w:rPr>
        <w:t xml:space="preserve"> przeanalizowano również uzasadnienie takich oświadczeń pod kątem jasności, dokładności oraz stopnia,</w:t>
      </w:r>
      <w:r w:rsidR="003F3D2B" w:rsidRPr="00624565">
        <w:rPr>
          <w:noProof/>
        </w:rPr>
        <w:t xml:space="preserve"> w</w:t>
      </w:r>
      <w:r w:rsidR="003F3D2B">
        <w:rPr>
          <w:noProof/>
        </w:rPr>
        <w:t> </w:t>
      </w:r>
      <w:r w:rsidR="003F3D2B" w:rsidRPr="00624565">
        <w:rPr>
          <w:noProof/>
        </w:rPr>
        <w:t>jak</w:t>
      </w:r>
      <w:r w:rsidRPr="00624565">
        <w:rPr>
          <w:noProof/>
        </w:rPr>
        <w:t>im są one poparte dowodami, które można zweryfikować</w:t>
      </w:r>
      <w:r w:rsidR="003F3D2B" w:rsidRPr="00624565">
        <w:rPr>
          <w:noProof/>
        </w:rPr>
        <w:t>. Z</w:t>
      </w:r>
      <w:r w:rsidR="003F3D2B">
        <w:rPr>
          <w:noProof/>
        </w:rPr>
        <w:t> </w:t>
      </w:r>
      <w:r w:rsidR="003F3D2B" w:rsidRPr="00624565">
        <w:rPr>
          <w:noProof/>
        </w:rPr>
        <w:t>ana</w:t>
      </w:r>
      <w:r w:rsidRPr="00624565">
        <w:rPr>
          <w:noProof/>
        </w:rPr>
        <w:t xml:space="preserve">lizy wynika, że </w:t>
      </w:r>
      <w:r w:rsidRPr="00624565">
        <w:rPr>
          <w:b/>
          <w:noProof/>
        </w:rPr>
        <w:t>4</w:t>
      </w:r>
      <w:r w:rsidRPr="003F3D2B">
        <w:rPr>
          <w:b/>
          <w:noProof/>
        </w:rPr>
        <w:t>0</w:t>
      </w:r>
      <w:r w:rsidR="003F3D2B" w:rsidRPr="003F3D2B">
        <w:rPr>
          <w:b/>
          <w:noProof/>
        </w:rPr>
        <w:t> </w:t>
      </w:r>
      <w:r w:rsidRPr="003F3D2B">
        <w:rPr>
          <w:b/>
          <w:noProof/>
        </w:rPr>
        <w:t>%</w:t>
      </w:r>
      <w:r w:rsidRPr="00624565">
        <w:rPr>
          <w:b/>
          <w:noProof/>
        </w:rPr>
        <w:t xml:space="preserve"> oświadczeń było nieuzasadnionych</w:t>
      </w:r>
      <w:r w:rsidRPr="00624565">
        <w:rPr>
          <w:noProof/>
        </w:rPr>
        <w:t>.</w:t>
      </w:r>
    </w:p>
    <w:p w14:paraId="2072FBA8" w14:textId="61F4F3EF" w:rsidR="00D96629" w:rsidRPr="00624565" w:rsidRDefault="00D96629" w:rsidP="00D96629">
      <w:pPr>
        <w:tabs>
          <w:tab w:val="num" w:pos="567"/>
        </w:tabs>
        <w:rPr>
          <w:rFonts w:eastAsia="Times New Roman"/>
          <w:noProof/>
        </w:rPr>
      </w:pPr>
      <w:r w:rsidRPr="00624565">
        <w:rPr>
          <w:noProof/>
        </w:rPr>
        <w:t>Wyniki te zostały także potwierdzone</w:t>
      </w:r>
      <w:r w:rsidR="003F3D2B" w:rsidRPr="00624565">
        <w:rPr>
          <w:noProof/>
        </w:rPr>
        <w:t xml:space="preserve"> w</w:t>
      </w:r>
      <w:r w:rsidR="003F3D2B">
        <w:rPr>
          <w:noProof/>
        </w:rPr>
        <w:t> </w:t>
      </w:r>
      <w:r w:rsidR="003F3D2B" w:rsidRPr="00624565">
        <w:rPr>
          <w:noProof/>
        </w:rPr>
        <w:t>tra</w:t>
      </w:r>
      <w:r w:rsidRPr="00624565">
        <w:rPr>
          <w:noProof/>
        </w:rPr>
        <w:t>kcie akcji kontrolnej UE przeprowadzonej</w:t>
      </w:r>
      <w:r w:rsidR="003F3D2B" w:rsidRPr="00624565">
        <w:rPr>
          <w:noProof/>
        </w:rPr>
        <w:t xml:space="preserve"> w</w:t>
      </w:r>
      <w:r w:rsidR="003F3D2B">
        <w:rPr>
          <w:noProof/>
        </w:rPr>
        <w:t> </w:t>
      </w:r>
      <w:r w:rsidR="003F3D2B" w:rsidRPr="00624565">
        <w:rPr>
          <w:noProof/>
        </w:rPr>
        <w:t>lis</w:t>
      </w:r>
      <w:r w:rsidRPr="00624565">
        <w:rPr>
          <w:noProof/>
        </w:rPr>
        <w:t>topadzie 20</w:t>
      </w:r>
      <w:r w:rsidRPr="003F3D2B">
        <w:rPr>
          <w:noProof/>
        </w:rPr>
        <w:t>20</w:t>
      </w:r>
      <w:r w:rsidR="003F3D2B" w:rsidRPr="003F3D2B">
        <w:rPr>
          <w:noProof/>
        </w:rPr>
        <w:t> </w:t>
      </w:r>
      <w:r w:rsidRPr="003F3D2B">
        <w:rPr>
          <w:noProof/>
        </w:rPr>
        <w:t>r.</w:t>
      </w:r>
      <w:r w:rsidRPr="00624565">
        <w:rPr>
          <w:noProof/>
        </w:rPr>
        <w:t xml:space="preserve"> przez organy współpracy</w:t>
      </w:r>
      <w:r w:rsidR="003F3D2B" w:rsidRPr="00624565">
        <w:rPr>
          <w:noProof/>
        </w:rPr>
        <w:t xml:space="preserve"> w</w:t>
      </w:r>
      <w:r w:rsidR="003F3D2B">
        <w:rPr>
          <w:noProof/>
        </w:rPr>
        <w:t> </w:t>
      </w:r>
      <w:r w:rsidR="003F3D2B" w:rsidRPr="00624565">
        <w:rPr>
          <w:noProof/>
        </w:rPr>
        <w:t>zak</w:t>
      </w:r>
      <w:r w:rsidRPr="00624565">
        <w:rPr>
          <w:noProof/>
        </w:rPr>
        <w:t>resie ochrony konsumentów</w:t>
      </w:r>
      <w:r w:rsidRPr="00624565">
        <w:rPr>
          <w:rStyle w:val="FootnoteReference"/>
          <w:noProof/>
        </w:rPr>
        <w:footnoteReference w:id="19"/>
      </w:r>
      <w:r w:rsidR="003F3D2B" w:rsidRPr="00624565">
        <w:rPr>
          <w:noProof/>
        </w:rPr>
        <w:t xml:space="preserve">. </w:t>
      </w:r>
      <w:r w:rsidR="003F3D2B" w:rsidRPr="00624565">
        <w:rPr>
          <w:b/>
          <w:noProof/>
        </w:rPr>
        <w:t>W</w:t>
      </w:r>
      <w:r w:rsidR="003F3D2B">
        <w:rPr>
          <w:noProof/>
        </w:rPr>
        <w:t> </w:t>
      </w:r>
      <w:r w:rsidR="003F3D2B" w:rsidRPr="00624565">
        <w:rPr>
          <w:b/>
          <w:noProof/>
        </w:rPr>
        <w:t>prz</w:t>
      </w:r>
      <w:r w:rsidRPr="00624565">
        <w:rPr>
          <w:b/>
          <w:noProof/>
        </w:rPr>
        <w:t>ypadku ponad połowy (57,</w:t>
      </w:r>
      <w:r w:rsidRPr="003F3D2B">
        <w:rPr>
          <w:b/>
          <w:noProof/>
        </w:rPr>
        <w:t>5</w:t>
      </w:r>
      <w:r w:rsidR="003F3D2B" w:rsidRPr="003F3D2B">
        <w:rPr>
          <w:b/>
          <w:noProof/>
        </w:rPr>
        <w:t> </w:t>
      </w:r>
      <w:r w:rsidRPr="003F3D2B">
        <w:rPr>
          <w:b/>
          <w:noProof/>
        </w:rPr>
        <w:t>%</w:t>
      </w:r>
      <w:r w:rsidRPr="00624565">
        <w:rPr>
          <w:b/>
          <w:noProof/>
        </w:rPr>
        <w:t>)</w:t>
      </w:r>
      <w:r w:rsidR="003F3D2B" w:rsidRPr="00624565">
        <w:rPr>
          <w:noProof/>
        </w:rPr>
        <w:t xml:space="preserve"> z</w:t>
      </w:r>
      <w:r w:rsidR="003F3D2B">
        <w:rPr>
          <w:noProof/>
        </w:rPr>
        <w:t> </w:t>
      </w:r>
      <w:r w:rsidR="003F3D2B" w:rsidRPr="00624565">
        <w:rPr>
          <w:noProof/>
        </w:rPr>
        <w:t>3</w:t>
      </w:r>
      <w:r w:rsidRPr="00624565">
        <w:rPr>
          <w:noProof/>
        </w:rPr>
        <w:t xml:space="preserve">44 oświadczeń dotyczących zrównoważonego rozwoju, które poddano ocenie, organy uznały, że </w:t>
      </w:r>
      <w:r w:rsidRPr="00624565">
        <w:rPr>
          <w:b/>
          <w:noProof/>
        </w:rPr>
        <w:t>przedsiębiorca nie przedstawił wystarczających elementów, które pozwoliłyby na ocenę prawdziwości oświadczenia</w:t>
      </w:r>
      <w:r w:rsidR="003F3D2B" w:rsidRPr="00624565">
        <w:rPr>
          <w:noProof/>
        </w:rPr>
        <w:t>. W</w:t>
      </w:r>
      <w:r w:rsidR="003F3D2B">
        <w:rPr>
          <w:noProof/>
        </w:rPr>
        <w:t> </w:t>
      </w:r>
      <w:r w:rsidR="003F3D2B" w:rsidRPr="00624565">
        <w:rPr>
          <w:noProof/>
        </w:rPr>
        <w:t>wie</w:t>
      </w:r>
      <w:r w:rsidRPr="00624565">
        <w:rPr>
          <w:noProof/>
        </w:rPr>
        <w:t>lu przypadkach organy miały trudności</w:t>
      </w:r>
      <w:r w:rsidR="003F3D2B" w:rsidRPr="00624565">
        <w:rPr>
          <w:noProof/>
        </w:rPr>
        <w:t xml:space="preserve"> z</w:t>
      </w:r>
      <w:r w:rsidR="003F3D2B">
        <w:rPr>
          <w:noProof/>
        </w:rPr>
        <w:t> </w:t>
      </w:r>
      <w:r w:rsidR="003F3D2B" w:rsidRPr="00624565">
        <w:rPr>
          <w:noProof/>
        </w:rPr>
        <w:t>ust</w:t>
      </w:r>
      <w:r w:rsidRPr="00624565">
        <w:rPr>
          <w:noProof/>
        </w:rPr>
        <w:t>aleniem, czy oświadczenie dotyczyło całego produktu, czy tylko jednego</w:t>
      </w:r>
      <w:r w:rsidR="003F3D2B" w:rsidRPr="00624565">
        <w:rPr>
          <w:noProof/>
        </w:rPr>
        <w:t xml:space="preserve"> z</w:t>
      </w:r>
      <w:r w:rsidR="003F3D2B">
        <w:rPr>
          <w:noProof/>
        </w:rPr>
        <w:t> </w:t>
      </w:r>
      <w:r w:rsidR="003F3D2B" w:rsidRPr="00624565">
        <w:rPr>
          <w:noProof/>
        </w:rPr>
        <w:t>jeg</w:t>
      </w:r>
      <w:r w:rsidRPr="00624565">
        <w:rPr>
          <w:noProof/>
        </w:rPr>
        <w:t>o elementów (5</w:t>
      </w:r>
      <w:r w:rsidRPr="003F3D2B">
        <w:rPr>
          <w:noProof/>
        </w:rPr>
        <w:t>0</w:t>
      </w:r>
      <w:r w:rsidR="003F3D2B" w:rsidRPr="003F3D2B">
        <w:rPr>
          <w:noProof/>
        </w:rPr>
        <w:t> </w:t>
      </w:r>
      <w:r w:rsidRPr="003F3D2B">
        <w:rPr>
          <w:noProof/>
        </w:rPr>
        <w:t>%</w:t>
      </w:r>
      <w:r w:rsidRPr="00624565">
        <w:rPr>
          <w:noProof/>
        </w:rPr>
        <w:t>), czy dotyczyło przedsiębiorstwa, czy tylko niektórych produktów (3</w:t>
      </w:r>
      <w:r w:rsidRPr="003F3D2B">
        <w:rPr>
          <w:noProof/>
        </w:rPr>
        <w:t>6</w:t>
      </w:r>
      <w:r w:rsidR="003F3D2B" w:rsidRPr="003F3D2B">
        <w:rPr>
          <w:noProof/>
        </w:rPr>
        <w:t> </w:t>
      </w:r>
      <w:r w:rsidRPr="003F3D2B">
        <w:rPr>
          <w:noProof/>
        </w:rPr>
        <w:t>%</w:t>
      </w:r>
      <w:r w:rsidRPr="00624565">
        <w:rPr>
          <w:noProof/>
        </w:rPr>
        <w:t>) oraz którego etapu cyklu życia produktów dotyczyło (7</w:t>
      </w:r>
      <w:r w:rsidRPr="003F3D2B">
        <w:rPr>
          <w:noProof/>
        </w:rPr>
        <w:t>5</w:t>
      </w:r>
      <w:r w:rsidR="003F3D2B" w:rsidRPr="003F3D2B">
        <w:rPr>
          <w:noProof/>
        </w:rPr>
        <w:t> </w:t>
      </w:r>
      <w:r w:rsidRPr="003F3D2B">
        <w:rPr>
          <w:noProof/>
        </w:rPr>
        <w:t>%</w:t>
      </w:r>
      <w:r w:rsidRPr="00624565">
        <w:rPr>
          <w:noProof/>
        </w:rPr>
        <w:t>)</w:t>
      </w:r>
      <w:r w:rsidRPr="00624565">
        <w:rPr>
          <w:rStyle w:val="FootnoteReference"/>
          <w:noProof/>
        </w:rPr>
        <w:footnoteReference w:id="20"/>
      </w:r>
      <w:r w:rsidRPr="00624565">
        <w:rPr>
          <w:noProof/>
        </w:rPr>
        <w:t xml:space="preserve">. </w:t>
      </w:r>
    </w:p>
    <w:p w14:paraId="762D2F80" w14:textId="1C9378A8" w:rsidR="00D96629" w:rsidRPr="00624565" w:rsidRDefault="00D96629" w:rsidP="00D96629">
      <w:pPr>
        <w:tabs>
          <w:tab w:val="num" w:pos="567"/>
        </w:tabs>
        <w:rPr>
          <w:rFonts w:eastAsia="Times New Roman"/>
          <w:noProof/>
        </w:rPr>
      </w:pPr>
      <w:r w:rsidRPr="00624565">
        <w:rPr>
          <w:noProof/>
        </w:rPr>
        <w:t>Z zauważalnym wyjątkiem przedstawicieli branży, większość zainteresowanych stron,</w:t>
      </w:r>
      <w:r w:rsidR="003F3D2B" w:rsidRPr="00624565">
        <w:rPr>
          <w:noProof/>
        </w:rPr>
        <w:t xml:space="preserve"> z</w:t>
      </w:r>
      <w:r w:rsidR="003F3D2B">
        <w:rPr>
          <w:noProof/>
        </w:rPr>
        <w:t> </w:t>
      </w:r>
      <w:r w:rsidR="003F3D2B" w:rsidRPr="00624565">
        <w:rPr>
          <w:noProof/>
        </w:rPr>
        <w:t>któ</w:t>
      </w:r>
      <w:r w:rsidRPr="00624565">
        <w:rPr>
          <w:noProof/>
        </w:rPr>
        <w:t xml:space="preserve">rymi przeprowadzono konsultacje, zgodziła się ponadto, że </w:t>
      </w:r>
      <w:r w:rsidRPr="00624565">
        <w:rPr>
          <w:b/>
          <w:noProof/>
        </w:rPr>
        <w:t>pseudoekologiczny marketing stanowi problem</w:t>
      </w:r>
      <w:r w:rsidRPr="00624565">
        <w:rPr>
          <w:noProof/>
        </w:rPr>
        <w:t>. Ponad połowa</w:t>
      </w:r>
      <w:r w:rsidR="003F3D2B" w:rsidRPr="00624565">
        <w:rPr>
          <w:noProof/>
        </w:rPr>
        <w:t xml:space="preserve"> z</w:t>
      </w:r>
      <w:r w:rsidR="003F3D2B">
        <w:rPr>
          <w:noProof/>
        </w:rPr>
        <w:t> </w:t>
      </w:r>
      <w:r w:rsidR="003F3D2B" w:rsidRPr="00624565">
        <w:rPr>
          <w:noProof/>
        </w:rPr>
        <w:t>nic</w:t>
      </w:r>
      <w:r w:rsidRPr="00624565">
        <w:rPr>
          <w:noProof/>
        </w:rPr>
        <w:t>h zetknęła się</w:t>
      </w:r>
      <w:r w:rsidR="003F3D2B" w:rsidRPr="00624565">
        <w:rPr>
          <w:noProof/>
        </w:rPr>
        <w:t xml:space="preserve"> z</w:t>
      </w:r>
      <w:r w:rsidR="003F3D2B">
        <w:rPr>
          <w:noProof/>
        </w:rPr>
        <w:t> </w:t>
      </w:r>
      <w:r w:rsidR="003F3D2B" w:rsidRPr="00624565">
        <w:rPr>
          <w:noProof/>
        </w:rPr>
        <w:t>wpr</w:t>
      </w:r>
      <w:r w:rsidRPr="00624565">
        <w:rPr>
          <w:noProof/>
        </w:rPr>
        <w:t>owadzającymi</w:t>
      </w:r>
      <w:r w:rsidR="003F3D2B" w:rsidRPr="00624565">
        <w:rPr>
          <w:noProof/>
        </w:rPr>
        <w:t xml:space="preserve"> w</w:t>
      </w:r>
      <w:r w:rsidR="003F3D2B">
        <w:rPr>
          <w:noProof/>
        </w:rPr>
        <w:t> </w:t>
      </w:r>
      <w:r w:rsidR="003F3D2B" w:rsidRPr="00624565">
        <w:rPr>
          <w:noProof/>
        </w:rPr>
        <w:t>błą</w:t>
      </w:r>
      <w:r w:rsidRPr="00624565">
        <w:rPr>
          <w:noProof/>
        </w:rPr>
        <w:t>d oświadczeniami</w:t>
      </w:r>
      <w:r w:rsidR="003F3D2B" w:rsidRPr="00624565">
        <w:rPr>
          <w:noProof/>
        </w:rPr>
        <w:t xml:space="preserve"> i</w:t>
      </w:r>
      <w:r w:rsidR="003F3D2B">
        <w:rPr>
          <w:noProof/>
        </w:rPr>
        <w:t> </w:t>
      </w:r>
      <w:r w:rsidR="003F3D2B" w:rsidRPr="00624565">
        <w:rPr>
          <w:noProof/>
        </w:rPr>
        <w:t>wyr</w:t>
      </w:r>
      <w:r w:rsidRPr="00624565">
        <w:rPr>
          <w:noProof/>
        </w:rPr>
        <w:t>aziła mniejsze zaufanie do deklaracji środowiskowych</w:t>
      </w:r>
      <w:r w:rsidR="003F3D2B" w:rsidRPr="00624565">
        <w:rPr>
          <w:noProof/>
        </w:rPr>
        <w:t xml:space="preserve"> i</w:t>
      </w:r>
      <w:r w:rsidR="003F3D2B">
        <w:rPr>
          <w:noProof/>
        </w:rPr>
        <w:t> </w:t>
      </w:r>
      <w:r w:rsidR="003F3D2B" w:rsidRPr="00624565">
        <w:rPr>
          <w:noProof/>
        </w:rPr>
        <w:t>log</w:t>
      </w:r>
      <w:r w:rsidRPr="00624565">
        <w:rPr>
          <w:noProof/>
        </w:rPr>
        <w:t>o ekologicznymi zarządzanymi przez przedsiębiorstwa lub podmioty prywatne</w:t>
      </w:r>
      <w:r w:rsidRPr="00624565">
        <w:rPr>
          <w:noProof/>
          <w:vertAlign w:val="superscript"/>
        </w:rPr>
        <w:t>19</w:t>
      </w:r>
      <w:r w:rsidRPr="00624565">
        <w:rPr>
          <w:noProof/>
        </w:rPr>
        <w:t>. Większość respondentów ukierunkowanych konsultacji wskazała ponadto, że konsumenci nie są świadomi wpływu produktów na środowisko, ponieważ informacje te nie są przekazywane lub są niedostępne</w:t>
      </w:r>
      <w:r w:rsidRPr="00624565">
        <w:rPr>
          <w:rStyle w:val="FootnoteReference"/>
          <w:rFonts w:eastAsia="Times New Roman"/>
          <w:noProof/>
        </w:rPr>
        <w:footnoteReference w:id="21"/>
      </w:r>
      <w:r w:rsidRPr="00624565">
        <w:rPr>
          <w:noProof/>
        </w:rPr>
        <w:t>.</w:t>
      </w:r>
    </w:p>
    <w:p w14:paraId="3E8428AD" w14:textId="48604D7D" w:rsidR="00D96629" w:rsidRPr="00624565" w:rsidRDefault="00D96629" w:rsidP="00D96629">
      <w:pPr>
        <w:tabs>
          <w:tab w:val="num" w:pos="567"/>
        </w:tabs>
        <w:rPr>
          <w:rFonts w:eastAsia="Times New Roman"/>
          <w:noProof/>
        </w:rPr>
      </w:pPr>
      <w:r w:rsidRPr="00624565">
        <w:rPr>
          <w:noProof/>
        </w:rPr>
        <w:t xml:space="preserve">Co do zasady </w:t>
      </w:r>
      <w:r w:rsidRPr="00624565">
        <w:rPr>
          <w:b/>
          <w:noProof/>
        </w:rPr>
        <w:t>zaufanie konsumentów do oświadczeń środowiskowych jest dość niskie</w:t>
      </w:r>
      <w:r w:rsidRPr="00624565">
        <w:rPr>
          <w:noProof/>
        </w:rPr>
        <w:t>. Podczas otwartych konsultacji publicznych</w:t>
      </w:r>
      <w:r w:rsidR="003F3D2B" w:rsidRPr="00624565">
        <w:rPr>
          <w:noProof/>
        </w:rPr>
        <w:t xml:space="preserve"> w</w:t>
      </w:r>
      <w:r w:rsidR="003F3D2B">
        <w:rPr>
          <w:noProof/>
        </w:rPr>
        <w:t> </w:t>
      </w:r>
      <w:r w:rsidR="003F3D2B" w:rsidRPr="00624565">
        <w:rPr>
          <w:noProof/>
        </w:rPr>
        <w:t>2</w:t>
      </w:r>
      <w:r w:rsidRPr="00624565">
        <w:rPr>
          <w:noProof/>
        </w:rPr>
        <w:t>0</w:t>
      </w:r>
      <w:r w:rsidRPr="003F3D2B">
        <w:rPr>
          <w:noProof/>
        </w:rPr>
        <w:t>20</w:t>
      </w:r>
      <w:r w:rsidR="003F3D2B" w:rsidRPr="003F3D2B">
        <w:rPr>
          <w:noProof/>
        </w:rPr>
        <w:t> </w:t>
      </w:r>
      <w:r w:rsidRPr="003F3D2B">
        <w:rPr>
          <w:noProof/>
        </w:rPr>
        <w:t>r.</w:t>
      </w:r>
      <w:r w:rsidRPr="00624565">
        <w:rPr>
          <w:noProof/>
          <w:vertAlign w:val="superscript"/>
        </w:rPr>
        <w:t>15</w:t>
      </w:r>
      <w:r w:rsidRPr="00624565">
        <w:rPr>
          <w:noProof/>
        </w:rPr>
        <w:t>, ogół społeczeństwa nie zgodził się ze stwierdzeniem, że ma zaufanie do deklaracji środowiskowych dotyczących produktów (1,57/ 4,00)</w:t>
      </w:r>
      <w:r w:rsidRPr="00624565">
        <w:rPr>
          <w:rStyle w:val="FootnoteReference"/>
          <w:noProof/>
        </w:rPr>
        <w:footnoteReference w:id="22"/>
      </w:r>
      <w:r w:rsidRPr="00624565">
        <w:rPr>
          <w:noProof/>
        </w:rPr>
        <w:t>. Poziom zaufania był wyższy</w:t>
      </w:r>
      <w:r w:rsidR="003F3D2B" w:rsidRPr="00624565">
        <w:rPr>
          <w:noProof/>
        </w:rPr>
        <w:t xml:space="preserve"> w</w:t>
      </w:r>
      <w:r w:rsidR="003F3D2B">
        <w:rPr>
          <w:noProof/>
        </w:rPr>
        <w:t> </w:t>
      </w:r>
      <w:r w:rsidR="003F3D2B" w:rsidRPr="00624565">
        <w:rPr>
          <w:noProof/>
        </w:rPr>
        <w:t>prz</w:t>
      </w:r>
      <w:r w:rsidRPr="00624565">
        <w:rPr>
          <w:noProof/>
        </w:rPr>
        <w:t>ypadku oświadczeń dotyczących przedsiębiorców</w:t>
      </w:r>
      <w:r w:rsidRPr="00624565">
        <w:rPr>
          <w:rStyle w:val="FootnoteReference"/>
          <w:rFonts w:eastAsia="Times New Roman"/>
          <w:noProof/>
        </w:rPr>
        <w:footnoteReference w:id="23"/>
      </w:r>
      <w:r w:rsidRPr="00624565">
        <w:rPr>
          <w:noProof/>
        </w:rPr>
        <w:t xml:space="preserve">, jednak wciąż niski (2,25/4,00). </w:t>
      </w:r>
    </w:p>
    <w:p w14:paraId="6F195354" w14:textId="482D7B45" w:rsidR="00D96629" w:rsidRPr="00624565" w:rsidRDefault="00B77759" w:rsidP="00B77759">
      <w:pPr>
        <w:tabs>
          <w:tab w:val="num" w:pos="993"/>
        </w:tabs>
        <w:spacing w:before="0"/>
        <w:textAlignment w:val="baseline"/>
        <w:rPr>
          <w:rFonts w:eastAsia="Times New Roman"/>
          <w:i/>
          <w:noProof/>
          <w:szCs w:val="24"/>
        </w:rPr>
      </w:pPr>
      <w:r w:rsidRPr="00624565">
        <w:rPr>
          <w:b/>
          <w:i/>
          <w:noProof/>
        </w:rPr>
        <w:t>b)</w:t>
      </w:r>
      <w:r w:rsidRPr="00624565">
        <w:rPr>
          <w:i/>
          <w:noProof/>
        </w:rPr>
        <w:t xml:space="preserve"> Konsumenci mają do czynienia ze stosowaniem oznakowań dotyczących zrównoważonego charakteru, które nie zawsze są przejrzyste</w:t>
      </w:r>
      <w:r w:rsidR="003F3D2B" w:rsidRPr="00624565">
        <w:rPr>
          <w:i/>
          <w:noProof/>
        </w:rPr>
        <w:t xml:space="preserve"> i</w:t>
      </w:r>
      <w:r w:rsidR="003F3D2B">
        <w:rPr>
          <w:i/>
          <w:noProof/>
        </w:rPr>
        <w:t> </w:t>
      </w:r>
      <w:r w:rsidR="003F3D2B" w:rsidRPr="00624565">
        <w:rPr>
          <w:i/>
          <w:noProof/>
        </w:rPr>
        <w:t>wia</w:t>
      </w:r>
      <w:r w:rsidRPr="00624565">
        <w:rPr>
          <w:i/>
          <w:noProof/>
        </w:rPr>
        <w:t xml:space="preserve">rygodne </w:t>
      </w:r>
    </w:p>
    <w:p w14:paraId="399EBF98" w14:textId="22112C6A" w:rsidR="00D96629" w:rsidRPr="00624565" w:rsidRDefault="00D96629" w:rsidP="00D96629">
      <w:pPr>
        <w:tabs>
          <w:tab w:val="num" w:pos="567"/>
        </w:tabs>
        <w:rPr>
          <w:rFonts w:eastAsia="Times New Roman"/>
          <w:noProof/>
          <w:szCs w:val="24"/>
        </w:rPr>
      </w:pPr>
      <w:r w:rsidRPr="00624565">
        <w:rPr>
          <w:noProof/>
        </w:rPr>
        <w:t>Oznakowanie ekologiczne stanowi podzbiór oświadczeń środowiskowych. Oznakowanie to ma postać znaku zaufania, znaku jakości lub znaku równoważnego, który wyodrębnia</w:t>
      </w:r>
      <w:r w:rsidR="003F3D2B" w:rsidRPr="00624565">
        <w:rPr>
          <w:noProof/>
        </w:rPr>
        <w:t xml:space="preserve"> i</w:t>
      </w:r>
      <w:r w:rsidR="003F3D2B">
        <w:rPr>
          <w:noProof/>
        </w:rPr>
        <w:t> </w:t>
      </w:r>
      <w:r w:rsidR="003F3D2B" w:rsidRPr="00624565">
        <w:rPr>
          <w:noProof/>
        </w:rPr>
        <w:t>pro</w:t>
      </w:r>
      <w:r w:rsidRPr="00624565">
        <w:rPr>
          <w:noProof/>
        </w:rPr>
        <w:t>muje produkt, proces lub przedsiębiorstwo</w:t>
      </w:r>
      <w:r w:rsidR="003F3D2B" w:rsidRPr="00624565">
        <w:rPr>
          <w:noProof/>
        </w:rPr>
        <w:t xml:space="preserve"> w</w:t>
      </w:r>
      <w:r w:rsidR="003F3D2B">
        <w:rPr>
          <w:noProof/>
        </w:rPr>
        <w:t> </w:t>
      </w:r>
      <w:r w:rsidR="003F3D2B" w:rsidRPr="00624565">
        <w:rPr>
          <w:noProof/>
        </w:rPr>
        <w:t>odn</w:t>
      </w:r>
      <w:r w:rsidRPr="00624565">
        <w:rPr>
          <w:noProof/>
        </w:rPr>
        <w:t xml:space="preserve">iesieniu do ich aspektów środowiskowych. Oznakowanie to jest czasami oparte na systemach certyfikacji (systemach oznakowania ekologicznego), które stanowią poświadczenie, że produkt, proces lub przedsiębiorstwo spełnia wymogi określone przez system oraz zapewnienie monitorowania zgodności. </w:t>
      </w:r>
    </w:p>
    <w:p w14:paraId="1A28EA49" w14:textId="282CB16C" w:rsidR="00D96629" w:rsidRPr="00624565" w:rsidRDefault="00D96629" w:rsidP="00D96629">
      <w:pPr>
        <w:tabs>
          <w:tab w:val="num" w:pos="567"/>
        </w:tabs>
        <w:rPr>
          <w:rFonts w:eastAsia="Times New Roman"/>
          <w:noProof/>
        </w:rPr>
      </w:pPr>
      <w:r w:rsidRPr="00624565">
        <w:rPr>
          <w:b/>
          <w:noProof/>
        </w:rPr>
        <w:t>Oznakowanie ekologiczne istniejące na rynku wewnętrznym UE podlega różnym poziomom rzetelności, nadzoru</w:t>
      </w:r>
      <w:r w:rsidR="003F3D2B" w:rsidRPr="00624565">
        <w:rPr>
          <w:b/>
          <w:noProof/>
        </w:rPr>
        <w:t xml:space="preserve"> i</w:t>
      </w:r>
      <w:r w:rsidR="003F3D2B">
        <w:rPr>
          <w:b/>
          <w:noProof/>
        </w:rPr>
        <w:t> </w:t>
      </w:r>
      <w:r w:rsidR="003F3D2B" w:rsidRPr="00624565">
        <w:rPr>
          <w:b/>
          <w:noProof/>
        </w:rPr>
        <w:t>prz</w:t>
      </w:r>
      <w:r w:rsidRPr="00624565">
        <w:rPr>
          <w:b/>
          <w:noProof/>
        </w:rPr>
        <w:t>ejrzystości, tj. różnym modelom zarządzania.</w:t>
      </w:r>
      <w:r w:rsidRPr="00624565">
        <w:rPr>
          <w:noProof/>
        </w:rPr>
        <w:t xml:space="preserve"> Przewiduje się, że przyczynę dodatkowej dezorientacji będzie stanowić coraz większa liczba oznakowań ekologicznych, które obejmują różne aspekty,</w:t>
      </w:r>
      <w:r w:rsidR="003F3D2B" w:rsidRPr="00624565">
        <w:rPr>
          <w:noProof/>
        </w:rPr>
        <w:t xml:space="preserve"> w</w:t>
      </w:r>
      <w:r w:rsidR="003F3D2B">
        <w:rPr>
          <w:noProof/>
        </w:rPr>
        <w:t> </w:t>
      </w:r>
      <w:r w:rsidR="003F3D2B" w:rsidRPr="00624565">
        <w:rPr>
          <w:noProof/>
        </w:rPr>
        <w:t>odn</w:t>
      </w:r>
      <w:r w:rsidRPr="00624565">
        <w:rPr>
          <w:noProof/>
        </w:rPr>
        <w:t>iesieniu do których przyjęto różne podejścia operacyjne</w:t>
      </w:r>
      <w:r w:rsidR="003F3D2B" w:rsidRPr="00624565">
        <w:rPr>
          <w:noProof/>
        </w:rPr>
        <w:t xml:space="preserve"> i</w:t>
      </w:r>
      <w:r w:rsidR="003F3D2B">
        <w:rPr>
          <w:noProof/>
        </w:rPr>
        <w:t> </w:t>
      </w:r>
      <w:r w:rsidR="003F3D2B" w:rsidRPr="00624565">
        <w:rPr>
          <w:noProof/>
        </w:rPr>
        <w:t>któ</w:t>
      </w:r>
      <w:r w:rsidRPr="00624565">
        <w:rPr>
          <w:noProof/>
        </w:rPr>
        <w:t>re podlegają różnym poziomom kontroli (np. otwartość procesu opracowywania lub poziom oraz niezależność audytu</w:t>
      </w:r>
      <w:r w:rsidR="003F3D2B" w:rsidRPr="00624565">
        <w:rPr>
          <w:noProof/>
        </w:rPr>
        <w:t xml:space="preserve"> i</w:t>
      </w:r>
      <w:r w:rsidR="003F3D2B">
        <w:rPr>
          <w:noProof/>
        </w:rPr>
        <w:t> </w:t>
      </w:r>
      <w:r w:rsidR="003F3D2B" w:rsidRPr="00624565">
        <w:rPr>
          <w:noProof/>
        </w:rPr>
        <w:t>wer</w:t>
      </w:r>
      <w:r w:rsidRPr="00624565">
        <w:rPr>
          <w:noProof/>
        </w:rPr>
        <w:t>yfikacji)</w:t>
      </w:r>
      <w:r w:rsidRPr="00624565">
        <w:rPr>
          <w:rStyle w:val="FootnoteReference"/>
          <w:rFonts w:eastAsia="Times New Roman"/>
          <w:noProof/>
        </w:rPr>
        <w:footnoteReference w:id="24"/>
      </w:r>
      <w:r w:rsidRPr="00624565">
        <w:rPr>
          <w:noProof/>
        </w:rPr>
        <w:t>.</w:t>
      </w:r>
    </w:p>
    <w:p w14:paraId="2EB0B19C" w14:textId="7CC3EA85" w:rsidR="00D96629" w:rsidRPr="00624565" w:rsidRDefault="00D96629" w:rsidP="00D96629">
      <w:pPr>
        <w:tabs>
          <w:tab w:val="num" w:pos="567"/>
        </w:tabs>
        <w:rPr>
          <w:rFonts w:eastAsia="Times New Roman"/>
          <w:noProof/>
          <w:szCs w:val="24"/>
        </w:rPr>
      </w:pPr>
      <w:r w:rsidRPr="00624565">
        <w:rPr>
          <w:noProof/>
        </w:rPr>
        <w:t>W badaniu przygotowawczym mającym na celu zebranie dowodów na temat sposobów wzmocnienia pozycji konsumentów, aby odgrywali aktywną rolę</w:t>
      </w:r>
      <w:r w:rsidR="003F3D2B" w:rsidRPr="00624565">
        <w:rPr>
          <w:noProof/>
        </w:rPr>
        <w:t xml:space="preserve"> w</w:t>
      </w:r>
      <w:r w:rsidR="003F3D2B">
        <w:rPr>
          <w:noProof/>
        </w:rPr>
        <w:t> </w:t>
      </w:r>
      <w:r w:rsidR="003F3D2B" w:rsidRPr="00624565">
        <w:rPr>
          <w:noProof/>
        </w:rPr>
        <w:t>pro</w:t>
      </w:r>
      <w:r w:rsidRPr="00624565">
        <w:rPr>
          <w:noProof/>
        </w:rPr>
        <w:t>cesie przechodzenia na zieloną gospodarkę</w:t>
      </w:r>
      <w:r w:rsidRPr="00624565">
        <w:rPr>
          <w:noProof/>
          <w:vertAlign w:val="superscript"/>
        </w:rPr>
        <w:t>24</w:t>
      </w:r>
      <w:r w:rsidRPr="00624565">
        <w:rPr>
          <w:noProof/>
        </w:rPr>
        <w:t>,</w:t>
      </w:r>
      <w:r w:rsidR="003F3D2B" w:rsidRPr="00624565">
        <w:rPr>
          <w:noProof/>
        </w:rPr>
        <w:t xml:space="preserve"> w</w:t>
      </w:r>
      <w:r w:rsidR="003F3D2B">
        <w:rPr>
          <w:noProof/>
        </w:rPr>
        <w:t> </w:t>
      </w:r>
      <w:r w:rsidR="003F3D2B" w:rsidRPr="00624565">
        <w:rPr>
          <w:noProof/>
        </w:rPr>
        <w:t>oce</w:t>
      </w:r>
      <w:r w:rsidRPr="00624565">
        <w:rPr>
          <w:noProof/>
        </w:rPr>
        <w:t>nie 232 aktywnych oznakowań ekologicznych w UE, dotyczącej także ich aspektów związanych</w:t>
      </w:r>
      <w:r w:rsidR="003F3D2B" w:rsidRPr="00624565">
        <w:rPr>
          <w:noProof/>
        </w:rPr>
        <w:t xml:space="preserve"> z</w:t>
      </w:r>
      <w:r w:rsidR="003F3D2B">
        <w:rPr>
          <w:noProof/>
        </w:rPr>
        <w:t> </w:t>
      </w:r>
      <w:r w:rsidR="003F3D2B" w:rsidRPr="00624565">
        <w:rPr>
          <w:noProof/>
        </w:rPr>
        <w:t>wer</w:t>
      </w:r>
      <w:r w:rsidRPr="00624565">
        <w:rPr>
          <w:noProof/>
        </w:rPr>
        <w:t>yfikacją</w:t>
      </w:r>
      <w:r w:rsidR="003F3D2B" w:rsidRPr="00624565">
        <w:rPr>
          <w:noProof/>
        </w:rPr>
        <w:t xml:space="preserve"> i</w:t>
      </w:r>
      <w:r w:rsidR="003F3D2B">
        <w:rPr>
          <w:noProof/>
        </w:rPr>
        <w:t> </w:t>
      </w:r>
      <w:r w:rsidR="003F3D2B" w:rsidRPr="00624565">
        <w:rPr>
          <w:noProof/>
        </w:rPr>
        <w:t>cer</w:t>
      </w:r>
      <w:r w:rsidRPr="00624565">
        <w:rPr>
          <w:noProof/>
        </w:rPr>
        <w:t>tyfikacją, prawie</w:t>
      </w:r>
      <w:r w:rsidR="003F3D2B" w:rsidRPr="00624565">
        <w:rPr>
          <w:noProof/>
        </w:rPr>
        <w:t xml:space="preserve"> </w:t>
      </w:r>
      <w:r w:rsidR="003F3D2B" w:rsidRPr="00624565">
        <w:rPr>
          <w:b/>
          <w:noProof/>
        </w:rPr>
        <w:t>w</w:t>
      </w:r>
      <w:r w:rsidR="003F3D2B">
        <w:rPr>
          <w:noProof/>
        </w:rPr>
        <w:t> </w:t>
      </w:r>
      <w:r w:rsidR="003F3D2B" w:rsidRPr="00624565">
        <w:rPr>
          <w:b/>
          <w:noProof/>
        </w:rPr>
        <w:t>poł</w:t>
      </w:r>
      <w:r w:rsidRPr="00624565">
        <w:rPr>
          <w:b/>
          <w:noProof/>
        </w:rPr>
        <w:t xml:space="preserve">owie przypadków stwierdzono niedostateczną weryfikację oznakowań lub jej brak. </w:t>
      </w:r>
      <w:r w:rsidRPr="00624565">
        <w:rPr>
          <w:noProof/>
        </w:rPr>
        <w:t>Konsumenci nie są ponadto świadomi różnicy między oznakowaniem podlegającym systemom certyfikacji osób trzecich</w:t>
      </w:r>
      <w:r w:rsidR="003F3D2B" w:rsidRPr="00624565">
        <w:rPr>
          <w:noProof/>
        </w:rPr>
        <w:t xml:space="preserve"> a</w:t>
      </w:r>
      <w:r w:rsidR="003F3D2B">
        <w:rPr>
          <w:noProof/>
        </w:rPr>
        <w:t> </w:t>
      </w:r>
      <w:r w:rsidR="003F3D2B" w:rsidRPr="00624565">
        <w:rPr>
          <w:noProof/>
        </w:rPr>
        <w:t>ozn</w:t>
      </w:r>
      <w:r w:rsidRPr="00624565">
        <w:rPr>
          <w:noProof/>
        </w:rPr>
        <w:t xml:space="preserve">akowaniem podlegającym „certyfikacji własnej”, tj. niezweryfikowanej przez żadną osobę trzecią. </w:t>
      </w:r>
    </w:p>
    <w:p w14:paraId="4B9A8543" w14:textId="38CEC723" w:rsidR="00D96629" w:rsidRPr="00624565" w:rsidRDefault="00D96629" w:rsidP="00D96629">
      <w:pPr>
        <w:tabs>
          <w:tab w:val="num" w:pos="567"/>
        </w:tabs>
        <w:textAlignment w:val="center"/>
        <w:rPr>
          <w:noProof/>
        </w:rPr>
      </w:pPr>
      <w:r w:rsidRPr="00624565">
        <w:rPr>
          <w:noProof/>
        </w:rPr>
        <w:t>Podczas konsultacji dotyczących wstępnej oceny skutków</w:t>
      </w:r>
      <w:r w:rsidRPr="00624565">
        <w:rPr>
          <w:rStyle w:val="FootnoteReference"/>
          <w:noProof/>
        </w:rPr>
        <w:footnoteReference w:id="25"/>
      </w:r>
      <w:r w:rsidRPr="00624565">
        <w:rPr>
          <w:noProof/>
        </w:rPr>
        <w:t xml:space="preserve"> oraz</w:t>
      </w:r>
      <w:r w:rsidR="003F3D2B" w:rsidRPr="00624565">
        <w:rPr>
          <w:noProof/>
        </w:rPr>
        <w:t xml:space="preserve"> w</w:t>
      </w:r>
      <w:r w:rsidR="003F3D2B">
        <w:rPr>
          <w:noProof/>
        </w:rPr>
        <w:t> </w:t>
      </w:r>
      <w:r w:rsidR="003F3D2B" w:rsidRPr="00624565">
        <w:rPr>
          <w:noProof/>
        </w:rPr>
        <w:t>tra</w:t>
      </w:r>
      <w:r w:rsidRPr="00624565">
        <w:rPr>
          <w:noProof/>
        </w:rPr>
        <w:t>kcie ukierunkowanych konsultacji zainteresowane strony</w:t>
      </w:r>
      <w:r w:rsidR="003F3D2B" w:rsidRPr="00624565">
        <w:rPr>
          <w:noProof/>
        </w:rPr>
        <w:t xml:space="preserve"> z</w:t>
      </w:r>
      <w:r w:rsidR="003F3D2B">
        <w:rPr>
          <w:noProof/>
        </w:rPr>
        <w:t> </w:t>
      </w:r>
      <w:r w:rsidR="003F3D2B" w:rsidRPr="00624565">
        <w:rPr>
          <w:noProof/>
        </w:rPr>
        <w:t>wię</w:t>
      </w:r>
      <w:r w:rsidRPr="00624565">
        <w:rPr>
          <w:noProof/>
        </w:rPr>
        <w:t xml:space="preserve">kszości grup zainteresowanych stron </w:t>
      </w:r>
      <w:r w:rsidRPr="00624565">
        <w:rPr>
          <w:b/>
          <w:noProof/>
        </w:rPr>
        <w:t>za istotny</w:t>
      </w:r>
      <w:r w:rsidR="003F3D2B" w:rsidRPr="00624565">
        <w:rPr>
          <w:b/>
          <w:noProof/>
        </w:rPr>
        <w:t xml:space="preserve"> i</w:t>
      </w:r>
      <w:r w:rsidR="003F3D2B">
        <w:rPr>
          <w:b/>
          <w:noProof/>
        </w:rPr>
        <w:t> </w:t>
      </w:r>
      <w:r w:rsidR="003F3D2B" w:rsidRPr="00624565">
        <w:rPr>
          <w:b/>
          <w:noProof/>
        </w:rPr>
        <w:t>pow</w:t>
      </w:r>
      <w:r w:rsidRPr="00624565">
        <w:rPr>
          <w:b/>
          <w:noProof/>
        </w:rPr>
        <w:t>racający</w:t>
      </w:r>
      <w:r w:rsidR="003F3D2B" w:rsidRPr="00624565">
        <w:rPr>
          <w:b/>
          <w:noProof/>
        </w:rPr>
        <w:t xml:space="preserve"> w</w:t>
      </w:r>
      <w:r w:rsidR="003F3D2B">
        <w:rPr>
          <w:b/>
          <w:noProof/>
        </w:rPr>
        <w:t> </w:t>
      </w:r>
      <w:r w:rsidR="003F3D2B" w:rsidRPr="00624565">
        <w:rPr>
          <w:b/>
          <w:noProof/>
        </w:rPr>
        <w:t>cał</w:t>
      </w:r>
      <w:r w:rsidRPr="00624565">
        <w:rPr>
          <w:b/>
          <w:noProof/>
        </w:rPr>
        <w:t>ej UE problem uznały także mnożenie się oznakowań</w:t>
      </w:r>
      <w:r w:rsidR="003F3D2B" w:rsidRPr="00624565">
        <w:rPr>
          <w:b/>
          <w:noProof/>
        </w:rPr>
        <w:t xml:space="preserve"> i</w:t>
      </w:r>
      <w:r w:rsidR="003F3D2B">
        <w:rPr>
          <w:b/>
          <w:noProof/>
        </w:rPr>
        <w:t> </w:t>
      </w:r>
      <w:r w:rsidR="003F3D2B" w:rsidRPr="00624565">
        <w:rPr>
          <w:b/>
          <w:noProof/>
        </w:rPr>
        <w:t>log</w:t>
      </w:r>
      <w:r w:rsidRPr="00624565">
        <w:rPr>
          <w:b/>
          <w:noProof/>
        </w:rPr>
        <w:t>o dotyczących zrównoważonego charakteru</w:t>
      </w:r>
      <w:r w:rsidRPr="00624565">
        <w:rPr>
          <w:noProof/>
        </w:rPr>
        <w:t>. Podobnie ponad jedna czwarta (2</w:t>
      </w:r>
      <w:r w:rsidRPr="003F3D2B">
        <w:rPr>
          <w:noProof/>
        </w:rPr>
        <w:t>7</w:t>
      </w:r>
      <w:r w:rsidR="003F3D2B" w:rsidRPr="003F3D2B">
        <w:rPr>
          <w:noProof/>
        </w:rPr>
        <w:t> </w:t>
      </w:r>
      <w:r w:rsidRPr="003F3D2B">
        <w:rPr>
          <w:noProof/>
        </w:rPr>
        <w:t>%</w:t>
      </w:r>
      <w:r w:rsidRPr="00624565">
        <w:rPr>
          <w:noProof/>
        </w:rPr>
        <w:t>) uczestników otwartych konsultacji publicznych wskazała „</w:t>
      </w:r>
      <w:r w:rsidRPr="00624565">
        <w:rPr>
          <w:b/>
          <w:noProof/>
        </w:rPr>
        <w:t>mnożenie się lub brak przejrzystości, zrozumienia bądź wiarygodności</w:t>
      </w:r>
      <w:r w:rsidRPr="00624565">
        <w:rPr>
          <w:noProof/>
        </w:rPr>
        <w:t xml:space="preserve"> logo lub oznakowań dotyczących zrównoważonego charakteru na produktach</w:t>
      </w:r>
      <w:r w:rsidR="003F3D2B" w:rsidRPr="00624565">
        <w:rPr>
          <w:noProof/>
        </w:rPr>
        <w:t xml:space="preserve"> i</w:t>
      </w:r>
      <w:r w:rsidR="003F3D2B">
        <w:rPr>
          <w:noProof/>
        </w:rPr>
        <w:t> </w:t>
      </w:r>
      <w:r w:rsidR="003F3D2B" w:rsidRPr="00624565">
        <w:rPr>
          <w:noProof/>
        </w:rPr>
        <w:t>usł</w:t>
      </w:r>
      <w:r w:rsidRPr="00624565">
        <w:rPr>
          <w:noProof/>
        </w:rPr>
        <w:t xml:space="preserve">ugach” </w:t>
      </w:r>
      <w:r w:rsidRPr="00624565">
        <w:rPr>
          <w:b/>
          <w:noProof/>
        </w:rPr>
        <w:t>jako istotną przeszkodę</w:t>
      </w:r>
      <w:r w:rsidRPr="00624565">
        <w:rPr>
          <w:noProof/>
        </w:rPr>
        <w:t xml:space="preserve"> we wzmocnieniu pozycji konsumentów</w:t>
      </w:r>
      <w:r w:rsidR="003F3D2B" w:rsidRPr="00624565">
        <w:rPr>
          <w:noProof/>
        </w:rPr>
        <w:t xml:space="preserve"> w</w:t>
      </w:r>
      <w:r w:rsidR="003F3D2B">
        <w:rPr>
          <w:noProof/>
        </w:rPr>
        <w:t> </w:t>
      </w:r>
      <w:r w:rsidR="003F3D2B" w:rsidRPr="00624565">
        <w:rPr>
          <w:noProof/>
        </w:rPr>
        <w:t>pro</w:t>
      </w:r>
      <w:r w:rsidRPr="00624565">
        <w:rPr>
          <w:noProof/>
        </w:rPr>
        <w:t>cesie transformacji ekologicznej</w:t>
      </w:r>
      <w:r w:rsidRPr="00624565">
        <w:rPr>
          <w:noProof/>
          <w:vertAlign w:val="superscript"/>
        </w:rPr>
        <w:t>15</w:t>
      </w:r>
      <w:r w:rsidRPr="00624565">
        <w:rPr>
          <w:noProof/>
        </w:rPr>
        <w:t>.</w:t>
      </w:r>
    </w:p>
    <w:p w14:paraId="01F74225" w14:textId="4D857DBA" w:rsidR="00D96629" w:rsidRPr="003F3D2B" w:rsidRDefault="00D96629" w:rsidP="00D96629">
      <w:pPr>
        <w:tabs>
          <w:tab w:val="num" w:pos="567"/>
        </w:tabs>
        <w:textAlignment w:val="center"/>
        <w:rPr>
          <w:rFonts w:eastAsia="Times New Roman"/>
          <w:noProof/>
        </w:rPr>
      </w:pPr>
      <w:r w:rsidRPr="00624565">
        <w:rPr>
          <w:b/>
          <w:noProof/>
        </w:rPr>
        <w:t>To mnożenie się oznakowań</w:t>
      </w:r>
      <w:r w:rsidR="003F3D2B" w:rsidRPr="00624565">
        <w:rPr>
          <w:b/>
          <w:noProof/>
        </w:rPr>
        <w:t xml:space="preserve"> w</w:t>
      </w:r>
      <w:r w:rsidR="003F3D2B">
        <w:rPr>
          <w:b/>
          <w:noProof/>
        </w:rPr>
        <w:t> </w:t>
      </w:r>
      <w:r w:rsidR="003F3D2B" w:rsidRPr="00624565">
        <w:rPr>
          <w:b/>
          <w:noProof/>
        </w:rPr>
        <w:t>poł</w:t>
      </w:r>
      <w:r w:rsidRPr="00624565">
        <w:rPr>
          <w:b/>
          <w:noProof/>
        </w:rPr>
        <w:t>ączeniu</w:t>
      </w:r>
      <w:r w:rsidR="003F3D2B" w:rsidRPr="00624565">
        <w:rPr>
          <w:b/>
          <w:noProof/>
        </w:rPr>
        <w:t xml:space="preserve"> z</w:t>
      </w:r>
      <w:r w:rsidR="003F3D2B">
        <w:rPr>
          <w:b/>
          <w:noProof/>
        </w:rPr>
        <w:t> </w:t>
      </w:r>
      <w:r w:rsidR="003F3D2B" w:rsidRPr="00624565">
        <w:rPr>
          <w:b/>
          <w:noProof/>
        </w:rPr>
        <w:t>ich</w:t>
      </w:r>
      <w:r w:rsidRPr="00624565">
        <w:rPr>
          <w:b/>
          <w:noProof/>
        </w:rPr>
        <w:t xml:space="preserve"> zróżnicowanymi modelami zarządzania</w:t>
      </w:r>
      <w:r w:rsidRPr="00624565">
        <w:rPr>
          <w:noProof/>
        </w:rPr>
        <w:t xml:space="preserve"> oznacza, że przy wyborze konkretnego oznakowania dotyczącego zrównoważonego charakteru producenci</w:t>
      </w:r>
      <w:r w:rsidR="003F3D2B" w:rsidRPr="00624565">
        <w:rPr>
          <w:noProof/>
        </w:rPr>
        <w:t xml:space="preserve"> i</w:t>
      </w:r>
      <w:r w:rsidR="003F3D2B">
        <w:rPr>
          <w:noProof/>
        </w:rPr>
        <w:t> </w:t>
      </w:r>
      <w:r w:rsidR="003F3D2B" w:rsidRPr="00624565">
        <w:rPr>
          <w:noProof/>
        </w:rPr>
        <w:t>spr</w:t>
      </w:r>
      <w:r w:rsidRPr="00624565">
        <w:rPr>
          <w:noProof/>
        </w:rPr>
        <w:t xml:space="preserve">zedawcy detaliczni mogą stosować różne strategie. Bardzo często przekłada się to również na eksponowanie przez przedsiębiorstwa różnych oznakowań, które mają potwierdzać zrównoważony charakter ich produktów. </w:t>
      </w:r>
      <w:r w:rsidRPr="00624565">
        <w:rPr>
          <w:b/>
          <w:noProof/>
        </w:rPr>
        <w:t>3</w:t>
      </w:r>
      <w:r w:rsidRPr="003F3D2B">
        <w:rPr>
          <w:b/>
          <w:noProof/>
        </w:rPr>
        <w:t>4</w:t>
      </w:r>
      <w:r w:rsidR="003F3D2B" w:rsidRPr="003F3D2B">
        <w:rPr>
          <w:b/>
          <w:noProof/>
        </w:rPr>
        <w:t> </w:t>
      </w:r>
      <w:r w:rsidRPr="003F3D2B">
        <w:rPr>
          <w:b/>
          <w:noProof/>
        </w:rPr>
        <w:t>%</w:t>
      </w:r>
      <w:r w:rsidRPr="00624565">
        <w:rPr>
          <w:b/>
          <w:noProof/>
        </w:rPr>
        <w:t xml:space="preserve"> przedsiębiorstw uznało „mnożenie się lub brak przejrzystości, zrozumienia bądź wiarygodności logo lub oznakowań dotyczących zrównoważonego charakteru” za przeszkodę</w:t>
      </w:r>
      <w:r w:rsidRPr="00624565">
        <w:rPr>
          <w:b/>
          <w:noProof/>
          <w:vertAlign w:val="superscript"/>
        </w:rPr>
        <w:t>15</w:t>
      </w:r>
      <w:r w:rsidRPr="00624565">
        <w:rPr>
          <w:b/>
          <w:noProof/>
        </w:rPr>
        <w:t>.</w:t>
      </w:r>
      <w:r w:rsidRPr="00624565">
        <w:rPr>
          <w:noProof/>
        </w:rPr>
        <w:t xml:space="preserve"> Przedsiębiorstwa, które dokładają starań, aby przestrzegać lub opracować wiarygodne systemy oznakowania ekologicznego, znajdują się</w:t>
      </w:r>
      <w:r w:rsidR="003F3D2B" w:rsidRPr="00624565">
        <w:rPr>
          <w:noProof/>
        </w:rPr>
        <w:t xml:space="preserve"> w</w:t>
      </w:r>
      <w:r w:rsidR="003F3D2B">
        <w:rPr>
          <w:noProof/>
        </w:rPr>
        <w:t> </w:t>
      </w:r>
      <w:r w:rsidR="003F3D2B" w:rsidRPr="00624565">
        <w:rPr>
          <w:noProof/>
        </w:rPr>
        <w:t>gor</w:t>
      </w:r>
      <w:r w:rsidRPr="00624565">
        <w:rPr>
          <w:noProof/>
        </w:rPr>
        <w:t>szej sytuacji niż przedsiębiorstwa, które stosują niewiarygodne oznakowania ekologiczne, ponieważ konsumenci nie są</w:t>
      </w:r>
      <w:r w:rsidR="003F3D2B" w:rsidRPr="00624565">
        <w:rPr>
          <w:noProof/>
        </w:rPr>
        <w:t xml:space="preserve"> w</w:t>
      </w:r>
      <w:r w:rsidR="003F3D2B">
        <w:rPr>
          <w:noProof/>
        </w:rPr>
        <w:t> </w:t>
      </w:r>
      <w:r w:rsidR="003F3D2B" w:rsidRPr="00624565">
        <w:rPr>
          <w:noProof/>
        </w:rPr>
        <w:t>sta</w:t>
      </w:r>
      <w:r w:rsidRPr="00624565">
        <w:rPr>
          <w:noProof/>
        </w:rPr>
        <w:t xml:space="preserve">nie dostrzec między nimi różnicy. Problem ten został spotęgowany przez szybkie pojawienie się szeregu (prywatnych lub dobrowolnych) systemów oznakowania na szczeblu krajowym lub państw członkowskich, </w:t>
      </w:r>
      <w:r w:rsidRPr="00624565">
        <w:rPr>
          <w:b/>
          <w:noProof/>
        </w:rPr>
        <w:t>co</w:t>
      </w:r>
      <w:r w:rsidR="003F3D2B" w:rsidRPr="00624565">
        <w:rPr>
          <w:b/>
          <w:noProof/>
        </w:rPr>
        <w:t xml:space="preserve"> w</w:t>
      </w:r>
      <w:r w:rsidR="003F3D2B">
        <w:rPr>
          <w:b/>
          <w:noProof/>
        </w:rPr>
        <w:t> </w:t>
      </w:r>
      <w:r w:rsidR="003F3D2B" w:rsidRPr="00624565">
        <w:rPr>
          <w:b/>
          <w:noProof/>
        </w:rPr>
        <w:t>cor</w:t>
      </w:r>
      <w:r w:rsidRPr="00624565">
        <w:rPr>
          <w:b/>
          <w:noProof/>
        </w:rPr>
        <w:t>az większym stopniu utrudnia konsumentom porównywanie różnych produktów</w:t>
      </w:r>
      <w:r w:rsidRPr="003F3D2B">
        <w:rPr>
          <w:noProof/>
        </w:rPr>
        <w:t>.</w:t>
      </w:r>
      <w:r w:rsidR="003F3D2B" w:rsidRPr="003F3D2B">
        <w:rPr>
          <w:noProof/>
        </w:rPr>
        <w:t xml:space="preserve"> </w:t>
      </w:r>
    </w:p>
    <w:p w14:paraId="05B14103" w14:textId="638D8B49" w:rsidR="00D96629" w:rsidRPr="00624565" w:rsidRDefault="00D96629" w:rsidP="00D96629">
      <w:pPr>
        <w:tabs>
          <w:tab w:val="num" w:pos="567"/>
        </w:tabs>
        <w:textAlignment w:val="center"/>
        <w:rPr>
          <w:noProof/>
        </w:rPr>
      </w:pPr>
      <w:r w:rsidRPr="00624565">
        <w:rPr>
          <w:noProof/>
        </w:rPr>
        <w:t xml:space="preserve">Informacje zwrotne od zainteresowanych stron wskazują na szczególnie </w:t>
      </w:r>
      <w:r w:rsidRPr="00624565">
        <w:rPr>
          <w:b/>
          <w:noProof/>
        </w:rPr>
        <w:t>silne poparcie dla działań UE</w:t>
      </w:r>
      <w:r w:rsidRPr="00624565">
        <w:rPr>
          <w:noProof/>
        </w:rPr>
        <w:t xml:space="preserve"> które mogą doprowadzić do wypracowania wspólnego podejścia do przedstawiania konsumentom informacji na temat zrównoważonego rozwoju,</w:t>
      </w:r>
      <w:r w:rsidRPr="00624565">
        <w:rPr>
          <w:b/>
          <w:noProof/>
        </w:rPr>
        <w:t xml:space="preserve"> zwiększenia równych szans dla przedsiębiorstw</w:t>
      </w:r>
      <w:r w:rsidRPr="00624565">
        <w:rPr>
          <w:noProof/>
        </w:rPr>
        <w:t xml:space="preserve"> oraz ograniczenia mnożenia się oznakowań</w:t>
      </w:r>
      <w:r w:rsidR="003F3D2B" w:rsidRPr="00624565">
        <w:rPr>
          <w:noProof/>
        </w:rPr>
        <w:t xml:space="preserve"> i</w:t>
      </w:r>
      <w:r w:rsidR="003F3D2B">
        <w:rPr>
          <w:noProof/>
        </w:rPr>
        <w:t> </w:t>
      </w:r>
      <w:r w:rsidR="003F3D2B" w:rsidRPr="00624565">
        <w:rPr>
          <w:noProof/>
        </w:rPr>
        <w:t>wpr</w:t>
      </w:r>
      <w:r w:rsidRPr="00624565">
        <w:rPr>
          <w:noProof/>
        </w:rPr>
        <w:t>owadzających</w:t>
      </w:r>
      <w:r w:rsidR="003F3D2B" w:rsidRPr="00624565">
        <w:rPr>
          <w:noProof/>
        </w:rPr>
        <w:t xml:space="preserve"> w</w:t>
      </w:r>
      <w:r w:rsidR="003F3D2B">
        <w:rPr>
          <w:noProof/>
        </w:rPr>
        <w:t> </w:t>
      </w:r>
      <w:r w:rsidR="003F3D2B" w:rsidRPr="00624565">
        <w:rPr>
          <w:noProof/>
        </w:rPr>
        <w:t>błą</w:t>
      </w:r>
      <w:r w:rsidRPr="00624565">
        <w:rPr>
          <w:noProof/>
        </w:rPr>
        <w:t>d oświadczeń środowiskowych na jednolitym rynku</w:t>
      </w:r>
      <w:r w:rsidRPr="00624565">
        <w:rPr>
          <w:noProof/>
          <w:vertAlign w:val="superscript"/>
        </w:rPr>
        <w:t>14.</w:t>
      </w:r>
    </w:p>
    <w:p w14:paraId="7C17D313" w14:textId="5FCAD5CB" w:rsidR="00D96629" w:rsidRPr="00624565" w:rsidRDefault="00D96629" w:rsidP="00D96629">
      <w:pPr>
        <w:tabs>
          <w:tab w:val="num" w:pos="567"/>
        </w:tabs>
        <w:textAlignment w:val="center"/>
        <w:rPr>
          <w:rFonts w:eastAsia="Times New Roman"/>
          <w:noProof/>
        </w:rPr>
      </w:pPr>
      <w:r w:rsidRPr="00624565">
        <w:rPr>
          <w:b/>
          <w:noProof/>
        </w:rPr>
        <w:t>Przedsiębiorstwa, które oferują rzeczywiście zrównoważone produkty znajdują się</w:t>
      </w:r>
      <w:r w:rsidR="003F3D2B" w:rsidRPr="00624565">
        <w:rPr>
          <w:b/>
          <w:noProof/>
        </w:rPr>
        <w:t xml:space="preserve"> w</w:t>
      </w:r>
      <w:r w:rsidR="003F3D2B">
        <w:rPr>
          <w:b/>
          <w:noProof/>
        </w:rPr>
        <w:t> </w:t>
      </w:r>
      <w:r w:rsidR="003F3D2B" w:rsidRPr="00624565">
        <w:rPr>
          <w:b/>
          <w:noProof/>
        </w:rPr>
        <w:t>nie</w:t>
      </w:r>
      <w:r w:rsidRPr="00624565">
        <w:rPr>
          <w:b/>
          <w:noProof/>
        </w:rPr>
        <w:t>korzystnej sytuacji</w:t>
      </w:r>
      <w:r w:rsidR="003F3D2B" w:rsidRPr="00624565">
        <w:rPr>
          <w:noProof/>
        </w:rPr>
        <w:t xml:space="preserve"> w</w:t>
      </w:r>
      <w:r w:rsidR="003F3D2B">
        <w:rPr>
          <w:noProof/>
        </w:rPr>
        <w:t> </w:t>
      </w:r>
      <w:r w:rsidR="003F3D2B" w:rsidRPr="00624565">
        <w:rPr>
          <w:noProof/>
        </w:rPr>
        <w:t>por</w:t>
      </w:r>
      <w:r w:rsidRPr="00624565">
        <w:rPr>
          <w:noProof/>
        </w:rPr>
        <w:t>ównaniu</w:t>
      </w:r>
      <w:r w:rsidR="003F3D2B" w:rsidRPr="00624565">
        <w:rPr>
          <w:noProof/>
        </w:rPr>
        <w:t xml:space="preserve"> z</w:t>
      </w:r>
      <w:r w:rsidR="003F3D2B">
        <w:rPr>
          <w:noProof/>
        </w:rPr>
        <w:t> </w:t>
      </w:r>
      <w:r w:rsidR="003F3D2B" w:rsidRPr="00624565">
        <w:rPr>
          <w:noProof/>
        </w:rPr>
        <w:t>tym</w:t>
      </w:r>
      <w:r w:rsidRPr="00624565">
        <w:rPr>
          <w:noProof/>
        </w:rPr>
        <w:t xml:space="preserve">i, które tego nie robią. Mogą one </w:t>
      </w:r>
      <w:r w:rsidRPr="00624565">
        <w:rPr>
          <w:b/>
          <w:noProof/>
        </w:rPr>
        <w:t>również ponosić niepotrzebnie wysokie koszty przestrzegania przepisów</w:t>
      </w:r>
      <w:r w:rsidRPr="00624565">
        <w:rPr>
          <w:noProof/>
        </w:rPr>
        <w:t>, ponieważ państwa UE zaczynają wprowadzać różne krajowe rozwiązania</w:t>
      </w:r>
      <w:r w:rsidR="003F3D2B" w:rsidRPr="00624565">
        <w:rPr>
          <w:noProof/>
        </w:rPr>
        <w:t xml:space="preserve"> w</w:t>
      </w:r>
      <w:r w:rsidR="003F3D2B">
        <w:rPr>
          <w:noProof/>
        </w:rPr>
        <w:t> </w:t>
      </w:r>
      <w:r w:rsidR="003F3D2B" w:rsidRPr="00624565">
        <w:rPr>
          <w:noProof/>
        </w:rPr>
        <w:t>cel</w:t>
      </w:r>
      <w:r w:rsidRPr="00624565">
        <w:rPr>
          <w:noProof/>
        </w:rPr>
        <w:t>u rozwiązania problemów opisanych powyżej</w:t>
      </w:r>
      <w:r w:rsidRPr="00624565">
        <w:rPr>
          <w:rStyle w:val="FootnoteReference"/>
          <w:rFonts w:eastAsia="Times New Roman"/>
          <w:noProof/>
        </w:rPr>
        <w:footnoteReference w:id="26"/>
      </w:r>
      <w:r w:rsidRPr="00624565">
        <w:rPr>
          <w:noProof/>
        </w:rPr>
        <w:t xml:space="preserve">. </w:t>
      </w:r>
    </w:p>
    <w:p w14:paraId="39097F92" w14:textId="13C9A7B3" w:rsidR="009769E5" w:rsidRPr="00624565" w:rsidRDefault="004D161E" w:rsidP="004D161E">
      <w:pPr>
        <w:pStyle w:val="ManualHeading2"/>
        <w:rPr>
          <w:noProof/>
          <w:color w:val="000000"/>
          <w:u w:color="000000"/>
          <w:bdr w:val="nil"/>
        </w:rPr>
      </w:pPr>
      <w:r w:rsidRPr="00624565">
        <w:rPr>
          <w:noProof/>
        </w:rPr>
        <w:t>1.2.</w:t>
      </w:r>
      <w:r w:rsidRPr="00624565">
        <w:rPr>
          <w:noProof/>
        </w:rPr>
        <w:tab/>
        <w:t>Spójność</w:t>
      </w:r>
      <w:r w:rsidR="003F3D2B" w:rsidRPr="00624565">
        <w:rPr>
          <w:noProof/>
        </w:rPr>
        <w:t xml:space="preserve"> z</w:t>
      </w:r>
      <w:r w:rsidR="003F3D2B">
        <w:rPr>
          <w:noProof/>
        </w:rPr>
        <w:t> </w:t>
      </w:r>
      <w:r w:rsidR="003F3D2B" w:rsidRPr="00624565">
        <w:rPr>
          <w:noProof/>
        </w:rPr>
        <w:t>ist</w:t>
      </w:r>
      <w:r w:rsidRPr="00624565">
        <w:rPr>
          <w:noProof/>
        </w:rPr>
        <w:t>niejącymi przepisami</w:t>
      </w:r>
      <w:r w:rsidR="003F3D2B" w:rsidRPr="00624565">
        <w:rPr>
          <w:noProof/>
        </w:rPr>
        <w:t xml:space="preserve"> w</w:t>
      </w:r>
      <w:r w:rsidR="003F3D2B">
        <w:rPr>
          <w:noProof/>
        </w:rPr>
        <w:t> </w:t>
      </w:r>
      <w:r w:rsidR="003F3D2B" w:rsidRPr="00624565">
        <w:rPr>
          <w:noProof/>
        </w:rPr>
        <w:t>tej</w:t>
      </w:r>
      <w:r w:rsidRPr="00624565">
        <w:rPr>
          <w:noProof/>
        </w:rPr>
        <w:t xml:space="preserve"> dziedzinie polityki</w:t>
      </w:r>
    </w:p>
    <w:p w14:paraId="3C6FE286" w14:textId="77777777" w:rsidR="00D96629" w:rsidRPr="00624565" w:rsidRDefault="00D96629" w:rsidP="006E3743">
      <w:pPr>
        <w:pStyle w:val="Bullet0"/>
        <w:rPr>
          <w:rFonts w:eastAsia="Times New Roman"/>
          <w:b/>
          <w:noProof/>
          <w:szCs w:val="20"/>
        </w:rPr>
      </w:pPr>
      <w:r w:rsidRPr="00624565">
        <w:rPr>
          <w:b/>
          <w:noProof/>
        </w:rPr>
        <w:t>Inicjatywa UE mająca na celu umożliwienie konsumentom zielonej transformacji</w:t>
      </w:r>
    </w:p>
    <w:p w14:paraId="2B520A65" w14:textId="0077A66C" w:rsidR="00D96629" w:rsidRPr="00624565" w:rsidRDefault="00D96629" w:rsidP="00D96629">
      <w:pPr>
        <w:tabs>
          <w:tab w:val="num" w:pos="567"/>
        </w:tabs>
        <w:rPr>
          <w:noProof/>
        </w:rPr>
      </w:pPr>
      <w:r w:rsidRPr="00624565">
        <w:rPr>
          <w:noProof/>
        </w:rPr>
        <w:t>Dyrektywą</w:t>
      </w:r>
      <w:r w:rsidR="003F3D2B" w:rsidRPr="00624565">
        <w:rPr>
          <w:noProof/>
        </w:rPr>
        <w:t xml:space="preserve"> o</w:t>
      </w:r>
      <w:r w:rsidR="003F3D2B">
        <w:rPr>
          <w:noProof/>
        </w:rPr>
        <w:t> </w:t>
      </w:r>
      <w:r w:rsidR="003F3D2B" w:rsidRPr="00624565">
        <w:rPr>
          <w:noProof/>
        </w:rPr>
        <w:t>nie</w:t>
      </w:r>
      <w:r w:rsidRPr="00624565">
        <w:rPr>
          <w:noProof/>
        </w:rPr>
        <w:t>uczciwych praktykach handlowych reguluje się nieuczciwe praktyki</w:t>
      </w:r>
      <w:r w:rsidR="003F3D2B" w:rsidRPr="00624565">
        <w:rPr>
          <w:noProof/>
        </w:rPr>
        <w:t xml:space="preserve"> i</w:t>
      </w:r>
      <w:r w:rsidR="003F3D2B">
        <w:rPr>
          <w:noProof/>
        </w:rPr>
        <w:t> </w:t>
      </w:r>
      <w:r w:rsidR="003F3D2B" w:rsidRPr="00624565">
        <w:rPr>
          <w:noProof/>
        </w:rPr>
        <w:t>zan</w:t>
      </w:r>
      <w:r w:rsidRPr="00624565">
        <w:rPr>
          <w:noProof/>
        </w:rPr>
        <w:t>iechania wprowadzające</w:t>
      </w:r>
      <w:r w:rsidR="003F3D2B" w:rsidRPr="00624565">
        <w:rPr>
          <w:noProof/>
        </w:rPr>
        <w:t xml:space="preserve"> w</w:t>
      </w:r>
      <w:r w:rsidR="003F3D2B">
        <w:rPr>
          <w:noProof/>
        </w:rPr>
        <w:t> </w:t>
      </w:r>
      <w:r w:rsidR="003F3D2B" w:rsidRPr="00624565">
        <w:rPr>
          <w:noProof/>
        </w:rPr>
        <w:t>błą</w:t>
      </w:r>
      <w:r w:rsidRPr="00624565">
        <w:rPr>
          <w:noProof/>
        </w:rPr>
        <w:t>d za pomocą przepisów ogólnych, które można stosować do oświadczeń środowiskowych</w:t>
      </w:r>
      <w:r w:rsidR="003F3D2B" w:rsidRPr="00624565">
        <w:rPr>
          <w:noProof/>
        </w:rPr>
        <w:t xml:space="preserve"> w</w:t>
      </w:r>
      <w:r w:rsidR="003F3D2B">
        <w:rPr>
          <w:noProof/>
        </w:rPr>
        <w:t> </w:t>
      </w:r>
      <w:r w:rsidR="003F3D2B" w:rsidRPr="00624565">
        <w:rPr>
          <w:noProof/>
        </w:rPr>
        <w:t>tra</w:t>
      </w:r>
      <w:r w:rsidRPr="00624565">
        <w:rPr>
          <w:noProof/>
        </w:rPr>
        <w:t>nsakcjach między przedsiębiorcami</w:t>
      </w:r>
      <w:r w:rsidR="003F3D2B" w:rsidRPr="00624565">
        <w:rPr>
          <w:noProof/>
        </w:rPr>
        <w:t xml:space="preserve"> i</w:t>
      </w:r>
      <w:r w:rsidR="003F3D2B">
        <w:rPr>
          <w:noProof/>
        </w:rPr>
        <w:t> </w:t>
      </w:r>
      <w:r w:rsidR="003F3D2B" w:rsidRPr="00624565">
        <w:rPr>
          <w:noProof/>
        </w:rPr>
        <w:t>kon</w:t>
      </w:r>
      <w:r w:rsidRPr="00624565">
        <w:rPr>
          <w:noProof/>
        </w:rPr>
        <w:t>sumentami, jeśli mają one negatywny wpływ na decyzje dotyczące transakcji podejmowane przez konsumentów. Wezwano</w:t>
      </w:r>
      <w:r w:rsidR="003F3D2B" w:rsidRPr="00624565">
        <w:rPr>
          <w:noProof/>
        </w:rPr>
        <w:t xml:space="preserve"> w</w:t>
      </w:r>
      <w:r w:rsidR="003F3D2B">
        <w:rPr>
          <w:noProof/>
        </w:rPr>
        <w:t> </w:t>
      </w:r>
      <w:r w:rsidR="003F3D2B" w:rsidRPr="00624565">
        <w:rPr>
          <w:noProof/>
        </w:rPr>
        <w:t>nie</w:t>
      </w:r>
      <w:r w:rsidRPr="00624565">
        <w:rPr>
          <w:noProof/>
        </w:rPr>
        <w:t>j organy ochrony konsumentów</w:t>
      </w:r>
      <w:r w:rsidR="003F3D2B" w:rsidRPr="00624565">
        <w:rPr>
          <w:noProof/>
        </w:rPr>
        <w:t xml:space="preserve"> w</w:t>
      </w:r>
      <w:r w:rsidR="003F3D2B">
        <w:rPr>
          <w:noProof/>
        </w:rPr>
        <w:t> </w:t>
      </w:r>
      <w:r w:rsidR="003F3D2B" w:rsidRPr="00624565">
        <w:rPr>
          <w:noProof/>
        </w:rPr>
        <w:t>pań</w:t>
      </w:r>
      <w:r w:rsidRPr="00624565">
        <w:rPr>
          <w:noProof/>
        </w:rPr>
        <w:t>stwach członkowskich do oceny tych praktyk</w:t>
      </w:r>
      <w:r w:rsidR="003F3D2B" w:rsidRPr="00624565">
        <w:rPr>
          <w:noProof/>
        </w:rPr>
        <w:t xml:space="preserve"> w</w:t>
      </w:r>
      <w:r w:rsidR="003F3D2B">
        <w:rPr>
          <w:noProof/>
        </w:rPr>
        <w:t> </w:t>
      </w:r>
      <w:r w:rsidR="003F3D2B" w:rsidRPr="00624565">
        <w:rPr>
          <w:noProof/>
        </w:rPr>
        <w:t>każ</w:t>
      </w:r>
      <w:r w:rsidRPr="00624565">
        <w:rPr>
          <w:noProof/>
        </w:rPr>
        <w:t>dym przypadku na podstawie testu decyzji dotyczącej transakcji (oceny konkretnego przypadku)</w:t>
      </w:r>
      <w:r w:rsidRPr="00624565">
        <w:rPr>
          <w:rStyle w:val="FootnoteReference"/>
          <w:rFonts w:eastAsia="Times New Roman"/>
          <w:noProof/>
        </w:rPr>
        <w:footnoteReference w:id="27"/>
      </w:r>
      <w:r w:rsidRPr="00624565">
        <w:rPr>
          <w:noProof/>
        </w:rPr>
        <w:t>. Ustalono</w:t>
      </w:r>
      <w:r w:rsidR="003F3D2B" w:rsidRPr="00624565">
        <w:rPr>
          <w:noProof/>
        </w:rPr>
        <w:t xml:space="preserve"> w</w:t>
      </w:r>
      <w:r w:rsidR="003F3D2B">
        <w:rPr>
          <w:noProof/>
        </w:rPr>
        <w:t> </w:t>
      </w:r>
      <w:r w:rsidR="003F3D2B" w:rsidRPr="00624565">
        <w:rPr>
          <w:noProof/>
        </w:rPr>
        <w:t>nie</w:t>
      </w:r>
      <w:r w:rsidRPr="00624565">
        <w:rPr>
          <w:noProof/>
        </w:rPr>
        <w:t>j także czarną listę praktyk handlowych</w:t>
      </w:r>
      <w:r w:rsidRPr="00624565">
        <w:rPr>
          <w:rStyle w:val="FootnoteReference"/>
          <w:rFonts w:eastAsia="Times New Roman"/>
          <w:noProof/>
        </w:rPr>
        <w:footnoteReference w:id="28"/>
      </w:r>
      <w:r w:rsidRPr="00624565">
        <w:rPr>
          <w:noProof/>
        </w:rPr>
        <w:t>, które należy uznać za nieuczciwe</w:t>
      </w:r>
      <w:r w:rsidR="003F3D2B" w:rsidRPr="00624565">
        <w:rPr>
          <w:noProof/>
        </w:rPr>
        <w:t xml:space="preserve"> w</w:t>
      </w:r>
      <w:r w:rsidR="003F3D2B">
        <w:rPr>
          <w:noProof/>
        </w:rPr>
        <w:t> </w:t>
      </w:r>
      <w:r w:rsidR="003F3D2B" w:rsidRPr="00624565">
        <w:rPr>
          <w:noProof/>
        </w:rPr>
        <w:t>każ</w:t>
      </w:r>
      <w:r w:rsidRPr="00624565">
        <w:rPr>
          <w:noProof/>
        </w:rPr>
        <w:t>dych okolicznościach bez konieczności oceny konkretnego przypadku. Dochodzenia niezgodności</w:t>
      </w:r>
      <w:r w:rsidR="003F3D2B" w:rsidRPr="00624565">
        <w:rPr>
          <w:noProof/>
        </w:rPr>
        <w:t xml:space="preserve"> z</w:t>
      </w:r>
      <w:r w:rsidR="003F3D2B">
        <w:rPr>
          <w:noProof/>
        </w:rPr>
        <w:t> </w:t>
      </w:r>
      <w:r w:rsidR="003F3D2B" w:rsidRPr="00624565">
        <w:rPr>
          <w:noProof/>
        </w:rPr>
        <w:t>wym</w:t>
      </w:r>
      <w:r w:rsidRPr="00624565">
        <w:rPr>
          <w:noProof/>
        </w:rPr>
        <w:t>ogami dyrektywy dokonuje konsument zgłaszający roszczenie lub właściwy organ działający</w:t>
      </w:r>
      <w:r w:rsidR="003F3D2B" w:rsidRPr="00624565">
        <w:rPr>
          <w:noProof/>
        </w:rPr>
        <w:t xml:space="preserve"> z</w:t>
      </w:r>
      <w:r w:rsidR="003F3D2B">
        <w:rPr>
          <w:noProof/>
        </w:rPr>
        <w:t> </w:t>
      </w:r>
      <w:r w:rsidR="003F3D2B" w:rsidRPr="00624565">
        <w:rPr>
          <w:noProof/>
        </w:rPr>
        <w:t>wła</w:t>
      </w:r>
      <w:r w:rsidRPr="00624565">
        <w:rPr>
          <w:noProof/>
        </w:rPr>
        <w:t>snej inicjatywy.</w:t>
      </w:r>
    </w:p>
    <w:p w14:paraId="056584C2" w14:textId="2EA73376" w:rsidR="00D96629" w:rsidRPr="00624565" w:rsidRDefault="00D96629" w:rsidP="00D96629">
      <w:pPr>
        <w:tabs>
          <w:tab w:val="num" w:pos="567"/>
        </w:tabs>
        <w:rPr>
          <w:noProof/>
          <w:szCs w:val="24"/>
        </w:rPr>
      </w:pPr>
      <w:r w:rsidRPr="00624565">
        <w:rPr>
          <w:noProof/>
        </w:rPr>
        <w:t>We wniosku dotyczącym zmiany dyrektywy</w:t>
      </w:r>
      <w:r w:rsidR="003F3D2B" w:rsidRPr="00624565">
        <w:rPr>
          <w:noProof/>
        </w:rPr>
        <w:t xml:space="preserve"> o</w:t>
      </w:r>
      <w:r w:rsidR="003F3D2B">
        <w:rPr>
          <w:noProof/>
        </w:rPr>
        <w:t> </w:t>
      </w:r>
      <w:r w:rsidR="003F3D2B" w:rsidRPr="00624565">
        <w:rPr>
          <w:noProof/>
        </w:rPr>
        <w:t>nie</w:t>
      </w:r>
      <w:r w:rsidRPr="00624565">
        <w:rPr>
          <w:noProof/>
        </w:rPr>
        <w:t>uczciwych praktykach handlowych</w:t>
      </w:r>
      <w:r w:rsidRPr="00624565">
        <w:rPr>
          <w:noProof/>
          <w:vertAlign w:val="superscript"/>
        </w:rPr>
        <w:t>1</w:t>
      </w:r>
      <w:r w:rsidRPr="00624565">
        <w:rPr>
          <w:noProof/>
        </w:rPr>
        <w:t xml:space="preserve"> częściowo rozwiązano problemy,</w:t>
      </w:r>
      <w:r w:rsidR="003F3D2B" w:rsidRPr="00624565">
        <w:rPr>
          <w:noProof/>
        </w:rPr>
        <w:t xml:space="preserve"> o</w:t>
      </w:r>
      <w:r w:rsidR="003F3D2B">
        <w:rPr>
          <w:noProof/>
        </w:rPr>
        <w:t> </w:t>
      </w:r>
      <w:r w:rsidR="003F3D2B" w:rsidRPr="00624565">
        <w:rPr>
          <w:noProof/>
        </w:rPr>
        <w:t>któ</w:t>
      </w:r>
      <w:r w:rsidRPr="00624565">
        <w:rPr>
          <w:noProof/>
        </w:rPr>
        <w:t>rych mowa</w:t>
      </w:r>
      <w:r w:rsidR="003F3D2B" w:rsidRPr="00624565">
        <w:rPr>
          <w:noProof/>
        </w:rPr>
        <w:t xml:space="preserve"> w</w:t>
      </w:r>
      <w:r w:rsidR="003F3D2B">
        <w:rPr>
          <w:noProof/>
        </w:rPr>
        <w:t> </w:t>
      </w:r>
      <w:r w:rsidR="003F3D2B" w:rsidRPr="00624565">
        <w:rPr>
          <w:noProof/>
        </w:rPr>
        <w:t>sek</w:t>
      </w:r>
      <w:r w:rsidRPr="00624565">
        <w:rPr>
          <w:noProof/>
        </w:rPr>
        <w:t>cji 1.1 (pseudoekologiczny marketing</w:t>
      </w:r>
      <w:r w:rsidR="003F3D2B" w:rsidRPr="00624565">
        <w:rPr>
          <w:noProof/>
        </w:rPr>
        <w:t xml:space="preserve"> i</w:t>
      </w:r>
      <w:r w:rsidR="003F3D2B">
        <w:rPr>
          <w:noProof/>
        </w:rPr>
        <w:t> </w:t>
      </w:r>
      <w:r w:rsidR="003F3D2B" w:rsidRPr="00624565">
        <w:rPr>
          <w:noProof/>
        </w:rPr>
        <w:t>nie</w:t>
      </w:r>
      <w:r w:rsidRPr="00624565">
        <w:rPr>
          <w:noProof/>
        </w:rPr>
        <w:t>przejrzyste oznakowanie dotyczące zrównoważonego charakteru). Wdraża on szereg środków dotyczących oświadczeń środowiskowych wynikających</w:t>
      </w:r>
      <w:r w:rsidR="003F3D2B" w:rsidRPr="00624565">
        <w:rPr>
          <w:noProof/>
        </w:rPr>
        <w:t xml:space="preserve"> z</w:t>
      </w:r>
      <w:r w:rsidR="003F3D2B">
        <w:rPr>
          <w:noProof/>
        </w:rPr>
        <w:t> </w:t>
      </w:r>
      <w:r w:rsidR="003F3D2B" w:rsidRPr="00624565">
        <w:rPr>
          <w:noProof/>
        </w:rPr>
        <w:t>pre</w:t>
      </w:r>
      <w:r w:rsidRPr="00624565">
        <w:rPr>
          <w:noProof/>
        </w:rPr>
        <w:t>ferowanych wariantów strategicznych,</w:t>
      </w:r>
      <w:r w:rsidR="003F3D2B" w:rsidRPr="00624565">
        <w:rPr>
          <w:noProof/>
        </w:rPr>
        <w:t xml:space="preserve"> w</w:t>
      </w:r>
      <w:r w:rsidR="003F3D2B">
        <w:rPr>
          <w:noProof/>
        </w:rPr>
        <w:t> </w:t>
      </w:r>
      <w:r w:rsidR="003F3D2B" w:rsidRPr="00624565">
        <w:rPr>
          <w:noProof/>
        </w:rPr>
        <w:t>tym</w:t>
      </w:r>
      <w:r w:rsidRPr="00624565">
        <w:rPr>
          <w:noProof/>
        </w:rPr>
        <w:t>:</w:t>
      </w:r>
    </w:p>
    <w:p w14:paraId="22A2C591" w14:textId="393846C7" w:rsidR="00D96629" w:rsidRPr="00624565" w:rsidRDefault="004D161E" w:rsidP="004D161E">
      <w:pPr>
        <w:pStyle w:val="Point0"/>
        <w:rPr>
          <w:rFonts w:eastAsia="Times New Roman"/>
          <w:noProof/>
          <w:shd w:val="clear" w:color="auto" w:fill="FFFFFF"/>
        </w:rPr>
      </w:pPr>
      <w:r w:rsidRPr="00624565">
        <w:rPr>
          <w:noProof/>
        </w:rPr>
        <w:t>(1)</w:t>
      </w:r>
      <w:r w:rsidRPr="00624565">
        <w:rPr>
          <w:noProof/>
        </w:rPr>
        <w:tab/>
        <w:t xml:space="preserve">W art. 6 </w:t>
      </w:r>
      <w:r w:rsidRPr="003F3D2B">
        <w:rPr>
          <w:noProof/>
        </w:rPr>
        <w:t>ust.</w:t>
      </w:r>
      <w:r w:rsidR="003F3D2B" w:rsidRPr="003F3D2B">
        <w:rPr>
          <w:noProof/>
        </w:rPr>
        <w:t> </w:t>
      </w:r>
      <w:r w:rsidRPr="003F3D2B">
        <w:rPr>
          <w:noProof/>
        </w:rPr>
        <w:t>1</w:t>
      </w:r>
      <w:r w:rsidRPr="00624565">
        <w:rPr>
          <w:noProof/>
        </w:rPr>
        <w:t xml:space="preserve"> dyrektywy 2005/29/WE zmieniono wykaz</w:t>
      </w:r>
      <w:r w:rsidRPr="00624565">
        <w:rPr>
          <w:b/>
          <w:noProof/>
        </w:rPr>
        <w:t xml:space="preserve"> cech produktu, co do których przedsiębiorca nie powinien wprowadzać konsumenta</w:t>
      </w:r>
      <w:r w:rsidR="003F3D2B" w:rsidRPr="00624565">
        <w:rPr>
          <w:b/>
          <w:noProof/>
        </w:rPr>
        <w:t xml:space="preserve"> w</w:t>
      </w:r>
      <w:r w:rsidR="003F3D2B">
        <w:rPr>
          <w:b/>
          <w:noProof/>
        </w:rPr>
        <w:t> </w:t>
      </w:r>
      <w:r w:rsidR="003F3D2B" w:rsidRPr="00624565">
        <w:rPr>
          <w:b/>
          <w:noProof/>
        </w:rPr>
        <w:t>błą</w:t>
      </w:r>
      <w:r w:rsidRPr="00624565">
        <w:rPr>
          <w:b/>
          <w:noProof/>
        </w:rPr>
        <w:t>d</w:t>
      </w:r>
      <w:r w:rsidRPr="00624565">
        <w:rPr>
          <w:noProof/>
          <w:shd w:val="clear" w:color="auto" w:fill="FFFFFF"/>
        </w:rPr>
        <w:t>, dołączając do tego wykazu „</w:t>
      </w:r>
      <w:r w:rsidRPr="00624565">
        <w:rPr>
          <w:b/>
          <w:noProof/>
          <w:shd w:val="clear" w:color="auto" w:fill="FFFFFF"/>
        </w:rPr>
        <w:t xml:space="preserve">skutki środowiskowe </w:t>
      </w:r>
      <w:r w:rsidRPr="00624565">
        <w:rPr>
          <w:noProof/>
          <w:shd w:val="clear" w:color="auto" w:fill="FFFFFF"/>
        </w:rPr>
        <w:t xml:space="preserve">lub społeczne”, „trwałość” i „możliwość naprawy”. </w:t>
      </w:r>
    </w:p>
    <w:p w14:paraId="59822344" w14:textId="24887334" w:rsidR="00D96629" w:rsidRPr="00624565" w:rsidRDefault="004D161E" w:rsidP="004D161E">
      <w:pPr>
        <w:pStyle w:val="Point0"/>
        <w:rPr>
          <w:noProof/>
          <w:shd w:val="clear" w:color="auto" w:fill="FFFFFF"/>
        </w:rPr>
      </w:pPr>
      <w:r w:rsidRPr="00624565">
        <w:rPr>
          <w:noProof/>
        </w:rPr>
        <w:t>(2)</w:t>
      </w:r>
      <w:r w:rsidRPr="00624565">
        <w:rPr>
          <w:noProof/>
        </w:rPr>
        <w:tab/>
      </w:r>
      <w:r w:rsidRPr="00624565">
        <w:rPr>
          <w:noProof/>
          <w:shd w:val="clear" w:color="auto" w:fill="FFFFFF"/>
        </w:rPr>
        <w:t xml:space="preserve">W </w:t>
      </w:r>
      <w:r w:rsidRPr="003F3D2B">
        <w:rPr>
          <w:noProof/>
          <w:shd w:val="clear" w:color="auto" w:fill="FFFFFF"/>
        </w:rPr>
        <w:t>art.</w:t>
      </w:r>
      <w:r w:rsidR="003F3D2B" w:rsidRPr="003F3D2B">
        <w:rPr>
          <w:noProof/>
          <w:shd w:val="clear" w:color="auto" w:fill="FFFFFF"/>
        </w:rPr>
        <w:t> </w:t>
      </w:r>
      <w:r w:rsidRPr="003F3D2B">
        <w:rPr>
          <w:noProof/>
          <w:shd w:val="clear" w:color="auto" w:fill="FFFFFF"/>
        </w:rPr>
        <w:t>6</w:t>
      </w:r>
      <w:r w:rsidRPr="00624565">
        <w:rPr>
          <w:noProof/>
          <w:shd w:val="clear" w:color="auto" w:fill="FFFFFF"/>
        </w:rPr>
        <w:t xml:space="preserve"> </w:t>
      </w:r>
      <w:r w:rsidRPr="003F3D2B">
        <w:rPr>
          <w:noProof/>
          <w:shd w:val="clear" w:color="auto" w:fill="FFFFFF"/>
        </w:rPr>
        <w:t>ust.</w:t>
      </w:r>
      <w:r w:rsidR="003F3D2B" w:rsidRPr="003F3D2B">
        <w:rPr>
          <w:noProof/>
          <w:shd w:val="clear" w:color="auto" w:fill="FFFFFF"/>
        </w:rPr>
        <w:t> </w:t>
      </w:r>
      <w:r w:rsidRPr="003F3D2B">
        <w:rPr>
          <w:noProof/>
          <w:shd w:val="clear" w:color="auto" w:fill="FFFFFF"/>
        </w:rPr>
        <w:t>2</w:t>
      </w:r>
      <w:r w:rsidRPr="00624565">
        <w:rPr>
          <w:noProof/>
          <w:shd w:val="clear" w:color="auto" w:fill="FFFFFF"/>
        </w:rPr>
        <w:t xml:space="preserve"> dyrektywy 2005/29/WE zmieniono wykaz </w:t>
      </w:r>
      <w:r w:rsidRPr="00624565">
        <w:rPr>
          <w:b/>
          <w:noProof/>
          <w:shd w:val="clear" w:color="auto" w:fill="FFFFFF"/>
        </w:rPr>
        <w:t>działań, które należy uznać za wprowadzające</w:t>
      </w:r>
      <w:r w:rsidR="003F3D2B" w:rsidRPr="00624565">
        <w:rPr>
          <w:b/>
          <w:noProof/>
          <w:shd w:val="clear" w:color="auto" w:fill="FFFFFF"/>
        </w:rPr>
        <w:t xml:space="preserve"> w</w:t>
      </w:r>
      <w:r w:rsidR="003F3D2B">
        <w:rPr>
          <w:b/>
          <w:noProof/>
          <w:shd w:val="clear" w:color="auto" w:fill="FFFFFF"/>
        </w:rPr>
        <w:t> </w:t>
      </w:r>
      <w:r w:rsidR="003F3D2B" w:rsidRPr="00624565">
        <w:rPr>
          <w:b/>
          <w:noProof/>
          <w:shd w:val="clear" w:color="auto" w:fill="FFFFFF"/>
        </w:rPr>
        <w:t>błą</w:t>
      </w:r>
      <w:r w:rsidRPr="00624565">
        <w:rPr>
          <w:b/>
          <w:noProof/>
          <w:shd w:val="clear" w:color="auto" w:fill="FFFFFF"/>
        </w:rPr>
        <w:t>d</w:t>
      </w:r>
      <w:r w:rsidRPr="00624565">
        <w:rPr>
          <w:noProof/>
          <w:shd w:val="clear" w:color="auto" w:fill="FFFFFF"/>
        </w:rPr>
        <w:t xml:space="preserve"> jeżeli powodują lub mogą </w:t>
      </w:r>
      <w:r w:rsidRPr="00624565">
        <w:rPr>
          <w:b/>
          <w:noProof/>
        </w:rPr>
        <w:t>spowodować</w:t>
      </w:r>
      <w:r w:rsidRPr="00624565">
        <w:rPr>
          <w:noProof/>
          <w:shd w:val="clear" w:color="auto" w:fill="FFFFFF"/>
        </w:rPr>
        <w:t xml:space="preserve"> podjęcie przez przeciętnego konsumenta decyzji dotyczącej transakcji, której</w:t>
      </w:r>
      <w:r w:rsidR="003F3D2B" w:rsidRPr="00624565">
        <w:rPr>
          <w:noProof/>
          <w:shd w:val="clear" w:color="auto" w:fill="FFFFFF"/>
        </w:rPr>
        <w:t xml:space="preserve"> w</w:t>
      </w:r>
      <w:r w:rsidR="003F3D2B">
        <w:rPr>
          <w:noProof/>
          <w:shd w:val="clear" w:color="auto" w:fill="FFFFFF"/>
        </w:rPr>
        <w:t> </w:t>
      </w:r>
      <w:r w:rsidR="003F3D2B" w:rsidRPr="00624565">
        <w:rPr>
          <w:noProof/>
          <w:shd w:val="clear" w:color="auto" w:fill="FFFFFF"/>
        </w:rPr>
        <w:t>prz</w:t>
      </w:r>
      <w:r w:rsidRPr="00624565">
        <w:rPr>
          <w:noProof/>
          <w:shd w:val="clear" w:color="auto" w:fill="FFFFFF"/>
        </w:rPr>
        <w:t xml:space="preserve">eciwnym razie by nie podjął, dołączając do tego wykazu </w:t>
      </w:r>
      <w:r w:rsidRPr="00624565">
        <w:rPr>
          <w:i/>
          <w:noProof/>
          <w:bdr w:val="none" w:sz="0" w:space="0" w:color="auto" w:frame="1"/>
          <w:shd w:val="clear" w:color="auto" w:fill="FFFFFF"/>
        </w:rPr>
        <w:t>formułowanie oświadczenia środowiskowego związanego</w:t>
      </w:r>
      <w:r w:rsidR="003F3D2B" w:rsidRPr="00624565">
        <w:rPr>
          <w:i/>
          <w:noProof/>
          <w:bdr w:val="none" w:sz="0" w:space="0" w:color="auto" w:frame="1"/>
          <w:shd w:val="clear" w:color="auto" w:fill="FFFFFF"/>
        </w:rPr>
        <w:t xml:space="preserve"> z</w:t>
      </w:r>
      <w:r w:rsidR="003F3D2B">
        <w:rPr>
          <w:i/>
          <w:noProof/>
          <w:bdr w:val="none" w:sz="0" w:space="0" w:color="auto" w:frame="1"/>
          <w:shd w:val="clear" w:color="auto" w:fill="FFFFFF"/>
        </w:rPr>
        <w:t> </w:t>
      </w:r>
      <w:r w:rsidR="003F3D2B" w:rsidRPr="00624565">
        <w:rPr>
          <w:i/>
          <w:noProof/>
          <w:bdr w:val="none" w:sz="0" w:space="0" w:color="auto" w:frame="1"/>
          <w:shd w:val="clear" w:color="auto" w:fill="FFFFFF"/>
        </w:rPr>
        <w:t>prz</w:t>
      </w:r>
      <w:r w:rsidRPr="00624565">
        <w:rPr>
          <w:i/>
          <w:noProof/>
          <w:bdr w:val="none" w:sz="0" w:space="0" w:color="auto" w:frame="1"/>
          <w:shd w:val="clear" w:color="auto" w:fill="FFFFFF"/>
        </w:rPr>
        <w:t>yszłą efektywnością środowiskową bez jasnych, obiektywnych lub weryfikowalnych zobowiązań bądź celów</w:t>
      </w:r>
      <w:r w:rsidR="003F3D2B" w:rsidRPr="00624565">
        <w:rPr>
          <w:i/>
          <w:noProof/>
          <w:bdr w:val="none" w:sz="0" w:space="0" w:color="auto" w:frame="1"/>
          <w:shd w:val="clear" w:color="auto" w:fill="FFFFFF"/>
        </w:rPr>
        <w:t xml:space="preserve"> i</w:t>
      </w:r>
      <w:r w:rsidR="003F3D2B">
        <w:rPr>
          <w:i/>
          <w:noProof/>
          <w:bdr w:val="none" w:sz="0" w:space="0" w:color="auto" w:frame="1"/>
          <w:shd w:val="clear" w:color="auto" w:fill="FFFFFF"/>
        </w:rPr>
        <w:t> </w:t>
      </w:r>
      <w:r w:rsidR="003F3D2B" w:rsidRPr="00624565">
        <w:rPr>
          <w:i/>
          <w:noProof/>
          <w:bdr w:val="none" w:sz="0" w:space="0" w:color="auto" w:frame="1"/>
          <w:shd w:val="clear" w:color="auto" w:fill="FFFFFF"/>
        </w:rPr>
        <w:t>bez</w:t>
      </w:r>
      <w:r w:rsidRPr="00624565">
        <w:rPr>
          <w:i/>
          <w:noProof/>
          <w:bdr w:val="none" w:sz="0" w:space="0" w:color="auto" w:frame="1"/>
          <w:shd w:val="clear" w:color="auto" w:fill="FFFFFF"/>
        </w:rPr>
        <w:t xml:space="preserve"> niezależnego systemu monitorowania.</w:t>
      </w:r>
    </w:p>
    <w:p w14:paraId="708FCE81" w14:textId="2AF86B96" w:rsidR="00D96629" w:rsidRPr="00624565" w:rsidRDefault="004D161E" w:rsidP="004D161E">
      <w:pPr>
        <w:pStyle w:val="Point0"/>
        <w:rPr>
          <w:noProof/>
          <w:bdr w:val="none" w:sz="0" w:space="0" w:color="auto" w:frame="1"/>
          <w:shd w:val="clear" w:color="auto" w:fill="FFFFFF"/>
        </w:rPr>
      </w:pPr>
      <w:r w:rsidRPr="00624565">
        <w:rPr>
          <w:noProof/>
        </w:rPr>
        <w:t>(3)</w:t>
      </w:r>
      <w:r w:rsidRPr="00624565">
        <w:rPr>
          <w:noProof/>
        </w:rPr>
        <w:tab/>
      </w:r>
      <w:r w:rsidRPr="00624565">
        <w:rPr>
          <w:noProof/>
          <w:shd w:val="clear" w:color="auto" w:fill="FFFFFF"/>
        </w:rPr>
        <w:t xml:space="preserve">Wykaz </w:t>
      </w:r>
      <w:r w:rsidRPr="00624565">
        <w:rPr>
          <w:b/>
          <w:noProof/>
          <w:shd w:val="clear" w:color="auto" w:fill="FFFFFF"/>
        </w:rPr>
        <w:t>praktyk handlowych uznawanych za nieuczciwe</w:t>
      </w:r>
      <w:r w:rsidR="003F3D2B" w:rsidRPr="00624565">
        <w:rPr>
          <w:b/>
          <w:noProof/>
          <w:shd w:val="clear" w:color="auto" w:fill="FFFFFF"/>
        </w:rPr>
        <w:t xml:space="preserve"> w</w:t>
      </w:r>
      <w:r w:rsidR="003F3D2B">
        <w:rPr>
          <w:b/>
          <w:noProof/>
          <w:shd w:val="clear" w:color="auto" w:fill="FFFFFF"/>
        </w:rPr>
        <w:t> </w:t>
      </w:r>
      <w:r w:rsidR="003F3D2B" w:rsidRPr="00624565">
        <w:rPr>
          <w:b/>
          <w:noProof/>
          <w:shd w:val="clear" w:color="auto" w:fill="FFFFFF"/>
        </w:rPr>
        <w:t>każ</w:t>
      </w:r>
      <w:r w:rsidRPr="00624565">
        <w:rPr>
          <w:b/>
          <w:noProof/>
          <w:shd w:val="clear" w:color="auto" w:fill="FFFFFF"/>
        </w:rPr>
        <w:t>dych okolicznościach,</w:t>
      </w:r>
      <w:r w:rsidRPr="00624565">
        <w:rPr>
          <w:noProof/>
          <w:shd w:val="clear" w:color="auto" w:fill="FFFFFF"/>
        </w:rPr>
        <w:t xml:space="preserve"> znajdujący się</w:t>
      </w:r>
      <w:r w:rsidR="003F3D2B" w:rsidRPr="00624565">
        <w:rPr>
          <w:noProof/>
          <w:shd w:val="clear" w:color="auto" w:fill="FFFFFF"/>
        </w:rPr>
        <w:t xml:space="preserve"> w</w:t>
      </w:r>
      <w:r w:rsidR="003F3D2B">
        <w:rPr>
          <w:noProof/>
          <w:shd w:val="clear" w:color="auto" w:fill="FFFFFF"/>
        </w:rPr>
        <w:t> </w:t>
      </w:r>
      <w:r w:rsidR="003F3D2B" w:rsidRPr="00624565">
        <w:rPr>
          <w:noProof/>
          <w:shd w:val="clear" w:color="auto" w:fill="FFFFFF"/>
        </w:rPr>
        <w:t>zał</w:t>
      </w:r>
      <w:r w:rsidRPr="00624565">
        <w:rPr>
          <w:noProof/>
          <w:shd w:val="clear" w:color="auto" w:fill="FFFFFF"/>
        </w:rPr>
        <w:t>ączniku I do dyrektywy 2005/29/WE, rozszerzono</w:t>
      </w:r>
      <w:r w:rsidR="003F3D2B" w:rsidRPr="00624565">
        <w:rPr>
          <w:noProof/>
          <w:shd w:val="clear" w:color="auto" w:fill="FFFFFF"/>
        </w:rPr>
        <w:t xml:space="preserve"> o</w:t>
      </w:r>
      <w:r w:rsidR="003F3D2B">
        <w:rPr>
          <w:noProof/>
          <w:shd w:val="clear" w:color="auto" w:fill="FFFFFF"/>
        </w:rPr>
        <w:t> </w:t>
      </w:r>
      <w:r w:rsidR="003F3D2B" w:rsidRPr="00624565">
        <w:rPr>
          <w:noProof/>
          <w:shd w:val="clear" w:color="auto" w:fill="FFFFFF"/>
        </w:rPr>
        <w:t>czt</w:t>
      </w:r>
      <w:r w:rsidRPr="00624565">
        <w:rPr>
          <w:noProof/>
          <w:shd w:val="clear" w:color="auto" w:fill="FFFFFF"/>
        </w:rPr>
        <w:t>ery praktyki związane</w:t>
      </w:r>
      <w:r w:rsidR="003F3D2B" w:rsidRPr="00624565">
        <w:rPr>
          <w:noProof/>
          <w:shd w:val="clear" w:color="auto" w:fill="FFFFFF"/>
        </w:rPr>
        <w:t xml:space="preserve"> z</w:t>
      </w:r>
      <w:r w:rsidR="003F3D2B">
        <w:rPr>
          <w:noProof/>
          <w:shd w:val="clear" w:color="auto" w:fill="FFFFFF"/>
        </w:rPr>
        <w:t> </w:t>
      </w:r>
      <w:r w:rsidR="003F3D2B" w:rsidRPr="00624565">
        <w:rPr>
          <w:noProof/>
          <w:shd w:val="clear" w:color="auto" w:fill="FFFFFF"/>
        </w:rPr>
        <w:t>pse</w:t>
      </w:r>
      <w:r w:rsidRPr="00624565">
        <w:rPr>
          <w:noProof/>
          <w:shd w:val="clear" w:color="auto" w:fill="FFFFFF"/>
        </w:rPr>
        <w:t>udoekologicznym marketingiem:</w:t>
      </w:r>
    </w:p>
    <w:p w14:paraId="57F20CCB" w14:textId="77777777" w:rsidR="00D96629" w:rsidRPr="00624565" w:rsidRDefault="00D96629" w:rsidP="008306B5">
      <w:pPr>
        <w:pStyle w:val="Bullet1"/>
        <w:numPr>
          <w:ilvl w:val="0"/>
          <w:numId w:val="25"/>
        </w:numPr>
        <w:rPr>
          <w:noProof/>
          <w:bdr w:val="none" w:sz="0" w:space="0" w:color="auto" w:frame="1"/>
          <w:shd w:val="clear" w:color="auto" w:fill="FFFFFF"/>
        </w:rPr>
      </w:pPr>
      <w:r w:rsidRPr="00624565">
        <w:rPr>
          <w:noProof/>
        </w:rPr>
        <w:t>Umieszczanie oznakowania dotyczącego zrównoważonego charakteru, które to oznakowanie nie jest oparte na systemie certyfikacji ani nie zostało ustanowione przez organy publiczne. </w:t>
      </w:r>
    </w:p>
    <w:p w14:paraId="7BE1B12B" w14:textId="707BF8B7" w:rsidR="00D96629" w:rsidRPr="00624565" w:rsidRDefault="00D96629" w:rsidP="006E3743">
      <w:pPr>
        <w:pStyle w:val="Bullet1"/>
        <w:rPr>
          <w:noProof/>
          <w:bdr w:val="none" w:sz="0" w:space="0" w:color="auto" w:frame="1"/>
          <w:shd w:val="clear" w:color="auto" w:fill="FFFFFF"/>
        </w:rPr>
      </w:pPr>
      <w:r w:rsidRPr="00624565">
        <w:rPr>
          <w:noProof/>
        </w:rPr>
        <w:t xml:space="preserve">Formułowanie ogólnego oświadczenia środowiskowego, dla którego przedsiębiorca </w:t>
      </w:r>
      <w:r w:rsidRPr="00624565">
        <w:rPr>
          <w:noProof/>
          <w:bdr w:val="none" w:sz="0" w:space="0" w:color="auto" w:frame="1"/>
        </w:rPr>
        <w:t>nie jest</w:t>
      </w:r>
      <w:r w:rsidR="003F3D2B" w:rsidRPr="00624565">
        <w:rPr>
          <w:noProof/>
          <w:bdr w:val="none" w:sz="0" w:space="0" w:color="auto" w:frame="1"/>
        </w:rPr>
        <w:t xml:space="preserve"> w</w:t>
      </w:r>
      <w:r w:rsidR="003F3D2B">
        <w:rPr>
          <w:noProof/>
          <w:bdr w:val="none" w:sz="0" w:space="0" w:color="auto" w:frame="1"/>
        </w:rPr>
        <w:t> </w:t>
      </w:r>
      <w:r w:rsidR="003F3D2B" w:rsidRPr="00624565">
        <w:rPr>
          <w:noProof/>
          <w:bdr w:val="none" w:sz="0" w:space="0" w:color="auto" w:frame="1"/>
        </w:rPr>
        <w:t>sta</w:t>
      </w:r>
      <w:r w:rsidRPr="00624565">
        <w:rPr>
          <w:noProof/>
          <w:bdr w:val="none" w:sz="0" w:space="0" w:color="auto" w:frame="1"/>
        </w:rPr>
        <w:t>nie wykazać uznanej wysokiej efektywności środowiskowej istotnej dla tego oświadczenia.</w:t>
      </w:r>
    </w:p>
    <w:p w14:paraId="1C56AE44" w14:textId="0FB983B5" w:rsidR="00D96629" w:rsidRPr="00624565" w:rsidRDefault="00D96629" w:rsidP="006E3743">
      <w:pPr>
        <w:pStyle w:val="Bullet1"/>
        <w:rPr>
          <w:noProof/>
        </w:rPr>
      </w:pPr>
      <w:r w:rsidRPr="00624565">
        <w:rPr>
          <w:noProof/>
        </w:rPr>
        <w:t>Formułowanie oświadczenia środowiskowego</w:t>
      </w:r>
      <w:r w:rsidR="003F3D2B" w:rsidRPr="00624565">
        <w:rPr>
          <w:noProof/>
        </w:rPr>
        <w:t xml:space="preserve"> w</w:t>
      </w:r>
      <w:r w:rsidR="003F3D2B">
        <w:rPr>
          <w:noProof/>
        </w:rPr>
        <w:t> </w:t>
      </w:r>
      <w:r w:rsidR="003F3D2B" w:rsidRPr="00624565">
        <w:rPr>
          <w:noProof/>
        </w:rPr>
        <w:t>odn</w:t>
      </w:r>
      <w:r w:rsidRPr="00624565">
        <w:rPr>
          <w:noProof/>
        </w:rPr>
        <w:t>iesieniu do całego produktu, gdy</w:t>
      </w:r>
      <w:r w:rsidR="003F3D2B" w:rsidRPr="00624565">
        <w:rPr>
          <w:noProof/>
        </w:rPr>
        <w:t xml:space="preserve"> w</w:t>
      </w:r>
      <w:r w:rsidR="003F3D2B">
        <w:rPr>
          <w:noProof/>
        </w:rPr>
        <w:t> </w:t>
      </w:r>
      <w:r w:rsidR="003F3D2B" w:rsidRPr="00624565">
        <w:rPr>
          <w:noProof/>
        </w:rPr>
        <w:t>dot</w:t>
      </w:r>
      <w:r w:rsidRPr="00624565">
        <w:rPr>
          <w:noProof/>
        </w:rPr>
        <w:t>yczy ono tylko pewnego aspektu.</w:t>
      </w:r>
    </w:p>
    <w:p w14:paraId="4468330E" w14:textId="77777777" w:rsidR="00D96629" w:rsidRPr="00624565" w:rsidRDefault="00D96629" w:rsidP="006E3743">
      <w:pPr>
        <w:pStyle w:val="Bullet1"/>
        <w:rPr>
          <w:noProof/>
        </w:rPr>
      </w:pPr>
      <w:r w:rsidRPr="00624565">
        <w:rPr>
          <w:noProof/>
        </w:rPr>
        <w:t>Przedstawianie wymogów nałożonych przez prawo na wszystkie produkty należące do odnośnej kategorii produktów na rynku unijnym jako cechy wyróżniającej ofertę przedsiębiorcy.</w:t>
      </w:r>
    </w:p>
    <w:p w14:paraId="6C7B7D72" w14:textId="2234CC52" w:rsidR="00D96629" w:rsidRPr="00624565" w:rsidRDefault="00D96629" w:rsidP="00D96629">
      <w:pPr>
        <w:shd w:val="clear" w:color="auto" w:fill="FFFFFF" w:themeFill="background1"/>
        <w:tabs>
          <w:tab w:val="num" w:pos="567"/>
        </w:tabs>
        <w:textAlignment w:val="baseline"/>
        <w:rPr>
          <w:noProof/>
        </w:rPr>
      </w:pPr>
      <w:r w:rsidRPr="00624565">
        <w:rPr>
          <w:noProof/>
        </w:rPr>
        <w:t>Wniosek</w:t>
      </w:r>
      <w:r w:rsidR="003F3D2B" w:rsidRPr="00624565">
        <w:rPr>
          <w:noProof/>
        </w:rPr>
        <w:t xml:space="preserve"> w</w:t>
      </w:r>
      <w:r w:rsidR="003F3D2B">
        <w:rPr>
          <w:noProof/>
        </w:rPr>
        <w:t> </w:t>
      </w:r>
      <w:r w:rsidR="003F3D2B" w:rsidRPr="00624565">
        <w:rPr>
          <w:noProof/>
        </w:rPr>
        <w:t>spr</w:t>
      </w:r>
      <w:r w:rsidRPr="00624565">
        <w:rPr>
          <w:noProof/>
        </w:rPr>
        <w:t>awie wzmocnienia pozycji konsumentów</w:t>
      </w:r>
      <w:r w:rsidR="003F3D2B" w:rsidRPr="00624565">
        <w:rPr>
          <w:noProof/>
        </w:rPr>
        <w:t xml:space="preserve"> w</w:t>
      </w:r>
      <w:r w:rsidR="003F3D2B">
        <w:rPr>
          <w:noProof/>
        </w:rPr>
        <w:t> </w:t>
      </w:r>
      <w:r w:rsidR="003F3D2B" w:rsidRPr="00624565">
        <w:rPr>
          <w:noProof/>
        </w:rPr>
        <w:t>pro</w:t>
      </w:r>
      <w:r w:rsidRPr="00624565">
        <w:rPr>
          <w:noProof/>
        </w:rPr>
        <w:t>cesie transformacji ekologicznej odnosi się zatem</w:t>
      </w:r>
      <w:r w:rsidR="003F3D2B" w:rsidRPr="00624565">
        <w:rPr>
          <w:noProof/>
        </w:rPr>
        <w:t xml:space="preserve"> w</w:t>
      </w:r>
      <w:r w:rsidR="003F3D2B">
        <w:rPr>
          <w:noProof/>
        </w:rPr>
        <w:t> </w:t>
      </w:r>
      <w:r w:rsidR="003F3D2B" w:rsidRPr="00624565">
        <w:rPr>
          <w:noProof/>
        </w:rPr>
        <w:t>spo</w:t>
      </w:r>
      <w:r w:rsidRPr="00624565">
        <w:rPr>
          <w:noProof/>
        </w:rPr>
        <w:t>sób bardziej uogólniony do szerokiego zakresu praktyk, produktów</w:t>
      </w:r>
      <w:r w:rsidR="003F3D2B" w:rsidRPr="00624565">
        <w:rPr>
          <w:noProof/>
        </w:rPr>
        <w:t xml:space="preserve"> i</w:t>
      </w:r>
      <w:r w:rsidR="003F3D2B">
        <w:rPr>
          <w:noProof/>
        </w:rPr>
        <w:t> </w:t>
      </w:r>
      <w:r w:rsidR="003F3D2B" w:rsidRPr="00624565">
        <w:rPr>
          <w:noProof/>
        </w:rPr>
        <w:t>met</w:t>
      </w:r>
      <w:r w:rsidRPr="00624565">
        <w:rPr>
          <w:noProof/>
        </w:rPr>
        <w:t>od sprzedaży. Przewiduje się</w:t>
      </w:r>
      <w:r w:rsidR="003F3D2B" w:rsidRPr="00624565">
        <w:rPr>
          <w:noProof/>
        </w:rPr>
        <w:t xml:space="preserve"> w</w:t>
      </w:r>
      <w:r w:rsidR="003F3D2B">
        <w:rPr>
          <w:noProof/>
        </w:rPr>
        <w:t> </w:t>
      </w:r>
      <w:r w:rsidR="003F3D2B" w:rsidRPr="00624565">
        <w:rPr>
          <w:noProof/>
        </w:rPr>
        <w:t>nim</w:t>
      </w:r>
      <w:r w:rsidRPr="00624565">
        <w:rPr>
          <w:noProof/>
        </w:rPr>
        <w:t xml:space="preserve"> istotne zabezpieczenia chroniące konsumentów przed wprowadzającymi</w:t>
      </w:r>
      <w:r w:rsidR="003F3D2B" w:rsidRPr="00624565">
        <w:rPr>
          <w:noProof/>
        </w:rPr>
        <w:t xml:space="preserve"> w</w:t>
      </w:r>
      <w:r w:rsidR="003F3D2B">
        <w:rPr>
          <w:noProof/>
        </w:rPr>
        <w:t> </w:t>
      </w:r>
      <w:r w:rsidR="003F3D2B" w:rsidRPr="00624565">
        <w:rPr>
          <w:noProof/>
        </w:rPr>
        <w:t>błą</w:t>
      </w:r>
      <w:r w:rsidRPr="00624565">
        <w:rPr>
          <w:noProof/>
        </w:rPr>
        <w:t>d oświadczeniami środowiskowymi</w:t>
      </w:r>
      <w:r w:rsidR="003F3D2B" w:rsidRPr="00624565">
        <w:rPr>
          <w:noProof/>
        </w:rPr>
        <w:t xml:space="preserve"> i</w:t>
      </w:r>
      <w:r w:rsidR="003F3D2B">
        <w:rPr>
          <w:noProof/>
        </w:rPr>
        <w:t> </w:t>
      </w:r>
      <w:r w:rsidR="003F3D2B" w:rsidRPr="00624565">
        <w:rPr>
          <w:noProof/>
        </w:rPr>
        <w:t>nie</w:t>
      </w:r>
      <w:r w:rsidRPr="00624565">
        <w:rPr>
          <w:noProof/>
        </w:rPr>
        <w:t>wiarygodnym oznakowaniem.</w:t>
      </w:r>
    </w:p>
    <w:p w14:paraId="588864B1" w14:textId="560EE5B5" w:rsidR="00D96629" w:rsidRPr="00624565" w:rsidRDefault="00D96629" w:rsidP="006E3743">
      <w:pPr>
        <w:pStyle w:val="Bullet0"/>
        <w:rPr>
          <w:rFonts w:eastAsia="Times New Roman"/>
          <w:b/>
          <w:noProof/>
          <w:szCs w:val="24"/>
        </w:rPr>
      </w:pPr>
      <w:r w:rsidRPr="00624565">
        <w:rPr>
          <w:b/>
          <w:noProof/>
        </w:rPr>
        <w:t>Inne akty UE zachęcające do zrównoważonej konsumpcji</w:t>
      </w:r>
      <w:r w:rsidR="003F3D2B" w:rsidRPr="00624565">
        <w:rPr>
          <w:b/>
          <w:noProof/>
        </w:rPr>
        <w:t xml:space="preserve"> w</w:t>
      </w:r>
      <w:r w:rsidR="003F3D2B">
        <w:rPr>
          <w:b/>
          <w:noProof/>
        </w:rPr>
        <w:t> </w:t>
      </w:r>
      <w:r w:rsidR="003F3D2B" w:rsidRPr="00624565">
        <w:rPr>
          <w:b/>
          <w:noProof/>
        </w:rPr>
        <w:t>dro</w:t>
      </w:r>
      <w:r w:rsidRPr="00624565">
        <w:rPr>
          <w:b/>
          <w:noProof/>
        </w:rPr>
        <w:t>dze przekazywania informacji</w:t>
      </w:r>
      <w:r w:rsidR="003F3D2B" w:rsidRPr="00624565">
        <w:rPr>
          <w:b/>
          <w:noProof/>
        </w:rPr>
        <w:t xml:space="preserve"> o</w:t>
      </w:r>
      <w:r w:rsidR="003F3D2B">
        <w:rPr>
          <w:b/>
          <w:noProof/>
        </w:rPr>
        <w:t> </w:t>
      </w:r>
      <w:r w:rsidR="003F3D2B" w:rsidRPr="00624565">
        <w:rPr>
          <w:b/>
          <w:noProof/>
        </w:rPr>
        <w:t>śro</w:t>
      </w:r>
      <w:r w:rsidRPr="00624565">
        <w:rPr>
          <w:b/>
          <w:noProof/>
        </w:rPr>
        <w:t>dowisku</w:t>
      </w:r>
    </w:p>
    <w:p w14:paraId="038BB1E5" w14:textId="6294761F" w:rsidR="00D96629" w:rsidRPr="00624565" w:rsidRDefault="00D96629" w:rsidP="00D96629">
      <w:pPr>
        <w:tabs>
          <w:tab w:val="num" w:pos="567"/>
        </w:tabs>
        <w:rPr>
          <w:rFonts w:eastAsia="Times New Roman"/>
          <w:noProof/>
        </w:rPr>
      </w:pPr>
      <w:r w:rsidRPr="00624565">
        <w:rPr>
          <w:noProof/>
        </w:rPr>
        <w:t>Oprócz ram ochrony konsumentów istnieją ramy legislacyjne UE, które dotyczą przekazywania informacji</w:t>
      </w:r>
      <w:r w:rsidR="003F3D2B" w:rsidRPr="00624565">
        <w:rPr>
          <w:noProof/>
        </w:rPr>
        <w:t xml:space="preserve"> o</w:t>
      </w:r>
      <w:r w:rsidR="003F3D2B">
        <w:rPr>
          <w:noProof/>
        </w:rPr>
        <w:t> </w:t>
      </w:r>
      <w:r w:rsidR="003F3D2B" w:rsidRPr="00624565">
        <w:rPr>
          <w:noProof/>
        </w:rPr>
        <w:t>śro</w:t>
      </w:r>
      <w:r w:rsidRPr="00624565">
        <w:rPr>
          <w:noProof/>
        </w:rPr>
        <w:t>dowisku</w:t>
      </w:r>
      <w:r w:rsidR="003F3D2B" w:rsidRPr="00624565">
        <w:rPr>
          <w:noProof/>
        </w:rPr>
        <w:t xml:space="preserve"> i</w:t>
      </w:r>
      <w:r w:rsidR="003F3D2B">
        <w:rPr>
          <w:noProof/>
        </w:rPr>
        <w:t> </w:t>
      </w:r>
      <w:r w:rsidR="003F3D2B" w:rsidRPr="00624565">
        <w:rPr>
          <w:noProof/>
        </w:rPr>
        <w:t>okr</w:t>
      </w:r>
      <w:r w:rsidRPr="00624565">
        <w:rPr>
          <w:noProof/>
        </w:rPr>
        <w:t>eślają wymogi metodologiczne dotyczące pomiaru</w:t>
      </w:r>
      <w:r w:rsidR="003F3D2B" w:rsidRPr="00624565">
        <w:rPr>
          <w:noProof/>
        </w:rPr>
        <w:t xml:space="preserve"> i</w:t>
      </w:r>
      <w:r w:rsidR="003F3D2B">
        <w:rPr>
          <w:noProof/>
        </w:rPr>
        <w:t> </w:t>
      </w:r>
      <w:r w:rsidR="003F3D2B" w:rsidRPr="00624565">
        <w:rPr>
          <w:noProof/>
        </w:rPr>
        <w:t>obl</w:t>
      </w:r>
      <w:r w:rsidRPr="00624565">
        <w:rPr>
          <w:noProof/>
        </w:rPr>
        <w:t>iczania wpływu na środowisko, takie jak unijne metody certyfikacji usuwania dwutlenku węgla opracowane na podstawie rozporządzenia</w:t>
      </w:r>
      <w:r w:rsidR="003F3D2B" w:rsidRPr="00624565">
        <w:rPr>
          <w:noProof/>
        </w:rPr>
        <w:t xml:space="preserve"> w</w:t>
      </w:r>
      <w:r w:rsidR="003F3D2B">
        <w:rPr>
          <w:noProof/>
        </w:rPr>
        <w:t> </w:t>
      </w:r>
      <w:r w:rsidR="003F3D2B" w:rsidRPr="00624565">
        <w:rPr>
          <w:noProof/>
        </w:rPr>
        <w:t>spr</w:t>
      </w:r>
      <w:r w:rsidRPr="00624565">
        <w:rPr>
          <w:noProof/>
        </w:rPr>
        <w:t>awie certyfikacji usuwania dwutlenku węgla</w:t>
      </w:r>
      <w:r w:rsidRPr="00624565">
        <w:rPr>
          <w:rStyle w:val="FootnoteReference"/>
          <w:noProof/>
        </w:rPr>
        <w:footnoteReference w:id="29"/>
      </w:r>
      <w:r w:rsidRPr="00624565">
        <w:rPr>
          <w:noProof/>
        </w:rPr>
        <w:t xml:space="preserve"> (po jego przyjęciu), lub informacji</w:t>
      </w:r>
      <w:r w:rsidR="003F3D2B" w:rsidRPr="00624565">
        <w:rPr>
          <w:noProof/>
        </w:rPr>
        <w:t xml:space="preserve"> i</w:t>
      </w:r>
      <w:r w:rsidR="003F3D2B">
        <w:rPr>
          <w:noProof/>
        </w:rPr>
        <w:t> </w:t>
      </w:r>
      <w:r w:rsidR="003F3D2B" w:rsidRPr="00624565">
        <w:rPr>
          <w:noProof/>
        </w:rPr>
        <w:t>ozn</w:t>
      </w:r>
      <w:r w:rsidRPr="00624565">
        <w:rPr>
          <w:noProof/>
        </w:rPr>
        <w:t>akowania dotyczącego wpływu na środowisko, aspektów środowiskowych lub efektywności środowiskowej produktu lub przedsiębiorcy. Na przykład dyrektywa</w:t>
      </w:r>
      <w:r w:rsidR="003F3D2B" w:rsidRPr="00624565">
        <w:rPr>
          <w:noProof/>
        </w:rPr>
        <w:t xml:space="preserve"> w</w:t>
      </w:r>
      <w:r w:rsidR="003F3D2B">
        <w:rPr>
          <w:noProof/>
        </w:rPr>
        <w:t> </w:t>
      </w:r>
      <w:r w:rsidR="003F3D2B" w:rsidRPr="00624565">
        <w:rPr>
          <w:noProof/>
        </w:rPr>
        <w:t>spr</w:t>
      </w:r>
      <w:r w:rsidRPr="00624565">
        <w:rPr>
          <w:noProof/>
        </w:rPr>
        <w:t>awie ekoprojektu</w:t>
      </w:r>
      <w:r w:rsidRPr="00624565">
        <w:rPr>
          <w:rStyle w:val="FootnoteReference"/>
          <w:noProof/>
        </w:rPr>
        <w:footnoteReference w:id="30"/>
      </w:r>
      <w:r w:rsidRPr="00624565">
        <w:rPr>
          <w:noProof/>
        </w:rPr>
        <w:t xml:space="preserve"> ustanawia ogólne zasady ustalania wymogów dotyczących ekoprojektu dla produktów związanych</w:t>
      </w:r>
      <w:r w:rsidR="003F3D2B" w:rsidRPr="00624565">
        <w:rPr>
          <w:noProof/>
        </w:rPr>
        <w:t xml:space="preserve"> z</w:t>
      </w:r>
      <w:r w:rsidR="003F3D2B">
        <w:rPr>
          <w:noProof/>
        </w:rPr>
        <w:t> </w:t>
      </w:r>
      <w:r w:rsidR="003F3D2B" w:rsidRPr="00624565">
        <w:rPr>
          <w:noProof/>
        </w:rPr>
        <w:t>ene</w:t>
      </w:r>
      <w:r w:rsidRPr="00624565">
        <w:rPr>
          <w:noProof/>
        </w:rPr>
        <w:t>rgią</w:t>
      </w:r>
      <w:r w:rsidR="003F3D2B" w:rsidRPr="00624565">
        <w:rPr>
          <w:noProof/>
        </w:rPr>
        <w:t xml:space="preserve"> w</w:t>
      </w:r>
      <w:r w:rsidR="003F3D2B">
        <w:rPr>
          <w:noProof/>
        </w:rPr>
        <w:t> </w:t>
      </w:r>
      <w:r w:rsidR="003F3D2B" w:rsidRPr="00624565">
        <w:rPr>
          <w:noProof/>
        </w:rPr>
        <w:t>cel</w:t>
      </w:r>
      <w:r w:rsidRPr="00624565">
        <w:rPr>
          <w:noProof/>
        </w:rPr>
        <w:t>u zwiększania ich efektywności energetycznej</w:t>
      </w:r>
      <w:r w:rsidR="003F3D2B" w:rsidRPr="00624565">
        <w:rPr>
          <w:noProof/>
        </w:rPr>
        <w:t xml:space="preserve"> i</w:t>
      </w:r>
      <w:r w:rsidR="003F3D2B">
        <w:rPr>
          <w:noProof/>
        </w:rPr>
        <w:t> </w:t>
      </w:r>
      <w:r w:rsidR="003F3D2B" w:rsidRPr="00624565">
        <w:rPr>
          <w:noProof/>
        </w:rPr>
        <w:t>pro</w:t>
      </w:r>
      <w:r w:rsidRPr="00624565">
        <w:rPr>
          <w:noProof/>
        </w:rPr>
        <w:t>jektowania pod kątem obiegu zamkniętego oraz wspierania nowych modeli biznesowych</w:t>
      </w:r>
      <w:r w:rsidR="003F3D2B" w:rsidRPr="00624565">
        <w:rPr>
          <w:noProof/>
        </w:rPr>
        <w:t>. W</w:t>
      </w:r>
      <w:r w:rsidR="003F3D2B">
        <w:rPr>
          <w:noProof/>
        </w:rPr>
        <w:t> </w:t>
      </w:r>
      <w:r w:rsidR="003F3D2B" w:rsidRPr="00624565">
        <w:rPr>
          <w:noProof/>
        </w:rPr>
        <w:t>mar</w:t>
      </w:r>
      <w:r w:rsidRPr="00624565">
        <w:rPr>
          <w:noProof/>
        </w:rPr>
        <w:t>cu 20</w:t>
      </w:r>
      <w:r w:rsidRPr="003F3D2B">
        <w:rPr>
          <w:noProof/>
        </w:rPr>
        <w:t>22</w:t>
      </w:r>
      <w:r w:rsidR="003F3D2B" w:rsidRPr="003F3D2B">
        <w:rPr>
          <w:noProof/>
        </w:rPr>
        <w:t> </w:t>
      </w:r>
      <w:r w:rsidRPr="003F3D2B">
        <w:rPr>
          <w:noProof/>
        </w:rPr>
        <w:t>r.</w:t>
      </w:r>
      <w:r w:rsidRPr="00624565">
        <w:rPr>
          <w:noProof/>
        </w:rPr>
        <w:t xml:space="preserve"> Komisja przyjęła także nowe rozporządzenie</w:t>
      </w:r>
      <w:r w:rsidR="003F3D2B" w:rsidRPr="00624565">
        <w:rPr>
          <w:noProof/>
        </w:rPr>
        <w:t xml:space="preserve"> w</w:t>
      </w:r>
      <w:r w:rsidR="003F3D2B">
        <w:rPr>
          <w:noProof/>
        </w:rPr>
        <w:t> </w:t>
      </w:r>
      <w:r w:rsidR="003F3D2B" w:rsidRPr="00624565">
        <w:rPr>
          <w:noProof/>
        </w:rPr>
        <w:t>spr</w:t>
      </w:r>
      <w:r w:rsidRPr="00624565">
        <w:rPr>
          <w:noProof/>
        </w:rPr>
        <w:t>awie ekoprojektu dla zrównoważonych produktów</w:t>
      </w:r>
      <w:r w:rsidRPr="00624565">
        <w:rPr>
          <w:rStyle w:val="FootnoteReference"/>
          <w:rFonts w:eastAsia="Times New Roman"/>
          <w:noProof/>
        </w:rPr>
        <w:footnoteReference w:id="31"/>
      </w:r>
      <w:r w:rsidRPr="00624565">
        <w:rPr>
          <w:noProof/>
        </w:rPr>
        <w:t>, aby</w:t>
      </w:r>
      <w:r w:rsidR="003F3D2B" w:rsidRPr="00624565">
        <w:rPr>
          <w:noProof/>
        </w:rPr>
        <w:t xml:space="preserve"> w</w:t>
      </w:r>
      <w:r w:rsidR="003F3D2B">
        <w:rPr>
          <w:noProof/>
        </w:rPr>
        <w:t> </w:t>
      </w:r>
      <w:r w:rsidR="003F3D2B" w:rsidRPr="00624565">
        <w:rPr>
          <w:noProof/>
        </w:rPr>
        <w:t>zna</w:t>
      </w:r>
      <w:r w:rsidRPr="00624565">
        <w:rPr>
          <w:noProof/>
        </w:rPr>
        <w:t>czący sposób poprawić obieg zamknięty, charakterystykę energetyczną budynków, wpływ na środowisko</w:t>
      </w:r>
      <w:r w:rsidR="003F3D2B" w:rsidRPr="00624565">
        <w:rPr>
          <w:noProof/>
        </w:rPr>
        <w:t xml:space="preserve"> i</w:t>
      </w:r>
      <w:r w:rsidR="003F3D2B">
        <w:rPr>
          <w:noProof/>
        </w:rPr>
        <w:t> </w:t>
      </w:r>
      <w:r w:rsidR="003F3D2B" w:rsidRPr="00624565">
        <w:rPr>
          <w:noProof/>
        </w:rPr>
        <w:t>inn</w:t>
      </w:r>
      <w:r w:rsidRPr="00624565">
        <w:rPr>
          <w:noProof/>
        </w:rPr>
        <w:t>e aspekty zrównoważenia środowiskowego określonych priorytetowych grup produktów. Umożliwi ono określenie minimalnych wymogów dotyczących efektywności</w:t>
      </w:r>
      <w:r w:rsidR="003F3D2B" w:rsidRPr="00624565">
        <w:rPr>
          <w:noProof/>
        </w:rPr>
        <w:t xml:space="preserve"> i</w:t>
      </w:r>
      <w:r w:rsidR="003F3D2B">
        <w:rPr>
          <w:noProof/>
        </w:rPr>
        <w:t> </w:t>
      </w:r>
      <w:r w:rsidR="003F3D2B" w:rsidRPr="00624565">
        <w:rPr>
          <w:noProof/>
        </w:rPr>
        <w:t>wym</w:t>
      </w:r>
      <w:r w:rsidRPr="00624565">
        <w:rPr>
          <w:noProof/>
        </w:rPr>
        <w:t>ogów informacyjnych</w:t>
      </w:r>
      <w:r w:rsidR="003F3D2B" w:rsidRPr="00624565">
        <w:rPr>
          <w:noProof/>
        </w:rPr>
        <w:t xml:space="preserve"> w</w:t>
      </w:r>
      <w:r w:rsidR="003F3D2B">
        <w:rPr>
          <w:noProof/>
        </w:rPr>
        <w:t> </w:t>
      </w:r>
      <w:r w:rsidR="003F3D2B" w:rsidRPr="00624565">
        <w:rPr>
          <w:noProof/>
        </w:rPr>
        <w:t>odn</w:t>
      </w:r>
      <w:r w:rsidRPr="00624565">
        <w:rPr>
          <w:noProof/>
        </w:rPr>
        <w:t>iesieniu do niemal wszystkich kategorii dóbr fizycznych wprowadzanych na rynek UE</w:t>
      </w:r>
      <w:r w:rsidRPr="00624565">
        <w:rPr>
          <w:noProof/>
          <w:color w:val="404040"/>
        </w:rPr>
        <w:t>. Zawarte</w:t>
      </w:r>
      <w:r w:rsidR="003F3D2B" w:rsidRPr="00624565">
        <w:rPr>
          <w:noProof/>
          <w:color w:val="404040"/>
        </w:rPr>
        <w:t xml:space="preserve"> w</w:t>
      </w:r>
      <w:r w:rsidR="003F3D2B">
        <w:rPr>
          <w:noProof/>
          <w:color w:val="404040"/>
        </w:rPr>
        <w:t> </w:t>
      </w:r>
      <w:r w:rsidR="003F3D2B" w:rsidRPr="00624565">
        <w:rPr>
          <w:noProof/>
          <w:color w:val="404040"/>
        </w:rPr>
        <w:t>Pla</w:t>
      </w:r>
      <w:r w:rsidRPr="00624565">
        <w:rPr>
          <w:noProof/>
          <w:color w:val="404040"/>
        </w:rPr>
        <w:t>nie działania dotyczącym gospodarki</w:t>
      </w:r>
      <w:r w:rsidR="003F3D2B" w:rsidRPr="00624565">
        <w:rPr>
          <w:noProof/>
          <w:color w:val="404040"/>
        </w:rPr>
        <w:t xml:space="preserve"> o</w:t>
      </w:r>
      <w:r w:rsidR="003F3D2B">
        <w:rPr>
          <w:noProof/>
          <w:color w:val="404040"/>
        </w:rPr>
        <w:t> </w:t>
      </w:r>
      <w:r w:rsidR="003F3D2B" w:rsidRPr="00624565">
        <w:rPr>
          <w:noProof/>
          <w:color w:val="404040"/>
        </w:rPr>
        <w:t>obi</w:t>
      </w:r>
      <w:r w:rsidRPr="00624565">
        <w:rPr>
          <w:noProof/>
          <w:color w:val="404040"/>
        </w:rPr>
        <w:t>egu zamkniętym</w:t>
      </w:r>
      <w:r w:rsidR="003F3D2B" w:rsidRPr="00624565">
        <w:rPr>
          <w:noProof/>
          <w:color w:val="404040"/>
        </w:rPr>
        <w:t xml:space="preserve"> i</w:t>
      </w:r>
      <w:r w:rsidR="003F3D2B">
        <w:rPr>
          <w:noProof/>
          <w:color w:val="404040"/>
        </w:rPr>
        <w:t> </w:t>
      </w:r>
      <w:r w:rsidR="003F3D2B" w:rsidRPr="00624565">
        <w:rPr>
          <w:noProof/>
          <w:color w:val="404040"/>
        </w:rPr>
        <w:t>pol</w:t>
      </w:r>
      <w:r w:rsidRPr="00624565">
        <w:rPr>
          <w:noProof/>
          <w:color w:val="404040"/>
        </w:rPr>
        <w:t xml:space="preserve">ityce produktowej </w:t>
      </w:r>
      <w:r w:rsidRPr="00624565">
        <w:rPr>
          <w:noProof/>
        </w:rPr>
        <w:t>niektóre inne wnioski przedstawione przez Komisję obejmują wymogi informacyjne, na przykład</w:t>
      </w:r>
      <w:r w:rsidR="003F3D2B" w:rsidRPr="00624565">
        <w:rPr>
          <w:noProof/>
        </w:rPr>
        <w:t xml:space="preserve"> w</w:t>
      </w:r>
      <w:r w:rsidR="003F3D2B">
        <w:rPr>
          <w:noProof/>
        </w:rPr>
        <w:t> </w:t>
      </w:r>
      <w:r w:rsidR="003F3D2B" w:rsidRPr="00624565">
        <w:rPr>
          <w:noProof/>
        </w:rPr>
        <w:t>ram</w:t>
      </w:r>
      <w:r w:rsidRPr="00624565">
        <w:rPr>
          <w:noProof/>
        </w:rPr>
        <w:t>ach proponowanych rozporządzeń</w:t>
      </w:r>
      <w:r w:rsidR="003F3D2B" w:rsidRPr="00624565">
        <w:rPr>
          <w:noProof/>
        </w:rPr>
        <w:t xml:space="preserve"> w</w:t>
      </w:r>
      <w:r w:rsidR="003F3D2B">
        <w:rPr>
          <w:noProof/>
        </w:rPr>
        <w:t> </w:t>
      </w:r>
      <w:r w:rsidR="003F3D2B" w:rsidRPr="00624565">
        <w:rPr>
          <w:noProof/>
        </w:rPr>
        <w:t>spr</w:t>
      </w:r>
      <w:r w:rsidRPr="00624565">
        <w:rPr>
          <w:noProof/>
        </w:rPr>
        <w:t>awie wprowadzania do obrotu wyrobów budowlanych</w:t>
      </w:r>
      <w:r w:rsidRPr="00624565">
        <w:rPr>
          <w:rStyle w:val="FootnoteReference"/>
          <w:noProof/>
        </w:rPr>
        <w:footnoteReference w:id="32"/>
      </w:r>
      <w:r w:rsidRPr="00624565">
        <w:rPr>
          <w:noProof/>
        </w:rPr>
        <w:t xml:space="preserve"> oraz</w:t>
      </w:r>
      <w:r w:rsidR="003F3D2B" w:rsidRPr="00624565">
        <w:rPr>
          <w:noProof/>
        </w:rPr>
        <w:t xml:space="preserve"> </w:t>
      </w:r>
      <w:r w:rsidR="003F3D2B" w:rsidRPr="00624565">
        <w:rPr>
          <w:noProof/>
          <w:color w:val="404040"/>
        </w:rPr>
        <w:t>w</w:t>
      </w:r>
      <w:r w:rsidR="003F3D2B">
        <w:rPr>
          <w:noProof/>
        </w:rPr>
        <w:t> </w:t>
      </w:r>
      <w:r w:rsidR="003F3D2B" w:rsidRPr="00624565">
        <w:rPr>
          <w:noProof/>
          <w:color w:val="404040"/>
        </w:rPr>
        <w:t>spr</w:t>
      </w:r>
      <w:r w:rsidRPr="00624565">
        <w:rPr>
          <w:noProof/>
          <w:color w:val="404040"/>
        </w:rPr>
        <w:t>awie baterii</w:t>
      </w:r>
      <w:r w:rsidR="003F3D2B" w:rsidRPr="00624565">
        <w:rPr>
          <w:noProof/>
          <w:color w:val="404040"/>
        </w:rPr>
        <w:t xml:space="preserve"> i</w:t>
      </w:r>
      <w:r w:rsidR="003F3D2B">
        <w:rPr>
          <w:noProof/>
          <w:color w:val="404040"/>
        </w:rPr>
        <w:t> </w:t>
      </w:r>
      <w:r w:rsidR="003F3D2B" w:rsidRPr="00624565">
        <w:rPr>
          <w:noProof/>
          <w:color w:val="404040"/>
        </w:rPr>
        <w:t>zuż</w:t>
      </w:r>
      <w:r w:rsidRPr="00624565">
        <w:rPr>
          <w:noProof/>
          <w:color w:val="404040"/>
        </w:rPr>
        <w:t>ytych baterii</w:t>
      </w:r>
      <w:r w:rsidRPr="00624565">
        <w:rPr>
          <w:rStyle w:val="FootnoteReference"/>
          <w:noProof/>
        </w:rPr>
        <w:footnoteReference w:id="33"/>
      </w:r>
      <w:r w:rsidRPr="00624565">
        <w:rPr>
          <w:noProof/>
          <w:color w:val="404040"/>
        </w:rPr>
        <w:t>.</w:t>
      </w:r>
    </w:p>
    <w:p w14:paraId="21345EA2" w14:textId="484CDD50" w:rsidR="00D96629" w:rsidRPr="00624565" w:rsidRDefault="00D96629" w:rsidP="00D96629">
      <w:pPr>
        <w:tabs>
          <w:tab w:val="num" w:pos="567"/>
        </w:tabs>
        <w:rPr>
          <w:noProof/>
          <w:color w:val="404040" w:themeColor="text1" w:themeTint="BF"/>
        </w:rPr>
      </w:pPr>
      <w:r w:rsidRPr="00624565">
        <w:rPr>
          <w:noProof/>
        </w:rPr>
        <w:t>Istnieją ponadto akty prawne dotyczące oznakowania opracowanego na szczeblu UE, zarówno obowiązkowego, jak</w:t>
      </w:r>
      <w:r w:rsidR="003F3D2B" w:rsidRPr="00624565">
        <w:rPr>
          <w:noProof/>
        </w:rPr>
        <w:t xml:space="preserve"> i</w:t>
      </w:r>
      <w:r w:rsidR="003F3D2B">
        <w:rPr>
          <w:noProof/>
        </w:rPr>
        <w:t> </w:t>
      </w:r>
      <w:r w:rsidR="003F3D2B" w:rsidRPr="00624565">
        <w:rPr>
          <w:noProof/>
        </w:rPr>
        <w:t>dob</w:t>
      </w:r>
      <w:r w:rsidRPr="00624565">
        <w:rPr>
          <w:noProof/>
        </w:rPr>
        <w:t>rowolnego, takiego jak oznakowanie ekologiczne UE. Oznakowanie ekologiczne UE, które ustanowiono</w:t>
      </w:r>
      <w:r w:rsidR="003F3D2B" w:rsidRPr="00624565">
        <w:rPr>
          <w:noProof/>
        </w:rPr>
        <w:t xml:space="preserve"> w</w:t>
      </w:r>
      <w:r w:rsidR="003F3D2B">
        <w:rPr>
          <w:noProof/>
        </w:rPr>
        <w:t> </w:t>
      </w:r>
      <w:r w:rsidR="003F3D2B" w:rsidRPr="00624565">
        <w:rPr>
          <w:noProof/>
        </w:rPr>
        <w:t>1</w:t>
      </w:r>
      <w:r w:rsidRPr="00624565">
        <w:rPr>
          <w:noProof/>
        </w:rPr>
        <w:t>9</w:t>
      </w:r>
      <w:r w:rsidRPr="003F3D2B">
        <w:rPr>
          <w:noProof/>
        </w:rPr>
        <w:t>92</w:t>
      </w:r>
      <w:r w:rsidR="003F3D2B" w:rsidRPr="003F3D2B">
        <w:rPr>
          <w:noProof/>
        </w:rPr>
        <w:t> </w:t>
      </w:r>
      <w:r w:rsidRPr="003F3D2B">
        <w:rPr>
          <w:noProof/>
        </w:rPr>
        <w:t>r.</w:t>
      </w:r>
      <w:r w:rsidRPr="00624565">
        <w:rPr>
          <w:noProof/>
        </w:rPr>
        <w:t xml:space="preserve">, jest </w:t>
      </w:r>
      <w:r w:rsidRPr="00624565">
        <w:rPr>
          <w:noProof/>
          <w:color w:val="404040" w:themeColor="text1" w:themeTint="BF"/>
        </w:rPr>
        <w:t>oficjalnym dobrowolnym znakiem Unii Europejskiej potwierdzającym doskonałość środowiskową produktów w UE wykazujących najwyższą efektywność</w:t>
      </w:r>
      <w:r w:rsidR="003F3D2B" w:rsidRPr="00624565">
        <w:rPr>
          <w:noProof/>
          <w:color w:val="404040" w:themeColor="text1" w:themeTint="BF"/>
        </w:rPr>
        <w:t>. W</w:t>
      </w:r>
      <w:r w:rsidR="003F3D2B">
        <w:rPr>
          <w:noProof/>
          <w:color w:val="404040" w:themeColor="text1" w:themeTint="BF"/>
        </w:rPr>
        <w:t> </w:t>
      </w:r>
      <w:r w:rsidR="003F3D2B" w:rsidRPr="00624565">
        <w:rPr>
          <w:noProof/>
          <w:color w:val="404040" w:themeColor="text1" w:themeTint="BF"/>
        </w:rPr>
        <w:t>roz</w:t>
      </w:r>
      <w:r w:rsidRPr="00624565">
        <w:rPr>
          <w:noProof/>
          <w:color w:val="404040" w:themeColor="text1" w:themeTint="BF"/>
        </w:rPr>
        <w:t>porządzeniu</w:t>
      </w:r>
      <w:r w:rsidR="003F3D2B" w:rsidRPr="00624565">
        <w:rPr>
          <w:noProof/>
          <w:color w:val="404040" w:themeColor="text1" w:themeTint="BF"/>
        </w:rPr>
        <w:t xml:space="preserve"> w</w:t>
      </w:r>
      <w:r w:rsidR="003F3D2B">
        <w:rPr>
          <w:noProof/>
          <w:color w:val="404040" w:themeColor="text1" w:themeTint="BF"/>
        </w:rPr>
        <w:t> </w:t>
      </w:r>
      <w:r w:rsidR="003F3D2B" w:rsidRPr="00624565">
        <w:rPr>
          <w:noProof/>
          <w:color w:val="404040" w:themeColor="text1" w:themeTint="BF"/>
        </w:rPr>
        <w:t>spr</w:t>
      </w:r>
      <w:r w:rsidRPr="00624565">
        <w:rPr>
          <w:noProof/>
          <w:color w:val="404040" w:themeColor="text1" w:themeTint="BF"/>
        </w:rPr>
        <w:t>awie oznakowania ekologicznego UE</w:t>
      </w:r>
      <w:r w:rsidRPr="00624565">
        <w:rPr>
          <w:rStyle w:val="FootnoteReference"/>
          <w:noProof/>
          <w:color w:val="404040"/>
        </w:rPr>
        <w:footnoteReference w:id="34"/>
      </w:r>
      <w:r w:rsidRPr="00624565">
        <w:rPr>
          <w:noProof/>
          <w:color w:val="404040" w:themeColor="text1" w:themeTint="BF"/>
        </w:rPr>
        <w:t xml:space="preserve"> określono zasady tworzenia</w:t>
      </w:r>
      <w:r w:rsidR="003F3D2B" w:rsidRPr="00624565">
        <w:rPr>
          <w:noProof/>
          <w:color w:val="404040" w:themeColor="text1" w:themeTint="BF"/>
        </w:rPr>
        <w:t xml:space="preserve"> i</w:t>
      </w:r>
      <w:r w:rsidR="003F3D2B">
        <w:rPr>
          <w:noProof/>
          <w:color w:val="404040" w:themeColor="text1" w:themeTint="BF"/>
        </w:rPr>
        <w:t> </w:t>
      </w:r>
      <w:r w:rsidR="003F3D2B" w:rsidRPr="00624565">
        <w:rPr>
          <w:noProof/>
          <w:color w:val="404040" w:themeColor="text1" w:themeTint="BF"/>
        </w:rPr>
        <w:t>sto</w:t>
      </w:r>
      <w:r w:rsidRPr="00624565">
        <w:rPr>
          <w:noProof/>
          <w:color w:val="404040" w:themeColor="text1" w:themeTint="BF"/>
        </w:rPr>
        <w:t>sowania tego programu opartego na dobrowolnym uczestnictwie. Inne powiązane przepisy prawa UE dotyczące oznakowań obejmują przepisy dotyczące systemu ekozarządzania</w:t>
      </w:r>
      <w:r w:rsidR="003F3D2B" w:rsidRPr="00624565">
        <w:rPr>
          <w:noProof/>
          <w:color w:val="404040" w:themeColor="text1" w:themeTint="BF"/>
        </w:rPr>
        <w:t xml:space="preserve"> i</w:t>
      </w:r>
      <w:r w:rsidR="003F3D2B">
        <w:rPr>
          <w:noProof/>
          <w:color w:val="404040" w:themeColor="text1" w:themeTint="BF"/>
        </w:rPr>
        <w:t> </w:t>
      </w:r>
      <w:r w:rsidR="003F3D2B" w:rsidRPr="00624565">
        <w:rPr>
          <w:noProof/>
          <w:color w:val="404040" w:themeColor="text1" w:themeTint="BF"/>
        </w:rPr>
        <w:t>aud</w:t>
      </w:r>
      <w:r w:rsidRPr="00624565">
        <w:rPr>
          <w:noProof/>
          <w:color w:val="404040" w:themeColor="text1" w:themeTint="BF"/>
        </w:rPr>
        <w:t>ytu</w:t>
      </w:r>
      <w:r w:rsidRPr="00624565">
        <w:rPr>
          <w:rStyle w:val="FootnoteReference"/>
          <w:noProof/>
          <w:color w:val="404040" w:themeColor="text1" w:themeTint="BF"/>
        </w:rPr>
        <w:footnoteReference w:id="35"/>
      </w:r>
      <w:r w:rsidRPr="00624565">
        <w:rPr>
          <w:noProof/>
          <w:color w:val="404040" w:themeColor="text1" w:themeTint="BF"/>
        </w:rPr>
        <w:t>, rozporządzenia</w:t>
      </w:r>
      <w:r w:rsidR="003F3D2B" w:rsidRPr="00624565">
        <w:rPr>
          <w:noProof/>
          <w:color w:val="404040" w:themeColor="text1" w:themeTint="BF"/>
        </w:rPr>
        <w:t xml:space="preserve"> w</w:t>
      </w:r>
      <w:r w:rsidR="003F3D2B">
        <w:rPr>
          <w:noProof/>
          <w:color w:val="404040" w:themeColor="text1" w:themeTint="BF"/>
        </w:rPr>
        <w:t> </w:t>
      </w:r>
      <w:r w:rsidR="003F3D2B" w:rsidRPr="00624565">
        <w:rPr>
          <w:noProof/>
          <w:color w:val="404040" w:themeColor="text1" w:themeTint="BF"/>
        </w:rPr>
        <w:t>spr</w:t>
      </w:r>
      <w:r w:rsidRPr="00624565">
        <w:rPr>
          <w:noProof/>
          <w:color w:val="404040" w:themeColor="text1" w:themeTint="BF"/>
        </w:rPr>
        <w:t>awie oznakowania rolnictwa ekologicznego</w:t>
      </w:r>
      <w:r w:rsidRPr="00624565">
        <w:rPr>
          <w:rStyle w:val="FootnoteReference"/>
          <w:noProof/>
        </w:rPr>
        <w:footnoteReference w:id="36"/>
      </w:r>
      <w:r w:rsidRPr="00624565">
        <w:rPr>
          <w:noProof/>
          <w:color w:val="404040" w:themeColor="text1" w:themeTint="BF"/>
        </w:rPr>
        <w:t>, etykietowania energetycznego</w:t>
      </w:r>
      <w:r w:rsidRPr="00624565">
        <w:rPr>
          <w:rStyle w:val="FootnoteReference"/>
          <w:noProof/>
        </w:rPr>
        <w:footnoteReference w:id="37"/>
      </w:r>
      <w:r w:rsidR="003F3D2B" w:rsidRPr="00624565">
        <w:rPr>
          <w:noProof/>
          <w:color w:val="404040" w:themeColor="text1" w:themeTint="BF"/>
        </w:rPr>
        <w:t xml:space="preserve"> i</w:t>
      </w:r>
      <w:r w:rsidR="003F3D2B">
        <w:rPr>
          <w:noProof/>
          <w:color w:val="404040" w:themeColor="text1" w:themeTint="BF"/>
        </w:rPr>
        <w:t> </w:t>
      </w:r>
      <w:r w:rsidR="003F3D2B" w:rsidRPr="00624565">
        <w:rPr>
          <w:noProof/>
          <w:color w:val="404040" w:themeColor="text1" w:themeTint="BF"/>
        </w:rPr>
        <w:t>ozn</w:t>
      </w:r>
      <w:r w:rsidRPr="00624565">
        <w:rPr>
          <w:noProof/>
          <w:color w:val="404040" w:themeColor="text1" w:themeTint="BF"/>
        </w:rPr>
        <w:t>akowania CE</w:t>
      </w:r>
      <w:r w:rsidRPr="00624565">
        <w:rPr>
          <w:rStyle w:val="FootnoteReference"/>
          <w:noProof/>
        </w:rPr>
        <w:footnoteReference w:id="38"/>
      </w:r>
      <w:r w:rsidRPr="00624565">
        <w:rPr>
          <w:noProof/>
          <w:color w:val="404040" w:themeColor="text1" w:themeTint="BF"/>
        </w:rPr>
        <w:t xml:space="preserve">. </w:t>
      </w:r>
    </w:p>
    <w:p w14:paraId="711F286B" w14:textId="77777777" w:rsidR="00D96629" w:rsidRPr="00624565" w:rsidRDefault="00D96629" w:rsidP="006E3743">
      <w:pPr>
        <w:pStyle w:val="Bullet0"/>
        <w:rPr>
          <w:rFonts w:eastAsia="Times New Roman"/>
          <w:b/>
          <w:noProof/>
          <w:szCs w:val="24"/>
        </w:rPr>
      </w:pPr>
      <w:r w:rsidRPr="00624565">
        <w:rPr>
          <w:b/>
          <w:noProof/>
        </w:rPr>
        <w:t>Uzupełnienie zbioru przepisów UE dotyczących oświadczeń środowiskowych</w:t>
      </w:r>
    </w:p>
    <w:p w14:paraId="535E7A38" w14:textId="1CA699D4" w:rsidR="00D96629" w:rsidRPr="00624565" w:rsidRDefault="00D96629" w:rsidP="00D96629">
      <w:pPr>
        <w:tabs>
          <w:tab w:val="num" w:pos="567"/>
        </w:tabs>
        <w:rPr>
          <w:b/>
          <w:bCs/>
          <w:noProof/>
        </w:rPr>
      </w:pPr>
      <w:r w:rsidRPr="00624565">
        <w:rPr>
          <w:noProof/>
        </w:rPr>
        <w:t>Aby nadal eliminować zidentyfikowany problem pseudoekologicznego marketingu</w:t>
      </w:r>
      <w:r w:rsidR="003F3D2B" w:rsidRPr="00624565">
        <w:rPr>
          <w:noProof/>
        </w:rPr>
        <w:t xml:space="preserve"> i</w:t>
      </w:r>
      <w:r w:rsidR="003F3D2B">
        <w:rPr>
          <w:noProof/>
        </w:rPr>
        <w:t> </w:t>
      </w:r>
      <w:r w:rsidR="003F3D2B" w:rsidRPr="00624565">
        <w:rPr>
          <w:noProof/>
        </w:rPr>
        <w:t>nie</w:t>
      </w:r>
      <w:r w:rsidRPr="00624565">
        <w:rPr>
          <w:noProof/>
        </w:rPr>
        <w:t>wiarygodnych oznakowań ekologicznych, korzystne byłoby wprowadzenie</w:t>
      </w:r>
      <w:r w:rsidR="003F3D2B" w:rsidRPr="00624565">
        <w:rPr>
          <w:noProof/>
        </w:rPr>
        <w:t xml:space="preserve"> w</w:t>
      </w:r>
      <w:r w:rsidR="003F3D2B">
        <w:rPr>
          <w:noProof/>
        </w:rPr>
        <w:t> </w:t>
      </w:r>
      <w:r w:rsidR="003F3D2B" w:rsidRPr="00624565">
        <w:rPr>
          <w:noProof/>
        </w:rPr>
        <w:t>obe</w:t>
      </w:r>
      <w:r w:rsidRPr="00624565">
        <w:rPr>
          <w:noProof/>
        </w:rPr>
        <w:t>cnych ramach bardziej szczegółowych wymogów dotyczących nieuregulowanych oświadczeń, czy to</w:t>
      </w:r>
      <w:r w:rsidR="003F3D2B" w:rsidRPr="00624565">
        <w:rPr>
          <w:noProof/>
        </w:rPr>
        <w:t xml:space="preserve"> w</w:t>
      </w:r>
      <w:r w:rsidR="003F3D2B">
        <w:rPr>
          <w:noProof/>
        </w:rPr>
        <w:t> </w:t>
      </w:r>
      <w:r w:rsidR="003F3D2B" w:rsidRPr="00624565">
        <w:rPr>
          <w:noProof/>
        </w:rPr>
        <w:t>odn</w:t>
      </w:r>
      <w:r w:rsidRPr="00624565">
        <w:rPr>
          <w:noProof/>
        </w:rPr>
        <w:t xml:space="preserve">iesieniu do określonych grup produktów, konkretnych sektorów, czy też określonego wpływu na środowisko lub aspektów środowiskowych. </w:t>
      </w:r>
      <w:r w:rsidRPr="00624565">
        <w:rPr>
          <w:b/>
          <w:noProof/>
        </w:rPr>
        <w:t>Niniejszy wniosek dotyczący uzasadniania oświadczeń środowiskowych</w:t>
      </w:r>
      <w:r w:rsidR="003F3D2B" w:rsidRPr="00624565">
        <w:rPr>
          <w:b/>
          <w:noProof/>
        </w:rPr>
        <w:t xml:space="preserve"> i</w:t>
      </w:r>
      <w:r w:rsidR="003F3D2B">
        <w:rPr>
          <w:b/>
          <w:noProof/>
        </w:rPr>
        <w:t> </w:t>
      </w:r>
      <w:r w:rsidR="003F3D2B" w:rsidRPr="00624565">
        <w:rPr>
          <w:b/>
          <w:noProof/>
        </w:rPr>
        <w:t>inf</w:t>
      </w:r>
      <w:r w:rsidRPr="00624565">
        <w:rPr>
          <w:b/>
          <w:noProof/>
        </w:rPr>
        <w:t>ormowania</w:t>
      </w:r>
      <w:r w:rsidR="003F3D2B" w:rsidRPr="00624565">
        <w:rPr>
          <w:b/>
          <w:noProof/>
        </w:rPr>
        <w:t xml:space="preserve"> o</w:t>
      </w:r>
      <w:r w:rsidR="003F3D2B">
        <w:rPr>
          <w:b/>
          <w:noProof/>
        </w:rPr>
        <w:t> </w:t>
      </w:r>
      <w:r w:rsidR="003F3D2B" w:rsidRPr="00624565">
        <w:rPr>
          <w:b/>
          <w:noProof/>
        </w:rPr>
        <w:t>nic</w:t>
      </w:r>
      <w:r w:rsidRPr="00624565">
        <w:rPr>
          <w:b/>
          <w:noProof/>
        </w:rPr>
        <w:t xml:space="preserve">h uzupełnia jako </w:t>
      </w:r>
      <w:r w:rsidRPr="00624565">
        <w:rPr>
          <w:b/>
          <w:i/>
          <w:noProof/>
        </w:rPr>
        <w:t>lex specialis</w:t>
      </w:r>
      <w:r w:rsidRPr="00624565">
        <w:rPr>
          <w:b/>
          <w:noProof/>
        </w:rPr>
        <w:t xml:space="preserve"> istniejący zbiór przepisów UE dotyczących ochrony konsumentów. </w:t>
      </w:r>
      <w:r w:rsidRPr="00624565">
        <w:rPr>
          <w:noProof/>
        </w:rPr>
        <w:t>Wniosek ten umożliwi pełne wdrożenie preferowanych wariantów strategicznych określonych</w:t>
      </w:r>
      <w:r w:rsidR="003F3D2B" w:rsidRPr="00624565">
        <w:rPr>
          <w:noProof/>
        </w:rPr>
        <w:t xml:space="preserve"> w</w:t>
      </w:r>
      <w:r w:rsidR="003F3D2B">
        <w:rPr>
          <w:noProof/>
        </w:rPr>
        <w:t> </w:t>
      </w:r>
      <w:r w:rsidR="003F3D2B" w:rsidRPr="00624565">
        <w:rPr>
          <w:noProof/>
        </w:rPr>
        <w:t>oce</w:t>
      </w:r>
      <w:r w:rsidRPr="00624565">
        <w:rPr>
          <w:noProof/>
        </w:rPr>
        <w:t>nie skutków, opisanych</w:t>
      </w:r>
      <w:r w:rsidR="003F3D2B" w:rsidRPr="00624565">
        <w:rPr>
          <w:noProof/>
        </w:rPr>
        <w:t xml:space="preserve"> w</w:t>
      </w:r>
      <w:r w:rsidR="003F3D2B">
        <w:rPr>
          <w:noProof/>
        </w:rPr>
        <w:t> </w:t>
      </w:r>
      <w:r w:rsidR="003F3D2B" w:rsidRPr="00624565">
        <w:rPr>
          <w:noProof/>
        </w:rPr>
        <w:t>sek</w:t>
      </w:r>
      <w:r w:rsidRPr="00624565">
        <w:rPr>
          <w:noProof/>
        </w:rPr>
        <w:t xml:space="preserve">cji 3.2. </w:t>
      </w:r>
    </w:p>
    <w:p w14:paraId="6A839F2B" w14:textId="77777777" w:rsidR="00D96629" w:rsidRPr="00624565" w:rsidRDefault="00D96629" w:rsidP="00D96629">
      <w:pPr>
        <w:tabs>
          <w:tab w:val="num" w:pos="567"/>
        </w:tabs>
        <w:rPr>
          <w:noProof/>
        </w:rPr>
      </w:pPr>
      <w:r w:rsidRPr="00624565">
        <w:rPr>
          <w:noProof/>
        </w:rPr>
        <w:t>Kluczowymi celami wniosku dotyczącego oświadczeń środowiskowych są zatem:</w:t>
      </w:r>
    </w:p>
    <w:p w14:paraId="567E12E1" w14:textId="3F430D95" w:rsidR="00D96629" w:rsidRPr="00624565" w:rsidRDefault="00D96629" w:rsidP="008306B5">
      <w:pPr>
        <w:pStyle w:val="Tiret0"/>
        <w:numPr>
          <w:ilvl w:val="0"/>
          <w:numId w:val="23"/>
        </w:numPr>
        <w:rPr>
          <w:noProof/>
        </w:rPr>
      </w:pPr>
      <w:r w:rsidRPr="00624565">
        <w:rPr>
          <w:noProof/>
        </w:rPr>
        <w:t>podniesienie poziomu ochrony środowiska</w:t>
      </w:r>
      <w:r w:rsidR="003F3D2B" w:rsidRPr="00624565">
        <w:rPr>
          <w:noProof/>
        </w:rPr>
        <w:t xml:space="preserve"> i</w:t>
      </w:r>
      <w:r w:rsidR="003F3D2B">
        <w:rPr>
          <w:noProof/>
        </w:rPr>
        <w:t> </w:t>
      </w:r>
      <w:r w:rsidR="003F3D2B" w:rsidRPr="00624565">
        <w:rPr>
          <w:noProof/>
        </w:rPr>
        <w:t>prz</w:t>
      </w:r>
      <w:r w:rsidRPr="00624565">
        <w:rPr>
          <w:noProof/>
        </w:rPr>
        <w:t>yczynienie się do przyspieszenia zielonej transformacji</w:t>
      </w:r>
      <w:r w:rsidR="003F3D2B" w:rsidRPr="00624565">
        <w:rPr>
          <w:noProof/>
        </w:rPr>
        <w:t xml:space="preserve"> w</w:t>
      </w:r>
      <w:r w:rsidR="003F3D2B">
        <w:rPr>
          <w:noProof/>
        </w:rPr>
        <w:t> </w:t>
      </w:r>
      <w:r w:rsidR="003F3D2B" w:rsidRPr="00624565">
        <w:rPr>
          <w:noProof/>
        </w:rPr>
        <w:t>kie</w:t>
      </w:r>
      <w:r w:rsidRPr="00624565">
        <w:rPr>
          <w:noProof/>
        </w:rPr>
        <w:t>runku zielonej</w:t>
      </w:r>
      <w:r w:rsidR="003F3D2B" w:rsidRPr="00624565">
        <w:rPr>
          <w:noProof/>
        </w:rPr>
        <w:t xml:space="preserve"> i</w:t>
      </w:r>
      <w:r w:rsidR="003F3D2B">
        <w:rPr>
          <w:noProof/>
        </w:rPr>
        <w:t> </w:t>
      </w:r>
      <w:r w:rsidR="003F3D2B" w:rsidRPr="00624565">
        <w:rPr>
          <w:noProof/>
        </w:rPr>
        <w:t>neu</w:t>
      </w:r>
      <w:r w:rsidRPr="00624565">
        <w:rPr>
          <w:noProof/>
        </w:rPr>
        <w:t>tralnej dla klimatu gospodarki</w:t>
      </w:r>
      <w:r w:rsidR="003F3D2B" w:rsidRPr="00624565">
        <w:rPr>
          <w:noProof/>
        </w:rPr>
        <w:t xml:space="preserve"> o</w:t>
      </w:r>
      <w:r w:rsidR="003F3D2B">
        <w:rPr>
          <w:noProof/>
        </w:rPr>
        <w:t> </w:t>
      </w:r>
      <w:r w:rsidR="003F3D2B" w:rsidRPr="00624565">
        <w:rPr>
          <w:noProof/>
        </w:rPr>
        <w:t>obi</w:t>
      </w:r>
      <w:r w:rsidRPr="00624565">
        <w:rPr>
          <w:noProof/>
        </w:rPr>
        <w:t>egu zamkniętym w UE;</w:t>
      </w:r>
    </w:p>
    <w:p w14:paraId="3DA72EE9" w14:textId="1724BA7C" w:rsidR="00D96629" w:rsidRPr="00624565" w:rsidRDefault="00D96629" w:rsidP="006E3743">
      <w:pPr>
        <w:pStyle w:val="Tiret0"/>
        <w:rPr>
          <w:noProof/>
        </w:rPr>
      </w:pPr>
      <w:r w:rsidRPr="00624565">
        <w:rPr>
          <w:noProof/>
        </w:rPr>
        <w:t>ochrona konsumentów</w:t>
      </w:r>
      <w:r w:rsidR="003F3D2B" w:rsidRPr="00624565">
        <w:rPr>
          <w:noProof/>
        </w:rPr>
        <w:t xml:space="preserve"> i</w:t>
      </w:r>
      <w:r w:rsidR="003F3D2B">
        <w:rPr>
          <w:noProof/>
        </w:rPr>
        <w:t> </w:t>
      </w:r>
      <w:r w:rsidR="003F3D2B" w:rsidRPr="00624565">
        <w:rPr>
          <w:noProof/>
        </w:rPr>
        <w:t>prz</w:t>
      </w:r>
      <w:r w:rsidRPr="00624565">
        <w:rPr>
          <w:noProof/>
        </w:rPr>
        <w:t>edsiębiorstw przed pseudoekologicznym marketingiem oraz umożliwienie konsumentom przyczynienia się do przyspieszenia zielonej transformacji dzięki podejmowaniu świadomych decyzji</w:t>
      </w:r>
      <w:r w:rsidR="003F3D2B" w:rsidRPr="00624565">
        <w:rPr>
          <w:noProof/>
        </w:rPr>
        <w:t xml:space="preserve"> o</w:t>
      </w:r>
      <w:r w:rsidR="003F3D2B">
        <w:rPr>
          <w:noProof/>
        </w:rPr>
        <w:t> </w:t>
      </w:r>
      <w:r w:rsidR="003F3D2B" w:rsidRPr="00624565">
        <w:rPr>
          <w:noProof/>
        </w:rPr>
        <w:t>zak</w:t>
      </w:r>
      <w:r w:rsidRPr="00624565">
        <w:rPr>
          <w:noProof/>
        </w:rPr>
        <w:t>upie opartych na wiarygodnych oświadczeniach środowiskowych</w:t>
      </w:r>
      <w:r w:rsidR="003F3D2B" w:rsidRPr="00624565">
        <w:rPr>
          <w:noProof/>
        </w:rPr>
        <w:t xml:space="preserve"> i</w:t>
      </w:r>
      <w:r w:rsidR="003F3D2B">
        <w:rPr>
          <w:noProof/>
        </w:rPr>
        <w:t> </w:t>
      </w:r>
      <w:r w:rsidR="003F3D2B" w:rsidRPr="00624565">
        <w:rPr>
          <w:noProof/>
        </w:rPr>
        <w:t>ozn</w:t>
      </w:r>
      <w:r w:rsidRPr="00624565">
        <w:rPr>
          <w:noProof/>
        </w:rPr>
        <w:t>akowaniu ekologicznym;</w:t>
      </w:r>
    </w:p>
    <w:p w14:paraId="51BF6D12" w14:textId="3CF3E90B" w:rsidR="00D96629" w:rsidRPr="00624565" w:rsidRDefault="00D96629" w:rsidP="006E3743">
      <w:pPr>
        <w:pStyle w:val="Tiret0"/>
        <w:rPr>
          <w:noProof/>
        </w:rPr>
      </w:pPr>
      <w:r w:rsidRPr="00624565">
        <w:rPr>
          <w:noProof/>
        </w:rPr>
        <w:t>zwiększenie pewności prawa</w:t>
      </w:r>
      <w:r w:rsidR="003F3D2B" w:rsidRPr="00624565">
        <w:rPr>
          <w:noProof/>
        </w:rPr>
        <w:t xml:space="preserve"> w</w:t>
      </w:r>
      <w:r w:rsidR="003F3D2B">
        <w:rPr>
          <w:noProof/>
        </w:rPr>
        <w:t> </w:t>
      </w:r>
      <w:r w:rsidR="003F3D2B" w:rsidRPr="00624565">
        <w:rPr>
          <w:noProof/>
        </w:rPr>
        <w:t>odn</w:t>
      </w:r>
      <w:r w:rsidRPr="00624565">
        <w:rPr>
          <w:noProof/>
        </w:rPr>
        <w:t>iesieniu do oświadczeń środowiskowych</w:t>
      </w:r>
      <w:r w:rsidR="003F3D2B" w:rsidRPr="00624565">
        <w:rPr>
          <w:noProof/>
        </w:rPr>
        <w:t xml:space="preserve"> i</w:t>
      </w:r>
      <w:r w:rsidR="003F3D2B">
        <w:rPr>
          <w:noProof/>
        </w:rPr>
        <w:t> </w:t>
      </w:r>
      <w:r w:rsidR="003F3D2B" w:rsidRPr="00624565">
        <w:rPr>
          <w:noProof/>
        </w:rPr>
        <w:t>rów</w:t>
      </w:r>
      <w:r w:rsidRPr="00624565">
        <w:rPr>
          <w:noProof/>
        </w:rPr>
        <w:t>nych szans na rynku wewnętrznym, zwiększenie konkurencyjności podmiotów gospodarczych, które podejmują działania</w:t>
      </w:r>
      <w:r w:rsidR="003F3D2B" w:rsidRPr="00624565">
        <w:rPr>
          <w:noProof/>
        </w:rPr>
        <w:t xml:space="preserve"> w</w:t>
      </w:r>
      <w:r w:rsidR="003F3D2B">
        <w:rPr>
          <w:noProof/>
        </w:rPr>
        <w:t> </w:t>
      </w:r>
      <w:r w:rsidR="003F3D2B" w:rsidRPr="00624565">
        <w:rPr>
          <w:noProof/>
        </w:rPr>
        <w:t>cel</w:t>
      </w:r>
      <w:r w:rsidRPr="00624565">
        <w:rPr>
          <w:noProof/>
        </w:rPr>
        <w:t>u zwiększenia zrównoważenia środowiskowego swoich produktów</w:t>
      </w:r>
      <w:r w:rsidR="003F3D2B" w:rsidRPr="00624565">
        <w:rPr>
          <w:noProof/>
        </w:rPr>
        <w:t xml:space="preserve"> i</w:t>
      </w:r>
      <w:r w:rsidR="003F3D2B">
        <w:rPr>
          <w:noProof/>
        </w:rPr>
        <w:t> </w:t>
      </w:r>
      <w:r w:rsidR="003F3D2B" w:rsidRPr="00624565">
        <w:rPr>
          <w:noProof/>
        </w:rPr>
        <w:t>dzi</w:t>
      </w:r>
      <w:r w:rsidRPr="00624565">
        <w:rPr>
          <w:noProof/>
        </w:rPr>
        <w:t>ałań, oraz stworzenie możliwości oszczędności kosztów dla podmiotów, które prowadzą handel transgraniczny.</w:t>
      </w:r>
    </w:p>
    <w:p w14:paraId="37C82FDE" w14:textId="241D01B0" w:rsidR="00D96629" w:rsidRPr="00624565" w:rsidRDefault="00D96629" w:rsidP="00D96629">
      <w:pPr>
        <w:tabs>
          <w:tab w:val="num" w:pos="567"/>
        </w:tabs>
        <w:rPr>
          <w:noProof/>
        </w:rPr>
      </w:pPr>
      <w:r w:rsidRPr="00624565">
        <w:rPr>
          <w:noProof/>
        </w:rPr>
        <w:t xml:space="preserve">Zakres niniejszego wniosku, jako </w:t>
      </w:r>
      <w:r w:rsidRPr="00624565">
        <w:rPr>
          <w:i/>
          <w:noProof/>
        </w:rPr>
        <w:t>lex specialis</w:t>
      </w:r>
      <w:r w:rsidRPr="00624565">
        <w:rPr>
          <w:noProof/>
        </w:rPr>
        <w:t>, jest zgodny</w:t>
      </w:r>
      <w:r w:rsidR="003F3D2B" w:rsidRPr="00624565">
        <w:rPr>
          <w:noProof/>
        </w:rPr>
        <w:t xml:space="preserve"> z</w:t>
      </w:r>
      <w:r w:rsidR="003F3D2B">
        <w:rPr>
          <w:noProof/>
        </w:rPr>
        <w:t> </w:t>
      </w:r>
      <w:r w:rsidR="003F3D2B" w:rsidRPr="00624565">
        <w:rPr>
          <w:noProof/>
        </w:rPr>
        <w:t>odp</w:t>
      </w:r>
      <w:r w:rsidRPr="00624565">
        <w:rPr>
          <w:noProof/>
        </w:rPr>
        <w:t xml:space="preserve">owiednim </w:t>
      </w:r>
      <w:r w:rsidRPr="00624565">
        <w:rPr>
          <w:i/>
          <w:noProof/>
        </w:rPr>
        <w:t>lex generalis</w:t>
      </w:r>
      <w:r w:rsidRPr="00624565">
        <w:rPr>
          <w:noProof/>
        </w:rPr>
        <w:t>. Zmieniona dyrektywa</w:t>
      </w:r>
      <w:r w:rsidR="003F3D2B" w:rsidRPr="00624565">
        <w:rPr>
          <w:noProof/>
        </w:rPr>
        <w:t xml:space="preserve"> o</w:t>
      </w:r>
      <w:r w:rsidR="003F3D2B">
        <w:rPr>
          <w:noProof/>
        </w:rPr>
        <w:t> </w:t>
      </w:r>
      <w:r w:rsidR="003F3D2B" w:rsidRPr="00624565">
        <w:rPr>
          <w:noProof/>
        </w:rPr>
        <w:t>nie</w:t>
      </w:r>
      <w:r w:rsidRPr="00624565">
        <w:rPr>
          <w:noProof/>
        </w:rPr>
        <w:t>uczciwych praktykach handlowych obejmuje wszystkie dobrowolne praktyki handlowe stosowane przez przedsiębiorstwa wobec konsumentów przed zawarciem transakcji handlowej dotyczącej produktu,</w:t>
      </w:r>
      <w:r w:rsidR="003F3D2B" w:rsidRPr="00624565">
        <w:rPr>
          <w:noProof/>
        </w:rPr>
        <w:t xml:space="preserve"> w</w:t>
      </w:r>
      <w:r w:rsidR="003F3D2B">
        <w:rPr>
          <w:noProof/>
        </w:rPr>
        <w:t> </w:t>
      </w:r>
      <w:r w:rsidR="003F3D2B" w:rsidRPr="00624565">
        <w:rPr>
          <w:noProof/>
        </w:rPr>
        <w:t>tra</w:t>
      </w:r>
      <w:r w:rsidRPr="00624565">
        <w:rPr>
          <w:noProof/>
        </w:rPr>
        <w:t xml:space="preserve">kcie jej zawierania oraz po jej zawarciu. Zakres niniejszego wniosku obejmuje uzasadnianie </w:t>
      </w:r>
      <w:r w:rsidRPr="00624565">
        <w:rPr>
          <w:b/>
          <w:noProof/>
        </w:rPr>
        <w:t xml:space="preserve">dobrowolnych oświadczeń </w:t>
      </w:r>
      <w:r w:rsidRPr="00624565">
        <w:rPr>
          <w:b/>
          <w:i/>
          <w:noProof/>
        </w:rPr>
        <w:t>środowiskowych</w:t>
      </w:r>
      <w:r w:rsidR="003F3D2B" w:rsidRPr="00624565">
        <w:rPr>
          <w:b/>
          <w:noProof/>
        </w:rPr>
        <w:t xml:space="preserve"> </w:t>
      </w:r>
      <w:r w:rsidR="003F3D2B" w:rsidRPr="00624565">
        <w:rPr>
          <w:noProof/>
        </w:rPr>
        <w:t>i</w:t>
      </w:r>
      <w:r w:rsidR="003F3D2B">
        <w:rPr>
          <w:b/>
          <w:noProof/>
        </w:rPr>
        <w:t> </w:t>
      </w:r>
      <w:r w:rsidR="003F3D2B" w:rsidRPr="00624565">
        <w:rPr>
          <w:noProof/>
        </w:rPr>
        <w:t>inf</w:t>
      </w:r>
      <w:r w:rsidRPr="00624565">
        <w:rPr>
          <w:noProof/>
        </w:rPr>
        <w:t>ormowanie</w:t>
      </w:r>
      <w:r w:rsidR="003F3D2B" w:rsidRPr="00624565">
        <w:rPr>
          <w:noProof/>
        </w:rPr>
        <w:t xml:space="preserve"> o</w:t>
      </w:r>
      <w:r w:rsidR="003F3D2B">
        <w:rPr>
          <w:noProof/>
        </w:rPr>
        <w:t> </w:t>
      </w:r>
      <w:r w:rsidR="003F3D2B" w:rsidRPr="00624565">
        <w:rPr>
          <w:noProof/>
        </w:rPr>
        <w:t>nic</w:t>
      </w:r>
      <w:r w:rsidRPr="00624565">
        <w:rPr>
          <w:noProof/>
        </w:rPr>
        <w:t>h.</w:t>
      </w:r>
    </w:p>
    <w:p w14:paraId="15E139CF" w14:textId="38A06709" w:rsidR="00D96629" w:rsidRPr="00624565" w:rsidRDefault="00D96629" w:rsidP="00D96629">
      <w:pPr>
        <w:tabs>
          <w:tab w:val="num" w:pos="567"/>
        </w:tabs>
        <w:rPr>
          <w:noProof/>
          <w:color w:val="000000"/>
          <w:bdr w:val="none" w:sz="0" w:space="0" w:color="auto" w:frame="1"/>
          <w:shd w:val="clear" w:color="auto" w:fill="FFFFFF"/>
        </w:rPr>
      </w:pPr>
      <w:r w:rsidRPr="00624565">
        <w:rPr>
          <w:noProof/>
        </w:rPr>
        <w:t>Podobnie wniosek</w:t>
      </w:r>
      <w:r w:rsidR="003F3D2B" w:rsidRPr="00624565">
        <w:rPr>
          <w:noProof/>
        </w:rPr>
        <w:t xml:space="preserve"> w</w:t>
      </w:r>
      <w:r w:rsidR="003F3D2B">
        <w:rPr>
          <w:noProof/>
        </w:rPr>
        <w:t> </w:t>
      </w:r>
      <w:r w:rsidR="003F3D2B" w:rsidRPr="00624565">
        <w:rPr>
          <w:noProof/>
        </w:rPr>
        <w:t>spr</w:t>
      </w:r>
      <w:r w:rsidRPr="00624565">
        <w:rPr>
          <w:noProof/>
        </w:rPr>
        <w:t>awie wzmocnienia pozycji konsumentów</w:t>
      </w:r>
      <w:r w:rsidR="003F3D2B" w:rsidRPr="00624565">
        <w:rPr>
          <w:noProof/>
        </w:rPr>
        <w:t xml:space="preserve"> w</w:t>
      </w:r>
      <w:r w:rsidR="003F3D2B">
        <w:rPr>
          <w:noProof/>
        </w:rPr>
        <w:t> </w:t>
      </w:r>
      <w:r w:rsidR="003F3D2B" w:rsidRPr="00624565">
        <w:rPr>
          <w:noProof/>
        </w:rPr>
        <w:t>pro</w:t>
      </w:r>
      <w:r w:rsidRPr="00624565">
        <w:rPr>
          <w:noProof/>
        </w:rPr>
        <w:t>cesie transformacji ekologicznej dotyczy oznakowania dotyczącego zrównoważonego charakteru, które obejmuje</w:t>
      </w:r>
      <w:r w:rsidRPr="00624565">
        <w:rPr>
          <w:i/>
          <w:noProof/>
          <w:color w:val="000000"/>
          <w:shd w:val="clear" w:color="auto" w:fill="FFFFFF"/>
        </w:rPr>
        <w:t xml:space="preserve"> aspekty środowiskowe lub społeczne lub oba te aspekty. </w:t>
      </w:r>
      <w:r w:rsidRPr="00624565">
        <w:rPr>
          <w:noProof/>
        </w:rPr>
        <w:t xml:space="preserve">Niniejszy wniosek ogranicza się jednak wyłącznie do </w:t>
      </w:r>
      <w:r w:rsidRPr="00624565">
        <w:rPr>
          <w:b/>
          <w:noProof/>
        </w:rPr>
        <w:t xml:space="preserve">oznakowania </w:t>
      </w:r>
      <w:r w:rsidRPr="00624565">
        <w:rPr>
          <w:b/>
          <w:i/>
          <w:noProof/>
        </w:rPr>
        <w:t>ekologicznego</w:t>
      </w:r>
      <w:r w:rsidRPr="00624565">
        <w:rPr>
          <w:noProof/>
        </w:rPr>
        <w:t xml:space="preserve"> tj. oznakowania obejmującego głównie aspekty</w:t>
      </w:r>
      <w:r w:rsidRPr="00624565">
        <w:rPr>
          <w:noProof/>
          <w:color w:val="000000"/>
          <w:bdr w:val="none" w:sz="0" w:space="0" w:color="auto" w:frame="1"/>
          <w:shd w:val="clear" w:color="auto" w:fill="FFFFFF"/>
        </w:rPr>
        <w:t xml:space="preserve"> </w:t>
      </w:r>
      <w:r w:rsidRPr="00624565">
        <w:rPr>
          <w:i/>
          <w:noProof/>
          <w:color w:val="000000"/>
          <w:bdr w:val="none" w:sz="0" w:space="0" w:color="auto" w:frame="1"/>
          <w:shd w:val="clear" w:color="auto" w:fill="FFFFFF"/>
        </w:rPr>
        <w:t xml:space="preserve">środowiskowe </w:t>
      </w:r>
      <w:r w:rsidRPr="00624565">
        <w:rPr>
          <w:noProof/>
          <w:color w:val="000000"/>
          <w:bdr w:val="none" w:sz="0" w:space="0" w:color="auto" w:frame="1"/>
          <w:shd w:val="clear" w:color="auto" w:fill="FFFFFF"/>
        </w:rPr>
        <w:t>produktu lub przedsiębiorcy.</w:t>
      </w:r>
    </w:p>
    <w:p w14:paraId="7C736BB9" w14:textId="3F5390D3" w:rsidR="00D96629" w:rsidRPr="00624565" w:rsidRDefault="00D96629" w:rsidP="00D96629">
      <w:pPr>
        <w:shd w:val="clear" w:color="auto" w:fill="FFFFFF" w:themeFill="background1"/>
        <w:tabs>
          <w:tab w:val="num" w:pos="567"/>
        </w:tabs>
        <w:textAlignment w:val="baseline"/>
        <w:rPr>
          <w:noProof/>
        </w:rPr>
      </w:pPr>
      <w:r w:rsidRPr="00624565">
        <w:rPr>
          <w:noProof/>
        </w:rPr>
        <w:t>Jak wspomniano, wniosek dotyczący oświadczeń środowiskowych</w:t>
      </w:r>
      <w:r w:rsidRPr="00624565">
        <w:rPr>
          <w:b/>
          <w:noProof/>
        </w:rPr>
        <w:t xml:space="preserve"> ma stanowić siatkę bezpieczeństwa dla wszystkich sektorów,</w:t>
      </w:r>
      <w:r w:rsidR="003F3D2B" w:rsidRPr="00624565">
        <w:rPr>
          <w:b/>
          <w:noProof/>
        </w:rPr>
        <w:t xml:space="preserve"> w</w:t>
      </w:r>
      <w:r w:rsidR="003F3D2B">
        <w:rPr>
          <w:b/>
          <w:noProof/>
        </w:rPr>
        <w:t> </w:t>
      </w:r>
      <w:r w:rsidR="003F3D2B" w:rsidRPr="00624565">
        <w:rPr>
          <w:b/>
          <w:noProof/>
        </w:rPr>
        <w:t>któ</w:t>
      </w:r>
      <w:r w:rsidRPr="00624565">
        <w:rPr>
          <w:b/>
          <w:noProof/>
        </w:rPr>
        <w:t xml:space="preserve">rych oświadczenia środowiskowe lub oznakowanie ekologiczne nie są uregulowane na szczeblu UE. Nie ma on na celu zmiany istniejących lub przyszłych zasad sektorowych. </w:t>
      </w:r>
      <w:r w:rsidRPr="00624565">
        <w:rPr>
          <w:noProof/>
        </w:rPr>
        <w:t>Przeciwnie – wymogi dotyczące oceny</w:t>
      </w:r>
      <w:r w:rsidR="003F3D2B" w:rsidRPr="00624565">
        <w:rPr>
          <w:noProof/>
        </w:rPr>
        <w:t xml:space="preserve"> i</w:t>
      </w:r>
      <w:r w:rsidR="003F3D2B">
        <w:rPr>
          <w:noProof/>
        </w:rPr>
        <w:t> </w:t>
      </w:r>
      <w:r w:rsidR="003F3D2B" w:rsidRPr="00624565">
        <w:rPr>
          <w:noProof/>
        </w:rPr>
        <w:t>inf</w:t>
      </w:r>
      <w:r w:rsidRPr="00624565">
        <w:rPr>
          <w:noProof/>
        </w:rPr>
        <w:t>ormowania określone</w:t>
      </w:r>
      <w:r w:rsidR="003F3D2B" w:rsidRPr="00624565">
        <w:rPr>
          <w:noProof/>
        </w:rPr>
        <w:t xml:space="preserve"> w</w:t>
      </w:r>
      <w:r w:rsidR="003F3D2B">
        <w:rPr>
          <w:noProof/>
        </w:rPr>
        <w:t> </w:t>
      </w:r>
      <w:r w:rsidR="003F3D2B" w:rsidRPr="00624565">
        <w:rPr>
          <w:noProof/>
        </w:rPr>
        <w:t>inn</w:t>
      </w:r>
      <w:r w:rsidRPr="00624565">
        <w:rPr>
          <w:noProof/>
        </w:rPr>
        <w:t>ych przepisach Unii będą miały pierwszeństwo przed wymogami określonymi we wniosku,</w:t>
      </w:r>
      <w:r w:rsidR="003F3D2B" w:rsidRPr="00624565">
        <w:rPr>
          <w:noProof/>
        </w:rPr>
        <w:t xml:space="preserve"> a</w:t>
      </w:r>
      <w:r w:rsidR="003F3D2B">
        <w:rPr>
          <w:noProof/>
        </w:rPr>
        <w:t> </w:t>
      </w:r>
      <w:r w:rsidR="003F3D2B" w:rsidRPr="00624565">
        <w:rPr>
          <w:noProof/>
        </w:rPr>
        <w:t>zat</w:t>
      </w:r>
      <w:r w:rsidRPr="00624565">
        <w:rPr>
          <w:noProof/>
        </w:rPr>
        <w:t>em należy je stosować</w:t>
      </w:r>
      <w:r w:rsidR="003F3D2B" w:rsidRPr="00624565">
        <w:rPr>
          <w:noProof/>
        </w:rPr>
        <w:t xml:space="preserve"> w</w:t>
      </w:r>
      <w:r w:rsidR="003F3D2B">
        <w:rPr>
          <w:noProof/>
        </w:rPr>
        <w:t> </w:t>
      </w:r>
      <w:r w:rsidR="003F3D2B" w:rsidRPr="00624565">
        <w:rPr>
          <w:noProof/>
        </w:rPr>
        <w:t>cel</w:t>
      </w:r>
      <w:r w:rsidRPr="00624565">
        <w:rPr>
          <w:noProof/>
        </w:rPr>
        <w:t>u uzasadniania oświadczeń środowiskowych</w:t>
      </w:r>
      <w:r w:rsidR="003F3D2B" w:rsidRPr="00624565">
        <w:rPr>
          <w:noProof/>
        </w:rPr>
        <w:t xml:space="preserve"> i</w:t>
      </w:r>
      <w:r w:rsidR="003F3D2B">
        <w:rPr>
          <w:noProof/>
        </w:rPr>
        <w:t> </w:t>
      </w:r>
      <w:r w:rsidR="003F3D2B" w:rsidRPr="00624565">
        <w:rPr>
          <w:noProof/>
        </w:rPr>
        <w:t>inf</w:t>
      </w:r>
      <w:r w:rsidRPr="00624565">
        <w:rPr>
          <w:noProof/>
        </w:rPr>
        <w:t>ormowania</w:t>
      </w:r>
      <w:r w:rsidR="003F3D2B" w:rsidRPr="00624565">
        <w:rPr>
          <w:noProof/>
        </w:rPr>
        <w:t xml:space="preserve"> o</w:t>
      </w:r>
      <w:r w:rsidR="003F3D2B">
        <w:rPr>
          <w:noProof/>
        </w:rPr>
        <w:t> </w:t>
      </w:r>
      <w:r w:rsidR="003F3D2B" w:rsidRPr="00624565">
        <w:rPr>
          <w:noProof/>
        </w:rPr>
        <w:t>nic</w:t>
      </w:r>
      <w:r w:rsidRPr="00624565">
        <w:rPr>
          <w:noProof/>
        </w:rPr>
        <w:t>h</w:t>
      </w:r>
      <w:r w:rsidR="003F3D2B" w:rsidRPr="00624565">
        <w:rPr>
          <w:noProof/>
        </w:rPr>
        <w:t xml:space="preserve"> w</w:t>
      </w:r>
      <w:r w:rsidR="003F3D2B">
        <w:rPr>
          <w:noProof/>
        </w:rPr>
        <w:t> </w:t>
      </w:r>
      <w:r w:rsidR="003F3D2B" w:rsidRPr="00624565">
        <w:rPr>
          <w:noProof/>
        </w:rPr>
        <w:t>tyc</w:t>
      </w:r>
      <w:r w:rsidRPr="00624565">
        <w:rPr>
          <w:noProof/>
        </w:rPr>
        <w:t>h konkretnych obszarach.</w:t>
      </w:r>
    </w:p>
    <w:p w14:paraId="72F89AE1" w14:textId="77FFF1A3" w:rsidR="009769E5" w:rsidRPr="00624565" w:rsidRDefault="004D161E" w:rsidP="004D161E">
      <w:pPr>
        <w:pStyle w:val="ManualHeading2"/>
        <w:rPr>
          <w:noProof/>
        </w:rPr>
      </w:pPr>
      <w:r w:rsidRPr="00624565">
        <w:rPr>
          <w:noProof/>
        </w:rPr>
        <w:t>1.3.</w:t>
      </w:r>
      <w:r w:rsidRPr="00624565">
        <w:rPr>
          <w:noProof/>
        </w:rPr>
        <w:tab/>
        <w:t>Spójność</w:t>
      </w:r>
      <w:r w:rsidR="003F3D2B" w:rsidRPr="00624565">
        <w:rPr>
          <w:noProof/>
        </w:rPr>
        <w:t xml:space="preserve"> z</w:t>
      </w:r>
      <w:r w:rsidR="003F3D2B">
        <w:rPr>
          <w:noProof/>
        </w:rPr>
        <w:t> </w:t>
      </w:r>
      <w:r w:rsidR="003F3D2B" w:rsidRPr="00624565">
        <w:rPr>
          <w:noProof/>
        </w:rPr>
        <w:t>inn</w:t>
      </w:r>
      <w:r w:rsidRPr="00624565">
        <w:rPr>
          <w:noProof/>
        </w:rPr>
        <w:t>ymi politykami Unii</w:t>
      </w:r>
    </w:p>
    <w:p w14:paraId="465AA18C" w14:textId="1F81A8E2" w:rsidR="00D96629" w:rsidRPr="00624565" w:rsidRDefault="00D96629" w:rsidP="00D96629">
      <w:pPr>
        <w:tabs>
          <w:tab w:val="num" w:pos="567"/>
        </w:tabs>
        <w:rPr>
          <w:rFonts w:eastAsia="Times New Roman"/>
          <w:noProof/>
          <w:sz w:val="18"/>
          <w:szCs w:val="18"/>
        </w:rPr>
      </w:pPr>
      <w:r w:rsidRPr="00624565">
        <w:rPr>
          <w:noProof/>
        </w:rPr>
        <w:t>Wniosek dotyczący oświadczeń środowiskowych wspiera cele Europejskiego Zielonego Ładu</w:t>
      </w:r>
      <w:r w:rsidR="003F3D2B" w:rsidRPr="00624565">
        <w:rPr>
          <w:noProof/>
        </w:rPr>
        <w:t xml:space="preserve"> i</w:t>
      </w:r>
      <w:r w:rsidR="003F3D2B">
        <w:rPr>
          <w:noProof/>
        </w:rPr>
        <w:t> </w:t>
      </w:r>
      <w:r w:rsidR="003F3D2B" w:rsidRPr="00624565">
        <w:rPr>
          <w:noProof/>
        </w:rPr>
        <w:t>prz</w:t>
      </w:r>
      <w:r w:rsidRPr="00624565">
        <w:rPr>
          <w:noProof/>
        </w:rPr>
        <w:t>yczynia się do rozwiązania trzech kryzysów: zmiany klimatu, zanieczyszczenia</w:t>
      </w:r>
      <w:r w:rsidR="003F3D2B" w:rsidRPr="00624565">
        <w:rPr>
          <w:noProof/>
        </w:rPr>
        <w:t xml:space="preserve"> i</w:t>
      </w:r>
      <w:r w:rsidR="003F3D2B">
        <w:rPr>
          <w:noProof/>
        </w:rPr>
        <w:t> </w:t>
      </w:r>
      <w:r w:rsidR="003F3D2B" w:rsidRPr="00624565">
        <w:rPr>
          <w:noProof/>
        </w:rPr>
        <w:t>utr</w:t>
      </w:r>
      <w:r w:rsidRPr="00624565">
        <w:rPr>
          <w:noProof/>
        </w:rPr>
        <w:t>aty różnorodności biologicznej. Przyczynia się on do walki</w:t>
      </w:r>
      <w:r w:rsidR="003F3D2B" w:rsidRPr="00624565">
        <w:rPr>
          <w:noProof/>
        </w:rPr>
        <w:t xml:space="preserve"> z</w:t>
      </w:r>
      <w:r w:rsidR="003F3D2B">
        <w:rPr>
          <w:noProof/>
        </w:rPr>
        <w:t> </w:t>
      </w:r>
      <w:r w:rsidR="003F3D2B" w:rsidRPr="00624565">
        <w:rPr>
          <w:noProof/>
        </w:rPr>
        <w:t>pse</w:t>
      </w:r>
      <w:r w:rsidRPr="00624565">
        <w:rPr>
          <w:noProof/>
        </w:rPr>
        <w:t>udoekologicznym marketingiem, którą uznano za priorytet</w:t>
      </w:r>
      <w:r w:rsidR="003F3D2B" w:rsidRPr="00624565">
        <w:rPr>
          <w:noProof/>
        </w:rPr>
        <w:t xml:space="preserve"> w</w:t>
      </w:r>
      <w:r w:rsidR="003F3D2B">
        <w:rPr>
          <w:noProof/>
        </w:rPr>
        <w:t> </w:t>
      </w:r>
      <w:r w:rsidR="003F3D2B" w:rsidRPr="00624565">
        <w:rPr>
          <w:noProof/>
        </w:rPr>
        <w:t>now</w:t>
      </w:r>
      <w:r w:rsidRPr="00624565">
        <w:rPr>
          <w:noProof/>
        </w:rPr>
        <w:t>ym Planie działania Komisji dotyczącym gospodarki</w:t>
      </w:r>
      <w:r w:rsidR="003F3D2B" w:rsidRPr="00624565">
        <w:rPr>
          <w:noProof/>
        </w:rPr>
        <w:t xml:space="preserve"> o</w:t>
      </w:r>
      <w:r w:rsidR="003F3D2B">
        <w:rPr>
          <w:noProof/>
        </w:rPr>
        <w:t> </w:t>
      </w:r>
      <w:r w:rsidR="003F3D2B" w:rsidRPr="00624565">
        <w:rPr>
          <w:noProof/>
        </w:rPr>
        <w:t>obi</w:t>
      </w:r>
      <w:r w:rsidRPr="00624565">
        <w:rPr>
          <w:noProof/>
        </w:rPr>
        <w:t>egu zamkniętym</w:t>
      </w:r>
      <w:r w:rsidRPr="00624565">
        <w:rPr>
          <w:noProof/>
          <w:vertAlign w:val="superscript"/>
        </w:rPr>
        <w:t>5</w:t>
      </w:r>
      <w:r w:rsidR="003F3D2B" w:rsidRPr="00624565">
        <w:rPr>
          <w:noProof/>
        </w:rPr>
        <w:t xml:space="preserve"> i</w:t>
      </w:r>
      <w:r w:rsidR="003F3D2B">
        <w:rPr>
          <w:noProof/>
        </w:rPr>
        <w:t> </w:t>
      </w:r>
      <w:r w:rsidR="003F3D2B" w:rsidRPr="00624565">
        <w:rPr>
          <w:noProof/>
        </w:rPr>
        <w:t>Now</w:t>
      </w:r>
      <w:r w:rsidRPr="00624565">
        <w:rPr>
          <w:noProof/>
        </w:rPr>
        <w:t>ym programie na rzecz konsumentów</w:t>
      </w:r>
      <w:r w:rsidRPr="00624565">
        <w:rPr>
          <w:noProof/>
          <w:vertAlign w:val="superscript"/>
        </w:rPr>
        <w:t>6</w:t>
      </w:r>
      <w:r w:rsidRPr="00624565">
        <w:rPr>
          <w:noProof/>
        </w:rPr>
        <w:t xml:space="preserve">. Wniosek wzmocni także nadrzędne strategie, takie jak plan działania na rzecz eliminacji zanieczyszczeń </w:t>
      </w:r>
      <w:r w:rsidRPr="00624565">
        <w:rPr>
          <w:rStyle w:val="FootnoteReference"/>
          <w:noProof/>
        </w:rPr>
        <w:footnoteReference w:id="39"/>
      </w:r>
      <w:r w:rsidRPr="00624565">
        <w:rPr>
          <w:noProof/>
        </w:rPr>
        <w:t xml:space="preserve"> czy unijna strategia na rzecz bioróżnorodności 2030</w:t>
      </w:r>
      <w:r w:rsidRPr="00624565">
        <w:rPr>
          <w:rStyle w:val="FootnoteReference"/>
          <w:rFonts w:eastAsia="Times New Roman"/>
          <w:noProof/>
        </w:rPr>
        <w:footnoteReference w:id="40"/>
      </w:r>
      <w:r w:rsidRPr="00624565">
        <w:rPr>
          <w:noProof/>
        </w:rPr>
        <w:t xml:space="preserve"> oraz uzupełni strategie ukierunkowane na określone sektory, takie jak strategia „Od pola do stołu”</w:t>
      </w:r>
      <w:r w:rsidRPr="00624565">
        <w:rPr>
          <w:rStyle w:val="FootnoteReference"/>
          <w:noProof/>
        </w:rPr>
        <w:footnoteReference w:id="41"/>
      </w:r>
      <w:r w:rsidRPr="00624565">
        <w:rPr>
          <w:noProof/>
        </w:rPr>
        <w:t>, lub kwestie, takie jak wezwania</w:t>
      </w:r>
      <w:r w:rsidR="003F3D2B" w:rsidRPr="00624565">
        <w:rPr>
          <w:noProof/>
        </w:rPr>
        <w:t xml:space="preserve"> w</w:t>
      </w:r>
      <w:r w:rsidR="003F3D2B">
        <w:rPr>
          <w:noProof/>
        </w:rPr>
        <w:t> </w:t>
      </w:r>
      <w:r w:rsidR="003F3D2B" w:rsidRPr="00624565">
        <w:rPr>
          <w:noProof/>
        </w:rPr>
        <w:t>Str</w:t>
      </w:r>
      <w:r w:rsidRPr="00624565">
        <w:rPr>
          <w:noProof/>
        </w:rPr>
        <w:t>ategii</w:t>
      </w:r>
      <w:r w:rsidR="003F3D2B" w:rsidRPr="00624565">
        <w:rPr>
          <w:noProof/>
        </w:rPr>
        <w:t xml:space="preserve"> w</w:t>
      </w:r>
      <w:r w:rsidR="003F3D2B">
        <w:rPr>
          <w:noProof/>
        </w:rPr>
        <w:t> </w:t>
      </w:r>
      <w:r w:rsidR="003F3D2B" w:rsidRPr="00624565">
        <w:rPr>
          <w:noProof/>
        </w:rPr>
        <w:t>zak</w:t>
      </w:r>
      <w:r w:rsidRPr="00624565">
        <w:rPr>
          <w:noProof/>
        </w:rPr>
        <w:t>resie przystosowania do zmiany klimatu do zwiększenia efektywnego gospodarowania wodą</w:t>
      </w:r>
      <w:r w:rsidR="003F3D2B" w:rsidRPr="00624565">
        <w:rPr>
          <w:noProof/>
        </w:rPr>
        <w:t xml:space="preserve"> i</w:t>
      </w:r>
      <w:r w:rsidR="003F3D2B">
        <w:rPr>
          <w:noProof/>
        </w:rPr>
        <w:t> </w:t>
      </w:r>
      <w:r w:rsidR="003F3D2B" w:rsidRPr="00624565">
        <w:rPr>
          <w:noProof/>
        </w:rPr>
        <w:t>jej</w:t>
      </w:r>
      <w:r w:rsidRPr="00624565">
        <w:rPr>
          <w:noProof/>
        </w:rPr>
        <w:t xml:space="preserve"> ponownego wykorzystania</w:t>
      </w:r>
      <w:r w:rsidRPr="00624565">
        <w:rPr>
          <w:rStyle w:val="FootnoteReference"/>
          <w:noProof/>
        </w:rPr>
        <w:footnoteReference w:id="42"/>
      </w:r>
      <w:r w:rsidRPr="00624565">
        <w:rPr>
          <w:noProof/>
        </w:rPr>
        <w:t>.</w:t>
      </w:r>
    </w:p>
    <w:p w14:paraId="1DF462C9" w14:textId="7D4BD8CD" w:rsidR="00D96629" w:rsidRPr="003F3D2B" w:rsidRDefault="00D96629" w:rsidP="00D96629">
      <w:pPr>
        <w:tabs>
          <w:tab w:val="num" w:pos="567"/>
        </w:tabs>
        <w:rPr>
          <w:rFonts w:eastAsia="Times New Roman"/>
          <w:noProof/>
        </w:rPr>
      </w:pPr>
      <w:r w:rsidRPr="00624565">
        <w:rPr>
          <w:noProof/>
        </w:rPr>
        <w:t>Jak opisano wyżej, niniejszy wniosek dotyczący dyrektywy</w:t>
      </w:r>
      <w:r w:rsidR="003F3D2B" w:rsidRPr="00624565">
        <w:rPr>
          <w:noProof/>
        </w:rPr>
        <w:t xml:space="preserve"> w</w:t>
      </w:r>
      <w:r w:rsidR="003F3D2B">
        <w:rPr>
          <w:noProof/>
        </w:rPr>
        <w:t> </w:t>
      </w:r>
      <w:r w:rsidR="003F3D2B" w:rsidRPr="00624565">
        <w:rPr>
          <w:noProof/>
        </w:rPr>
        <w:t>spr</w:t>
      </w:r>
      <w:r w:rsidRPr="00624565">
        <w:rPr>
          <w:noProof/>
        </w:rPr>
        <w:t>awie oświadczeń środowiskowych oraz wniosek zmieniający dyrektywę</w:t>
      </w:r>
      <w:r w:rsidR="003F3D2B" w:rsidRPr="00624565">
        <w:rPr>
          <w:noProof/>
        </w:rPr>
        <w:t xml:space="preserve"> o</w:t>
      </w:r>
      <w:r w:rsidR="003F3D2B">
        <w:rPr>
          <w:noProof/>
        </w:rPr>
        <w:t> </w:t>
      </w:r>
      <w:r w:rsidR="003F3D2B" w:rsidRPr="00624565">
        <w:rPr>
          <w:noProof/>
        </w:rPr>
        <w:t>nie</w:t>
      </w:r>
      <w:r w:rsidRPr="00624565">
        <w:rPr>
          <w:noProof/>
        </w:rPr>
        <w:t>uczciwych praktykach handlowych łącznie ustanawiają spójne ramy polityki wspierające Unię</w:t>
      </w:r>
      <w:r w:rsidR="003F3D2B" w:rsidRPr="00624565">
        <w:rPr>
          <w:noProof/>
        </w:rPr>
        <w:t xml:space="preserve"> w</w:t>
      </w:r>
      <w:r w:rsidR="003F3D2B">
        <w:rPr>
          <w:noProof/>
        </w:rPr>
        <w:t> </w:t>
      </w:r>
      <w:r w:rsidR="003F3D2B" w:rsidRPr="00624565">
        <w:rPr>
          <w:noProof/>
        </w:rPr>
        <w:t>pro</w:t>
      </w:r>
      <w:r w:rsidRPr="00624565">
        <w:rPr>
          <w:noProof/>
        </w:rPr>
        <w:t>cesie transformacji ekologicznej poprzez przekształcanie modeli konsumpcji</w:t>
      </w:r>
      <w:r w:rsidR="003F3D2B" w:rsidRPr="00624565">
        <w:rPr>
          <w:noProof/>
        </w:rPr>
        <w:t xml:space="preserve"> w</w:t>
      </w:r>
      <w:r w:rsidR="003F3D2B">
        <w:rPr>
          <w:noProof/>
        </w:rPr>
        <w:t> </w:t>
      </w:r>
      <w:r w:rsidR="003F3D2B" w:rsidRPr="00624565">
        <w:rPr>
          <w:noProof/>
        </w:rPr>
        <w:t>bar</w:t>
      </w:r>
      <w:r w:rsidRPr="00624565">
        <w:rPr>
          <w:noProof/>
        </w:rPr>
        <w:t>dziej zrównoważonym kierunku. Mają one na celu przyczynienie się do bardziej ekologicznego rynku wewnętrznego dzięki zachęcaniu do obniżenia śladu środowiskowego produktów zużywanych</w:t>
      </w:r>
      <w:r w:rsidR="003F3D2B" w:rsidRPr="00624565">
        <w:rPr>
          <w:noProof/>
        </w:rPr>
        <w:t xml:space="preserve"> w</w:t>
      </w:r>
      <w:r w:rsidR="003F3D2B">
        <w:rPr>
          <w:noProof/>
        </w:rPr>
        <w:t> </w:t>
      </w:r>
      <w:r w:rsidR="003F3D2B" w:rsidRPr="00624565">
        <w:rPr>
          <w:noProof/>
        </w:rPr>
        <w:t>Uni</w:t>
      </w:r>
      <w:r w:rsidRPr="00624565">
        <w:rPr>
          <w:noProof/>
        </w:rPr>
        <w:t>i. Przyczynią się one także do osiągnięcia celu Europejskiego prawa</w:t>
      </w:r>
      <w:r w:rsidR="003F3D2B" w:rsidRPr="00624565">
        <w:rPr>
          <w:noProof/>
        </w:rPr>
        <w:t xml:space="preserve"> o</w:t>
      </w:r>
      <w:r w:rsidR="003F3D2B">
        <w:rPr>
          <w:noProof/>
        </w:rPr>
        <w:t> </w:t>
      </w:r>
      <w:r w:rsidR="003F3D2B" w:rsidRPr="00624565">
        <w:rPr>
          <w:noProof/>
        </w:rPr>
        <w:t>kli</w:t>
      </w:r>
      <w:r w:rsidRPr="00624565">
        <w:rPr>
          <w:noProof/>
        </w:rPr>
        <w:t xml:space="preserve">macie polegającego na osiągnięciu najpóźniej </w:t>
      </w:r>
      <w:r w:rsidRPr="003F3D2B">
        <w:rPr>
          <w:noProof/>
        </w:rPr>
        <w:t>do</w:t>
      </w:r>
      <w:r w:rsidR="003F3D2B" w:rsidRPr="003F3D2B">
        <w:rPr>
          <w:noProof/>
        </w:rPr>
        <w:t> </w:t>
      </w:r>
      <w:r w:rsidRPr="003F3D2B">
        <w:rPr>
          <w:noProof/>
        </w:rPr>
        <w:t>2</w:t>
      </w:r>
      <w:r w:rsidRPr="00624565">
        <w:rPr>
          <w:noProof/>
        </w:rPr>
        <w:t>0</w:t>
      </w:r>
      <w:r w:rsidRPr="003F3D2B">
        <w:rPr>
          <w:noProof/>
        </w:rPr>
        <w:t>50</w:t>
      </w:r>
      <w:r w:rsidR="003F3D2B" w:rsidRPr="003F3D2B">
        <w:rPr>
          <w:noProof/>
        </w:rPr>
        <w:t> </w:t>
      </w:r>
      <w:r w:rsidRPr="003F3D2B">
        <w:rPr>
          <w:noProof/>
        </w:rPr>
        <w:t>r.</w:t>
      </w:r>
      <w:r w:rsidRPr="00624565">
        <w:rPr>
          <w:noProof/>
        </w:rPr>
        <w:t xml:space="preserve"> równowagi między emisją</w:t>
      </w:r>
      <w:r w:rsidR="003F3D2B" w:rsidRPr="00624565">
        <w:rPr>
          <w:noProof/>
        </w:rPr>
        <w:t xml:space="preserve"> a</w:t>
      </w:r>
      <w:r w:rsidR="003F3D2B">
        <w:rPr>
          <w:noProof/>
        </w:rPr>
        <w:t> </w:t>
      </w:r>
      <w:r w:rsidR="003F3D2B" w:rsidRPr="00624565">
        <w:rPr>
          <w:noProof/>
        </w:rPr>
        <w:t>poc</w:t>
      </w:r>
      <w:r w:rsidRPr="00624565">
        <w:rPr>
          <w:noProof/>
        </w:rPr>
        <w:t>hłanianiem gazów cieplarnianych</w:t>
      </w:r>
      <w:r w:rsidR="003F3D2B" w:rsidRPr="00624565">
        <w:rPr>
          <w:noProof/>
        </w:rPr>
        <w:t xml:space="preserve"> w</w:t>
      </w:r>
      <w:r w:rsidR="003F3D2B">
        <w:rPr>
          <w:noProof/>
        </w:rPr>
        <w:t> </w:t>
      </w:r>
      <w:r w:rsidR="003F3D2B" w:rsidRPr="00624565">
        <w:rPr>
          <w:noProof/>
        </w:rPr>
        <w:t>Uni</w:t>
      </w:r>
      <w:r w:rsidRPr="00624565">
        <w:rPr>
          <w:noProof/>
        </w:rPr>
        <w:t>i dzięki zajęciu się kwestią oświadczeń dotyczących redukcji emisji gazów cieplarnianych</w:t>
      </w:r>
      <w:r w:rsidR="003F3D2B" w:rsidRPr="00624565">
        <w:rPr>
          <w:noProof/>
        </w:rPr>
        <w:t xml:space="preserve"> i</w:t>
      </w:r>
      <w:r w:rsidR="003F3D2B">
        <w:rPr>
          <w:noProof/>
        </w:rPr>
        <w:t> </w:t>
      </w:r>
      <w:r w:rsidR="003F3D2B" w:rsidRPr="00624565">
        <w:rPr>
          <w:noProof/>
        </w:rPr>
        <w:t>neu</w:t>
      </w:r>
      <w:r w:rsidRPr="00624565">
        <w:rPr>
          <w:noProof/>
        </w:rPr>
        <w:t>tralności klimatycznej</w:t>
      </w:r>
      <w:r w:rsidRPr="003F3D2B">
        <w:rPr>
          <w:noProof/>
        </w:rPr>
        <w:t>.</w:t>
      </w:r>
      <w:r w:rsidR="003F3D2B" w:rsidRPr="003F3D2B">
        <w:rPr>
          <w:noProof/>
        </w:rPr>
        <w:t xml:space="preserve"> </w:t>
      </w:r>
    </w:p>
    <w:p w14:paraId="437E7437" w14:textId="77777777" w:rsidR="009769E5" w:rsidRPr="00624565" w:rsidRDefault="009769E5" w:rsidP="009769E5">
      <w:pPr>
        <w:pStyle w:val="ManualHeading1"/>
        <w:rPr>
          <w:noProof/>
        </w:rPr>
      </w:pPr>
      <w:r w:rsidRPr="00624565">
        <w:rPr>
          <w:noProof/>
        </w:rPr>
        <w:t>2.</w:t>
      </w:r>
      <w:r w:rsidRPr="00624565">
        <w:rPr>
          <w:noProof/>
        </w:rPr>
        <w:tab/>
        <w:t>PODSTAWA PRAWNA, POMOCNICZOŚĆ I PROPORCJONALNOŚĆ</w:t>
      </w:r>
    </w:p>
    <w:p w14:paraId="653D287C" w14:textId="77777777" w:rsidR="009769E5" w:rsidRPr="00624565" w:rsidRDefault="006F075B" w:rsidP="006F075B">
      <w:pPr>
        <w:pStyle w:val="ManualHeading2"/>
        <w:rPr>
          <w:noProof/>
          <w:u w:color="000000"/>
          <w:bdr w:val="nil"/>
        </w:rPr>
      </w:pPr>
      <w:r w:rsidRPr="00624565">
        <w:rPr>
          <w:noProof/>
          <w:u w:color="000000"/>
          <w:bdr w:val="nil"/>
        </w:rPr>
        <w:t>2.1</w:t>
      </w:r>
      <w:r w:rsidRPr="00624565">
        <w:rPr>
          <w:noProof/>
        </w:rPr>
        <w:tab/>
      </w:r>
      <w:r w:rsidRPr="00624565">
        <w:rPr>
          <w:noProof/>
          <w:u w:color="000000"/>
          <w:bdr w:val="nil"/>
        </w:rPr>
        <w:t>Podstawa prawna</w:t>
      </w:r>
    </w:p>
    <w:p w14:paraId="76471A53" w14:textId="6C4DE25A" w:rsidR="006F075B" w:rsidRPr="00624565" w:rsidRDefault="006F075B" w:rsidP="006F075B">
      <w:pPr>
        <w:spacing w:after="0"/>
        <w:textAlignment w:val="baseline"/>
        <w:rPr>
          <w:rFonts w:eastAsia="Times New Roman"/>
          <w:noProof/>
          <w:sz w:val="18"/>
          <w:szCs w:val="18"/>
        </w:rPr>
      </w:pPr>
      <w:r w:rsidRPr="00624565">
        <w:rPr>
          <w:noProof/>
        </w:rPr>
        <w:t xml:space="preserve">Podstawą niniejszego wniosku jest </w:t>
      </w:r>
      <w:r w:rsidRPr="003F3D2B">
        <w:rPr>
          <w:noProof/>
        </w:rPr>
        <w:t>art.</w:t>
      </w:r>
      <w:r w:rsidR="003F3D2B" w:rsidRPr="003F3D2B">
        <w:rPr>
          <w:noProof/>
        </w:rPr>
        <w:t> </w:t>
      </w:r>
      <w:r w:rsidRPr="003F3D2B">
        <w:rPr>
          <w:noProof/>
        </w:rPr>
        <w:t>1</w:t>
      </w:r>
      <w:r w:rsidRPr="00624565">
        <w:rPr>
          <w:noProof/>
        </w:rPr>
        <w:t>14 Traktatu</w:t>
      </w:r>
      <w:r w:rsidR="003F3D2B" w:rsidRPr="00624565">
        <w:rPr>
          <w:noProof/>
        </w:rPr>
        <w:t xml:space="preserve"> o</w:t>
      </w:r>
      <w:r w:rsidR="003F3D2B">
        <w:rPr>
          <w:noProof/>
        </w:rPr>
        <w:t> </w:t>
      </w:r>
      <w:r w:rsidR="003F3D2B" w:rsidRPr="00624565">
        <w:rPr>
          <w:noProof/>
        </w:rPr>
        <w:t>fun</w:t>
      </w:r>
      <w:r w:rsidRPr="00624565">
        <w:rPr>
          <w:noProof/>
        </w:rPr>
        <w:t>kcjonowaniu Unii Europejskiej (TFUE), który ma zastosowanie do środków mających na celu ustanowienie lub zapewnienie funkcjonowania rynku wewnętrznego</w:t>
      </w:r>
      <w:r w:rsidR="003F3D2B" w:rsidRPr="00624565">
        <w:rPr>
          <w:noProof/>
        </w:rPr>
        <w:t xml:space="preserve"> i</w:t>
      </w:r>
      <w:r w:rsidR="003F3D2B">
        <w:rPr>
          <w:noProof/>
        </w:rPr>
        <w:t> </w:t>
      </w:r>
      <w:r w:rsidR="003F3D2B" w:rsidRPr="00624565">
        <w:rPr>
          <w:noProof/>
        </w:rPr>
        <w:t>w</w:t>
      </w:r>
      <w:r w:rsidR="003F3D2B">
        <w:rPr>
          <w:noProof/>
        </w:rPr>
        <w:t> </w:t>
      </w:r>
      <w:r w:rsidR="003F3D2B" w:rsidRPr="00624565">
        <w:rPr>
          <w:noProof/>
        </w:rPr>
        <w:t>któ</w:t>
      </w:r>
      <w:r w:rsidRPr="00624565">
        <w:rPr>
          <w:noProof/>
        </w:rPr>
        <w:t xml:space="preserve">rym jednocześnie przyjęto jako podstawę wysoki poziom ochrony środowiska. </w:t>
      </w:r>
    </w:p>
    <w:p w14:paraId="20C9D6F8" w14:textId="17458E3B" w:rsidR="006F075B" w:rsidRPr="00624565" w:rsidRDefault="006F075B" w:rsidP="006F075B">
      <w:pPr>
        <w:spacing w:after="0"/>
        <w:textAlignment w:val="baseline"/>
        <w:rPr>
          <w:rFonts w:eastAsia="Times New Roman"/>
          <w:noProof/>
          <w:sz w:val="18"/>
          <w:szCs w:val="18"/>
        </w:rPr>
      </w:pPr>
      <w:r w:rsidRPr="00624565">
        <w:rPr>
          <w:b/>
          <w:noProof/>
        </w:rPr>
        <w:t>Różne wymagania nakładane</w:t>
      </w:r>
      <w:r w:rsidR="003F3D2B" w:rsidRPr="00624565">
        <w:rPr>
          <w:b/>
          <w:noProof/>
        </w:rPr>
        <w:t xml:space="preserve"> w</w:t>
      </w:r>
      <w:r w:rsidR="003F3D2B">
        <w:rPr>
          <w:b/>
          <w:noProof/>
        </w:rPr>
        <w:t> </w:t>
      </w:r>
      <w:r w:rsidR="003F3D2B" w:rsidRPr="00624565">
        <w:rPr>
          <w:b/>
          <w:noProof/>
        </w:rPr>
        <w:t>ram</w:t>
      </w:r>
      <w:r w:rsidRPr="00624565">
        <w:rPr>
          <w:b/>
          <w:noProof/>
        </w:rPr>
        <w:t>ach krajowego prawodawstwa lub prywatnych inicjatyw</w:t>
      </w:r>
      <w:r w:rsidR="003F3D2B" w:rsidRPr="00624565">
        <w:rPr>
          <w:b/>
          <w:noProof/>
        </w:rPr>
        <w:t xml:space="preserve"> w</w:t>
      </w:r>
      <w:r w:rsidR="003F3D2B">
        <w:rPr>
          <w:b/>
          <w:noProof/>
        </w:rPr>
        <w:t> </w:t>
      </w:r>
      <w:r w:rsidR="003F3D2B" w:rsidRPr="00624565">
        <w:rPr>
          <w:b/>
          <w:noProof/>
        </w:rPr>
        <w:t>zak</w:t>
      </w:r>
      <w:r w:rsidRPr="00624565">
        <w:rPr>
          <w:b/>
          <w:noProof/>
        </w:rPr>
        <w:t>resie regulowania oświadczeń środowiskowych stanowią niepotrzebne obciążenie dla przedsiębiorstw, które prowadzą handel transgraniczny, ponieważ muszą one zapewnić zgodność</w:t>
      </w:r>
      <w:r w:rsidR="003F3D2B" w:rsidRPr="00624565">
        <w:rPr>
          <w:b/>
          <w:noProof/>
        </w:rPr>
        <w:t xml:space="preserve"> z</w:t>
      </w:r>
      <w:r w:rsidR="003F3D2B">
        <w:rPr>
          <w:b/>
          <w:noProof/>
        </w:rPr>
        <w:t> </w:t>
      </w:r>
      <w:r w:rsidR="003F3D2B" w:rsidRPr="00624565">
        <w:rPr>
          <w:b/>
          <w:noProof/>
        </w:rPr>
        <w:t>róż</w:t>
      </w:r>
      <w:r w:rsidRPr="00624565">
        <w:rPr>
          <w:b/>
          <w:noProof/>
        </w:rPr>
        <w:t>nymi wymogami obowiązującymi</w:t>
      </w:r>
      <w:r w:rsidR="003F3D2B" w:rsidRPr="00624565">
        <w:rPr>
          <w:b/>
          <w:noProof/>
        </w:rPr>
        <w:t xml:space="preserve"> w</w:t>
      </w:r>
      <w:r w:rsidR="003F3D2B">
        <w:rPr>
          <w:b/>
          <w:noProof/>
        </w:rPr>
        <w:t> </w:t>
      </w:r>
      <w:r w:rsidR="003F3D2B" w:rsidRPr="00624565">
        <w:rPr>
          <w:b/>
          <w:noProof/>
        </w:rPr>
        <w:t>każ</w:t>
      </w:r>
      <w:r w:rsidRPr="00624565">
        <w:rPr>
          <w:b/>
          <w:noProof/>
        </w:rPr>
        <w:t>dym kraju. Wpływa to na ich zdolność do prowadzenia działalności na rynku wewnętrznym oraz do korzystania</w:t>
      </w:r>
      <w:r w:rsidR="003F3D2B" w:rsidRPr="00624565">
        <w:rPr>
          <w:b/>
          <w:noProof/>
        </w:rPr>
        <w:t xml:space="preserve"> z</w:t>
      </w:r>
      <w:r w:rsidR="003F3D2B">
        <w:rPr>
          <w:b/>
          <w:noProof/>
        </w:rPr>
        <w:t> </w:t>
      </w:r>
      <w:r w:rsidR="003F3D2B" w:rsidRPr="00624565">
        <w:rPr>
          <w:b/>
          <w:noProof/>
        </w:rPr>
        <w:t>ryn</w:t>
      </w:r>
      <w:r w:rsidRPr="00624565">
        <w:rPr>
          <w:b/>
          <w:noProof/>
        </w:rPr>
        <w:t xml:space="preserve">ku wewnętrznego. </w:t>
      </w:r>
      <w:r w:rsidRPr="00624565">
        <w:rPr>
          <w:noProof/>
        </w:rPr>
        <w:t>Jednocześnie uczestnicy rynku mają trudności</w:t>
      </w:r>
      <w:r w:rsidR="003F3D2B" w:rsidRPr="00624565">
        <w:rPr>
          <w:noProof/>
        </w:rPr>
        <w:t xml:space="preserve"> z</w:t>
      </w:r>
      <w:r w:rsidR="003F3D2B">
        <w:rPr>
          <w:noProof/>
        </w:rPr>
        <w:t> </w:t>
      </w:r>
      <w:r w:rsidR="003F3D2B" w:rsidRPr="00624565">
        <w:rPr>
          <w:noProof/>
        </w:rPr>
        <w:t>ide</w:t>
      </w:r>
      <w:r w:rsidRPr="00624565">
        <w:rPr>
          <w:noProof/>
        </w:rPr>
        <w:t>ntyfikacją wiarygodnych oświadczeń środowiskowych oraz</w:t>
      </w:r>
      <w:r w:rsidR="003F3D2B" w:rsidRPr="00624565">
        <w:rPr>
          <w:noProof/>
        </w:rPr>
        <w:t xml:space="preserve"> z</w:t>
      </w:r>
      <w:r w:rsidR="003F3D2B">
        <w:rPr>
          <w:noProof/>
        </w:rPr>
        <w:t> </w:t>
      </w:r>
      <w:r w:rsidR="003F3D2B" w:rsidRPr="00624565">
        <w:rPr>
          <w:noProof/>
        </w:rPr>
        <w:t>pod</w:t>
      </w:r>
      <w:r w:rsidRPr="00624565">
        <w:rPr>
          <w:noProof/>
        </w:rPr>
        <w:t>ejmowaniem optymalnych decyzji</w:t>
      </w:r>
      <w:r w:rsidR="003F3D2B" w:rsidRPr="00624565">
        <w:rPr>
          <w:noProof/>
        </w:rPr>
        <w:t xml:space="preserve"> o</w:t>
      </w:r>
      <w:r w:rsidR="003F3D2B">
        <w:rPr>
          <w:noProof/>
        </w:rPr>
        <w:t> </w:t>
      </w:r>
      <w:r w:rsidR="003F3D2B" w:rsidRPr="00624565">
        <w:rPr>
          <w:noProof/>
        </w:rPr>
        <w:t>zak</w:t>
      </w:r>
      <w:r w:rsidRPr="00624565">
        <w:rPr>
          <w:noProof/>
        </w:rPr>
        <w:t xml:space="preserve">upie na rynku wewnętrznym. </w:t>
      </w:r>
    </w:p>
    <w:p w14:paraId="7A48A276" w14:textId="6E30DF44" w:rsidR="006F075B" w:rsidRPr="00624565" w:rsidRDefault="006F075B" w:rsidP="006F075B">
      <w:pPr>
        <w:spacing w:after="0"/>
        <w:textAlignment w:val="baseline"/>
        <w:rPr>
          <w:rFonts w:eastAsia="Times New Roman"/>
          <w:noProof/>
          <w:sz w:val="18"/>
          <w:szCs w:val="18"/>
        </w:rPr>
      </w:pPr>
      <w:r w:rsidRPr="00624565">
        <w:rPr>
          <w:noProof/>
        </w:rPr>
        <w:t>Niniejszy wniosek ma zatem na celu zapewnienie funkcjonowania rynku wewnętrznego dla podmiotów gospodarczych działających na rynku wewnętrznym</w:t>
      </w:r>
      <w:r w:rsidR="003F3D2B" w:rsidRPr="00624565">
        <w:rPr>
          <w:noProof/>
        </w:rPr>
        <w:t xml:space="preserve"> i</w:t>
      </w:r>
      <w:r w:rsidR="003F3D2B">
        <w:rPr>
          <w:noProof/>
        </w:rPr>
        <w:t> </w:t>
      </w:r>
      <w:r w:rsidR="003F3D2B" w:rsidRPr="00624565">
        <w:rPr>
          <w:noProof/>
        </w:rPr>
        <w:t>kon</w:t>
      </w:r>
      <w:r w:rsidRPr="00624565">
        <w:rPr>
          <w:noProof/>
        </w:rPr>
        <w:t>sumentów polegających na oświadczeniach środowiskowych. Środki zaproponowane</w:t>
      </w:r>
      <w:r w:rsidR="003F3D2B" w:rsidRPr="00624565">
        <w:rPr>
          <w:noProof/>
        </w:rPr>
        <w:t xml:space="preserve"> w</w:t>
      </w:r>
      <w:r w:rsidR="003F3D2B">
        <w:rPr>
          <w:noProof/>
        </w:rPr>
        <w:t> </w:t>
      </w:r>
      <w:r w:rsidR="003F3D2B" w:rsidRPr="00624565">
        <w:rPr>
          <w:noProof/>
        </w:rPr>
        <w:t>nin</w:t>
      </w:r>
      <w:r w:rsidRPr="00624565">
        <w:rPr>
          <w:noProof/>
        </w:rPr>
        <w:t>iejszej dyrektywie przyczynią się do podniesienia poziomu ochrony środowiska, prowadząc jednocześnie do dalszej harmonizacji regulacji oświadczeń środowiskowych, oraz pozwolą uniknąć fragmentacji rynku spowodowanej rozbieżnymi podejściami krajowymi, które wprowadzono lub które zostałyby wprowadzone</w:t>
      </w:r>
      <w:r w:rsidR="003F3D2B" w:rsidRPr="00624565">
        <w:rPr>
          <w:noProof/>
        </w:rPr>
        <w:t xml:space="preserve"> w</w:t>
      </w:r>
      <w:r w:rsidR="003F3D2B">
        <w:rPr>
          <w:noProof/>
        </w:rPr>
        <w:t> </w:t>
      </w:r>
      <w:r w:rsidR="003F3D2B" w:rsidRPr="00624565">
        <w:rPr>
          <w:noProof/>
        </w:rPr>
        <w:t>prz</w:t>
      </w:r>
      <w:r w:rsidRPr="00624565">
        <w:rPr>
          <w:noProof/>
        </w:rPr>
        <w:t xml:space="preserve">ypadku braku przepisów na szczeblu UE. </w:t>
      </w:r>
    </w:p>
    <w:p w14:paraId="4F8D75D0" w14:textId="3636F83D" w:rsidR="009769E5" w:rsidRPr="00624565" w:rsidRDefault="006F075B" w:rsidP="006F075B">
      <w:pPr>
        <w:pBdr>
          <w:top w:val="nil"/>
          <w:left w:val="nil"/>
          <w:bottom w:val="nil"/>
          <w:right w:val="nil"/>
          <w:between w:val="nil"/>
          <w:bar w:val="nil"/>
        </w:pBdr>
        <w:spacing w:before="0" w:after="240"/>
        <w:rPr>
          <w:rFonts w:eastAsia="Arial Unicode MS"/>
          <w:noProof/>
        </w:rPr>
      </w:pPr>
      <w:r w:rsidRPr="00624565">
        <w:rPr>
          <w:noProof/>
        </w:rPr>
        <w:t>Wymiar rynku wewnętrznego</w:t>
      </w:r>
      <w:r w:rsidR="003F3D2B" w:rsidRPr="00624565">
        <w:rPr>
          <w:noProof/>
        </w:rPr>
        <w:t xml:space="preserve"> w</w:t>
      </w:r>
      <w:r w:rsidR="003F3D2B">
        <w:rPr>
          <w:noProof/>
        </w:rPr>
        <w:t> </w:t>
      </w:r>
      <w:r w:rsidR="003F3D2B" w:rsidRPr="00624565">
        <w:rPr>
          <w:noProof/>
        </w:rPr>
        <w:t>osi</w:t>
      </w:r>
      <w:r w:rsidRPr="00624565">
        <w:rPr>
          <w:noProof/>
        </w:rPr>
        <w:t xml:space="preserve">ąganiu celu środowiskowego jest dominujący – dlatego </w:t>
      </w:r>
      <w:r w:rsidRPr="003F3D2B">
        <w:rPr>
          <w:noProof/>
        </w:rPr>
        <w:t>art.</w:t>
      </w:r>
      <w:r w:rsidR="003F3D2B" w:rsidRPr="003F3D2B">
        <w:rPr>
          <w:noProof/>
        </w:rPr>
        <w:t> </w:t>
      </w:r>
      <w:r w:rsidRPr="003F3D2B">
        <w:rPr>
          <w:noProof/>
        </w:rPr>
        <w:t>1</w:t>
      </w:r>
      <w:r w:rsidRPr="00624565">
        <w:rPr>
          <w:noProof/>
        </w:rPr>
        <w:t>14 pozostaje odpowiednią podstawą prawną.</w:t>
      </w:r>
    </w:p>
    <w:p w14:paraId="00ED8A9A" w14:textId="77777777" w:rsidR="009769E5" w:rsidRPr="00624565" w:rsidRDefault="006F075B" w:rsidP="009769E5">
      <w:pPr>
        <w:pStyle w:val="ManualHeading2"/>
        <w:rPr>
          <w:rFonts w:eastAsia="Arial Unicode MS"/>
          <w:noProof/>
          <w:u w:color="000000"/>
          <w:bdr w:val="nil"/>
        </w:rPr>
      </w:pPr>
      <w:r w:rsidRPr="00624565">
        <w:rPr>
          <w:noProof/>
          <w:u w:color="000000"/>
          <w:bdr w:val="nil"/>
        </w:rPr>
        <w:t>2.2</w:t>
      </w:r>
      <w:r w:rsidRPr="00624565">
        <w:rPr>
          <w:noProof/>
        </w:rPr>
        <w:tab/>
      </w:r>
      <w:r w:rsidRPr="00624565">
        <w:rPr>
          <w:noProof/>
          <w:u w:color="000000"/>
          <w:bdr w:val="nil"/>
        </w:rPr>
        <w:t xml:space="preserve">Pomocniczość (w przypadku kompetencji niewyłącznych) </w:t>
      </w:r>
    </w:p>
    <w:p w14:paraId="33EAE7D9" w14:textId="112771C4" w:rsidR="006F075B" w:rsidRPr="00624565" w:rsidRDefault="006F075B" w:rsidP="006F075B">
      <w:pPr>
        <w:spacing w:after="0"/>
        <w:textAlignment w:val="baseline"/>
        <w:rPr>
          <w:rFonts w:eastAsia="Times New Roman"/>
          <w:noProof/>
          <w:sz w:val="18"/>
          <w:szCs w:val="18"/>
        </w:rPr>
      </w:pPr>
      <w:r w:rsidRPr="00624565">
        <w:rPr>
          <w:noProof/>
        </w:rPr>
        <w:t>Wprowadzenie wspólnego zbioru zasad na rynku wewnętrznym UE ma zasadnicze znaczenie dla zapewnienia podmiotom gospodarczym równych szans. Jeżeli państwa członkowskie będą działać indywidualnie, poziom ochrony środowiska będzie niedostateczny</w:t>
      </w:r>
      <w:r w:rsidR="003F3D2B" w:rsidRPr="00624565">
        <w:rPr>
          <w:noProof/>
        </w:rPr>
        <w:t xml:space="preserve"> i</w:t>
      </w:r>
      <w:r w:rsidR="003F3D2B">
        <w:rPr>
          <w:noProof/>
        </w:rPr>
        <w:t> </w:t>
      </w:r>
      <w:r w:rsidR="003F3D2B" w:rsidRPr="00624565">
        <w:rPr>
          <w:noProof/>
        </w:rPr>
        <w:t>ist</w:t>
      </w:r>
      <w:r w:rsidRPr="00624565">
        <w:rPr>
          <w:noProof/>
        </w:rPr>
        <w:t>nieje ryzyko, że stosowane będą konkurujące ze sobą różne systemy oparte na różnych metodach</w:t>
      </w:r>
      <w:r w:rsidR="003F3D2B" w:rsidRPr="00624565">
        <w:rPr>
          <w:noProof/>
        </w:rPr>
        <w:t xml:space="preserve"> i</w:t>
      </w:r>
      <w:r w:rsidR="003F3D2B">
        <w:rPr>
          <w:noProof/>
        </w:rPr>
        <w:t> </w:t>
      </w:r>
      <w:r w:rsidR="003F3D2B" w:rsidRPr="00624565">
        <w:rPr>
          <w:noProof/>
        </w:rPr>
        <w:t>pod</w:t>
      </w:r>
      <w:r w:rsidRPr="00624565">
        <w:rPr>
          <w:noProof/>
        </w:rPr>
        <w:t xml:space="preserve">ejściach. </w:t>
      </w:r>
    </w:p>
    <w:p w14:paraId="55CD489F" w14:textId="3CE1302E" w:rsidR="006F075B" w:rsidRPr="00624565" w:rsidRDefault="006F075B" w:rsidP="006F075B">
      <w:pPr>
        <w:spacing w:after="0"/>
        <w:textAlignment w:val="baseline"/>
        <w:rPr>
          <w:rFonts w:eastAsia="Times New Roman"/>
          <w:noProof/>
          <w:sz w:val="18"/>
          <w:szCs w:val="18"/>
        </w:rPr>
      </w:pPr>
      <w:r w:rsidRPr="00624565">
        <w:rPr>
          <w:b/>
          <w:noProof/>
        </w:rPr>
        <w:t>We wniosku</w:t>
      </w:r>
      <w:r w:rsidR="003F3D2B" w:rsidRPr="00624565">
        <w:rPr>
          <w:b/>
          <w:noProof/>
        </w:rPr>
        <w:t xml:space="preserve"> w</w:t>
      </w:r>
      <w:r w:rsidR="003F3D2B">
        <w:rPr>
          <w:b/>
          <w:noProof/>
        </w:rPr>
        <w:t> </w:t>
      </w:r>
      <w:r w:rsidR="003F3D2B" w:rsidRPr="00624565">
        <w:rPr>
          <w:b/>
          <w:noProof/>
        </w:rPr>
        <w:t>spr</w:t>
      </w:r>
      <w:r w:rsidRPr="00624565">
        <w:rPr>
          <w:b/>
          <w:noProof/>
        </w:rPr>
        <w:t>awie wzmocnienia pozycji konsumentów</w:t>
      </w:r>
      <w:r w:rsidR="003F3D2B" w:rsidRPr="00624565">
        <w:rPr>
          <w:b/>
          <w:noProof/>
        </w:rPr>
        <w:t xml:space="preserve"> w</w:t>
      </w:r>
      <w:r w:rsidR="003F3D2B">
        <w:rPr>
          <w:b/>
          <w:noProof/>
        </w:rPr>
        <w:t> </w:t>
      </w:r>
      <w:r w:rsidR="003F3D2B" w:rsidRPr="00624565">
        <w:rPr>
          <w:b/>
          <w:noProof/>
        </w:rPr>
        <w:t>pro</w:t>
      </w:r>
      <w:r w:rsidRPr="00624565">
        <w:rPr>
          <w:b/>
          <w:noProof/>
        </w:rPr>
        <w:t>cesie transformacji ekologicznej nie określono, co przedsiębiorstwa powinny zrobić, by odpowiednio uzasadnić swoje oświadczenia środowiskowe.</w:t>
      </w:r>
      <w:r w:rsidRPr="00624565">
        <w:rPr>
          <w:noProof/>
        </w:rPr>
        <w:t xml:space="preserve"> To</w:t>
      </w:r>
      <w:r w:rsidR="003F3D2B" w:rsidRPr="00624565">
        <w:rPr>
          <w:noProof/>
        </w:rPr>
        <w:t xml:space="preserve"> z</w:t>
      </w:r>
      <w:r w:rsidR="003F3D2B">
        <w:rPr>
          <w:noProof/>
        </w:rPr>
        <w:t> </w:t>
      </w:r>
      <w:r w:rsidR="003F3D2B" w:rsidRPr="00624565">
        <w:rPr>
          <w:noProof/>
        </w:rPr>
        <w:t>kol</w:t>
      </w:r>
      <w:r w:rsidRPr="00624565">
        <w:rPr>
          <w:noProof/>
        </w:rPr>
        <w:t>ei może prowadzić</w:t>
      </w:r>
      <w:r w:rsidR="003F3D2B" w:rsidRPr="00624565">
        <w:rPr>
          <w:noProof/>
        </w:rPr>
        <w:t xml:space="preserve"> w</w:t>
      </w:r>
      <w:r w:rsidR="003F3D2B">
        <w:rPr>
          <w:noProof/>
        </w:rPr>
        <w:t> </w:t>
      </w:r>
      <w:r w:rsidR="003F3D2B" w:rsidRPr="00624565">
        <w:rPr>
          <w:noProof/>
        </w:rPr>
        <w:t>cał</w:t>
      </w:r>
      <w:r w:rsidRPr="00624565">
        <w:rPr>
          <w:noProof/>
        </w:rPr>
        <w:t>ej UE do znacząco rozbieżnych podejść do uzasadniania oświadczeń. Doprowadziłoby to do fragmentacji rynku wewnętrznego przejawiającej się zakłóceniem warunków konkurencji</w:t>
      </w:r>
      <w:r w:rsidR="003F3D2B" w:rsidRPr="00624565">
        <w:rPr>
          <w:noProof/>
        </w:rPr>
        <w:t xml:space="preserve"> i</w:t>
      </w:r>
      <w:r w:rsidR="003F3D2B">
        <w:rPr>
          <w:noProof/>
        </w:rPr>
        <w:t> </w:t>
      </w:r>
      <w:r w:rsidR="003F3D2B" w:rsidRPr="00624565">
        <w:rPr>
          <w:noProof/>
        </w:rPr>
        <w:t>kon</w:t>
      </w:r>
      <w:r w:rsidRPr="00624565">
        <w:rPr>
          <w:noProof/>
        </w:rPr>
        <w:t>iecznością zmiany lub modyfikacji oświadczeń przy każdym przekroczeniu granic wewnętrznych. To</w:t>
      </w:r>
      <w:r w:rsidR="003F3D2B" w:rsidRPr="00624565">
        <w:rPr>
          <w:noProof/>
        </w:rPr>
        <w:t xml:space="preserve"> z</w:t>
      </w:r>
      <w:r w:rsidR="003F3D2B">
        <w:rPr>
          <w:noProof/>
        </w:rPr>
        <w:t> </w:t>
      </w:r>
      <w:r w:rsidR="003F3D2B" w:rsidRPr="00624565">
        <w:rPr>
          <w:noProof/>
        </w:rPr>
        <w:t>kol</w:t>
      </w:r>
      <w:r w:rsidRPr="00624565">
        <w:rPr>
          <w:noProof/>
        </w:rPr>
        <w:t>ei spowoduje niepewność prawa, zwiększy koszty przestrzegania przepisów</w:t>
      </w:r>
      <w:r w:rsidR="003F3D2B" w:rsidRPr="00624565">
        <w:rPr>
          <w:noProof/>
        </w:rPr>
        <w:t xml:space="preserve"> i</w:t>
      </w:r>
      <w:r w:rsidR="003F3D2B">
        <w:rPr>
          <w:noProof/>
        </w:rPr>
        <w:t> </w:t>
      </w:r>
      <w:r w:rsidR="003F3D2B" w:rsidRPr="00624565">
        <w:rPr>
          <w:noProof/>
        </w:rPr>
        <w:t>nie</w:t>
      </w:r>
      <w:r w:rsidRPr="00624565">
        <w:rPr>
          <w:noProof/>
        </w:rPr>
        <w:t xml:space="preserve">uczciwą konkurencję na jednolitym rynku oraz osłabi skuteczne funkcjonowanie rynku. </w:t>
      </w:r>
    </w:p>
    <w:p w14:paraId="3F67EA78" w14:textId="38C0183A" w:rsidR="006F075B" w:rsidRPr="00624565" w:rsidRDefault="006F075B" w:rsidP="006F075B">
      <w:pPr>
        <w:spacing w:after="0"/>
        <w:textAlignment w:val="baseline"/>
        <w:rPr>
          <w:rFonts w:eastAsia="Times New Roman"/>
          <w:noProof/>
          <w:szCs w:val="24"/>
        </w:rPr>
      </w:pPr>
      <w:r w:rsidRPr="00624565">
        <w:rPr>
          <w:noProof/>
        </w:rPr>
        <w:t>UE jest dobrze przygotowana do wspierania dalszej harmonizacji wymogów metodologicznych</w:t>
      </w:r>
      <w:r w:rsidR="003F3D2B" w:rsidRPr="00624565">
        <w:rPr>
          <w:noProof/>
        </w:rPr>
        <w:t xml:space="preserve"> w</w:t>
      </w:r>
      <w:r w:rsidR="003F3D2B">
        <w:rPr>
          <w:noProof/>
        </w:rPr>
        <w:t> </w:t>
      </w:r>
      <w:r w:rsidR="003F3D2B" w:rsidRPr="00624565">
        <w:rPr>
          <w:noProof/>
        </w:rPr>
        <w:t>zak</w:t>
      </w:r>
      <w:r w:rsidRPr="00624565">
        <w:rPr>
          <w:noProof/>
        </w:rPr>
        <w:t>resie oceny wpływu produktów, usług</w:t>
      </w:r>
      <w:r w:rsidR="003F3D2B" w:rsidRPr="00624565">
        <w:rPr>
          <w:noProof/>
        </w:rPr>
        <w:t xml:space="preserve"> i</w:t>
      </w:r>
      <w:r w:rsidR="003F3D2B">
        <w:rPr>
          <w:noProof/>
        </w:rPr>
        <w:t> </w:t>
      </w:r>
      <w:r w:rsidR="003F3D2B" w:rsidRPr="00624565">
        <w:rPr>
          <w:noProof/>
        </w:rPr>
        <w:t>org</w:t>
      </w:r>
      <w:r w:rsidRPr="00624565">
        <w:rPr>
          <w:noProof/>
        </w:rPr>
        <w:t>anizacji na środowisko na całym jednolitym rynku – opiera się na doświadczeniach państw członkowskich</w:t>
      </w:r>
      <w:r w:rsidR="003F3D2B" w:rsidRPr="00624565">
        <w:rPr>
          <w:noProof/>
        </w:rPr>
        <w:t xml:space="preserve"> i</w:t>
      </w:r>
      <w:r w:rsidR="003F3D2B">
        <w:rPr>
          <w:noProof/>
        </w:rPr>
        <w:t> </w:t>
      </w:r>
      <w:r w:rsidR="003F3D2B" w:rsidRPr="00624565">
        <w:rPr>
          <w:noProof/>
        </w:rPr>
        <w:t>pry</w:t>
      </w:r>
      <w:r w:rsidRPr="00624565">
        <w:rPr>
          <w:noProof/>
        </w:rPr>
        <w:t>watnych inicjatywach</w:t>
      </w:r>
      <w:r w:rsidR="003F3D2B" w:rsidRPr="00624565">
        <w:rPr>
          <w:noProof/>
        </w:rPr>
        <w:t xml:space="preserve"> w</w:t>
      </w:r>
      <w:r w:rsidR="003F3D2B">
        <w:rPr>
          <w:noProof/>
        </w:rPr>
        <w:t> </w:t>
      </w:r>
      <w:r w:rsidR="003F3D2B" w:rsidRPr="00624565">
        <w:rPr>
          <w:noProof/>
        </w:rPr>
        <w:t>tym</w:t>
      </w:r>
      <w:r w:rsidRPr="00624565">
        <w:rPr>
          <w:noProof/>
        </w:rPr>
        <w:t xml:space="preserve"> obszarze. </w:t>
      </w:r>
      <w:r w:rsidRPr="00624565">
        <w:rPr>
          <w:b/>
          <w:noProof/>
        </w:rPr>
        <w:t>UE może wnieść istotną</w:t>
      </w:r>
      <w:r w:rsidRPr="00624565">
        <w:rPr>
          <w:noProof/>
        </w:rPr>
        <w:t xml:space="preserve"> </w:t>
      </w:r>
      <w:r w:rsidRPr="00624565">
        <w:rPr>
          <w:b/>
          <w:noProof/>
        </w:rPr>
        <w:t>wartość dodaną</w:t>
      </w:r>
      <w:r w:rsidRPr="00624565">
        <w:rPr>
          <w:noProof/>
        </w:rPr>
        <w:t>,</w:t>
      </w:r>
      <w:r w:rsidR="003F3D2B" w:rsidRPr="00624565">
        <w:rPr>
          <w:noProof/>
        </w:rPr>
        <w:t xml:space="preserve"> a</w:t>
      </w:r>
      <w:r w:rsidR="003F3D2B">
        <w:rPr>
          <w:noProof/>
        </w:rPr>
        <w:t> </w:t>
      </w:r>
      <w:r w:rsidR="003F3D2B" w:rsidRPr="00624565">
        <w:rPr>
          <w:noProof/>
        </w:rPr>
        <w:t>dal</w:t>
      </w:r>
      <w:r w:rsidRPr="00624565">
        <w:rPr>
          <w:noProof/>
        </w:rPr>
        <w:t>sza koordynacja przyniosłaby oszczędności kosztów rządom</w:t>
      </w:r>
      <w:r w:rsidR="003F3D2B" w:rsidRPr="00624565">
        <w:rPr>
          <w:noProof/>
        </w:rPr>
        <w:t xml:space="preserve"> i</w:t>
      </w:r>
      <w:r w:rsidR="003F3D2B">
        <w:rPr>
          <w:noProof/>
        </w:rPr>
        <w:t> </w:t>
      </w:r>
      <w:r w:rsidR="003F3D2B" w:rsidRPr="00624565">
        <w:rPr>
          <w:noProof/>
        </w:rPr>
        <w:t>sek</w:t>
      </w:r>
      <w:r w:rsidRPr="00624565">
        <w:rPr>
          <w:noProof/>
        </w:rPr>
        <w:t>torowi prywatnemu.</w:t>
      </w:r>
    </w:p>
    <w:p w14:paraId="109AD291" w14:textId="20E28DB4" w:rsidR="006F075B" w:rsidRPr="00624565" w:rsidRDefault="006F075B" w:rsidP="006F075B">
      <w:pPr>
        <w:tabs>
          <w:tab w:val="num" w:pos="567"/>
        </w:tabs>
        <w:textAlignment w:val="baseline"/>
        <w:rPr>
          <w:rFonts w:eastAsia="Times New Roman"/>
          <w:noProof/>
        </w:rPr>
      </w:pPr>
      <w:r w:rsidRPr="00624565">
        <w:rPr>
          <w:noProof/>
        </w:rPr>
        <w:t xml:space="preserve">Informacje zwrotne od zainteresowanych stron wskazują na szczególnie silne poparcie dla działań UE, które mogą doprowadzić do wypracowania </w:t>
      </w:r>
      <w:r w:rsidRPr="00624565">
        <w:rPr>
          <w:b/>
          <w:noProof/>
        </w:rPr>
        <w:t xml:space="preserve">wspólnego podejścia </w:t>
      </w:r>
      <w:r w:rsidRPr="00624565">
        <w:rPr>
          <w:noProof/>
        </w:rPr>
        <w:t xml:space="preserve">do przedstawiania konsumentom informacji na temat zrównoważonego rozwoju oraz </w:t>
      </w:r>
      <w:r w:rsidRPr="00624565">
        <w:rPr>
          <w:b/>
          <w:noProof/>
        </w:rPr>
        <w:t>ograniczenia mnożenia się oznakowań</w:t>
      </w:r>
      <w:r w:rsidR="003F3D2B" w:rsidRPr="00624565">
        <w:rPr>
          <w:b/>
          <w:noProof/>
        </w:rPr>
        <w:t xml:space="preserve"> i</w:t>
      </w:r>
      <w:r w:rsidR="003F3D2B">
        <w:rPr>
          <w:b/>
          <w:noProof/>
        </w:rPr>
        <w:t> </w:t>
      </w:r>
      <w:r w:rsidR="003F3D2B" w:rsidRPr="00624565">
        <w:rPr>
          <w:b/>
          <w:noProof/>
        </w:rPr>
        <w:t>wpr</w:t>
      </w:r>
      <w:r w:rsidRPr="00624565">
        <w:rPr>
          <w:b/>
          <w:noProof/>
        </w:rPr>
        <w:t>owadzających</w:t>
      </w:r>
      <w:r w:rsidR="003F3D2B" w:rsidRPr="00624565">
        <w:rPr>
          <w:b/>
          <w:noProof/>
        </w:rPr>
        <w:t xml:space="preserve"> w</w:t>
      </w:r>
      <w:r w:rsidR="003F3D2B">
        <w:rPr>
          <w:b/>
          <w:noProof/>
        </w:rPr>
        <w:t> </w:t>
      </w:r>
      <w:r w:rsidR="003F3D2B" w:rsidRPr="00624565">
        <w:rPr>
          <w:b/>
          <w:noProof/>
        </w:rPr>
        <w:t>błą</w:t>
      </w:r>
      <w:r w:rsidRPr="00624565">
        <w:rPr>
          <w:b/>
          <w:noProof/>
        </w:rPr>
        <w:t>d oświadczeń środowiskowych.</w:t>
      </w:r>
      <w:r w:rsidRPr="00624565">
        <w:rPr>
          <w:noProof/>
        </w:rPr>
        <w:t xml:space="preserve"> Gdyby państwa członkowskie miały działać indywidualnie</w:t>
      </w:r>
      <w:r w:rsidR="003F3D2B" w:rsidRPr="00624565">
        <w:rPr>
          <w:noProof/>
        </w:rPr>
        <w:t xml:space="preserve"> i</w:t>
      </w:r>
      <w:r w:rsidR="003F3D2B">
        <w:rPr>
          <w:noProof/>
        </w:rPr>
        <w:t> </w:t>
      </w:r>
      <w:r w:rsidR="003F3D2B" w:rsidRPr="00624565">
        <w:rPr>
          <w:noProof/>
        </w:rPr>
        <w:t>bez</w:t>
      </w:r>
      <w:r w:rsidRPr="00624565">
        <w:rPr>
          <w:noProof/>
        </w:rPr>
        <w:t xml:space="preserve"> ram przewodnich, istniałoby duże ryzyko powstania wielu różnych konkurujących ze sobą systemów, co doprowadziłoby do fragmentacji rynku wewnętrznego, zwłaszcza</w:t>
      </w:r>
      <w:r w:rsidR="003F3D2B" w:rsidRPr="00624565">
        <w:rPr>
          <w:noProof/>
        </w:rPr>
        <w:t xml:space="preserve"> w</w:t>
      </w:r>
      <w:r w:rsidR="003F3D2B">
        <w:rPr>
          <w:noProof/>
        </w:rPr>
        <w:t> </w:t>
      </w:r>
      <w:r w:rsidR="003F3D2B" w:rsidRPr="00624565">
        <w:rPr>
          <w:noProof/>
        </w:rPr>
        <w:t>prz</w:t>
      </w:r>
      <w:r w:rsidRPr="00624565">
        <w:rPr>
          <w:noProof/>
        </w:rPr>
        <w:t xml:space="preserve">ypadku usług transgranicznych (na przykład usług cyfrowych). </w:t>
      </w:r>
    </w:p>
    <w:p w14:paraId="1E8CB768" w14:textId="1876EE5B" w:rsidR="009769E5" w:rsidRPr="00624565" w:rsidRDefault="006F075B" w:rsidP="006F075B">
      <w:pPr>
        <w:pBdr>
          <w:top w:val="nil"/>
          <w:left w:val="nil"/>
          <w:bottom w:val="nil"/>
          <w:right w:val="nil"/>
          <w:between w:val="nil"/>
          <w:bar w:val="nil"/>
        </w:pBdr>
        <w:spacing w:before="0" w:after="240"/>
        <w:rPr>
          <w:rFonts w:eastAsia="Arial Unicode MS"/>
          <w:noProof/>
        </w:rPr>
      </w:pPr>
      <w:r w:rsidRPr="00624565">
        <w:rPr>
          <w:noProof/>
        </w:rPr>
        <w:t>Działanie UE jest uzasadnione</w:t>
      </w:r>
      <w:r w:rsidR="003F3D2B" w:rsidRPr="00624565">
        <w:rPr>
          <w:noProof/>
        </w:rPr>
        <w:t xml:space="preserve"> i</w:t>
      </w:r>
      <w:r w:rsidR="003F3D2B">
        <w:rPr>
          <w:noProof/>
        </w:rPr>
        <w:t> </w:t>
      </w:r>
      <w:r w:rsidR="003F3D2B" w:rsidRPr="00624565">
        <w:rPr>
          <w:noProof/>
        </w:rPr>
        <w:t>kon</w:t>
      </w:r>
      <w:r w:rsidRPr="00624565">
        <w:rPr>
          <w:noProof/>
        </w:rPr>
        <w:t>ieczne, ponieważ zharmonizowany</w:t>
      </w:r>
      <w:r w:rsidR="003F3D2B" w:rsidRPr="00624565">
        <w:rPr>
          <w:noProof/>
        </w:rPr>
        <w:t xml:space="preserve"> i</w:t>
      </w:r>
      <w:r w:rsidR="003F3D2B">
        <w:rPr>
          <w:noProof/>
        </w:rPr>
        <w:t> </w:t>
      </w:r>
      <w:r w:rsidR="003F3D2B" w:rsidRPr="00624565">
        <w:rPr>
          <w:noProof/>
        </w:rPr>
        <w:t>dob</w:t>
      </w:r>
      <w:r w:rsidRPr="00624565">
        <w:rPr>
          <w:noProof/>
        </w:rPr>
        <w:t>rze funkcjonujący</w:t>
      </w:r>
      <w:r w:rsidR="003F3D2B" w:rsidRPr="00624565">
        <w:rPr>
          <w:noProof/>
        </w:rPr>
        <w:t xml:space="preserve"> w</w:t>
      </w:r>
      <w:r w:rsidR="003F3D2B">
        <w:rPr>
          <w:noProof/>
        </w:rPr>
        <w:t> </w:t>
      </w:r>
      <w:r w:rsidR="003F3D2B" w:rsidRPr="00624565">
        <w:rPr>
          <w:noProof/>
        </w:rPr>
        <w:t>odn</w:t>
      </w:r>
      <w:r w:rsidRPr="00624565">
        <w:rPr>
          <w:noProof/>
        </w:rPr>
        <w:t>iesieniu do oświadczeń środowiskowych rynek wewnętrzny UE przyczyniłby się do podniesienia poziomu ochrony środowiska</w:t>
      </w:r>
      <w:r w:rsidR="003F3D2B" w:rsidRPr="00624565">
        <w:rPr>
          <w:noProof/>
        </w:rPr>
        <w:t xml:space="preserve"> i</w:t>
      </w:r>
      <w:r w:rsidR="003F3D2B">
        <w:rPr>
          <w:noProof/>
        </w:rPr>
        <w:t> </w:t>
      </w:r>
      <w:r w:rsidR="003F3D2B" w:rsidRPr="00624565">
        <w:rPr>
          <w:noProof/>
        </w:rPr>
        <w:t>zap</w:t>
      </w:r>
      <w:r w:rsidRPr="00624565">
        <w:rPr>
          <w:noProof/>
        </w:rPr>
        <w:t>ewniłby równe warunki działania dla przedsiębiorstw działających w UE. Niniejszy wniosek służy także zmniejszeniu trudności,</w:t>
      </w:r>
      <w:r w:rsidR="003F3D2B" w:rsidRPr="00624565">
        <w:rPr>
          <w:noProof/>
        </w:rPr>
        <w:t xml:space="preserve"> z</w:t>
      </w:r>
      <w:r w:rsidR="003F3D2B">
        <w:rPr>
          <w:noProof/>
        </w:rPr>
        <w:t> </w:t>
      </w:r>
      <w:r w:rsidR="003F3D2B" w:rsidRPr="00624565">
        <w:rPr>
          <w:noProof/>
        </w:rPr>
        <w:t>jak</w:t>
      </w:r>
      <w:r w:rsidRPr="00624565">
        <w:rPr>
          <w:noProof/>
        </w:rPr>
        <w:t>imi borykają się organy krajowe</w:t>
      </w:r>
      <w:r w:rsidR="003F3D2B" w:rsidRPr="00624565">
        <w:rPr>
          <w:noProof/>
        </w:rPr>
        <w:t xml:space="preserve"> w</w:t>
      </w:r>
      <w:r w:rsidR="003F3D2B">
        <w:rPr>
          <w:noProof/>
        </w:rPr>
        <w:t> </w:t>
      </w:r>
      <w:r w:rsidR="003F3D2B" w:rsidRPr="00624565">
        <w:rPr>
          <w:noProof/>
        </w:rPr>
        <w:t>kwe</w:t>
      </w:r>
      <w:r w:rsidRPr="00624565">
        <w:rPr>
          <w:noProof/>
        </w:rPr>
        <w:t>stii egzekwowania istniejących opartych na zasadach przepisów dyrektywy</w:t>
      </w:r>
      <w:r w:rsidR="003F3D2B" w:rsidRPr="00624565">
        <w:rPr>
          <w:noProof/>
        </w:rPr>
        <w:t xml:space="preserve"> o</w:t>
      </w:r>
      <w:r w:rsidR="003F3D2B">
        <w:rPr>
          <w:noProof/>
        </w:rPr>
        <w:t> </w:t>
      </w:r>
      <w:r w:rsidR="003F3D2B" w:rsidRPr="00624565">
        <w:rPr>
          <w:noProof/>
        </w:rPr>
        <w:t>nie</w:t>
      </w:r>
      <w:r w:rsidRPr="00624565">
        <w:rPr>
          <w:noProof/>
        </w:rPr>
        <w:t>uczciwych praktykach handlowych</w:t>
      </w:r>
      <w:r w:rsidR="003F3D2B" w:rsidRPr="00624565">
        <w:rPr>
          <w:noProof/>
        </w:rPr>
        <w:t xml:space="preserve"> w</w:t>
      </w:r>
      <w:r w:rsidR="003F3D2B">
        <w:rPr>
          <w:noProof/>
        </w:rPr>
        <w:t> </w:t>
      </w:r>
      <w:r w:rsidR="003F3D2B" w:rsidRPr="00624565">
        <w:rPr>
          <w:noProof/>
        </w:rPr>
        <w:t>tak</w:t>
      </w:r>
      <w:r w:rsidRPr="00624565">
        <w:rPr>
          <w:noProof/>
        </w:rPr>
        <w:t xml:space="preserve"> złożonych obszarach jak wprowadzające</w:t>
      </w:r>
      <w:r w:rsidR="003F3D2B" w:rsidRPr="00624565">
        <w:rPr>
          <w:noProof/>
        </w:rPr>
        <w:t xml:space="preserve"> w</w:t>
      </w:r>
      <w:r w:rsidR="003F3D2B">
        <w:rPr>
          <w:noProof/>
        </w:rPr>
        <w:t> </w:t>
      </w:r>
      <w:r w:rsidR="003F3D2B" w:rsidRPr="00624565">
        <w:rPr>
          <w:noProof/>
        </w:rPr>
        <w:t>błą</w:t>
      </w:r>
      <w:r w:rsidRPr="00624565">
        <w:rPr>
          <w:noProof/>
        </w:rPr>
        <w:t>d oświadczenia środowiskowe. Dalsza koordynacja na szczeblu UE oznacza oszczędności kosztów zarówno dla rządów, jak</w:t>
      </w:r>
      <w:r w:rsidR="003F3D2B" w:rsidRPr="00624565">
        <w:rPr>
          <w:noProof/>
        </w:rPr>
        <w:t xml:space="preserve"> i</w:t>
      </w:r>
      <w:r w:rsidR="003F3D2B">
        <w:rPr>
          <w:noProof/>
        </w:rPr>
        <w:t> </w:t>
      </w:r>
      <w:r w:rsidR="003F3D2B" w:rsidRPr="00624565">
        <w:rPr>
          <w:noProof/>
        </w:rPr>
        <w:t>zaa</w:t>
      </w:r>
      <w:r w:rsidRPr="00624565">
        <w:rPr>
          <w:noProof/>
        </w:rPr>
        <w:t>ngażowanych podmiotów prywatnych,</w:t>
      </w:r>
      <w:r w:rsidR="003F3D2B" w:rsidRPr="00624565">
        <w:rPr>
          <w:noProof/>
        </w:rPr>
        <w:t xml:space="preserve"> a</w:t>
      </w:r>
      <w:r w:rsidR="003F3D2B">
        <w:rPr>
          <w:noProof/>
        </w:rPr>
        <w:t> </w:t>
      </w:r>
      <w:r w:rsidR="003F3D2B" w:rsidRPr="00624565">
        <w:rPr>
          <w:noProof/>
        </w:rPr>
        <w:t>tak</w:t>
      </w:r>
      <w:r w:rsidRPr="00624565">
        <w:rPr>
          <w:noProof/>
        </w:rPr>
        <w:t>że wzmacnia wpływ na powiązane globalne procesy,</w:t>
      </w:r>
      <w:r w:rsidR="003F3D2B" w:rsidRPr="00624565">
        <w:rPr>
          <w:noProof/>
        </w:rPr>
        <w:t xml:space="preserve"> w</w:t>
      </w:r>
      <w:r w:rsidR="003F3D2B">
        <w:rPr>
          <w:noProof/>
        </w:rPr>
        <w:t> </w:t>
      </w:r>
      <w:r w:rsidR="003F3D2B" w:rsidRPr="00624565">
        <w:rPr>
          <w:noProof/>
        </w:rPr>
        <w:t>tym</w:t>
      </w:r>
      <w:r w:rsidRPr="00624565">
        <w:rPr>
          <w:noProof/>
        </w:rPr>
        <w:t xml:space="preserve"> globalne łańcuchy wartości.</w:t>
      </w:r>
    </w:p>
    <w:p w14:paraId="1764C323" w14:textId="77777777" w:rsidR="009769E5" w:rsidRPr="00624565" w:rsidRDefault="006F075B" w:rsidP="009769E5">
      <w:pPr>
        <w:pStyle w:val="ManualHeading2"/>
        <w:rPr>
          <w:rFonts w:eastAsia="Arial Unicode MS"/>
          <w:noProof/>
          <w:u w:color="000000"/>
          <w:bdr w:val="nil"/>
        </w:rPr>
      </w:pPr>
      <w:r w:rsidRPr="00624565">
        <w:rPr>
          <w:noProof/>
          <w:u w:color="000000"/>
          <w:bdr w:val="nil"/>
        </w:rPr>
        <w:t>2.3</w:t>
      </w:r>
      <w:r w:rsidRPr="00624565">
        <w:rPr>
          <w:noProof/>
        </w:rPr>
        <w:tab/>
      </w:r>
      <w:r w:rsidRPr="00624565">
        <w:rPr>
          <w:noProof/>
          <w:u w:color="000000"/>
          <w:bdr w:val="nil"/>
        </w:rPr>
        <w:t>Proporcjonalność</w:t>
      </w:r>
    </w:p>
    <w:p w14:paraId="0F9ECB97" w14:textId="55247EA1" w:rsidR="006F075B" w:rsidRPr="003F3D2B" w:rsidRDefault="006F075B" w:rsidP="006F075B">
      <w:pPr>
        <w:spacing w:after="240"/>
        <w:textAlignment w:val="baseline"/>
        <w:rPr>
          <w:rFonts w:eastAsia="Times New Roman"/>
          <w:noProof/>
          <w:sz w:val="18"/>
          <w:szCs w:val="18"/>
        </w:rPr>
      </w:pPr>
      <w:r w:rsidRPr="00624565">
        <w:rPr>
          <w:noProof/>
        </w:rPr>
        <w:t>Środki przewidziane</w:t>
      </w:r>
      <w:r w:rsidR="003F3D2B" w:rsidRPr="00624565">
        <w:rPr>
          <w:noProof/>
        </w:rPr>
        <w:t xml:space="preserve"> w</w:t>
      </w:r>
      <w:r w:rsidR="003F3D2B">
        <w:rPr>
          <w:noProof/>
        </w:rPr>
        <w:t> </w:t>
      </w:r>
      <w:r w:rsidR="003F3D2B" w:rsidRPr="00624565">
        <w:rPr>
          <w:noProof/>
        </w:rPr>
        <w:t>nin</w:t>
      </w:r>
      <w:r w:rsidRPr="00624565">
        <w:rPr>
          <w:noProof/>
        </w:rPr>
        <w:t>iejszym wniosku nie wykraczają poza to, co jest konieczne, aby umożliwić konsumentom podejmowanie świadomych decyzji</w:t>
      </w:r>
      <w:r w:rsidR="003F3D2B" w:rsidRPr="00624565">
        <w:rPr>
          <w:noProof/>
        </w:rPr>
        <w:t xml:space="preserve"> o</w:t>
      </w:r>
      <w:r w:rsidR="003F3D2B">
        <w:rPr>
          <w:noProof/>
        </w:rPr>
        <w:t> </w:t>
      </w:r>
      <w:r w:rsidR="003F3D2B" w:rsidRPr="00624565">
        <w:rPr>
          <w:noProof/>
        </w:rPr>
        <w:t>zak</w:t>
      </w:r>
      <w:r w:rsidRPr="00624565">
        <w:rPr>
          <w:noProof/>
        </w:rPr>
        <w:t>upie</w:t>
      </w:r>
      <w:r w:rsidR="003F3D2B" w:rsidRPr="00624565">
        <w:rPr>
          <w:noProof/>
        </w:rPr>
        <w:t xml:space="preserve"> i</w:t>
      </w:r>
      <w:r w:rsidR="003F3D2B">
        <w:rPr>
          <w:noProof/>
        </w:rPr>
        <w:t> </w:t>
      </w:r>
      <w:r w:rsidR="003F3D2B" w:rsidRPr="00624565">
        <w:rPr>
          <w:noProof/>
        </w:rPr>
        <w:t>pro</w:t>
      </w:r>
      <w:r w:rsidRPr="00624565">
        <w:rPr>
          <w:noProof/>
        </w:rPr>
        <w:t>mowanie zrównoważonej konsumpcji</w:t>
      </w:r>
      <w:r w:rsidR="003F3D2B" w:rsidRPr="00624565">
        <w:rPr>
          <w:noProof/>
        </w:rPr>
        <w:t xml:space="preserve"> w</w:t>
      </w:r>
      <w:r w:rsidR="003F3D2B">
        <w:rPr>
          <w:noProof/>
        </w:rPr>
        <w:t> </w:t>
      </w:r>
      <w:r w:rsidR="003F3D2B" w:rsidRPr="00624565">
        <w:rPr>
          <w:noProof/>
        </w:rPr>
        <w:t>opa</w:t>
      </w:r>
      <w:r w:rsidRPr="00624565">
        <w:rPr>
          <w:noProof/>
        </w:rPr>
        <w:t>rciu</w:t>
      </w:r>
      <w:r w:rsidR="003F3D2B" w:rsidRPr="00624565">
        <w:rPr>
          <w:noProof/>
        </w:rPr>
        <w:t xml:space="preserve"> o</w:t>
      </w:r>
      <w:r w:rsidR="003F3D2B">
        <w:rPr>
          <w:noProof/>
        </w:rPr>
        <w:t> </w:t>
      </w:r>
      <w:r w:rsidR="003F3D2B" w:rsidRPr="00624565">
        <w:rPr>
          <w:noProof/>
        </w:rPr>
        <w:t>wia</w:t>
      </w:r>
      <w:r w:rsidRPr="00624565">
        <w:rPr>
          <w:noProof/>
        </w:rPr>
        <w:t>rygodne</w:t>
      </w:r>
      <w:r w:rsidR="003F3D2B" w:rsidRPr="00624565">
        <w:rPr>
          <w:noProof/>
        </w:rPr>
        <w:t xml:space="preserve"> i</w:t>
      </w:r>
      <w:r w:rsidR="003F3D2B">
        <w:rPr>
          <w:noProof/>
        </w:rPr>
        <w:t> </w:t>
      </w:r>
      <w:r w:rsidR="003F3D2B" w:rsidRPr="00624565">
        <w:rPr>
          <w:noProof/>
        </w:rPr>
        <w:t>zwe</w:t>
      </w:r>
      <w:r w:rsidRPr="00624565">
        <w:rPr>
          <w:noProof/>
        </w:rPr>
        <w:t>ryfikowane informacje</w:t>
      </w:r>
      <w:r w:rsidRPr="003F3D2B">
        <w:rPr>
          <w:noProof/>
        </w:rPr>
        <w:t>.</w:t>
      </w:r>
      <w:r w:rsidR="003F3D2B" w:rsidRPr="003F3D2B">
        <w:rPr>
          <w:noProof/>
        </w:rPr>
        <w:t xml:space="preserve"> </w:t>
      </w:r>
    </w:p>
    <w:p w14:paraId="59F52A55" w14:textId="6050F2BB" w:rsidR="006F075B" w:rsidRPr="003F3D2B" w:rsidRDefault="006F075B" w:rsidP="006F075B">
      <w:pPr>
        <w:spacing w:after="240"/>
        <w:textAlignment w:val="baseline"/>
        <w:rPr>
          <w:rFonts w:eastAsia="Times New Roman"/>
          <w:noProof/>
          <w:sz w:val="18"/>
          <w:szCs w:val="18"/>
        </w:rPr>
      </w:pPr>
      <w:r w:rsidRPr="00624565">
        <w:rPr>
          <w:noProof/>
        </w:rPr>
        <w:t>Wprowadzenie jednolitych wymogów, których przedsiębiorstwa powinny przestrzegać przy składaniu takich oświadczeń, zapewnia proporcjonalność ogólnych kryteriów dotyczących oświadczeń środowiskowych stosowanych</w:t>
      </w:r>
      <w:r w:rsidR="003F3D2B" w:rsidRPr="00624565">
        <w:rPr>
          <w:noProof/>
        </w:rPr>
        <w:t xml:space="preserve"> w</w:t>
      </w:r>
      <w:r w:rsidR="003F3D2B">
        <w:rPr>
          <w:noProof/>
        </w:rPr>
        <w:t> </w:t>
      </w:r>
      <w:r w:rsidR="003F3D2B" w:rsidRPr="00624565">
        <w:rPr>
          <w:noProof/>
        </w:rPr>
        <w:t>prz</w:t>
      </w:r>
      <w:r w:rsidRPr="00624565">
        <w:rPr>
          <w:noProof/>
        </w:rPr>
        <w:t>ypadku sprzedaży skierowanej do konsumentów</w:t>
      </w:r>
      <w:r w:rsidR="003F3D2B" w:rsidRPr="00624565">
        <w:rPr>
          <w:noProof/>
        </w:rPr>
        <w:t>. W</w:t>
      </w:r>
      <w:r w:rsidR="003F3D2B">
        <w:rPr>
          <w:noProof/>
        </w:rPr>
        <w:t> </w:t>
      </w:r>
      <w:r w:rsidR="003F3D2B" w:rsidRPr="00624565">
        <w:rPr>
          <w:noProof/>
        </w:rPr>
        <w:t>nin</w:t>
      </w:r>
      <w:r w:rsidRPr="00624565">
        <w:rPr>
          <w:noProof/>
        </w:rPr>
        <w:t xml:space="preserve">iejszym wniosku nie przewidziano wymogu stosowania żadnej szczególnej metody oceny dotyczącej uzasadnienia konkretnych oświadczeń środowiskowych – opiera się na ogólnych wymaganiach, które są dla konsumentów źródłem wiarygodnych informacji. Wniosek ten zapewni także właściwym organom krajowym jednolite kryteria. </w:t>
      </w:r>
      <w:r w:rsidRPr="00624565">
        <w:rPr>
          <w:b/>
          <w:noProof/>
        </w:rPr>
        <w:t>Pomogą im one</w:t>
      </w:r>
      <w:r w:rsidR="003F3D2B" w:rsidRPr="00624565">
        <w:rPr>
          <w:b/>
          <w:noProof/>
        </w:rPr>
        <w:t xml:space="preserve"> w</w:t>
      </w:r>
      <w:r w:rsidR="003F3D2B">
        <w:rPr>
          <w:b/>
          <w:noProof/>
        </w:rPr>
        <w:t> </w:t>
      </w:r>
      <w:r w:rsidR="003F3D2B" w:rsidRPr="00624565">
        <w:rPr>
          <w:b/>
          <w:noProof/>
        </w:rPr>
        <w:t>oce</w:t>
      </w:r>
      <w:r w:rsidRPr="00624565">
        <w:rPr>
          <w:b/>
          <w:noProof/>
        </w:rPr>
        <w:t>nie rzetelności wszystkich oświadczeń środowiskowych, przy zapewnieniu wysokiego stopnia pewności prawa</w:t>
      </w:r>
      <w:r w:rsidR="003F3D2B" w:rsidRPr="00624565">
        <w:rPr>
          <w:b/>
          <w:noProof/>
        </w:rPr>
        <w:t xml:space="preserve"> i</w:t>
      </w:r>
      <w:r w:rsidR="003F3D2B">
        <w:rPr>
          <w:b/>
          <w:noProof/>
        </w:rPr>
        <w:t> </w:t>
      </w:r>
      <w:r w:rsidR="003F3D2B" w:rsidRPr="00624565">
        <w:rPr>
          <w:b/>
          <w:noProof/>
        </w:rPr>
        <w:t>uła</w:t>
      </w:r>
      <w:r w:rsidRPr="00624565">
        <w:rPr>
          <w:b/>
          <w:noProof/>
        </w:rPr>
        <w:t>twieniu działań</w:t>
      </w:r>
      <w:r w:rsidR="003F3D2B" w:rsidRPr="00624565">
        <w:rPr>
          <w:b/>
          <w:noProof/>
        </w:rPr>
        <w:t xml:space="preserve"> w</w:t>
      </w:r>
      <w:r w:rsidR="003F3D2B">
        <w:rPr>
          <w:b/>
          <w:noProof/>
        </w:rPr>
        <w:t> </w:t>
      </w:r>
      <w:r w:rsidR="003F3D2B" w:rsidRPr="00624565">
        <w:rPr>
          <w:b/>
          <w:noProof/>
        </w:rPr>
        <w:t>zak</w:t>
      </w:r>
      <w:r w:rsidRPr="00624565">
        <w:rPr>
          <w:b/>
          <w:noProof/>
        </w:rPr>
        <w:t xml:space="preserve">resie egzekwowania przepisów. </w:t>
      </w:r>
      <w:r w:rsidRPr="00624565">
        <w:rPr>
          <w:noProof/>
        </w:rPr>
        <w:t>Stanowi on także wynik dokładnego przeanalizowania uwag zainteresowanych stron,</w:t>
      </w:r>
      <w:r w:rsidR="003F3D2B" w:rsidRPr="00624565">
        <w:rPr>
          <w:noProof/>
        </w:rPr>
        <w:t xml:space="preserve"> w</w:t>
      </w:r>
      <w:r w:rsidR="003F3D2B">
        <w:rPr>
          <w:noProof/>
        </w:rPr>
        <w:t> </w:t>
      </w:r>
      <w:r w:rsidR="003F3D2B" w:rsidRPr="00624565">
        <w:rPr>
          <w:noProof/>
        </w:rPr>
        <w:t>szc</w:t>
      </w:r>
      <w:r w:rsidRPr="00624565">
        <w:rPr>
          <w:noProof/>
        </w:rPr>
        <w:t>zególności przedsiębiorstw,</w:t>
      </w:r>
      <w:r w:rsidR="003F3D2B" w:rsidRPr="00624565">
        <w:rPr>
          <w:noProof/>
        </w:rPr>
        <w:t xml:space="preserve"> w</w:t>
      </w:r>
      <w:r w:rsidR="003F3D2B">
        <w:rPr>
          <w:noProof/>
        </w:rPr>
        <w:t> </w:t>
      </w:r>
      <w:r w:rsidR="003F3D2B" w:rsidRPr="00624565">
        <w:rPr>
          <w:noProof/>
        </w:rPr>
        <w:t>tym</w:t>
      </w:r>
      <w:r w:rsidRPr="00624565">
        <w:rPr>
          <w:noProof/>
        </w:rPr>
        <w:t xml:space="preserve"> MŚP</w:t>
      </w:r>
      <w:r w:rsidRPr="003F3D2B">
        <w:rPr>
          <w:noProof/>
        </w:rPr>
        <w:t>.</w:t>
      </w:r>
      <w:r w:rsidR="003F3D2B" w:rsidRPr="003F3D2B">
        <w:rPr>
          <w:noProof/>
        </w:rPr>
        <w:t xml:space="preserve"> </w:t>
      </w:r>
    </w:p>
    <w:p w14:paraId="2D65EDD9" w14:textId="734267C8" w:rsidR="006F075B" w:rsidRPr="003F3D2B" w:rsidRDefault="006F075B" w:rsidP="006F075B">
      <w:pPr>
        <w:spacing w:after="240"/>
        <w:textAlignment w:val="baseline"/>
        <w:rPr>
          <w:rFonts w:eastAsia="Times New Roman"/>
          <w:noProof/>
          <w:sz w:val="18"/>
          <w:szCs w:val="18"/>
        </w:rPr>
      </w:pPr>
      <w:r w:rsidRPr="00624565">
        <w:rPr>
          <w:noProof/>
        </w:rPr>
        <w:t>Proporcjonalność wymogów dotyczących oznakowania ekologicznego dotyczy uczciwości eksponowania</w:t>
      </w:r>
      <w:r w:rsidR="003F3D2B" w:rsidRPr="00624565">
        <w:rPr>
          <w:noProof/>
        </w:rPr>
        <w:t xml:space="preserve"> w</w:t>
      </w:r>
      <w:r w:rsidR="003F3D2B">
        <w:rPr>
          <w:noProof/>
        </w:rPr>
        <w:t> </w:t>
      </w:r>
      <w:r w:rsidR="003F3D2B" w:rsidRPr="00624565">
        <w:rPr>
          <w:noProof/>
        </w:rPr>
        <w:t>prz</w:t>
      </w:r>
      <w:r w:rsidRPr="00624565">
        <w:rPr>
          <w:noProof/>
        </w:rPr>
        <w:t>ypadku sprzedaży konsumentom. Istnieje jedynie ograniczona liczba jednolitych wymogów zapewniających przejrzystość</w:t>
      </w:r>
      <w:r w:rsidR="003F3D2B" w:rsidRPr="00624565">
        <w:rPr>
          <w:noProof/>
        </w:rPr>
        <w:t xml:space="preserve"> i</w:t>
      </w:r>
      <w:r w:rsidR="003F3D2B">
        <w:rPr>
          <w:noProof/>
        </w:rPr>
        <w:t> </w:t>
      </w:r>
      <w:r w:rsidR="003F3D2B" w:rsidRPr="00624565">
        <w:rPr>
          <w:noProof/>
        </w:rPr>
        <w:t>wia</w:t>
      </w:r>
      <w:r w:rsidRPr="00624565">
        <w:rPr>
          <w:noProof/>
        </w:rPr>
        <w:t>rygodność takiego oznakowania dla użytkowników. Dzięki tym jednolitym wymogom podmioty stosujące oznakowania ekologiczne, oraz przedsiębiorstwa ubiegające się o te oznakowania, nie ponoszą nieproporcjonalnych kosztów. Jednocześnie zapewnią one przedsiębiorstwom wysoki stopień pewności prawa. Zapewniając właściwym organom krajowym jednolite kryteria oceny rzetelności stosowania wszelkich oznakowań ekologicznych, środek ten ułatwi także działania</w:t>
      </w:r>
      <w:r w:rsidR="003F3D2B" w:rsidRPr="00624565">
        <w:rPr>
          <w:noProof/>
        </w:rPr>
        <w:t xml:space="preserve"> w</w:t>
      </w:r>
      <w:r w:rsidR="003F3D2B">
        <w:rPr>
          <w:noProof/>
        </w:rPr>
        <w:t> </w:t>
      </w:r>
      <w:r w:rsidR="003F3D2B" w:rsidRPr="00624565">
        <w:rPr>
          <w:noProof/>
        </w:rPr>
        <w:t>zak</w:t>
      </w:r>
      <w:r w:rsidRPr="00624565">
        <w:rPr>
          <w:noProof/>
        </w:rPr>
        <w:t>resie egzekwowania przepisów</w:t>
      </w:r>
      <w:r w:rsidR="003F3D2B" w:rsidRPr="00624565">
        <w:rPr>
          <w:noProof/>
        </w:rPr>
        <w:t xml:space="preserve"> i</w:t>
      </w:r>
      <w:r w:rsidR="003F3D2B">
        <w:rPr>
          <w:noProof/>
        </w:rPr>
        <w:t> </w:t>
      </w:r>
      <w:r w:rsidR="003F3D2B" w:rsidRPr="00624565">
        <w:rPr>
          <w:noProof/>
        </w:rPr>
        <w:t>zap</w:t>
      </w:r>
      <w:r w:rsidRPr="00624565">
        <w:rPr>
          <w:noProof/>
        </w:rPr>
        <w:t>ewni wysoki poziom ochrony konsumentów</w:t>
      </w:r>
      <w:r w:rsidRPr="003F3D2B">
        <w:rPr>
          <w:noProof/>
        </w:rPr>
        <w:t>.</w:t>
      </w:r>
      <w:r w:rsidR="003F3D2B" w:rsidRPr="003F3D2B">
        <w:rPr>
          <w:noProof/>
        </w:rPr>
        <w:t xml:space="preserve"> </w:t>
      </w:r>
    </w:p>
    <w:p w14:paraId="3A62780C" w14:textId="77777777" w:rsidR="009769E5" w:rsidRPr="00624565" w:rsidRDefault="006F075B" w:rsidP="009769E5">
      <w:pPr>
        <w:pStyle w:val="ManualHeading2"/>
        <w:rPr>
          <w:rFonts w:eastAsia="Arial Unicode MS"/>
          <w:noProof/>
          <w:u w:color="000000"/>
          <w:bdr w:val="nil"/>
        </w:rPr>
      </w:pPr>
      <w:r w:rsidRPr="00624565">
        <w:rPr>
          <w:noProof/>
          <w:u w:color="000000"/>
          <w:bdr w:val="nil"/>
        </w:rPr>
        <w:t>2.4</w:t>
      </w:r>
      <w:r w:rsidRPr="00624565">
        <w:rPr>
          <w:noProof/>
        </w:rPr>
        <w:tab/>
      </w:r>
      <w:r w:rsidRPr="00624565">
        <w:rPr>
          <w:noProof/>
          <w:u w:color="000000"/>
          <w:bdr w:val="nil"/>
        </w:rPr>
        <w:t>Wybór instrumentu</w:t>
      </w:r>
    </w:p>
    <w:p w14:paraId="6EA43282" w14:textId="1115ED8A" w:rsidR="006F075B" w:rsidRPr="00624565" w:rsidRDefault="006F075B" w:rsidP="006F075B">
      <w:pPr>
        <w:spacing w:after="0"/>
        <w:textAlignment w:val="baseline"/>
        <w:rPr>
          <w:rFonts w:eastAsia="Times New Roman"/>
          <w:noProof/>
          <w:sz w:val="18"/>
          <w:szCs w:val="18"/>
        </w:rPr>
      </w:pPr>
      <w:r w:rsidRPr="00624565">
        <w:rPr>
          <w:noProof/>
          <w:color w:val="000000"/>
        </w:rPr>
        <w:t>Niniejszy wniosek jest niezależnym instrumentem prawnym, który nie zmienia obowiązującego prawodawstwa. Określono</w:t>
      </w:r>
      <w:r w:rsidR="003F3D2B" w:rsidRPr="00624565">
        <w:rPr>
          <w:noProof/>
          <w:color w:val="000000"/>
        </w:rPr>
        <w:t xml:space="preserve"> w</w:t>
      </w:r>
      <w:r w:rsidR="003F3D2B">
        <w:rPr>
          <w:noProof/>
          <w:color w:val="000000"/>
        </w:rPr>
        <w:t> </w:t>
      </w:r>
      <w:r w:rsidR="003F3D2B" w:rsidRPr="00624565">
        <w:rPr>
          <w:noProof/>
          <w:color w:val="000000"/>
        </w:rPr>
        <w:t>nim</w:t>
      </w:r>
      <w:r w:rsidRPr="00624565">
        <w:rPr>
          <w:noProof/>
          <w:color w:val="000000"/>
        </w:rPr>
        <w:t xml:space="preserve"> ramy uzasadniania dobrowolnych oświadczeń środowiskowych. Biorąc pod uwagę, że ma on na celu zapewnienie ochrony konsumentów</w:t>
      </w:r>
      <w:r w:rsidR="003F3D2B" w:rsidRPr="00624565">
        <w:rPr>
          <w:noProof/>
          <w:color w:val="000000"/>
        </w:rPr>
        <w:t xml:space="preserve"> w</w:t>
      </w:r>
      <w:r w:rsidR="003F3D2B">
        <w:rPr>
          <w:noProof/>
          <w:color w:val="000000"/>
        </w:rPr>
        <w:t> </w:t>
      </w:r>
      <w:r w:rsidR="003F3D2B" w:rsidRPr="00624565">
        <w:rPr>
          <w:noProof/>
          <w:color w:val="000000"/>
        </w:rPr>
        <w:t>obs</w:t>
      </w:r>
      <w:r w:rsidRPr="00624565">
        <w:rPr>
          <w:noProof/>
          <w:color w:val="000000"/>
        </w:rPr>
        <w:t>zarze podlegającym przepisom dyrektyw, taka forma prawna wpisuje się lepiej</w:t>
      </w:r>
      <w:r w:rsidR="003F3D2B" w:rsidRPr="00624565">
        <w:rPr>
          <w:noProof/>
          <w:color w:val="000000"/>
        </w:rPr>
        <w:t xml:space="preserve"> w</w:t>
      </w:r>
      <w:r w:rsidR="003F3D2B">
        <w:rPr>
          <w:noProof/>
          <w:color w:val="000000"/>
        </w:rPr>
        <w:t> </w:t>
      </w:r>
      <w:r w:rsidR="003F3D2B" w:rsidRPr="00624565">
        <w:rPr>
          <w:noProof/>
          <w:color w:val="000000"/>
        </w:rPr>
        <w:t>ist</w:t>
      </w:r>
      <w:r w:rsidRPr="00624565">
        <w:rPr>
          <w:noProof/>
          <w:color w:val="000000"/>
        </w:rPr>
        <w:t>niejące unijne</w:t>
      </w:r>
      <w:r w:rsidR="003F3D2B" w:rsidRPr="00624565">
        <w:rPr>
          <w:noProof/>
          <w:color w:val="000000"/>
        </w:rPr>
        <w:t xml:space="preserve"> i</w:t>
      </w:r>
      <w:r w:rsidR="003F3D2B">
        <w:rPr>
          <w:noProof/>
          <w:color w:val="000000"/>
        </w:rPr>
        <w:t> </w:t>
      </w:r>
      <w:r w:rsidR="003F3D2B" w:rsidRPr="00624565">
        <w:rPr>
          <w:noProof/>
          <w:color w:val="000000"/>
        </w:rPr>
        <w:t>kra</w:t>
      </w:r>
      <w:r w:rsidRPr="00624565">
        <w:rPr>
          <w:noProof/>
          <w:color w:val="000000"/>
        </w:rPr>
        <w:t xml:space="preserve">jowe ramy prawne oraz mechanizmy egzekwowania prawa ustanowione przez państwa członkowskie. Uznaje się zatem, że najodpowiedniejszym instrumentem jest dyrektywa. </w:t>
      </w:r>
    </w:p>
    <w:p w14:paraId="2C329060" w14:textId="544F9FF7" w:rsidR="006F075B" w:rsidRPr="00624565" w:rsidRDefault="006F075B" w:rsidP="006F075B">
      <w:pPr>
        <w:pStyle w:val="ManualHeading1"/>
        <w:rPr>
          <w:noProof/>
        </w:rPr>
      </w:pPr>
      <w:r w:rsidRPr="00624565">
        <w:rPr>
          <w:noProof/>
        </w:rPr>
        <w:t xml:space="preserve">3. </w:t>
      </w:r>
      <w:r w:rsidRPr="00624565">
        <w:rPr>
          <w:noProof/>
        </w:rPr>
        <w:tab/>
        <w:t>Wyniki konsultacji</w:t>
      </w:r>
      <w:r w:rsidR="003F3D2B" w:rsidRPr="00624565">
        <w:rPr>
          <w:noProof/>
        </w:rPr>
        <w:t xml:space="preserve"> z</w:t>
      </w:r>
      <w:r w:rsidR="003F3D2B">
        <w:rPr>
          <w:noProof/>
        </w:rPr>
        <w:t> </w:t>
      </w:r>
      <w:r w:rsidR="003F3D2B" w:rsidRPr="00624565">
        <w:rPr>
          <w:noProof/>
        </w:rPr>
        <w:t>zai</w:t>
      </w:r>
      <w:r w:rsidRPr="00624565">
        <w:rPr>
          <w:noProof/>
        </w:rPr>
        <w:t>nteresowanymi stronami</w:t>
      </w:r>
      <w:r w:rsidR="003F3D2B" w:rsidRPr="00624565">
        <w:rPr>
          <w:noProof/>
        </w:rPr>
        <w:t xml:space="preserve"> i</w:t>
      </w:r>
      <w:r w:rsidR="003F3D2B">
        <w:rPr>
          <w:noProof/>
        </w:rPr>
        <w:t> </w:t>
      </w:r>
      <w:r w:rsidR="003F3D2B" w:rsidRPr="00624565">
        <w:rPr>
          <w:noProof/>
        </w:rPr>
        <w:t>oce</w:t>
      </w:r>
      <w:r w:rsidRPr="00624565">
        <w:rPr>
          <w:noProof/>
        </w:rPr>
        <w:t>ny skutków, zgodność</w:t>
      </w:r>
      <w:r w:rsidR="003F3D2B" w:rsidRPr="00624565">
        <w:rPr>
          <w:noProof/>
        </w:rPr>
        <w:t xml:space="preserve"> z</w:t>
      </w:r>
      <w:r w:rsidR="003F3D2B">
        <w:rPr>
          <w:noProof/>
        </w:rPr>
        <w:t> </w:t>
      </w:r>
      <w:r w:rsidR="003F3D2B" w:rsidRPr="00624565">
        <w:rPr>
          <w:noProof/>
        </w:rPr>
        <w:t>zas</w:t>
      </w:r>
      <w:r w:rsidRPr="00624565">
        <w:rPr>
          <w:noProof/>
        </w:rPr>
        <w:t>adami lepszego stanowienia prawa</w:t>
      </w:r>
      <w:r w:rsidR="003F3D2B" w:rsidRPr="00624565">
        <w:rPr>
          <w:noProof/>
        </w:rPr>
        <w:t xml:space="preserve"> i</w:t>
      </w:r>
      <w:r w:rsidR="003F3D2B">
        <w:rPr>
          <w:noProof/>
        </w:rPr>
        <w:t> </w:t>
      </w:r>
      <w:r w:rsidR="003F3D2B" w:rsidRPr="00624565">
        <w:rPr>
          <w:noProof/>
        </w:rPr>
        <w:t>pra</w:t>
      </w:r>
      <w:r w:rsidRPr="00624565">
        <w:rPr>
          <w:noProof/>
        </w:rPr>
        <w:t>wa podstawowe</w:t>
      </w:r>
    </w:p>
    <w:p w14:paraId="2AD98320" w14:textId="4088030C" w:rsidR="006F075B" w:rsidRPr="00624565" w:rsidRDefault="006F075B" w:rsidP="006F075B">
      <w:pPr>
        <w:pStyle w:val="ManualHeading2"/>
        <w:rPr>
          <w:noProof/>
        </w:rPr>
      </w:pPr>
      <w:r w:rsidRPr="00624565">
        <w:rPr>
          <w:noProof/>
        </w:rPr>
        <w:t>3.1. Konsultacje</w:t>
      </w:r>
      <w:r w:rsidR="003F3D2B" w:rsidRPr="00624565">
        <w:rPr>
          <w:noProof/>
        </w:rPr>
        <w:t xml:space="preserve"> z</w:t>
      </w:r>
      <w:r w:rsidR="003F3D2B">
        <w:rPr>
          <w:noProof/>
        </w:rPr>
        <w:t> </w:t>
      </w:r>
      <w:r w:rsidR="003F3D2B" w:rsidRPr="00624565">
        <w:rPr>
          <w:noProof/>
        </w:rPr>
        <w:t>zai</w:t>
      </w:r>
      <w:r w:rsidRPr="00624565">
        <w:rPr>
          <w:noProof/>
        </w:rPr>
        <w:t>nteresowanymi stronami</w:t>
      </w:r>
    </w:p>
    <w:p w14:paraId="75882AB4" w14:textId="3F5388A8" w:rsidR="006F075B" w:rsidRPr="00624565" w:rsidRDefault="006F075B" w:rsidP="006F075B">
      <w:pPr>
        <w:rPr>
          <w:rFonts w:ascii="Segoe UI" w:hAnsi="Segoe UI" w:cs="Segoe UI"/>
          <w:noProof/>
          <w:sz w:val="18"/>
          <w:szCs w:val="18"/>
        </w:rPr>
      </w:pPr>
      <w:r w:rsidRPr="00624565">
        <w:rPr>
          <w:rStyle w:val="normaltextrun"/>
          <w:noProof/>
        </w:rPr>
        <w:t>W procesie przygotowywania niniejszego wniosku Komisja konsultowała się</w:t>
      </w:r>
      <w:r w:rsidR="003F3D2B" w:rsidRPr="00624565">
        <w:rPr>
          <w:rStyle w:val="normaltextrun"/>
          <w:noProof/>
        </w:rPr>
        <w:t xml:space="preserve"> z</w:t>
      </w:r>
      <w:r w:rsidR="003F3D2B">
        <w:rPr>
          <w:rStyle w:val="normaltextrun"/>
          <w:noProof/>
        </w:rPr>
        <w:t> </w:t>
      </w:r>
      <w:r w:rsidR="003F3D2B" w:rsidRPr="00624565">
        <w:rPr>
          <w:rStyle w:val="normaltextrun"/>
          <w:noProof/>
        </w:rPr>
        <w:t>zai</w:t>
      </w:r>
      <w:r w:rsidRPr="00624565">
        <w:rPr>
          <w:rStyle w:val="normaltextrun"/>
          <w:noProof/>
        </w:rPr>
        <w:t>nteresowanymi stronami</w:t>
      </w:r>
      <w:r w:rsidR="003F3D2B" w:rsidRPr="00624565">
        <w:rPr>
          <w:rStyle w:val="normaltextrun"/>
          <w:noProof/>
        </w:rPr>
        <w:t xml:space="preserve"> w</w:t>
      </w:r>
      <w:r w:rsidR="003F3D2B">
        <w:rPr>
          <w:rStyle w:val="normaltextrun"/>
          <w:noProof/>
        </w:rPr>
        <w:t> </w:t>
      </w:r>
      <w:r w:rsidR="003F3D2B" w:rsidRPr="00624565">
        <w:rPr>
          <w:rStyle w:val="normaltextrun"/>
          <w:noProof/>
        </w:rPr>
        <w:t>dro</w:t>
      </w:r>
      <w:r w:rsidRPr="00624565">
        <w:rPr>
          <w:rStyle w:val="normaltextrun"/>
          <w:noProof/>
        </w:rPr>
        <w:t>dze:</w:t>
      </w:r>
      <w:r w:rsidRPr="00624565">
        <w:rPr>
          <w:rStyle w:val="eop"/>
          <w:noProof/>
        </w:rPr>
        <w:t xml:space="preserve"> </w:t>
      </w:r>
    </w:p>
    <w:p w14:paraId="03DB318E" w14:textId="0BC1F6F9" w:rsidR="006F075B" w:rsidRPr="00624565" w:rsidRDefault="006F075B" w:rsidP="003D1B02">
      <w:pPr>
        <w:pStyle w:val="Tiret0"/>
        <w:numPr>
          <w:ilvl w:val="0"/>
          <w:numId w:val="16"/>
        </w:numPr>
        <w:rPr>
          <w:rStyle w:val="normaltextrun"/>
          <w:noProof/>
        </w:rPr>
      </w:pPr>
      <w:r w:rsidRPr="00624565">
        <w:rPr>
          <w:rStyle w:val="normaltextrun"/>
          <w:noProof/>
        </w:rPr>
        <w:t>Szeregu konsultacji publicznych</w:t>
      </w:r>
      <w:r w:rsidR="003F3D2B" w:rsidRPr="00624565">
        <w:rPr>
          <w:rStyle w:val="normaltextrun"/>
          <w:noProof/>
        </w:rPr>
        <w:t xml:space="preserve"> w</w:t>
      </w:r>
      <w:r w:rsidR="003F3D2B">
        <w:rPr>
          <w:rStyle w:val="normaltextrun"/>
          <w:noProof/>
        </w:rPr>
        <w:t> </w:t>
      </w:r>
      <w:r w:rsidR="003F3D2B" w:rsidRPr="00624565">
        <w:rPr>
          <w:rStyle w:val="normaltextrun"/>
          <w:noProof/>
        </w:rPr>
        <w:t>kon</w:t>
      </w:r>
      <w:r w:rsidRPr="00624565">
        <w:rPr>
          <w:rStyle w:val="normaltextrun"/>
          <w:noProof/>
        </w:rPr>
        <w:t>tekście wniosku</w:t>
      </w:r>
      <w:r w:rsidR="003F3D2B" w:rsidRPr="00624565">
        <w:rPr>
          <w:rStyle w:val="normaltextrun"/>
          <w:noProof/>
        </w:rPr>
        <w:t xml:space="preserve"> w</w:t>
      </w:r>
      <w:r w:rsidR="003F3D2B">
        <w:rPr>
          <w:rStyle w:val="normaltextrun"/>
          <w:noProof/>
        </w:rPr>
        <w:t> </w:t>
      </w:r>
      <w:r w:rsidR="003F3D2B" w:rsidRPr="00624565">
        <w:rPr>
          <w:rStyle w:val="normaltextrun"/>
          <w:noProof/>
        </w:rPr>
        <w:t>spr</w:t>
      </w:r>
      <w:r w:rsidRPr="00624565">
        <w:rPr>
          <w:rStyle w:val="normaltextrun"/>
          <w:noProof/>
        </w:rPr>
        <w:t>awie wzmocnienia pozycji konsumentów</w:t>
      </w:r>
      <w:r w:rsidR="003F3D2B" w:rsidRPr="00624565">
        <w:rPr>
          <w:rStyle w:val="normaltextrun"/>
          <w:noProof/>
        </w:rPr>
        <w:t xml:space="preserve"> w</w:t>
      </w:r>
      <w:r w:rsidR="003F3D2B">
        <w:rPr>
          <w:rStyle w:val="normaltextrun"/>
          <w:noProof/>
        </w:rPr>
        <w:t> </w:t>
      </w:r>
      <w:r w:rsidR="003F3D2B" w:rsidRPr="00624565">
        <w:rPr>
          <w:rStyle w:val="normaltextrun"/>
          <w:noProof/>
        </w:rPr>
        <w:t>pro</w:t>
      </w:r>
      <w:r w:rsidRPr="00624565">
        <w:rPr>
          <w:rStyle w:val="normaltextrun"/>
          <w:noProof/>
        </w:rPr>
        <w:t>cesie transformacji ekologicznej</w:t>
      </w:r>
      <w:r w:rsidRPr="00624565">
        <w:rPr>
          <w:rStyle w:val="normaltextrun"/>
          <w:noProof/>
          <w:vertAlign w:val="superscript"/>
        </w:rPr>
        <w:t>15,</w:t>
      </w:r>
      <w:r w:rsidRPr="00624565">
        <w:rPr>
          <w:rStyle w:val="FootnoteReference"/>
          <w:noProof/>
        </w:rPr>
        <w:footnoteReference w:id="43"/>
      </w:r>
      <w:r w:rsidRPr="00624565">
        <w:rPr>
          <w:rStyle w:val="normaltextrun"/>
          <w:noProof/>
        </w:rPr>
        <w:t>.</w:t>
      </w:r>
    </w:p>
    <w:p w14:paraId="0B08D94C" w14:textId="4E73C7EE" w:rsidR="006F075B" w:rsidRPr="00624565" w:rsidRDefault="006F075B" w:rsidP="003D1B02">
      <w:pPr>
        <w:pStyle w:val="Tiret0"/>
        <w:numPr>
          <w:ilvl w:val="0"/>
          <w:numId w:val="16"/>
        </w:numPr>
        <w:rPr>
          <w:noProof/>
        </w:rPr>
      </w:pPr>
      <w:r w:rsidRPr="00624565">
        <w:rPr>
          <w:rStyle w:val="normaltextrun"/>
          <w:noProof/>
        </w:rPr>
        <w:t>Konsultacji publicznych</w:t>
      </w:r>
      <w:r w:rsidR="003F3D2B" w:rsidRPr="00624565">
        <w:rPr>
          <w:rStyle w:val="normaltextrun"/>
          <w:noProof/>
        </w:rPr>
        <w:t xml:space="preserve"> w</w:t>
      </w:r>
      <w:r w:rsidR="003F3D2B">
        <w:rPr>
          <w:rStyle w:val="normaltextrun"/>
          <w:noProof/>
        </w:rPr>
        <w:t> </w:t>
      </w:r>
      <w:r w:rsidR="003F3D2B" w:rsidRPr="00624565">
        <w:rPr>
          <w:rStyle w:val="normaltextrun"/>
          <w:noProof/>
        </w:rPr>
        <w:t>spr</w:t>
      </w:r>
      <w:r w:rsidRPr="00624565">
        <w:rPr>
          <w:rStyle w:val="normaltextrun"/>
          <w:noProof/>
        </w:rPr>
        <w:t>awie ram polityki produktowej</w:t>
      </w:r>
      <w:r w:rsidR="003F3D2B" w:rsidRPr="00624565">
        <w:rPr>
          <w:rStyle w:val="normaltextrun"/>
          <w:noProof/>
        </w:rPr>
        <w:t xml:space="preserve"> w</w:t>
      </w:r>
      <w:r w:rsidR="003F3D2B">
        <w:rPr>
          <w:rStyle w:val="normaltextrun"/>
          <w:noProof/>
        </w:rPr>
        <w:t> </w:t>
      </w:r>
      <w:r w:rsidR="003F3D2B" w:rsidRPr="00624565">
        <w:rPr>
          <w:rStyle w:val="normaltextrun"/>
          <w:noProof/>
        </w:rPr>
        <w:t>odn</w:t>
      </w:r>
      <w:r w:rsidRPr="00624565">
        <w:rPr>
          <w:rStyle w:val="normaltextrun"/>
          <w:noProof/>
        </w:rPr>
        <w:t>iesieniu do gospodarki</w:t>
      </w:r>
      <w:r w:rsidR="003F3D2B" w:rsidRPr="00624565">
        <w:rPr>
          <w:rStyle w:val="normaltextrun"/>
          <w:noProof/>
        </w:rPr>
        <w:t xml:space="preserve"> o</w:t>
      </w:r>
      <w:r w:rsidR="003F3D2B">
        <w:rPr>
          <w:rStyle w:val="normaltextrun"/>
          <w:noProof/>
        </w:rPr>
        <w:t> </w:t>
      </w:r>
      <w:r w:rsidR="003F3D2B" w:rsidRPr="00624565">
        <w:rPr>
          <w:rStyle w:val="normaltextrun"/>
          <w:noProof/>
        </w:rPr>
        <w:t>obi</w:t>
      </w:r>
      <w:r w:rsidRPr="00624565">
        <w:rPr>
          <w:rStyle w:val="normaltextrun"/>
          <w:noProof/>
        </w:rPr>
        <w:t>egu zamkniętym</w:t>
      </w:r>
      <w:r w:rsidR="003F3D2B" w:rsidRPr="00624565">
        <w:rPr>
          <w:rStyle w:val="normaltextrun"/>
          <w:noProof/>
        </w:rPr>
        <w:t xml:space="preserve"> z</w:t>
      </w:r>
      <w:r w:rsidR="003F3D2B">
        <w:rPr>
          <w:rStyle w:val="normaltextrun"/>
          <w:noProof/>
        </w:rPr>
        <w:t> </w:t>
      </w:r>
      <w:r w:rsidR="003F3D2B" w:rsidRPr="00624565">
        <w:rPr>
          <w:rStyle w:val="normaltextrun"/>
          <w:noProof/>
        </w:rPr>
        <w:t>sek</w:t>
      </w:r>
      <w:r w:rsidRPr="00624565">
        <w:rPr>
          <w:rStyle w:val="normaltextrun"/>
          <w:noProof/>
        </w:rPr>
        <w:t>cją poświęconą potencjalnym przyszłym wariantom strategicznym opartym na metodach oznaczania śladu środowiskowego (</w:t>
      </w:r>
      <w:r w:rsidRPr="003F3D2B">
        <w:rPr>
          <w:rStyle w:val="normaltextrun"/>
          <w:noProof/>
        </w:rPr>
        <w:t>od</w:t>
      </w:r>
      <w:r w:rsidR="003F3D2B" w:rsidRPr="003F3D2B">
        <w:rPr>
          <w:rStyle w:val="normaltextrun"/>
          <w:noProof/>
        </w:rPr>
        <w:t> </w:t>
      </w:r>
      <w:r w:rsidRPr="003F3D2B">
        <w:rPr>
          <w:rStyle w:val="normaltextrun"/>
          <w:noProof/>
        </w:rPr>
        <w:t>2</w:t>
      </w:r>
      <w:r w:rsidRPr="00624565">
        <w:rPr>
          <w:rStyle w:val="normaltextrun"/>
          <w:noProof/>
        </w:rPr>
        <w:t>9 listopada 20</w:t>
      </w:r>
      <w:r w:rsidRPr="003F3D2B">
        <w:rPr>
          <w:rStyle w:val="normaltextrun"/>
          <w:noProof/>
        </w:rPr>
        <w:t>18</w:t>
      </w:r>
      <w:r w:rsidR="003F3D2B" w:rsidRPr="003F3D2B">
        <w:rPr>
          <w:rStyle w:val="normaltextrun"/>
          <w:noProof/>
        </w:rPr>
        <w:t> </w:t>
      </w:r>
      <w:r w:rsidRPr="003F3D2B">
        <w:rPr>
          <w:rStyle w:val="normaltextrun"/>
          <w:noProof/>
        </w:rPr>
        <w:t>r.</w:t>
      </w:r>
      <w:r w:rsidRPr="00624565">
        <w:rPr>
          <w:rStyle w:val="normaltextrun"/>
          <w:noProof/>
        </w:rPr>
        <w:t xml:space="preserve"> </w:t>
      </w:r>
      <w:r w:rsidRPr="003F3D2B">
        <w:rPr>
          <w:rStyle w:val="normaltextrun"/>
          <w:noProof/>
        </w:rPr>
        <w:t>do</w:t>
      </w:r>
      <w:r w:rsidR="003F3D2B" w:rsidRPr="003F3D2B">
        <w:rPr>
          <w:rStyle w:val="normaltextrun"/>
          <w:noProof/>
        </w:rPr>
        <w:t> </w:t>
      </w:r>
      <w:r w:rsidRPr="003F3D2B">
        <w:rPr>
          <w:rStyle w:val="normaltextrun"/>
          <w:noProof/>
        </w:rPr>
        <w:t>2</w:t>
      </w:r>
      <w:r w:rsidRPr="00624565">
        <w:rPr>
          <w:rStyle w:val="normaltextrun"/>
          <w:noProof/>
        </w:rPr>
        <w:t>4 stycznia 20</w:t>
      </w:r>
      <w:r w:rsidRPr="003F3D2B">
        <w:rPr>
          <w:rStyle w:val="normaltextrun"/>
          <w:noProof/>
        </w:rPr>
        <w:t>19</w:t>
      </w:r>
      <w:r w:rsidR="003F3D2B" w:rsidRPr="003F3D2B">
        <w:rPr>
          <w:rStyle w:val="normaltextrun"/>
          <w:noProof/>
        </w:rPr>
        <w:t> </w:t>
      </w:r>
      <w:r w:rsidRPr="003F3D2B">
        <w:rPr>
          <w:rStyle w:val="normaltextrun"/>
          <w:noProof/>
        </w:rPr>
        <w:t>r.</w:t>
      </w:r>
      <w:r w:rsidRPr="00624565">
        <w:rPr>
          <w:rStyle w:val="normaltextrun"/>
          <w:noProof/>
        </w:rPr>
        <w:t>)</w:t>
      </w:r>
      <w:r w:rsidRPr="00624565">
        <w:rPr>
          <w:rStyle w:val="normaltextrun"/>
          <w:noProof/>
          <w:vertAlign w:val="superscript"/>
        </w:rPr>
        <w:footnoteReference w:id="44"/>
      </w:r>
      <w:r w:rsidRPr="00624565">
        <w:rPr>
          <w:rStyle w:val="normaltextrun"/>
          <w:noProof/>
        </w:rPr>
        <w:t>. Spośród 291 respondentów niektórzy wskazali, że przedsiębiorstwa powinny mieć swobodę wyboru sposobu generowania informacji środowiskowych na temat produktów</w:t>
      </w:r>
      <w:r w:rsidR="003F3D2B" w:rsidRPr="00624565">
        <w:rPr>
          <w:rStyle w:val="normaltextrun"/>
          <w:noProof/>
        </w:rPr>
        <w:t xml:space="preserve"> i</w:t>
      </w:r>
      <w:r w:rsidR="003F3D2B">
        <w:rPr>
          <w:rStyle w:val="normaltextrun"/>
          <w:noProof/>
        </w:rPr>
        <w:t> </w:t>
      </w:r>
      <w:r w:rsidR="003F3D2B" w:rsidRPr="00624565">
        <w:rPr>
          <w:rStyle w:val="normaltextrun"/>
          <w:noProof/>
        </w:rPr>
        <w:t>usł</w:t>
      </w:r>
      <w:r w:rsidRPr="00624565">
        <w:rPr>
          <w:rStyle w:val="normaltextrun"/>
          <w:noProof/>
        </w:rPr>
        <w:t>ug, pod warunkiem że spełnią minimalne kryteria, aby uniknąć pseudoekologicznego marketingu. Respondenci podkreślili także potrzebę elastyczności</w:t>
      </w:r>
      <w:r w:rsidR="003F3D2B" w:rsidRPr="00624565">
        <w:rPr>
          <w:rStyle w:val="normaltextrun"/>
          <w:noProof/>
        </w:rPr>
        <w:t xml:space="preserve"> w</w:t>
      </w:r>
      <w:r w:rsidR="003F3D2B">
        <w:rPr>
          <w:rStyle w:val="normaltextrun"/>
          <w:noProof/>
        </w:rPr>
        <w:t> </w:t>
      </w:r>
      <w:r w:rsidR="003F3D2B" w:rsidRPr="00624565">
        <w:rPr>
          <w:rStyle w:val="normaltextrun"/>
          <w:noProof/>
        </w:rPr>
        <w:t>odn</w:t>
      </w:r>
      <w:r w:rsidRPr="00624565">
        <w:rPr>
          <w:rStyle w:val="normaltextrun"/>
          <w:noProof/>
        </w:rPr>
        <w:t>iesieniu do środka przekazu – stosowanie oznakowania lub kodu QR</w:t>
      </w:r>
      <w:r w:rsidR="003F3D2B" w:rsidRPr="00624565">
        <w:rPr>
          <w:rStyle w:val="normaltextrun"/>
          <w:noProof/>
        </w:rPr>
        <w:t xml:space="preserve"> w</w:t>
      </w:r>
      <w:r w:rsidR="003F3D2B">
        <w:rPr>
          <w:rStyle w:val="normaltextrun"/>
          <w:noProof/>
        </w:rPr>
        <w:t> </w:t>
      </w:r>
      <w:r w:rsidR="003F3D2B" w:rsidRPr="00624565">
        <w:rPr>
          <w:rStyle w:val="normaltextrun"/>
          <w:noProof/>
        </w:rPr>
        <w:t>cel</w:t>
      </w:r>
      <w:r w:rsidRPr="00624565">
        <w:rPr>
          <w:rStyle w:val="normaltextrun"/>
          <w:noProof/>
        </w:rPr>
        <w:t>u przekazania informacji nie powinno być obowiązkowe, ponieważ rodzaj informacji</w:t>
      </w:r>
      <w:r w:rsidR="003F3D2B" w:rsidRPr="00624565">
        <w:rPr>
          <w:rStyle w:val="normaltextrun"/>
          <w:noProof/>
        </w:rPr>
        <w:t xml:space="preserve"> i</w:t>
      </w:r>
      <w:r w:rsidR="003F3D2B">
        <w:rPr>
          <w:rStyle w:val="normaltextrun"/>
          <w:noProof/>
        </w:rPr>
        <w:t> </w:t>
      </w:r>
      <w:r w:rsidR="003F3D2B" w:rsidRPr="00624565">
        <w:rPr>
          <w:rStyle w:val="normaltextrun"/>
          <w:noProof/>
        </w:rPr>
        <w:t>poz</w:t>
      </w:r>
      <w:r w:rsidRPr="00624565">
        <w:rPr>
          <w:rStyle w:val="normaltextrun"/>
          <w:noProof/>
        </w:rPr>
        <w:t>iom szczegółowości może zależeć od grupy docelowej. Respondenci podkreślili także potrzebę zaoferowania MŚP narzędzia lub wsparcia ze strony Komisji Europejskiej</w:t>
      </w:r>
      <w:r w:rsidR="003F3D2B" w:rsidRPr="00624565">
        <w:rPr>
          <w:rStyle w:val="normaltextrun"/>
          <w:noProof/>
        </w:rPr>
        <w:t xml:space="preserve"> w</w:t>
      </w:r>
      <w:r w:rsidR="003F3D2B">
        <w:rPr>
          <w:rStyle w:val="normaltextrun"/>
          <w:noProof/>
        </w:rPr>
        <w:t> </w:t>
      </w:r>
      <w:r w:rsidR="003F3D2B" w:rsidRPr="00624565">
        <w:rPr>
          <w:rStyle w:val="normaltextrun"/>
          <w:noProof/>
        </w:rPr>
        <w:t>zak</w:t>
      </w:r>
      <w:r w:rsidRPr="00624565">
        <w:rPr>
          <w:rStyle w:val="normaltextrun"/>
          <w:noProof/>
        </w:rPr>
        <w:t>resie wdrażania.</w:t>
      </w:r>
    </w:p>
    <w:p w14:paraId="6D8501BD" w14:textId="04DF726B" w:rsidR="006F075B" w:rsidRPr="00624565" w:rsidRDefault="006F075B" w:rsidP="003D1B02">
      <w:pPr>
        <w:pStyle w:val="Tiret0"/>
        <w:numPr>
          <w:ilvl w:val="0"/>
          <w:numId w:val="16"/>
        </w:numPr>
        <w:rPr>
          <w:rStyle w:val="normaltextrun"/>
          <w:noProof/>
        </w:rPr>
      </w:pPr>
      <w:r w:rsidRPr="00624565">
        <w:rPr>
          <w:rStyle w:val="normaltextrun"/>
          <w:noProof/>
        </w:rPr>
        <w:t>Ukierunkowanych konsultacji internetowych,</w:t>
      </w:r>
      <w:r w:rsidR="003F3D2B" w:rsidRPr="00624565">
        <w:rPr>
          <w:rStyle w:val="normaltextrun"/>
          <w:noProof/>
        </w:rPr>
        <w:t xml:space="preserve"> w</w:t>
      </w:r>
      <w:r w:rsidR="003F3D2B">
        <w:rPr>
          <w:rStyle w:val="normaltextrun"/>
          <w:noProof/>
        </w:rPr>
        <w:t> </w:t>
      </w:r>
      <w:r w:rsidR="003F3D2B" w:rsidRPr="00624565">
        <w:rPr>
          <w:rStyle w:val="normaltextrun"/>
          <w:noProof/>
        </w:rPr>
        <w:t>któ</w:t>
      </w:r>
      <w:r w:rsidRPr="00624565">
        <w:rPr>
          <w:rStyle w:val="normaltextrun"/>
          <w:noProof/>
        </w:rPr>
        <w:t>rych uczestniczyły najważniejsze zainteresowane strony związane</w:t>
      </w:r>
      <w:r w:rsidR="003F3D2B" w:rsidRPr="00624565">
        <w:rPr>
          <w:rStyle w:val="normaltextrun"/>
          <w:noProof/>
        </w:rPr>
        <w:t xml:space="preserve"> z</w:t>
      </w:r>
      <w:r w:rsidR="003F3D2B">
        <w:rPr>
          <w:rStyle w:val="normaltextrun"/>
          <w:noProof/>
        </w:rPr>
        <w:t> </w:t>
      </w:r>
      <w:r w:rsidR="003F3D2B" w:rsidRPr="00624565">
        <w:rPr>
          <w:rStyle w:val="normaltextrun"/>
          <w:noProof/>
        </w:rPr>
        <w:t>met</w:t>
      </w:r>
      <w:r w:rsidRPr="00624565">
        <w:rPr>
          <w:rStyle w:val="normaltextrun"/>
          <w:noProof/>
        </w:rPr>
        <w:t>odami oznaczania śladu środowiskowego (</w:t>
      </w:r>
      <w:r w:rsidRPr="003F3D2B">
        <w:rPr>
          <w:rStyle w:val="normaltextrun"/>
          <w:noProof/>
        </w:rPr>
        <w:t>od</w:t>
      </w:r>
      <w:r w:rsidR="003F3D2B" w:rsidRPr="003F3D2B">
        <w:rPr>
          <w:rStyle w:val="normaltextrun"/>
          <w:noProof/>
        </w:rPr>
        <w:t> </w:t>
      </w:r>
      <w:r w:rsidRPr="003F3D2B">
        <w:rPr>
          <w:rStyle w:val="normaltextrun"/>
          <w:noProof/>
        </w:rPr>
        <w:t>1</w:t>
      </w:r>
      <w:r w:rsidRPr="00624565">
        <w:rPr>
          <w:rStyle w:val="normaltextrun"/>
          <w:noProof/>
        </w:rPr>
        <w:t>2 listopada 20</w:t>
      </w:r>
      <w:r w:rsidRPr="003F3D2B">
        <w:rPr>
          <w:rStyle w:val="normaltextrun"/>
          <w:noProof/>
        </w:rPr>
        <w:t>18</w:t>
      </w:r>
      <w:r w:rsidR="003F3D2B" w:rsidRPr="003F3D2B">
        <w:rPr>
          <w:rStyle w:val="normaltextrun"/>
          <w:noProof/>
        </w:rPr>
        <w:t> </w:t>
      </w:r>
      <w:r w:rsidRPr="003F3D2B">
        <w:rPr>
          <w:rStyle w:val="normaltextrun"/>
          <w:noProof/>
        </w:rPr>
        <w:t>r.</w:t>
      </w:r>
      <w:r w:rsidRPr="00624565">
        <w:rPr>
          <w:rStyle w:val="normaltextrun"/>
          <w:noProof/>
        </w:rPr>
        <w:t xml:space="preserve"> </w:t>
      </w:r>
      <w:r w:rsidRPr="003F3D2B">
        <w:rPr>
          <w:rStyle w:val="normaltextrun"/>
          <w:noProof/>
        </w:rPr>
        <w:t>do</w:t>
      </w:r>
      <w:r w:rsidR="003F3D2B" w:rsidRPr="003F3D2B">
        <w:rPr>
          <w:rStyle w:val="normaltextrun"/>
          <w:noProof/>
        </w:rPr>
        <w:t> </w:t>
      </w:r>
      <w:r w:rsidRPr="003F3D2B">
        <w:rPr>
          <w:rStyle w:val="normaltextrun"/>
          <w:noProof/>
        </w:rPr>
        <w:t>1</w:t>
      </w:r>
      <w:r w:rsidRPr="00624565">
        <w:rPr>
          <w:rStyle w:val="normaltextrun"/>
          <w:noProof/>
        </w:rPr>
        <w:t>8 grudnia 20</w:t>
      </w:r>
      <w:r w:rsidRPr="003F3D2B">
        <w:rPr>
          <w:rStyle w:val="normaltextrun"/>
          <w:noProof/>
        </w:rPr>
        <w:t>18</w:t>
      </w:r>
      <w:r w:rsidR="003F3D2B" w:rsidRPr="003F3D2B">
        <w:rPr>
          <w:rStyle w:val="normaltextrun"/>
          <w:noProof/>
        </w:rPr>
        <w:t> </w:t>
      </w:r>
      <w:r w:rsidRPr="003F3D2B">
        <w:rPr>
          <w:rStyle w:val="normaltextrun"/>
          <w:noProof/>
        </w:rPr>
        <w:t>r.</w:t>
      </w:r>
      <w:r w:rsidRPr="00624565">
        <w:rPr>
          <w:rStyle w:val="normaltextrun"/>
          <w:noProof/>
        </w:rPr>
        <w:t>),</w:t>
      </w:r>
      <w:r w:rsidR="003F3D2B" w:rsidRPr="00624565">
        <w:rPr>
          <w:rStyle w:val="normaltextrun"/>
          <w:noProof/>
        </w:rPr>
        <w:t xml:space="preserve"> z</w:t>
      </w:r>
      <w:r w:rsidR="003F3D2B">
        <w:rPr>
          <w:rStyle w:val="normaltextrun"/>
          <w:noProof/>
        </w:rPr>
        <w:t> </w:t>
      </w:r>
      <w:r w:rsidR="003F3D2B" w:rsidRPr="00624565">
        <w:rPr>
          <w:rStyle w:val="normaltextrun"/>
          <w:noProof/>
        </w:rPr>
        <w:t>udz</w:t>
      </w:r>
      <w:r w:rsidRPr="00624565">
        <w:rPr>
          <w:rStyle w:val="normaltextrun"/>
          <w:noProof/>
        </w:rPr>
        <w:t>iałem 124 respondentów</w:t>
      </w:r>
      <w:r w:rsidRPr="00624565">
        <w:rPr>
          <w:rStyle w:val="FootnoteReference"/>
          <w:noProof/>
        </w:rPr>
        <w:footnoteReference w:id="45"/>
      </w:r>
      <w:r w:rsidRPr="00624565">
        <w:rPr>
          <w:rStyle w:val="normaltextrun"/>
          <w:noProof/>
        </w:rPr>
        <w:t>.</w:t>
      </w:r>
    </w:p>
    <w:p w14:paraId="22A0944A" w14:textId="452AC815" w:rsidR="006F075B" w:rsidRPr="00624565" w:rsidRDefault="006F075B" w:rsidP="003D1B02">
      <w:pPr>
        <w:pStyle w:val="Tiret0"/>
        <w:numPr>
          <w:ilvl w:val="0"/>
          <w:numId w:val="16"/>
        </w:numPr>
        <w:rPr>
          <w:rStyle w:val="eop"/>
          <w:noProof/>
        </w:rPr>
      </w:pPr>
      <w:r w:rsidRPr="00624565">
        <w:rPr>
          <w:rStyle w:val="normaltextrun"/>
          <w:noProof/>
        </w:rPr>
        <w:t>Otwartych konsultacji publicznych</w:t>
      </w:r>
      <w:r w:rsidR="003F3D2B" w:rsidRPr="00624565">
        <w:rPr>
          <w:rStyle w:val="normaltextrun"/>
          <w:noProof/>
        </w:rPr>
        <w:t xml:space="preserve"> w</w:t>
      </w:r>
      <w:r w:rsidR="003F3D2B">
        <w:rPr>
          <w:rStyle w:val="normaltextrun"/>
          <w:noProof/>
        </w:rPr>
        <w:t> </w:t>
      </w:r>
      <w:r w:rsidR="003F3D2B" w:rsidRPr="00624565">
        <w:rPr>
          <w:rStyle w:val="normaltextrun"/>
          <w:noProof/>
        </w:rPr>
        <w:t>spr</w:t>
      </w:r>
      <w:r w:rsidRPr="00624565">
        <w:rPr>
          <w:rStyle w:val="normaltextrun"/>
          <w:noProof/>
        </w:rPr>
        <w:t>awie inicjatywy dotyczącej oświadczeń środowiskowych, które odbywały się</w:t>
      </w:r>
      <w:r w:rsidR="003F3D2B" w:rsidRPr="00624565">
        <w:rPr>
          <w:rStyle w:val="normaltextrun"/>
          <w:noProof/>
        </w:rPr>
        <w:t xml:space="preserve"> w</w:t>
      </w:r>
      <w:r w:rsidR="003F3D2B">
        <w:rPr>
          <w:rStyle w:val="normaltextrun"/>
          <w:noProof/>
        </w:rPr>
        <w:t> </w:t>
      </w:r>
      <w:r w:rsidR="003F3D2B" w:rsidRPr="00624565">
        <w:rPr>
          <w:rStyle w:val="normaltextrun"/>
          <w:noProof/>
        </w:rPr>
        <w:t>dni</w:t>
      </w:r>
      <w:r w:rsidRPr="00624565">
        <w:rPr>
          <w:rStyle w:val="normaltextrun"/>
          <w:noProof/>
        </w:rPr>
        <w:t>ach 27 sierpnia – 3 grudnia 20</w:t>
      </w:r>
      <w:r w:rsidRPr="003F3D2B">
        <w:rPr>
          <w:rStyle w:val="normaltextrun"/>
          <w:noProof/>
        </w:rPr>
        <w:t>20</w:t>
      </w:r>
      <w:r w:rsidR="003F3D2B" w:rsidRPr="003F3D2B">
        <w:rPr>
          <w:rStyle w:val="normaltextrun"/>
          <w:noProof/>
        </w:rPr>
        <w:t> </w:t>
      </w:r>
      <w:r w:rsidRPr="003F3D2B">
        <w:rPr>
          <w:rStyle w:val="normaltextrun"/>
          <w:noProof/>
        </w:rPr>
        <w:t>r.</w:t>
      </w:r>
      <w:r w:rsidRPr="00624565">
        <w:rPr>
          <w:rStyle w:val="normaltextrun"/>
          <w:noProof/>
        </w:rPr>
        <w:t>,</w:t>
      </w:r>
      <w:r w:rsidR="003F3D2B" w:rsidRPr="00624565">
        <w:rPr>
          <w:rStyle w:val="normaltextrun"/>
          <w:noProof/>
        </w:rPr>
        <w:t xml:space="preserve"> w</w:t>
      </w:r>
      <w:r w:rsidR="003F3D2B">
        <w:rPr>
          <w:rStyle w:val="normaltextrun"/>
          <w:noProof/>
        </w:rPr>
        <w:t> </w:t>
      </w:r>
      <w:r w:rsidR="003F3D2B" w:rsidRPr="00624565">
        <w:rPr>
          <w:rStyle w:val="normaltextrun"/>
          <w:noProof/>
        </w:rPr>
        <w:t>ram</w:t>
      </w:r>
      <w:r w:rsidRPr="00624565">
        <w:rPr>
          <w:rStyle w:val="normaltextrun"/>
          <w:noProof/>
        </w:rPr>
        <w:t>ach których otrzymano 362 uwagi</w:t>
      </w:r>
      <w:r w:rsidRPr="00624565">
        <w:rPr>
          <w:rStyle w:val="normaltextrun"/>
          <w:noProof/>
          <w:vertAlign w:val="superscript"/>
        </w:rPr>
        <w:t>16</w:t>
      </w:r>
      <w:r w:rsidRPr="00624565">
        <w:rPr>
          <w:rStyle w:val="normaltextrun"/>
          <w:noProof/>
        </w:rPr>
        <w:t>.</w:t>
      </w:r>
      <w:r w:rsidRPr="00624565">
        <w:rPr>
          <w:rStyle w:val="eop"/>
          <w:noProof/>
        </w:rPr>
        <w:t xml:space="preserve"> </w:t>
      </w:r>
    </w:p>
    <w:p w14:paraId="0565B2A1" w14:textId="0CAFACFE" w:rsidR="006F075B" w:rsidRPr="00624565" w:rsidRDefault="006F075B" w:rsidP="008306B5">
      <w:pPr>
        <w:pStyle w:val="Bullet1"/>
        <w:numPr>
          <w:ilvl w:val="0"/>
          <w:numId w:val="24"/>
        </w:numPr>
        <w:rPr>
          <w:noProof/>
        </w:rPr>
      </w:pPr>
      <w:r w:rsidRPr="00624565">
        <w:rPr>
          <w:rStyle w:val="eop"/>
          <w:noProof/>
        </w:rPr>
        <w:t xml:space="preserve">Niektóre </w:t>
      </w:r>
      <w:r w:rsidRPr="00624565">
        <w:rPr>
          <w:rStyle w:val="eop"/>
          <w:i/>
          <w:noProof/>
        </w:rPr>
        <w:t>stowarzyszenia przedsiębiorców</w:t>
      </w:r>
      <w:r w:rsidRPr="00624565">
        <w:rPr>
          <w:rStyle w:val="eop"/>
          <w:noProof/>
        </w:rPr>
        <w:t xml:space="preserve"> sugerowały </w:t>
      </w:r>
      <w:r w:rsidRPr="00624565">
        <w:rPr>
          <w:noProof/>
        </w:rPr>
        <w:t>wykorzystanie niezależnych organizacji certyfikujących lub weryfikujących, które działają zgodnie</w:t>
      </w:r>
      <w:r w:rsidR="003F3D2B" w:rsidRPr="00624565">
        <w:rPr>
          <w:noProof/>
        </w:rPr>
        <w:t xml:space="preserve"> z</w:t>
      </w:r>
      <w:r w:rsidR="003F3D2B">
        <w:rPr>
          <w:noProof/>
        </w:rPr>
        <w:t> </w:t>
      </w:r>
      <w:r w:rsidR="003F3D2B" w:rsidRPr="00624565">
        <w:rPr>
          <w:noProof/>
        </w:rPr>
        <w:t>nor</w:t>
      </w:r>
      <w:r w:rsidRPr="00624565">
        <w:rPr>
          <w:noProof/>
        </w:rPr>
        <w:t>mą ISO14025.</w:t>
      </w:r>
    </w:p>
    <w:p w14:paraId="29827280" w14:textId="51E51D5B" w:rsidR="006F075B" w:rsidRPr="00624565" w:rsidRDefault="006F075B" w:rsidP="006E3743">
      <w:pPr>
        <w:pStyle w:val="Bullet1"/>
        <w:rPr>
          <w:noProof/>
        </w:rPr>
      </w:pPr>
      <w:r w:rsidRPr="00624565">
        <w:rPr>
          <w:i/>
          <w:noProof/>
        </w:rPr>
        <w:t>Duże przedsiębiorstwa</w:t>
      </w:r>
      <w:r w:rsidRPr="00624565">
        <w:rPr>
          <w:noProof/>
        </w:rPr>
        <w:t xml:space="preserve"> podkreśliły, że ramy UE powinny umożliwiać elastyczność</w:t>
      </w:r>
      <w:r w:rsidR="003F3D2B" w:rsidRPr="00624565">
        <w:rPr>
          <w:noProof/>
        </w:rPr>
        <w:t xml:space="preserve"> w</w:t>
      </w:r>
      <w:r w:rsidR="003F3D2B">
        <w:rPr>
          <w:noProof/>
        </w:rPr>
        <w:t> </w:t>
      </w:r>
      <w:r w:rsidR="003F3D2B" w:rsidRPr="00624565">
        <w:rPr>
          <w:noProof/>
        </w:rPr>
        <w:t>odn</w:t>
      </w:r>
      <w:r w:rsidRPr="00624565">
        <w:rPr>
          <w:noProof/>
        </w:rPr>
        <w:t>iesieniu do środka przekazu wykorzystywanego do składania oświadczeń.</w:t>
      </w:r>
    </w:p>
    <w:p w14:paraId="0C6F7231" w14:textId="27A7546F" w:rsidR="006F075B" w:rsidRPr="00624565" w:rsidRDefault="006F075B" w:rsidP="006E3743">
      <w:pPr>
        <w:pStyle w:val="Bullet1"/>
        <w:rPr>
          <w:noProof/>
        </w:rPr>
      </w:pPr>
      <w:r w:rsidRPr="00624565">
        <w:rPr>
          <w:i/>
          <w:noProof/>
        </w:rPr>
        <w:t>Organizacje pozarządowe zajmujące się ochroną środowiska</w:t>
      </w:r>
      <w:r w:rsidRPr="00624565">
        <w:rPr>
          <w:noProof/>
        </w:rPr>
        <w:t xml:space="preserve"> stwierdziły, że</w:t>
      </w:r>
      <w:r w:rsidRPr="00624565">
        <w:rPr>
          <w:b/>
          <w:noProof/>
        </w:rPr>
        <w:t xml:space="preserve"> </w:t>
      </w:r>
      <w:r w:rsidRPr="00624565">
        <w:rPr>
          <w:noProof/>
        </w:rPr>
        <w:t>pojedyncze oceny środowiskowe</w:t>
      </w:r>
      <w:r w:rsidR="003F3D2B" w:rsidRPr="00624565">
        <w:rPr>
          <w:noProof/>
        </w:rPr>
        <w:t xml:space="preserve"> w</w:t>
      </w:r>
      <w:r w:rsidR="003F3D2B">
        <w:rPr>
          <w:noProof/>
        </w:rPr>
        <w:t> </w:t>
      </w:r>
      <w:r w:rsidR="003F3D2B" w:rsidRPr="00624565">
        <w:rPr>
          <w:noProof/>
        </w:rPr>
        <w:t>żad</w:t>
      </w:r>
      <w:r w:rsidRPr="00624565">
        <w:rPr>
          <w:noProof/>
        </w:rPr>
        <w:t>nym wypadku nie powinny być sposobem na ukrycie kompromisów</w:t>
      </w:r>
      <w:r w:rsidR="003F3D2B" w:rsidRPr="00624565">
        <w:rPr>
          <w:noProof/>
        </w:rPr>
        <w:t xml:space="preserve"> i</w:t>
      </w:r>
      <w:r w:rsidR="003F3D2B">
        <w:rPr>
          <w:noProof/>
        </w:rPr>
        <w:t> </w:t>
      </w:r>
      <w:r w:rsidR="003F3D2B" w:rsidRPr="00624565">
        <w:rPr>
          <w:noProof/>
        </w:rPr>
        <w:t>nal</w:t>
      </w:r>
      <w:r w:rsidRPr="00624565">
        <w:rPr>
          <w:noProof/>
        </w:rPr>
        <w:t xml:space="preserve">eży ich unikać. </w:t>
      </w:r>
    </w:p>
    <w:p w14:paraId="2A7C858A" w14:textId="39F70086" w:rsidR="006F075B" w:rsidRPr="003F3D2B" w:rsidRDefault="006F075B" w:rsidP="006E3743">
      <w:pPr>
        <w:pStyle w:val="Bullet1"/>
        <w:rPr>
          <w:noProof/>
        </w:rPr>
      </w:pPr>
      <w:r w:rsidRPr="00624565">
        <w:rPr>
          <w:i/>
          <w:noProof/>
        </w:rPr>
        <w:t>Pozarządowe organizacje konsumenckie</w:t>
      </w:r>
      <w:r w:rsidRPr="00624565">
        <w:rPr>
          <w:noProof/>
        </w:rPr>
        <w:t xml:space="preserve"> wskazały także, że oświadczenia środowiskowe można uzasadniać za pomocą istniejących narzędzi, takich jak oznakowanie ekologiczne typu 1, Eco Lighthouse, system ekozarządzania</w:t>
      </w:r>
      <w:r w:rsidR="003F3D2B" w:rsidRPr="00624565">
        <w:rPr>
          <w:noProof/>
        </w:rPr>
        <w:t xml:space="preserve"> i</w:t>
      </w:r>
      <w:r w:rsidR="003F3D2B">
        <w:rPr>
          <w:noProof/>
        </w:rPr>
        <w:t> </w:t>
      </w:r>
      <w:r w:rsidR="003F3D2B" w:rsidRPr="00624565">
        <w:rPr>
          <w:noProof/>
        </w:rPr>
        <w:t>aud</w:t>
      </w:r>
      <w:r w:rsidRPr="00624565">
        <w:rPr>
          <w:noProof/>
        </w:rPr>
        <w:t>ytu oraz norma ISO14001</w:t>
      </w:r>
      <w:r w:rsidRPr="003F3D2B">
        <w:rPr>
          <w:noProof/>
        </w:rPr>
        <w:t>.</w:t>
      </w:r>
      <w:r w:rsidR="003F3D2B" w:rsidRPr="003F3D2B">
        <w:rPr>
          <w:b/>
          <w:noProof/>
        </w:rPr>
        <w:t xml:space="preserve"> </w:t>
      </w:r>
    </w:p>
    <w:p w14:paraId="061BBA68" w14:textId="0CE0250B" w:rsidR="006F075B" w:rsidRPr="00624565" w:rsidRDefault="006F075B" w:rsidP="006E3743">
      <w:pPr>
        <w:pStyle w:val="Bullet1"/>
        <w:rPr>
          <w:b/>
          <w:bCs/>
          <w:noProof/>
        </w:rPr>
      </w:pPr>
      <w:r w:rsidRPr="00624565">
        <w:rPr>
          <w:noProof/>
        </w:rPr>
        <w:t xml:space="preserve">Kilku przedstawicieli </w:t>
      </w:r>
      <w:r w:rsidRPr="00624565">
        <w:rPr>
          <w:i/>
          <w:noProof/>
        </w:rPr>
        <w:t>organów publicznych</w:t>
      </w:r>
      <w:r w:rsidRPr="00624565">
        <w:rPr>
          <w:noProof/>
        </w:rPr>
        <w:t xml:space="preserve"> uznało,</w:t>
      </w:r>
      <w:r w:rsidRPr="00624565">
        <w:rPr>
          <w:b/>
          <w:noProof/>
        </w:rPr>
        <w:t xml:space="preserve"> </w:t>
      </w:r>
      <w:r w:rsidRPr="00624565">
        <w:rPr>
          <w:noProof/>
        </w:rPr>
        <w:t>że powinna istnieć możliwość uzasadniania oświadczeń za pomocą „oficjalnego” oznakowania ekologicznego, takiego jak Nordic Swan czy oznakowanie ekologiczne UE. Administracja publiczna</w:t>
      </w:r>
      <w:r w:rsidR="003F3D2B" w:rsidRPr="00624565">
        <w:rPr>
          <w:noProof/>
        </w:rPr>
        <w:t xml:space="preserve"> w</w:t>
      </w:r>
      <w:r w:rsidR="003F3D2B">
        <w:rPr>
          <w:noProof/>
        </w:rPr>
        <w:t> </w:t>
      </w:r>
      <w:r w:rsidR="003F3D2B" w:rsidRPr="00624565">
        <w:rPr>
          <w:noProof/>
        </w:rPr>
        <w:t>nie</w:t>
      </w:r>
      <w:r w:rsidRPr="00624565">
        <w:rPr>
          <w:noProof/>
        </w:rPr>
        <w:t>wielkim stopniu preferuje niezależną certyfikację</w:t>
      </w:r>
      <w:r w:rsidR="003F3D2B" w:rsidRPr="00624565">
        <w:rPr>
          <w:noProof/>
        </w:rPr>
        <w:t xml:space="preserve"> i</w:t>
      </w:r>
      <w:r w:rsidR="003F3D2B">
        <w:rPr>
          <w:noProof/>
        </w:rPr>
        <w:t> </w:t>
      </w:r>
      <w:r w:rsidR="003F3D2B" w:rsidRPr="00624565">
        <w:rPr>
          <w:noProof/>
        </w:rPr>
        <w:t>wer</w:t>
      </w:r>
      <w:r w:rsidRPr="00624565">
        <w:rPr>
          <w:noProof/>
        </w:rPr>
        <w:t>yfikację.</w:t>
      </w:r>
    </w:p>
    <w:p w14:paraId="70CACEE4" w14:textId="77777777" w:rsidR="006F075B" w:rsidRPr="00624565" w:rsidRDefault="006F075B" w:rsidP="006E3743">
      <w:pPr>
        <w:pStyle w:val="Bullet1"/>
        <w:rPr>
          <w:noProof/>
        </w:rPr>
      </w:pPr>
      <w:r w:rsidRPr="00624565">
        <w:rPr>
          <w:noProof/>
        </w:rPr>
        <w:t xml:space="preserve">W przypadku </w:t>
      </w:r>
      <w:r w:rsidRPr="00624565">
        <w:rPr>
          <w:i/>
          <w:noProof/>
        </w:rPr>
        <w:t>obywateli</w:t>
      </w:r>
      <w:r w:rsidRPr="00624565">
        <w:rPr>
          <w:noProof/>
        </w:rPr>
        <w:t xml:space="preserve"> wariantem preferowanym jest niezależna certyfikacja lub weryfikacja przeprowadzana przez akredytowane organizacje.</w:t>
      </w:r>
    </w:p>
    <w:p w14:paraId="2F6FF9FD" w14:textId="54901535" w:rsidR="009769E5" w:rsidRPr="00624565" w:rsidRDefault="006F075B" w:rsidP="006F075B">
      <w:pPr>
        <w:pBdr>
          <w:top w:val="nil"/>
          <w:left w:val="nil"/>
          <w:bottom w:val="nil"/>
          <w:right w:val="nil"/>
          <w:between w:val="nil"/>
          <w:bar w:val="nil"/>
        </w:pBdr>
        <w:spacing w:before="0" w:after="240"/>
        <w:rPr>
          <w:rFonts w:eastAsia="Arial Unicode MS"/>
          <w:noProof/>
        </w:rPr>
      </w:pPr>
      <w:r w:rsidRPr="00624565">
        <w:rPr>
          <w:rStyle w:val="eop"/>
          <w:noProof/>
        </w:rPr>
        <w:t>Warsztaty</w:t>
      </w:r>
      <w:r w:rsidR="003F3D2B" w:rsidRPr="00624565">
        <w:rPr>
          <w:rStyle w:val="eop"/>
          <w:noProof/>
        </w:rPr>
        <w:t xml:space="preserve"> z</w:t>
      </w:r>
      <w:r w:rsidR="003F3D2B">
        <w:rPr>
          <w:rStyle w:val="eop"/>
          <w:noProof/>
        </w:rPr>
        <w:t> </w:t>
      </w:r>
      <w:r w:rsidR="003F3D2B" w:rsidRPr="00624565">
        <w:rPr>
          <w:rStyle w:val="eop"/>
          <w:noProof/>
        </w:rPr>
        <w:t>udz</w:t>
      </w:r>
      <w:r w:rsidRPr="00624565">
        <w:rPr>
          <w:rStyle w:val="eop"/>
          <w:noProof/>
        </w:rPr>
        <w:t>iałem zainteresowanych stron, podzielone na kilka sesji, odbyły się</w:t>
      </w:r>
      <w:r w:rsidR="003F3D2B" w:rsidRPr="00624565">
        <w:rPr>
          <w:rStyle w:val="eop"/>
          <w:noProof/>
        </w:rPr>
        <w:t xml:space="preserve"> w</w:t>
      </w:r>
      <w:r w:rsidR="003F3D2B">
        <w:rPr>
          <w:rStyle w:val="eop"/>
          <w:noProof/>
        </w:rPr>
        <w:t> </w:t>
      </w:r>
      <w:r w:rsidR="003F3D2B" w:rsidRPr="00624565">
        <w:rPr>
          <w:rStyle w:val="eop"/>
          <w:noProof/>
        </w:rPr>
        <w:t>lis</w:t>
      </w:r>
      <w:r w:rsidRPr="00624565">
        <w:rPr>
          <w:rStyle w:val="eop"/>
          <w:noProof/>
        </w:rPr>
        <w:t>topadzie 20</w:t>
      </w:r>
      <w:r w:rsidRPr="003F3D2B">
        <w:rPr>
          <w:rStyle w:val="eop"/>
          <w:noProof/>
        </w:rPr>
        <w:t>20</w:t>
      </w:r>
      <w:r w:rsidR="003F3D2B" w:rsidRPr="003F3D2B">
        <w:rPr>
          <w:rStyle w:val="eop"/>
          <w:noProof/>
        </w:rPr>
        <w:t> </w:t>
      </w:r>
      <w:r w:rsidRPr="003F3D2B">
        <w:rPr>
          <w:rStyle w:val="eop"/>
          <w:noProof/>
        </w:rPr>
        <w:t>r.</w:t>
      </w:r>
      <w:r w:rsidR="003F3D2B" w:rsidRPr="00624565">
        <w:rPr>
          <w:rStyle w:val="eop"/>
          <w:noProof/>
        </w:rPr>
        <w:t xml:space="preserve"> i</w:t>
      </w:r>
      <w:r w:rsidR="003F3D2B">
        <w:rPr>
          <w:rStyle w:val="eop"/>
          <w:noProof/>
        </w:rPr>
        <w:t> </w:t>
      </w:r>
      <w:r w:rsidR="003F3D2B" w:rsidRPr="00624565">
        <w:rPr>
          <w:rStyle w:val="eop"/>
          <w:noProof/>
        </w:rPr>
        <w:t>poś</w:t>
      </w:r>
      <w:r w:rsidRPr="00624565">
        <w:rPr>
          <w:rStyle w:val="eop"/>
          <w:noProof/>
        </w:rPr>
        <w:t>więcone były ogólnym informacjom zwrotnym, informacjom zwrotnym na temat możliwości przekazu, praktycznych wyzwań dotyczących uzasadniania oświadczeń środowiskowych stojących przed przedsiębiorstwami, wiarygodności informacji oraz konsekwencji dla oznakowań ekologicznych –</w:t>
      </w:r>
      <w:r w:rsidR="003F3D2B" w:rsidRPr="00624565">
        <w:rPr>
          <w:rStyle w:val="eop"/>
          <w:noProof/>
        </w:rPr>
        <w:t xml:space="preserve"> w</w:t>
      </w:r>
      <w:r w:rsidR="003F3D2B">
        <w:rPr>
          <w:rStyle w:val="eop"/>
          <w:noProof/>
        </w:rPr>
        <w:t> </w:t>
      </w:r>
      <w:r w:rsidR="003F3D2B" w:rsidRPr="00624565">
        <w:rPr>
          <w:rStyle w:val="eop"/>
          <w:noProof/>
        </w:rPr>
        <w:t>każ</w:t>
      </w:r>
      <w:r w:rsidRPr="00624565">
        <w:rPr>
          <w:rStyle w:val="eop"/>
          <w:noProof/>
        </w:rPr>
        <w:t>dej sesji uczestniczyło średnio 200 zainteresowanych stron</w:t>
      </w:r>
      <w:r w:rsidRPr="00624565">
        <w:rPr>
          <w:rStyle w:val="eop"/>
          <w:noProof/>
          <w:vertAlign w:val="superscript"/>
        </w:rPr>
        <w:footnoteReference w:id="46"/>
      </w:r>
      <w:r w:rsidRPr="00624565">
        <w:rPr>
          <w:rStyle w:val="eop"/>
          <w:noProof/>
        </w:rPr>
        <w:t>.Warsztaty potwierdziły, że należy zająć się kwestią pseudoekologicznego marketingu oraz że istnieje potrzeba zharmonizowanego podejścia na szczeblu UE. Szereg zainteresowanych stron wskazało na potrzebę dalszego stosowania oznakowania ekologicznego UE</w:t>
      </w:r>
      <w:r w:rsidR="003F3D2B" w:rsidRPr="00624565">
        <w:rPr>
          <w:rStyle w:val="eop"/>
          <w:noProof/>
        </w:rPr>
        <w:t xml:space="preserve"> i</w:t>
      </w:r>
      <w:r w:rsidR="003F3D2B">
        <w:rPr>
          <w:rStyle w:val="eop"/>
          <w:noProof/>
        </w:rPr>
        <w:t> </w:t>
      </w:r>
      <w:r w:rsidR="003F3D2B" w:rsidRPr="00624565">
        <w:rPr>
          <w:rStyle w:val="eop"/>
          <w:noProof/>
        </w:rPr>
        <w:t>inn</w:t>
      </w:r>
      <w:r w:rsidRPr="00624565">
        <w:rPr>
          <w:rStyle w:val="eop"/>
          <w:noProof/>
        </w:rPr>
        <w:t>ych wiarygodnych oznakowań ekologicznych typu 1.</w:t>
      </w:r>
    </w:p>
    <w:p w14:paraId="75D62DCF" w14:textId="77777777" w:rsidR="009769E5" w:rsidRPr="00624565" w:rsidRDefault="006F075B" w:rsidP="009769E5">
      <w:pPr>
        <w:pStyle w:val="ManualHeading2"/>
        <w:rPr>
          <w:rFonts w:eastAsia="Arial Unicode MS"/>
          <w:noProof/>
          <w:u w:color="000000"/>
          <w:bdr w:val="nil"/>
        </w:rPr>
      </w:pPr>
      <w:r w:rsidRPr="00624565">
        <w:rPr>
          <w:noProof/>
          <w:u w:color="000000"/>
          <w:bdr w:val="nil"/>
        </w:rPr>
        <w:t>3.2</w:t>
      </w:r>
      <w:r w:rsidRPr="00624565">
        <w:rPr>
          <w:noProof/>
        </w:rPr>
        <w:tab/>
      </w:r>
      <w:r w:rsidRPr="00624565">
        <w:rPr>
          <w:noProof/>
          <w:u w:color="000000"/>
          <w:bdr w:val="nil"/>
        </w:rPr>
        <w:t>Ocena skutków</w:t>
      </w:r>
    </w:p>
    <w:p w14:paraId="34A8424E" w14:textId="01BD03AB" w:rsidR="006F075B" w:rsidRPr="00624565" w:rsidRDefault="006F075B" w:rsidP="006F075B">
      <w:pPr>
        <w:pStyle w:val="ManualHeading3"/>
        <w:rPr>
          <w:noProof/>
        </w:rPr>
      </w:pPr>
      <w:r w:rsidRPr="00624565">
        <w:rPr>
          <w:noProof/>
        </w:rPr>
        <w:t>3.2.1</w:t>
      </w:r>
      <w:r w:rsidRPr="00624565">
        <w:rPr>
          <w:noProof/>
        </w:rPr>
        <w:tab/>
        <w:t>Określenie problemu</w:t>
      </w:r>
      <w:r w:rsidR="003F3D2B" w:rsidRPr="00624565">
        <w:rPr>
          <w:noProof/>
        </w:rPr>
        <w:t xml:space="preserve"> i</w:t>
      </w:r>
      <w:r w:rsidR="003F3D2B">
        <w:rPr>
          <w:noProof/>
        </w:rPr>
        <w:t> </w:t>
      </w:r>
      <w:r w:rsidR="003F3D2B" w:rsidRPr="00624565">
        <w:rPr>
          <w:noProof/>
        </w:rPr>
        <w:t>pre</w:t>
      </w:r>
      <w:r w:rsidRPr="00624565">
        <w:rPr>
          <w:noProof/>
        </w:rPr>
        <w:t xml:space="preserve">ferowany wariant strategiczny </w:t>
      </w:r>
    </w:p>
    <w:p w14:paraId="36047797" w14:textId="04B5AB94" w:rsidR="006F075B" w:rsidRPr="00624565" w:rsidRDefault="006F075B" w:rsidP="006F075B">
      <w:pPr>
        <w:rPr>
          <w:noProof/>
        </w:rPr>
      </w:pPr>
      <w:r w:rsidRPr="00624565">
        <w:rPr>
          <w:noProof/>
        </w:rPr>
        <w:t>Niniejszy wniosek opracowano na podstawie oceny skutków opublikowanej wraz</w:t>
      </w:r>
      <w:r w:rsidR="003F3D2B" w:rsidRPr="00624565">
        <w:rPr>
          <w:noProof/>
        </w:rPr>
        <w:t xml:space="preserve"> z</w:t>
      </w:r>
      <w:r w:rsidR="003F3D2B">
        <w:rPr>
          <w:noProof/>
        </w:rPr>
        <w:t> </w:t>
      </w:r>
      <w:r w:rsidR="003F3D2B" w:rsidRPr="00624565">
        <w:rPr>
          <w:noProof/>
        </w:rPr>
        <w:t>wni</w:t>
      </w:r>
      <w:r w:rsidRPr="00624565">
        <w:rPr>
          <w:noProof/>
        </w:rPr>
        <w:t>oskiem Komisji</w:t>
      </w:r>
      <w:r w:rsidR="003F3D2B" w:rsidRPr="00624565">
        <w:rPr>
          <w:noProof/>
        </w:rPr>
        <w:t xml:space="preserve"> w</w:t>
      </w:r>
      <w:r w:rsidR="003F3D2B">
        <w:rPr>
          <w:noProof/>
        </w:rPr>
        <w:t> </w:t>
      </w:r>
      <w:r w:rsidR="003F3D2B" w:rsidRPr="00624565">
        <w:rPr>
          <w:noProof/>
        </w:rPr>
        <w:t>spr</w:t>
      </w:r>
      <w:r w:rsidRPr="00624565">
        <w:rPr>
          <w:noProof/>
        </w:rPr>
        <w:t>awie wzmocnienia pozycji konsumentów</w:t>
      </w:r>
      <w:r w:rsidR="003F3D2B" w:rsidRPr="00624565">
        <w:rPr>
          <w:noProof/>
        </w:rPr>
        <w:t xml:space="preserve"> w</w:t>
      </w:r>
      <w:r w:rsidR="003F3D2B">
        <w:rPr>
          <w:noProof/>
        </w:rPr>
        <w:t> </w:t>
      </w:r>
      <w:r w:rsidR="003F3D2B" w:rsidRPr="00624565">
        <w:rPr>
          <w:noProof/>
        </w:rPr>
        <w:t>pro</w:t>
      </w:r>
      <w:r w:rsidRPr="00624565">
        <w:rPr>
          <w:noProof/>
        </w:rPr>
        <w:t>cesie transformacji ekologicznej</w:t>
      </w:r>
      <w:r w:rsidRPr="00624565">
        <w:rPr>
          <w:rStyle w:val="FootnoteReference"/>
          <w:noProof/>
        </w:rPr>
        <w:footnoteReference w:id="47"/>
      </w:r>
      <w:r w:rsidRPr="00624565">
        <w:rPr>
          <w:noProof/>
        </w:rPr>
        <w:t>. 5 lutego 2021 r. Rada ds. Kontroli Regulacyjnej (RSB) Komisji po raz pierwszy wydała negatywną opinię wraz ze szczegółowymi komentarzami. Po dogłębnej rewizji pierwotnego projektu dnia 17 września 2021 r. Rada ds. Kontroli Regulacyjnej wydała pozytywną opinię</w:t>
      </w:r>
      <w:r w:rsidR="003F3D2B" w:rsidRPr="00624565">
        <w:rPr>
          <w:noProof/>
        </w:rPr>
        <w:t xml:space="preserve"> z</w:t>
      </w:r>
      <w:r w:rsidR="003F3D2B">
        <w:rPr>
          <w:noProof/>
        </w:rPr>
        <w:t> </w:t>
      </w:r>
      <w:r w:rsidR="003F3D2B" w:rsidRPr="00624565">
        <w:rPr>
          <w:noProof/>
        </w:rPr>
        <w:t>dal</w:t>
      </w:r>
      <w:r w:rsidRPr="00624565">
        <w:rPr>
          <w:noProof/>
        </w:rPr>
        <w:t>szymi komentarzami</w:t>
      </w:r>
      <w:r w:rsidRPr="00624565">
        <w:rPr>
          <w:rStyle w:val="FootnoteReference"/>
          <w:noProof/>
        </w:rPr>
        <w:footnoteReference w:id="48"/>
      </w:r>
      <w:r w:rsidR="003F3D2B" w:rsidRPr="00624565">
        <w:rPr>
          <w:noProof/>
        </w:rPr>
        <w:t>. W</w:t>
      </w:r>
      <w:r w:rsidR="003F3D2B">
        <w:rPr>
          <w:noProof/>
        </w:rPr>
        <w:t> </w:t>
      </w:r>
      <w:r w:rsidR="003F3D2B" w:rsidRPr="00624565">
        <w:rPr>
          <w:noProof/>
        </w:rPr>
        <w:t>zał</w:t>
      </w:r>
      <w:r w:rsidRPr="00624565">
        <w:rPr>
          <w:noProof/>
        </w:rPr>
        <w:t>ączniku I do oceny skutków wyjaśniono,</w:t>
      </w:r>
      <w:r w:rsidR="003F3D2B" w:rsidRPr="00624565">
        <w:rPr>
          <w:noProof/>
        </w:rPr>
        <w:t xml:space="preserve"> w</w:t>
      </w:r>
      <w:r w:rsidR="003F3D2B">
        <w:rPr>
          <w:noProof/>
        </w:rPr>
        <w:t> </w:t>
      </w:r>
      <w:r w:rsidR="003F3D2B" w:rsidRPr="00624565">
        <w:rPr>
          <w:noProof/>
        </w:rPr>
        <w:t>jak</w:t>
      </w:r>
      <w:r w:rsidRPr="00624565">
        <w:rPr>
          <w:noProof/>
        </w:rPr>
        <w:t>i sposób zostały rozpatrzone komentarze Rady ds. Kontroli Regulacyjnej.</w:t>
      </w:r>
    </w:p>
    <w:p w14:paraId="646C99BF" w14:textId="5D9F662B" w:rsidR="006F075B" w:rsidRPr="00624565" w:rsidRDefault="006F075B" w:rsidP="006F075B">
      <w:pPr>
        <w:rPr>
          <w:noProof/>
        </w:rPr>
      </w:pPr>
      <w:r w:rsidRPr="00624565">
        <w:rPr>
          <w:noProof/>
        </w:rPr>
        <w:t>W ocenie skutków zidentyfikowano dwa problemy, które zostały podzielone na kilka problemów cząstkowych. Niniejszy wniosek koncentruje się na jednym</w:t>
      </w:r>
      <w:r w:rsidR="003F3D2B" w:rsidRPr="00624565">
        <w:rPr>
          <w:noProof/>
        </w:rPr>
        <w:t xml:space="preserve"> z</w:t>
      </w:r>
      <w:r w:rsidR="003F3D2B">
        <w:rPr>
          <w:noProof/>
        </w:rPr>
        <w:t> </w:t>
      </w:r>
      <w:r w:rsidR="003F3D2B" w:rsidRPr="00624565">
        <w:rPr>
          <w:noProof/>
        </w:rPr>
        <w:t>tyc</w:t>
      </w:r>
      <w:r w:rsidRPr="00624565">
        <w:rPr>
          <w:noProof/>
        </w:rPr>
        <w:t>h dwóch problemów</w:t>
      </w:r>
      <w:r w:rsidR="003F3D2B" w:rsidRPr="00624565">
        <w:rPr>
          <w:noProof/>
        </w:rPr>
        <w:t xml:space="preserve"> i</w:t>
      </w:r>
      <w:r w:rsidR="003F3D2B">
        <w:rPr>
          <w:noProof/>
        </w:rPr>
        <w:t> </w:t>
      </w:r>
      <w:r w:rsidR="003F3D2B" w:rsidRPr="00624565">
        <w:rPr>
          <w:noProof/>
        </w:rPr>
        <w:t>pow</w:t>
      </w:r>
      <w:r w:rsidRPr="00624565">
        <w:rPr>
          <w:noProof/>
        </w:rPr>
        <w:t>iązanych</w:t>
      </w:r>
      <w:r w:rsidR="003F3D2B" w:rsidRPr="00624565">
        <w:rPr>
          <w:noProof/>
        </w:rPr>
        <w:t xml:space="preserve"> z</w:t>
      </w:r>
      <w:r w:rsidR="003F3D2B">
        <w:rPr>
          <w:noProof/>
        </w:rPr>
        <w:t> </w:t>
      </w:r>
      <w:r w:rsidR="003F3D2B" w:rsidRPr="00624565">
        <w:rPr>
          <w:noProof/>
        </w:rPr>
        <w:t>nim</w:t>
      </w:r>
      <w:r w:rsidRPr="00624565">
        <w:rPr>
          <w:noProof/>
        </w:rPr>
        <w:t xml:space="preserve"> dwóch problemach cząstkowych. </w:t>
      </w:r>
    </w:p>
    <w:p w14:paraId="35530F93" w14:textId="597EDCF3" w:rsidR="006F075B" w:rsidRPr="00624565" w:rsidRDefault="006F075B" w:rsidP="006F075B">
      <w:pPr>
        <w:rPr>
          <w:i/>
          <w:iCs/>
          <w:noProof/>
        </w:rPr>
      </w:pPr>
      <w:r w:rsidRPr="00624565">
        <w:rPr>
          <w:i/>
          <w:noProof/>
        </w:rPr>
        <w:t xml:space="preserve">Problem </w:t>
      </w:r>
      <w:r w:rsidRPr="003F3D2B">
        <w:rPr>
          <w:i/>
          <w:noProof/>
        </w:rPr>
        <w:t>nr</w:t>
      </w:r>
      <w:r w:rsidR="003F3D2B" w:rsidRPr="003F3D2B">
        <w:rPr>
          <w:i/>
          <w:noProof/>
        </w:rPr>
        <w:t> </w:t>
      </w:r>
      <w:r w:rsidRPr="003F3D2B">
        <w:rPr>
          <w:i/>
          <w:noProof/>
        </w:rPr>
        <w:t>2</w:t>
      </w:r>
      <w:r w:rsidRPr="00624565">
        <w:rPr>
          <w:i/>
          <w:noProof/>
        </w:rPr>
        <w:t>: konsumenci mają do czynienia</w:t>
      </w:r>
      <w:r w:rsidR="003F3D2B" w:rsidRPr="00624565">
        <w:rPr>
          <w:i/>
          <w:noProof/>
        </w:rPr>
        <w:t xml:space="preserve"> z</w:t>
      </w:r>
      <w:r w:rsidR="003F3D2B">
        <w:rPr>
          <w:i/>
          <w:noProof/>
        </w:rPr>
        <w:t> </w:t>
      </w:r>
      <w:r w:rsidR="003F3D2B" w:rsidRPr="00624565">
        <w:rPr>
          <w:i/>
          <w:noProof/>
        </w:rPr>
        <w:t>nie</w:t>
      </w:r>
      <w:r w:rsidRPr="00624565">
        <w:rPr>
          <w:i/>
          <w:noProof/>
        </w:rPr>
        <w:t xml:space="preserve">uczciwymi praktykami handlowymi związanymi ze zrównoważonym charakterem produktów. </w:t>
      </w:r>
    </w:p>
    <w:p w14:paraId="4E89566A" w14:textId="5EF85B47" w:rsidR="006F075B" w:rsidRPr="00624565" w:rsidRDefault="006F075B" w:rsidP="006F075B">
      <w:pPr>
        <w:rPr>
          <w:i/>
          <w:iCs/>
          <w:noProof/>
        </w:rPr>
      </w:pPr>
      <w:r w:rsidRPr="00624565">
        <w:rPr>
          <w:i/>
          <w:noProof/>
        </w:rPr>
        <w:t>Problem szczegółowy 2.2: konsumenci spotykają się</w:t>
      </w:r>
      <w:r w:rsidR="003F3D2B" w:rsidRPr="00624565">
        <w:rPr>
          <w:i/>
          <w:noProof/>
        </w:rPr>
        <w:t xml:space="preserve"> z</w:t>
      </w:r>
      <w:r w:rsidR="003F3D2B">
        <w:rPr>
          <w:i/>
          <w:noProof/>
        </w:rPr>
        <w:t> </w:t>
      </w:r>
      <w:r w:rsidR="003F3D2B" w:rsidRPr="00624565">
        <w:rPr>
          <w:i/>
          <w:noProof/>
        </w:rPr>
        <w:t>nie</w:t>
      </w:r>
      <w:r w:rsidRPr="00624565">
        <w:rPr>
          <w:i/>
          <w:noProof/>
        </w:rPr>
        <w:t>jasnymi lub słabo uzasadnionymi oświadczeniami środowiskowymi firm („pseudoekologiczny marketing”);</w:t>
      </w:r>
    </w:p>
    <w:p w14:paraId="05C4FC73" w14:textId="4636FC7A" w:rsidR="006F075B" w:rsidRPr="00624565" w:rsidRDefault="006F075B" w:rsidP="006F075B">
      <w:pPr>
        <w:rPr>
          <w:noProof/>
        </w:rPr>
      </w:pPr>
      <w:r w:rsidRPr="00624565">
        <w:rPr>
          <w:i/>
          <w:noProof/>
        </w:rPr>
        <w:t>Problem szczegółowy 2.3: konsumenci mają do czynienia</w:t>
      </w:r>
      <w:r w:rsidR="003F3D2B" w:rsidRPr="00624565">
        <w:rPr>
          <w:i/>
          <w:noProof/>
        </w:rPr>
        <w:t xml:space="preserve"> z</w:t>
      </w:r>
      <w:r w:rsidR="003F3D2B">
        <w:rPr>
          <w:i/>
          <w:noProof/>
        </w:rPr>
        <w:t> </w:t>
      </w:r>
      <w:r w:rsidR="003F3D2B" w:rsidRPr="00624565">
        <w:rPr>
          <w:i/>
          <w:noProof/>
        </w:rPr>
        <w:t>ozn</w:t>
      </w:r>
      <w:r w:rsidRPr="00624565">
        <w:rPr>
          <w:i/>
          <w:noProof/>
        </w:rPr>
        <w:t>akowaniami dotyczącymi zrównoważonego charakteru, które nie zawsze są przejrzyste</w:t>
      </w:r>
      <w:r w:rsidR="003F3D2B" w:rsidRPr="00624565">
        <w:rPr>
          <w:i/>
          <w:noProof/>
        </w:rPr>
        <w:t xml:space="preserve"> i</w:t>
      </w:r>
      <w:r w:rsidR="003F3D2B">
        <w:rPr>
          <w:i/>
          <w:noProof/>
        </w:rPr>
        <w:t> </w:t>
      </w:r>
      <w:r w:rsidR="003F3D2B" w:rsidRPr="00624565">
        <w:rPr>
          <w:i/>
          <w:noProof/>
        </w:rPr>
        <w:t>wia</w:t>
      </w:r>
      <w:r w:rsidRPr="00624565">
        <w:rPr>
          <w:i/>
          <w:noProof/>
        </w:rPr>
        <w:t>rygodne</w:t>
      </w:r>
      <w:r w:rsidRPr="00624565">
        <w:rPr>
          <w:rStyle w:val="FootnoteReference"/>
          <w:i/>
          <w:iCs/>
          <w:noProof/>
        </w:rPr>
        <w:footnoteReference w:id="49"/>
      </w:r>
      <w:r w:rsidRPr="00624565">
        <w:rPr>
          <w:i/>
          <w:noProof/>
        </w:rPr>
        <w:t xml:space="preserve">. </w:t>
      </w:r>
    </w:p>
    <w:p w14:paraId="71157661" w14:textId="69DE3F10" w:rsidR="006F075B" w:rsidRPr="00624565" w:rsidRDefault="006F075B" w:rsidP="006F075B">
      <w:pPr>
        <w:rPr>
          <w:rFonts w:eastAsia="Times New Roman"/>
          <w:noProof/>
        </w:rPr>
      </w:pPr>
      <w:r w:rsidRPr="00624565">
        <w:rPr>
          <w:noProof/>
        </w:rPr>
        <w:t>W odniesieniu do każdego</w:t>
      </w:r>
      <w:r w:rsidR="003F3D2B" w:rsidRPr="00624565">
        <w:rPr>
          <w:noProof/>
        </w:rPr>
        <w:t xml:space="preserve"> z</w:t>
      </w:r>
      <w:r w:rsidR="003F3D2B">
        <w:rPr>
          <w:noProof/>
        </w:rPr>
        <w:t> </w:t>
      </w:r>
      <w:r w:rsidR="003F3D2B" w:rsidRPr="00624565">
        <w:rPr>
          <w:noProof/>
        </w:rPr>
        <w:t>tyc</w:t>
      </w:r>
      <w:r w:rsidRPr="00624565">
        <w:rPr>
          <w:noProof/>
        </w:rPr>
        <w:t>h problemów cząstkowych rozważono szereg wariantów strategicznych. Dyrektywa</w:t>
      </w:r>
      <w:r w:rsidR="003F3D2B" w:rsidRPr="00624565">
        <w:rPr>
          <w:noProof/>
        </w:rPr>
        <w:t xml:space="preserve"> o</w:t>
      </w:r>
      <w:r w:rsidR="003F3D2B">
        <w:rPr>
          <w:noProof/>
        </w:rPr>
        <w:t> </w:t>
      </w:r>
      <w:r w:rsidR="003F3D2B" w:rsidRPr="00624565">
        <w:rPr>
          <w:noProof/>
        </w:rPr>
        <w:t>nie</w:t>
      </w:r>
      <w:r w:rsidRPr="00624565">
        <w:rPr>
          <w:noProof/>
        </w:rPr>
        <w:t>uczciwych praktykach handlowych oraz jej zmiana mają funkcjonować jako</w:t>
      </w:r>
      <w:r w:rsidRPr="00624565">
        <w:rPr>
          <w:i/>
          <w:noProof/>
        </w:rPr>
        <w:t>lex generalis</w:t>
      </w:r>
      <w:r w:rsidR="003F3D2B" w:rsidRPr="00624565">
        <w:rPr>
          <w:noProof/>
        </w:rPr>
        <w:t>. W</w:t>
      </w:r>
      <w:r w:rsidR="003F3D2B">
        <w:rPr>
          <w:noProof/>
        </w:rPr>
        <w:t> </w:t>
      </w:r>
      <w:r w:rsidR="003F3D2B" w:rsidRPr="00624565">
        <w:rPr>
          <w:noProof/>
        </w:rPr>
        <w:t>zwi</w:t>
      </w:r>
      <w:r w:rsidRPr="00624565">
        <w:rPr>
          <w:noProof/>
        </w:rPr>
        <w:t>ązku</w:t>
      </w:r>
      <w:r w:rsidR="003F3D2B" w:rsidRPr="00624565">
        <w:rPr>
          <w:noProof/>
        </w:rPr>
        <w:t xml:space="preserve"> z</w:t>
      </w:r>
      <w:r w:rsidR="003F3D2B">
        <w:rPr>
          <w:noProof/>
        </w:rPr>
        <w:t> </w:t>
      </w:r>
      <w:r w:rsidR="003F3D2B" w:rsidRPr="00624565">
        <w:rPr>
          <w:noProof/>
        </w:rPr>
        <w:t>tym</w:t>
      </w:r>
      <w:r w:rsidRPr="00624565">
        <w:rPr>
          <w:noProof/>
        </w:rPr>
        <w:t xml:space="preserve"> postanowiono, że niektóre elementy preferowanych wariantów strategicznych, które wybrano</w:t>
      </w:r>
      <w:r w:rsidR="003F3D2B" w:rsidRPr="00624565">
        <w:rPr>
          <w:noProof/>
        </w:rPr>
        <w:t xml:space="preserve"> w</w:t>
      </w:r>
      <w:r w:rsidR="003F3D2B">
        <w:rPr>
          <w:noProof/>
        </w:rPr>
        <w:t> </w:t>
      </w:r>
      <w:r w:rsidR="003F3D2B" w:rsidRPr="00624565">
        <w:rPr>
          <w:noProof/>
        </w:rPr>
        <w:t>oce</w:t>
      </w:r>
      <w:r w:rsidRPr="00624565">
        <w:rPr>
          <w:noProof/>
        </w:rPr>
        <w:t>nie skutków</w:t>
      </w:r>
      <w:r w:rsidR="003F3D2B" w:rsidRPr="00624565">
        <w:rPr>
          <w:noProof/>
        </w:rPr>
        <w:t xml:space="preserve"> w</w:t>
      </w:r>
      <w:r w:rsidR="003F3D2B">
        <w:rPr>
          <w:noProof/>
        </w:rPr>
        <w:t> </w:t>
      </w:r>
      <w:r w:rsidR="003F3D2B" w:rsidRPr="00624565">
        <w:rPr>
          <w:noProof/>
        </w:rPr>
        <w:t>cel</w:t>
      </w:r>
      <w:r w:rsidRPr="00624565">
        <w:rPr>
          <w:noProof/>
        </w:rPr>
        <w:t>u rozwiązania problemu szczegółowego 2.2</w:t>
      </w:r>
      <w:r w:rsidR="003F3D2B" w:rsidRPr="00624565">
        <w:rPr>
          <w:noProof/>
        </w:rPr>
        <w:t xml:space="preserve"> i</w:t>
      </w:r>
      <w:r w:rsidR="003F3D2B">
        <w:rPr>
          <w:noProof/>
        </w:rPr>
        <w:t> </w:t>
      </w:r>
      <w:r w:rsidR="003F3D2B" w:rsidRPr="00624565">
        <w:rPr>
          <w:noProof/>
        </w:rPr>
        <w:t>pro</w:t>
      </w:r>
      <w:r w:rsidRPr="00624565">
        <w:rPr>
          <w:noProof/>
        </w:rPr>
        <w:t>blemu szczegółowego 2.3 nie zostaną wdrożone</w:t>
      </w:r>
      <w:r w:rsidR="003F3D2B" w:rsidRPr="00624565">
        <w:rPr>
          <w:noProof/>
        </w:rPr>
        <w:t xml:space="preserve"> w</w:t>
      </w:r>
      <w:r w:rsidR="003F3D2B">
        <w:rPr>
          <w:noProof/>
        </w:rPr>
        <w:t> </w:t>
      </w:r>
      <w:r w:rsidR="003F3D2B" w:rsidRPr="00624565">
        <w:rPr>
          <w:noProof/>
        </w:rPr>
        <w:t>ram</w:t>
      </w:r>
      <w:r w:rsidRPr="00624565">
        <w:rPr>
          <w:noProof/>
        </w:rPr>
        <w:t>ach inicjatywy dotyczącej wzmocnienia pozycji konsumentów</w:t>
      </w:r>
      <w:r w:rsidR="003F3D2B" w:rsidRPr="00624565">
        <w:rPr>
          <w:noProof/>
        </w:rPr>
        <w:t xml:space="preserve"> w</w:t>
      </w:r>
      <w:r w:rsidR="003F3D2B">
        <w:rPr>
          <w:noProof/>
        </w:rPr>
        <w:t> </w:t>
      </w:r>
      <w:r w:rsidR="003F3D2B" w:rsidRPr="00624565">
        <w:rPr>
          <w:noProof/>
        </w:rPr>
        <w:t>pro</w:t>
      </w:r>
      <w:r w:rsidRPr="00624565">
        <w:rPr>
          <w:noProof/>
        </w:rPr>
        <w:t>cesie transformacji ekologicznej, lecz</w:t>
      </w:r>
      <w:r w:rsidR="003F3D2B" w:rsidRPr="00624565">
        <w:rPr>
          <w:noProof/>
        </w:rPr>
        <w:t xml:space="preserve"> w</w:t>
      </w:r>
      <w:r w:rsidR="003F3D2B">
        <w:rPr>
          <w:noProof/>
        </w:rPr>
        <w:t> </w:t>
      </w:r>
      <w:r w:rsidR="003F3D2B" w:rsidRPr="00624565">
        <w:rPr>
          <w:noProof/>
        </w:rPr>
        <w:t>ram</w:t>
      </w:r>
      <w:r w:rsidRPr="00624565">
        <w:rPr>
          <w:noProof/>
        </w:rPr>
        <w:t>ach specjalnego</w:t>
      </w:r>
      <w:r w:rsidR="003F3D2B" w:rsidRPr="00624565">
        <w:rPr>
          <w:noProof/>
        </w:rPr>
        <w:t xml:space="preserve"> i</w:t>
      </w:r>
      <w:r w:rsidR="003F3D2B">
        <w:rPr>
          <w:noProof/>
        </w:rPr>
        <w:t> </w:t>
      </w:r>
      <w:r w:rsidR="003F3D2B" w:rsidRPr="00624565">
        <w:rPr>
          <w:noProof/>
        </w:rPr>
        <w:t>uzu</w:t>
      </w:r>
      <w:r w:rsidRPr="00624565">
        <w:rPr>
          <w:noProof/>
        </w:rPr>
        <w:t xml:space="preserve">pełniającego </w:t>
      </w:r>
      <w:r w:rsidRPr="00624565">
        <w:rPr>
          <w:i/>
          <w:noProof/>
        </w:rPr>
        <w:t>lex specialis</w:t>
      </w:r>
      <w:r w:rsidRPr="00624565">
        <w:rPr>
          <w:noProof/>
        </w:rPr>
        <w:t xml:space="preserve"> wniosku dotyczącego oświadczeń środowiskowych.</w:t>
      </w:r>
    </w:p>
    <w:p w14:paraId="5F6B66B1" w14:textId="579588EF" w:rsidR="006F075B" w:rsidRPr="00624565" w:rsidRDefault="006F075B" w:rsidP="006F075B">
      <w:pPr>
        <w:rPr>
          <w:noProof/>
        </w:rPr>
      </w:pPr>
      <w:r w:rsidRPr="00624565">
        <w:rPr>
          <w:noProof/>
          <w:color w:val="000000"/>
          <w:shd w:val="clear" w:color="auto" w:fill="FFFFFF"/>
        </w:rPr>
        <w:t>Na podstawie analizy uwzględniającej wiele kryteriów, uzupełnionej analizą kosztów</w:t>
      </w:r>
      <w:r w:rsidR="003F3D2B" w:rsidRPr="00624565">
        <w:rPr>
          <w:noProof/>
          <w:color w:val="000000"/>
          <w:shd w:val="clear" w:color="auto" w:fill="FFFFFF"/>
        </w:rPr>
        <w:t xml:space="preserve"> i</w:t>
      </w:r>
      <w:r w:rsidR="003F3D2B">
        <w:rPr>
          <w:noProof/>
          <w:color w:val="000000"/>
          <w:shd w:val="clear" w:color="auto" w:fill="FFFFFF"/>
        </w:rPr>
        <w:t> </w:t>
      </w:r>
      <w:r w:rsidR="003F3D2B" w:rsidRPr="00624565">
        <w:rPr>
          <w:noProof/>
          <w:color w:val="000000"/>
          <w:shd w:val="clear" w:color="auto" w:fill="FFFFFF"/>
        </w:rPr>
        <w:t>kor</w:t>
      </w:r>
      <w:r w:rsidRPr="00624565">
        <w:rPr>
          <w:noProof/>
          <w:color w:val="000000"/>
          <w:shd w:val="clear" w:color="auto" w:fill="FFFFFF"/>
        </w:rPr>
        <w:t>zyści oraz jakościową oceną proporcjonalności różnych rozważanych wariantów, zaproponowano połączenie dwóch preferowanych wariantów strategicznych</w:t>
      </w:r>
      <w:r w:rsidRPr="00624565">
        <w:rPr>
          <w:rStyle w:val="FootnoteReference"/>
          <w:noProof/>
        </w:rPr>
        <w:footnoteReference w:id="50"/>
      </w:r>
      <w:r w:rsidR="003F3D2B" w:rsidRPr="00624565">
        <w:rPr>
          <w:noProof/>
          <w:color w:val="000000"/>
          <w:shd w:val="clear" w:color="auto" w:fill="FFFFFF"/>
        </w:rPr>
        <w:t xml:space="preserve"> w</w:t>
      </w:r>
      <w:r w:rsidR="003F3D2B">
        <w:rPr>
          <w:noProof/>
          <w:color w:val="000000"/>
          <w:shd w:val="clear" w:color="auto" w:fill="FFFFFF"/>
        </w:rPr>
        <w:t> </w:t>
      </w:r>
      <w:r w:rsidR="003F3D2B" w:rsidRPr="00624565">
        <w:rPr>
          <w:noProof/>
          <w:color w:val="000000"/>
          <w:shd w:val="clear" w:color="auto" w:fill="FFFFFF"/>
        </w:rPr>
        <w:t>cel</w:t>
      </w:r>
      <w:r w:rsidRPr="00624565">
        <w:rPr>
          <w:noProof/>
          <w:color w:val="000000"/>
          <w:shd w:val="clear" w:color="auto" w:fill="FFFFFF"/>
        </w:rPr>
        <w:t>u rozwiązania tych problemów:</w:t>
      </w:r>
    </w:p>
    <w:p w14:paraId="364F6D17" w14:textId="77777777" w:rsidR="006F075B" w:rsidRPr="00624565" w:rsidRDefault="006F075B" w:rsidP="006F075B">
      <w:pPr>
        <w:shd w:val="clear" w:color="auto" w:fill="FFFFFF"/>
        <w:spacing w:after="0"/>
        <w:textAlignment w:val="baseline"/>
        <w:rPr>
          <w:rFonts w:eastAsia="Times New Roman"/>
          <w:noProof/>
          <w:color w:val="000000"/>
          <w:szCs w:val="24"/>
          <w:bdr w:val="none" w:sz="0" w:space="0" w:color="auto" w:frame="1"/>
        </w:rPr>
      </w:pPr>
      <w:r w:rsidRPr="00624565">
        <w:rPr>
          <w:b/>
          <w:noProof/>
          <w:color w:val="000000"/>
          <w:bdr w:val="none" w:sz="0" w:space="0" w:color="auto" w:frame="1"/>
        </w:rPr>
        <w:t>(1)</w:t>
      </w:r>
      <w:r w:rsidRPr="00624565">
        <w:rPr>
          <w:noProof/>
          <w:color w:val="000000"/>
          <w:bdr w:val="none" w:sz="0" w:space="0" w:color="auto" w:frame="1"/>
        </w:rPr>
        <w:t xml:space="preserve"> </w:t>
      </w:r>
      <w:r w:rsidRPr="00624565">
        <w:rPr>
          <w:b/>
          <w:noProof/>
          <w:color w:val="000000"/>
          <w:bdr w:val="none" w:sz="0" w:space="0" w:color="auto" w:frame="1"/>
        </w:rPr>
        <w:t>Zakaz stosowania oświadczeń środowiskowych, które nie spełniają minimalnego zestawu kryteriów</w:t>
      </w:r>
      <w:r w:rsidRPr="00624565">
        <w:rPr>
          <w:rStyle w:val="FootnoteReference"/>
          <w:b/>
          <w:noProof/>
          <w:color w:val="000000"/>
        </w:rPr>
        <w:footnoteReference w:id="51"/>
      </w:r>
      <w:r w:rsidRPr="00624565">
        <w:rPr>
          <w:noProof/>
          <w:color w:val="000000"/>
          <w:bdr w:val="none" w:sz="0" w:space="0" w:color="auto" w:frame="1"/>
        </w:rPr>
        <w:t xml:space="preserve"> (w celu rozwiązania problemu szczegółowego 2.2)</w:t>
      </w:r>
    </w:p>
    <w:p w14:paraId="2018EE90" w14:textId="77777777" w:rsidR="006F075B" w:rsidRPr="00624565" w:rsidRDefault="006F075B" w:rsidP="006F075B">
      <w:pPr>
        <w:shd w:val="clear" w:color="auto" w:fill="FFFFFF"/>
        <w:spacing w:after="0"/>
        <w:textAlignment w:val="baseline"/>
        <w:rPr>
          <w:rFonts w:eastAsia="Times New Roman"/>
          <w:noProof/>
          <w:color w:val="000000"/>
          <w:szCs w:val="24"/>
          <w:bdr w:val="none" w:sz="0" w:space="0" w:color="auto" w:frame="1"/>
        </w:rPr>
      </w:pPr>
      <w:r w:rsidRPr="00624565">
        <w:rPr>
          <w:noProof/>
          <w:color w:val="000000"/>
          <w:bdr w:val="none" w:sz="0" w:space="0" w:color="auto" w:frame="1"/>
        </w:rPr>
        <w:t>Preferowany wariant zapewniłby konsumentom ochronę przed pseudoekologicznym marketingiem, ponieważ podmioty formułujące takie oświadczenia będą musiały spełniać określone standardy. Ułatwiłoby to również egzekwowanie przepisów przez organy ochrony konsumentów.</w:t>
      </w:r>
    </w:p>
    <w:p w14:paraId="7784D0AB" w14:textId="599ECBC9" w:rsidR="006F075B" w:rsidRPr="00624565" w:rsidRDefault="006F075B" w:rsidP="006F075B">
      <w:pPr>
        <w:shd w:val="clear" w:color="auto" w:fill="FFFFFF"/>
        <w:spacing w:after="0"/>
        <w:textAlignment w:val="baseline"/>
        <w:rPr>
          <w:rFonts w:eastAsia="Times New Roman"/>
          <w:noProof/>
          <w:color w:val="000000"/>
          <w:szCs w:val="24"/>
        </w:rPr>
      </w:pPr>
      <w:r w:rsidRPr="00624565">
        <w:rPr>
          <w:b/>
          <w:noProof/>
          <w:color w:val="000000"/>
          <w:bdr w:val="none" w:sz="0" w:space="0" w:color="auto" w:frame="1"/>
        </w:rPr>
        <w:t>(2)</w:t>
      </w:r>
      <w:r w:rsidRPr="00624565">
        <w:rPr>
          <w:noProof/>
          <w:color w:val="000000"/>
          <w:bdr w:val="none" w:sz="0" w:space="0" w:color="auto" w:frame="1"/>
        </w:rPr>
        <w:t xml:space="preserve"> </w:t>
      </w:r>
      <w:r w:rsidRPr="00624565">
        <w:rPr>
          <w:b/>
          <w:noProof/>
        </w:rPr>
        <w:t>Zakaz umieszczania oznakowania dotyczącego zrównoważonego charakteru, które nie spełnia minimalnych wymogów dotyczących przejrzystości</w:t>
      </w:r>
      <w:r w:rsidR="003F3D2B" w:rsidRPr="00624565">
        <w:rPr>
          <w:b/>
          <w:noProof/>
        </w:rPr>
        <w:t xml:space="preserve"> i</w:t>
      </w:r>
      <w:r w:rsidR="003F3D2B">
        <w:rPr>
          <w:b/>
          <w:noProof/>
        </w:rPr>
        <w:t> </w:t>
      </w:r>
      <w:r w:rsidR="003F3D2B" w:rsidRPr="00624565">
        <w:rPr>
          <w:b/>
          <w:noProof/>
        </w:rPr>
        <w:t>wia</w:t>
      </w:r>
      <w:r w:rsidRPr="00624565">
        <w:rPr>
          <w:b/>
          <w:noProof/>
        </w:rPr>
        <w:t xml:space="preserve">rygodności </w:t>
      </w:r>
      <w:r w:rsidRPr="00624565">
        <w:rPr>
          <w:rStyle w:val="FootnoteReference"/>
          <w:b/>
          <w:noProof/>
        </w:rPr>
        <w:footnoteReference w:id="52"/>
      </w:r>
      <w:r w:rsidRPr="00624565">
        <w:rPr>
          <w:noProof/>
        </w:rPr>
        <w:t xml:space="preserve"> </w:t>
      </w:r>
      <w:r w:rsidRPr="00624565">
        <w:rPr>
          <w:noProof/>
          <w:color w:val="000000"/>
          <w:bdr w:val="none" w:sz="0" w:space="0" w:color="auto" w:frame="1"/>
        </w:rPr>
        <w:t>(w celu rozwiązania problemu szczegółowego 2.3)</w:t>
      </w:r>
    </w:p>
    <w:p w14:paraId="3D461F77" w14:textId="3DDB4BFD" w:rsidR="006F075B" w:rsidRPr="00624565" w:rsidRDefault="006F075B" w:rsidP="006F075B">
      <w:pPr>
        <w:shd w:val="clear" w:color="auto" w:fill="FFFFFF"/>
        <w:spacing w:after="0"/>
        <w:textAlignment w:val="baseline"/>
        <w:rPr>
          <w:rFonts w:eastAsia="Times New Roman"/>
          <w:noProof/>
          <w:color w:val="000000"/>
          <w:szCs w:val="24"/>
          <w:bdr w:val="none" w:sz="0" w:space="0" w:color="auto" w:frame="1"/>
        </w:rPr>
      </w:pPr>
      <w:r w:rsidRPr="00624565">
        <w:rPr>
          <w:noProof/>
          <w:color w:val="000000"/>
          <w:bdr w:val="none" w:sz="0" w:space="0" w:color="auto" w:frame="1"/>
        </w:rPr>
        <w:t>Preferowany wariant zapewniłby ochronę konsumentów przed wprowadzaniem ich</w:t>
      </w:r>
      <w:r w:rsidR="003F3D2B" w:rsidRPr="00624565">
        <w:rPr>
          <w:noProof/>
          <w:color w:val="000000"/>
          <w:bdr w:val="none" w:sz="0" w:space="0" w:color="auto" w:frame="1"/>
        </w:rPr>
        <w:t xml:space="preserve"> w</w:t>
      </w:r>
      <w:r w:rsidR="003F3D2B">
        <w:rPr>
          <w:noProof/>
          <w:color w:val="000000"/>
          <w:bdr w:val="none" w:sz="0" w:space="0" w:color="auto" w:frame="1"/>
        </w:rPr>
        <w:t> </w:t>
      </w:r>
      <w:r w:rsidR="003F3D2B" w:rsidRPr="00624565">
        <w:rPr>
          <w:noProof/>
          <w:color w:val="000000"/>
          <w:bdr w:val="none" w:sz="0" w:space="0" w:color="auto" w:frame="1"/>
        </w:rPr>
        <w:t>błą</w:t>
      </w:r>
      <w:r w:rsidRPr="00624565">
        <w:rPr>
          <w:noProof/>
          <w:color w:val="000000"/>
          <w:bdr w:val="none" w:sz="0" w:space="0" w:color="auto" w:frame="1"/>
        </w:rPr>
        <w:t>d za pomocą takich oznakowań</w:t>
      </w:r>
      <w:r w:rsidR="003F3D2B" w:rsidRPr="00624565">
        <w:rPr>
          <w:noProof/>
          <w:color w:val="000000"/>
          <w:bdr w:val="none" w:sz="0" w:space="0" w:color="auto" w:frame="1"/>
        </w:rPr>
        <w:t xml:space="preserve"> i</w:t>
      </w:r>
      <w:r w:rsidR="003F3D2B">
        <w:rPr>
          <w:noProof/>
          <w:color w:val="000000"/>
          <w:bdr w:val="none" w:sz="0" w:space="0" w:color="auto" w:frame="1"/>
        </w:rPr>
        <w:t> </w:t>
      </w:r>
      <w:r w:rsidR="003F3D2B" w:rsidRPr="00624565">
        <w:rPr>
          <w:noProof/>
          <w:color w:val="000000"/>
          <w:bdr w:val="none" w:sz="0" w:space="0" w:color="auto" w:frame="1"/>
        </w:rPr>
        <w:t>nar</w:t>
      </w:r>
      <w:r w:rsidRPr="00624565">
        <w:rPr>
          <w:noProof/>
          <w:color w:val="000000"/>
          <w:bdr w:val="none" w:sz="0" w:space="0" w:color="auto" w:frame="1"/>
        </w:rPr>
        <w:t>zędzi.</w:t>
      </w:r>
    </w:p>
    <w:p w14:paraId="4631EF13" w14:textId="77930E38" w:rsidR="006F075B" w:rsidRPr="00624565" w:rsidRDefault="006F075B" w:rsidP="006F075B">
      <w:pPr>
        <w:tabs>
          <w:tab w:val="num" w:pos="567"/>
        </w:tabs>
        <w:rPr>
          <w:noProof/>
          <w:szCs w:val="24"/>
        </w:rPr>
      </w:pPr>
      <w:r w:rsidRPr="00624565">
        <w:rPr>
          <w:noProof/>
        </w:rPr>
        <w:t>W trakcie przygotowywania niniejszej inicjatywy określono ponadto następujące dodatkowe środki mające na celu zwiększenie skuteczności</w:t>
      </w:r>
      <w:r w:rsidR="003F3D2B" w:rsidRPr="00624565">
        <w:rPr>
          <w:noProof/>
        </w:rPr>
        <w:t xml:space="preserve"> i</w:t>
      </w:r>
      <w:r w:rsidR="003F3D2B">
        <w:rPr>
          <w:noProof/>
        </w:rPr>
        <w:t> </w:t>
      </w:r>
      <w:r w:rsidR="003F3D2B" w:rsidRPr="00624565">
        <w:rPr>
          <w:noProof/>
        </w:rPr>
        <w:t>efe</w:t>
      </w:r>
      <w:r w:rsidRPr="00624565">
        <w:rPr>
          <w:noProof/>
        </w:rPr>
        <w:t xml:space="preserve">ktywności przepisów UE dotyczących oświadczeń środowiskowych: </w:t>
      </w:r>
    </w:p>
    <w:p w14:paraId="04AD7363" w14:textId="097FFC87" w:rsidR="006F075B" w:rsidRPr="00624565" w:rsidRDefault="006F075B" w:rsidP="006E3743">
      <w:pPr>
        <w:pStyle w:val="Tiret0"/>
        <w:rPr>
          <w:noProof/>
        </w:rPr>
      </w:pPr>
      <w:r w:rsidRPr="00624565">
        <w:rPr>
          <w:b/>
          <w:noProof/>
        </w:rPr>
        <w:t>ustanowienie mechanizmu weryfikacji</w:t>
      </w:r>
      <w:r w:rsidR="003F3D2B" w:rsidRPr="00624565">
        <w:rPr>
          <w:b/>
          <w:noProof/>
        </w:rPr>
        <w:t xml:space="preserve"> </w:t>
      </w:r>
      <w:r w:rsidR="003F3D2B" w:rsidRPr="00624565">
        <w:rPr>
          <w:noProof/>
        </w:rPr>
        <w:t>w</w:t>
      </w:r>
      <w:r w:rsidR="003F3D2B">
        <w:rPr>
          <w:b/>
          <w:noProof/>
        </w:rPr>
        <w:t> </w:t>
      </w:r>
      <w:r w:rsidR="003F3D2B" w:rsidRPr="00624565">
        <w:rPr>
          <w:noProof/>
        </w:rPr>
        <w:t>cel</w:t>
      </w:r>
      <w:r w:rsidRPr="00624565">
        <w:rPr>
          <w:noProof/>
        </w:rPr>
        <w:t>u ułatwienia wdrożenia</w:t>
      </w:r>
      <w:r w:rsidR="003F3D2B" w:rsidRPr="00624565">
        <w:rPr>
          <w:noProof/>
        </w:rPr>
        <w:t xml:space="preserve"> i</w:t>
      </w:r>
      <w:r w:rsidR="003F3D2B">
        <w:rPr>
          <w:noProof/>
        </w:rPr>
        <w:t> </w:t>
      </w:r>
      <w:r w:rsidR="003F3D2B" w:rsidRPr="00624565">
        <w:rPr>
          <w:noProof/>
        </w:rPr>
        <w:t>egz</w:t>
      </w:r>
      <w:r w:rsidRPr="00624565">
        <w:rPr>
          <w:noProof/>
        </w:rPr>
        <w:t>ekwowania przestrzegania minimalnych kryteriów uzasadniania oświadczeń, stworzenia równych szans na rynku UE oraz zapewnienia większej pewności prawa</w:t>
      </w:r>
      <w:r w:rsidR="003F3D2B" w:rsidRPr="00624565">
        <w:rPr>
          <w:noProof/>
        </w:rPr>
        <w:t xml:space="preserve"> i</w:t>
      </w:r>
      <w:r w:rsidR="003F3D2B">
        <w:rPr>
          <w:noProof/>
        </w:rPr>
        <w:t> </w:t>
      </w:r>
      <w:r w:rsidR="003F3D2B" w:rsidRPr="00624565">
        <w:rPr>
          <w:noProof/>
        </w:rPr>
        <w:t>mni</w:t>
      </w:r>
      <w:r w:rsidRPr="00624565">
        <w:rPr>
          <w:noProof/>
        </w:rPr>
        <w:t xml:space="preserve">ejszych obciążeń dla przedsiębiorstw działających na jednolitym rynku; </w:t>
      </w:r>
    </w:p>
    <w:p w14:paraId="0D305B62" w14:textId="57F67168" w:rsidR="006F075B" w:rsidRPr="00624565" w:rsidRDefault="006F075B" w:rsidP="006E3743">
      <w:pPr>
        <w:pStyle w:val="Tiret0"/>
        <w:rPr>
          <w:noProof/>
          <w:szCs w:val="24"/>
        </w:rPr>
      </w:pPr>
      <w:r w:rsidRPr="00624565">
        <w:rPr>
          <w:b/>
          <w:noProof/>
        </w:rPr>
        <w:t>wykorzystanie zagregowanych wyników dotyczących wpływu na środowiskoograniczone</w:t>
      </w:r>
      <w:r w:rsidRPr="00624565">
        <w:rPr>
          <w:noProof/>
        </w:rPr>
        <w:t xml:space="preserve"> do oświadczeń środowiskowych,</w:t>
      </w:r>
      <w:r w:rsidR="003F3D2B" w:rsidRPr="00624565">
        <w:rPr>
          <w:noProof/>
        </w:rPr>
        <w:t xml:space="preserve"> w</w:t>
      </w:r>
      <w:r w:rsidR="003F3D2B">
        <w:rPr>
          <w:noProof/>
        </w:rPr>
        <w:t> </w:t>
      </w:r>
      <w:r w:rsidR="003F3D2B" w:rsidRPr="00624565">
        <w:rPr>
          <w:noProof/>
        </w:rPr>
        <w:t>tym</w:t>
      </w:r>
      <w:r w:rsidRPr="00624565">
        <w:rPr>
          <w:noProof/>
        </w:rPr>
        <w:t xml:space="preserve"> oznakowania, ustanowionych </w:t>
      </w:r>
      <w:r w:rsidRPr="00624565">
        <w:rPr>
          <w:b/>
          <w:noProof/>
        </w:rPr>
        <w:t>wyłącznie na szczeblu UE,</w:t>
      </w:r>
      <w:r w:rsidR="003F3D2B" w:rsidRPr="00624565">
        <w:rPr>
          <w:noProof/>
        </w:rPr>
        <w:t xml:space="preserve"> w</w:t>
      </w:r>
      <w:r w:rsidR="003F3D2B">
        <w:rPr>
          <w:noProof/>
        </w:rPr>
        <w:t> </w:t>
      </w:r>
      <w:r w:rsidR="003F3D2B" w:rsidRPr="00624565">
        <w:rPr>
          <w:noProof/>
        </w:rPr>
        <w:t>cel</w:t>
      </w:r>
      <w:r w:rsidRPr="00624565">
        <w:rPr>
          <w:noProof/>
        </w:rPr>
        <w:t xml:space="preserve">u zapewnienia </w:t>
      </w:r>
      <w:r w:rsidRPr="00624565">
        <w:rPr>
          <w:b/>
          <w:noProof/>
        </w:rPr>
        <w:t>wdrożenia</w:t>
      </w:r>
      <w:r w:rsidRPr="00624565">
        <w:rPr>
          <w:noProof/>
        </w:rPr>
        <w:t xml:space="preserve"> wniosków wyciągniętych</w:t>
      </w:r>
      <w:r w:rsidR="003F3D2B" w:rsidRPr="00624565">
        <w:rPr>
          <w:noProof/>
        </w:rPr>
        <w:t xml:space="preserve"> z</w:t>
      </w:r>
      <w:r w:rsidR="003F3D2B">
        <w:rPr>
          <w:noProof/>
        </w:rPr>
        <w:t> </w:t>
      </w:r>
      <w:r w:rsidR="003F3D2B" w:rsidRPr="00624565">
        <w:rPr>
          <w:noProof/>
        </w:rPr>
        <w:t>pra</w:t>
      </w:r>
      <w:r w:rsidRPr="00624565">
        <w:rPr>
          <w:noProof/>
        </w:rPr>
        <w:t xml:space="preserve">c nad wspólną znormalizowaną metodą na szczeblu UE (zob. ramka poniżej); </w:t>
      </w:r>
    </w:p>
    <w:p w14:paraId="132E7DD8" w14:textId="2FB190C5" w:rsidR="006F075B" w:rsidRPr="00624565" w:rsidRDefault="006F075B" w:rsidP="006E3743">
      <w:pPr>
        <w:pStyle w:val="Tiret0"/>
        <w:rPr>
          <w:noProof/>
          <w:szCs w:val="24"/>
        </w:rPr>
      </w:pPr>
      <w:r w:rsidRPr="00624565">
        <w:rPr>
          <w:noProof/>
        </w:rPr>
        <w:t xml:space="preserve">możliwość </w:t>
      </w:r>
      <w:r w:rsidRPr="00624565">
        <w:rPr>
          <w:b/>
          <w:noProof/>
        </w:rPr>
        <w:t>wyłączenia mikroprzedsiębiorstw</w:t>
      </w:r>
      <w:r w:rsidR="003F3D2B" w:rsidRPr="00624565">
        <w:rPr>
          <w:noProof/>
        </w:rPr>
        <w:t xml:space="preserve"> z</w:t>
      </w:r>
      <w:r w:rsidR="003F3D2B">
        <w:rPr>
          <w:noProof/>
        </w:rPr>
        <w:t> </w:t>
      </w:r>
      <w:r w:rsidR="003F3D2B" w:rsidRPr="00624565">
        <w:rPr>
          <w:noProof/>
        </w:rPr>
        <w:t>wym</w:t>
      </w:r>
      <w:r w:rsidRPr="00624565">
        <w:rPr>
          <w:noProof/>
        </w:rPr>
        <w:t>ogów dotyczących uzasadniania</w:t>
      </w:r>
      <w:r w:rsidR="003F3D2B" w:rsidRPr="00624565">
        <w:rPr>
          <w:noProof/>
        </w:rPr>
        <w:t xml:space="preserve"> </w:t>
      </w:r>
      <w:r w:rsidR="003F3D2B" w:rsidRPr="00624565">
        <w:rPr>
          <w:b/>
          <w:noProof/>
        </w:rPr>
        <w:t>i</w:t>
      </w:r>
      <w:r w:rsidR="003F3D2B">
        <w:rPr>
          <w:noProof/>
        </w:rPr>
        <w:t> </w:t>
      </w:r>
      <w:r w:rsidR="003F3D2B" w:rsidRPr="00624565">
        <w:rPr>
          <w:noProof/>
        </w:rPr>
        <w:t>pow</w:t>
      </w:r>
      <w:r w:rsidRPr="00624565">
        <w:rPr>
          <w:noProof/>
        </w:rPr>
        <w:t>iązanych zasad informowania</w:t>
      </w:r>
      <w:r w:rsidR="003F3D2B" w:rsidRPr="00624565">
        <w:rPr>
          <w:noProof/>
        </w:rPr>
        <w:t xml:space="preserve"> w</w:t>
      </w:r>
      <w:r w:rsidR="003F3D2B">
        <w:rPr>
          <w:noProof/>
        </w:rPr>
        <w:t> </w:t>
      </w:r>
      <w:r w:rsidR="003F3D2B" w:rsidRPr="00624565">
        <w:rPr>
          <w:noProof/>
        </w:rPr>
        <w:t>cel</w:t>
      </w:r>
      <w:r w:rsidRPr="00624565">
        <w:rPr>
          <w:noProof/>
        </w:rPr>
        <w:t>u uniknięcia nieproporcjonalnego wpływu na najmniejszych przedsiębiorców;</w:t>
      </w:r>
    </w:p>
    <w:p w14:paraId="799E86A1" w14:textId="5EDBA6BB" w:rsidR="006F075B" w:rsidRPr="00624565" w:rsidRDefault="006F075B" w:rsidP="006E3743">
      <w:pPr>
        <w:pStyle w:val="Tiret0"/>
        <w:rPr>
          <w:noProof/>
          <w:szCs w:val="24"/>
        </w:rPr>
      </w:pPr>
      <w:r w:rsidRPr="00624565">
        <w:rPr>
          <w:b/>
          <w:noProof/>
        </w:rPr>
        <w:t>skuteczne</w:t>
      </w:r>
      <w:r w:rsidRPr="00624565">
        <w:rPr>
          <w:noProof/>
        </w:rPr>
        <w:t xml:space="preserve"> </w:t>
      </w:r>
      <w:r w:rsidRPr="00624565">
        <w:rPr>
          <w:b/>
          <w:noProof/>
        </w:rPr>
        <w:t>ograniczenie mnożeni</w:t>
      </w:r>
      <w:r w:rsidRPr="003F3D2B">
        <w:rPr>
          <w:b/>
          <w:noProof/>
        </w:rPr>
        <w:t>a</w:t>
      </w:r>
      <w:r w:rsidR="003F3D2B" w:rsidRPr="003F3D2B">
        <w:rPr>
          <w:b/>
          <w:noProof/>
        </w:rPr>
        <w:t xml:space="preserve"> </w:t>
      </w:r>
      <w:r w:rsidRPr="003F3D2B">
        <w:rPr>
          <w:b/>
          <w:noProof/>
        </w:rPr>
        <w:t>o</w:t>
      </w:r>
      <w:r w:rsidRPr="00624565">
        <w:rPr>
          <w:b/>
          <w:noProof/>
        </w:rPr>
        <w:t>znakowań ekologicznych</w:t>
      </w:r>
      <w:r w:rsidR="003F3D2B" w:rsidRPr="00624565">
        <w:rPr>
          <w:noProof/>
        </w:rPr>
        <w:t xml:space="preserve"> i</w:t>
      </w:r>
      <w:r w:rsidR="003F3D2B">
        <w:rPr>
          <w:noProof/>
        </w:rPr>
        <w:t> </w:t>
      </w:r>
      <w:r w:rsidR="003F3D2B" w:rsidRPr="00624565">
        <w:rPr>
          <w:noProof/>
        </w:rPr>
        <w:t>uki</w:t>
      </w:r>
      <w:r w:rsidRPr="00624565">
        <w:rPr>
          <w:noProof/>
        </w:rPr>
        <w:t xml:space="preserve">erunkowanie działań na zwiększenie wdrażania istniejących systemów publicznych oraz na opracowanie wymogów dotyczących oznakowania na szczeblu UE dla jednolitego rynku; </w:t>
      </w:r>
    </w:p>
    <w:p w14:paraId="519FD369" w14:textId="77777777" w:rsidR="006F075B" w:rsidRPr="00624565" w:rsidRDefault="006F075B" w:rsidP="008306B5">
      <w:pPr>
        <w:pStyle w:val="Tiret1"/>
        <w:numPr>
          <w:ilvl w:val="0"/>
          <w:numId w:val="26"/>
        </w:numPr>
        <w:rPr>
          <w:noProof/>
        </w:rPr>
      </w:pPr>
      <w:r w:rsidRPr="00624565">
        <w:rPr>
          <w:noProof/>
        </w:rPr>
        <w:t>państwa członkowskie powinny zatwierdzić utworzenie nowych systemów prywatnych wyłącznie pod warunkiem, że systemy te oferują wartość dodaną, oraz</w:t>
      </w:r>
    </w:p>
    <w:p w14:paraId="7B7E45F9" w14:textId="77777777" w:rsidR="006F075B" w:rsidRPr="00624565" w:rsidRDefault="006F075B" w:rsidP="006E3743">
      <w:pPr>
        <w:pStyle w:val="Tiret1"/>
        <w:rPr>
          <w:noProof/>
          <w:szCs w:val="24"/>
        </w:rPr>
      </w:pPr>
      <w:r w:rsidRPr="00624565">
        <w:rPr>
          <w:noProof/>
        </w:rPr>
        <w:t xml:space="preserve">należy zakazać tworzenia nowych systemów publicznych na szczeblu krajowym lub regionalnym. Nowe systemy publiczne należy opracowywać wyłącznie na szczeblu UE. </w:t>
      </w:r>
    </w:p>
    <w:p w14:paraId="364F51B3" w14:textId="77777777" w:rsidR="006F075B" w:rsidRPr="00624565" w:rsidRDefault="006F075B" w:rsidP="006F075B">
      <w:pPr>
        <w:tabs>
          <w:tab w:val="num" w:pos="567"/>
        </w:tabs>
        <w:rPr>
          <w:i/>
          <w:noProof/>
          <w:szCs w:val="24"/>
        </w:rPr>
      </w:pPr>
    </w:p>
    <w:p w14:paraId="1BFE1DC4" w14:textId="056CF771" w:rsidR="006F075B" w:rsidRPr="00624565" w:rsidRDefault="006F075B" w:rsidP="006F075B">
      <w:pPr>
        <w:pBdr>
          <w:top w:val="single" w:sz="4" w:space="1" w:color="auto"/>
          <w:left w:val="single" w:sz="4" w:space="4" w:color="auto"/>
          <w:bottom w:val="single" w:sz="4" w:space="1" w:color="auto"/>
          <w:right w:val="single" w:sz="4" w:space="4" w:color="auto"/>
        </w:pBdr>
        <w:tabs>
          <w:tab w:val="num" w:pos="567"/>
        </w:tabs>
        <w:rPr>
          <w:i/>
          <w:noProof/>
          <w:szCs w:val="24"/>
        </w:rPr>
      </w:pPr>
      <w:r w:rsidRPr="00624565">
        <w:rPr>
          <w:i/>
          <w:noProof/>
        </w:rPr>
        <w:t>Wnioski wyciągnięte</w:t>
      </w:r>
      <w:r w:rsidR="003F3D2B" w:rsidRPr="00624565">
        <w:rPr>
          <w:i/>
          <w:noProof/>
        </w:rPr>
        <w:t xml:space="preserve"> z</w:t>
      </w:r>
      <w:r w:rsidR="003F3D2B">
        <w:rPr>
          <w:i/>
          <w:noProof/>
        </w:rPr>
        <w:t> </w:t>
      </w:r>
      <w:r w:rsidR="003F3D2B" w:rsidRPr="00624565">
        <w:rPr>
          <w:i/>
          <w:noProof/>
        </w:rPr>
        <w:t>pra</w:t>
      </w:r>
      <w:r w:rsidRPr="00624565">
        <w:rPr>
          <w:i/>
          <w:noProof/>
        </w:rPr>
        <w:t>c prowadzonych nad standardową metodyką uzasadniania oświadczeń dotyczących wpływu na środowisko</w:t>
      </w:r>
    </w:p>
    <w:p w14:paraId="7EC8A498" w14:textId="774EC764" w:rsidR="006F075B" w:rsidRPr="00624565" w:rsidRDefault="006F075B" w:rsidP="006F075B">
      <w:pPr>
        <w:pBdr>
          <w:top w:val="single" w:sz="4" w:space="1" w:color="auto"/>
          <w:left w:val="single" w:sz="4" w:space="4" w:color="auto"/>
          <w:bottom w:val="single" w:sz="4" w:space="1" w:color="auto"/>
          <w:right w:val="single" w:sz="4" w:space="4" w:color="auto"/>
        </w:pBdr>
        <w:tabs>
          <w:tab w:val="num" w:pos="567"/>
        </w:tabs>
        <w:rPr>
          <w:noProof/>
        </w:rPr>
      </w:pPr>
      <w:r w:rsidRPr="00624565">
        <w:rPr>
          <w:noProof/>
        </w:rPr>
        <w:t>Wstępnie przygotowując się do inicjatywy dotyczącej oświadczeń środowiskowych, Komisja Europejska rozpoczęła prace</w:t>
      </w:r>
      <w:r w:rsidR="003F3D2B" w:rsidRPr="00624565">
        <w:rPr>
          <w:noProof/>
        </w:rPr>
        <w:t xml:space="preserve"> i</w:t>
      </w:r>
      <w:r w:rsidR="003F3D2B">
        <w:rPr>
          <w:noProof/>
        </w:rPr>
        <w:t> </w:t>
      </w:r>
      <w:r w:rsidR="003F3D2B" w:rsidRPr="00624565">
        <w:rPr>
          <w:noProof/>
        </w:rPr>
        <w:t>kon</w:t>
      </w:r>
      <w:r w:rsidRPr="00624565">
        <w:rPr>
          <w:noProof/>
        </w:rPr>
        <w:t>sultacje</w:t>
      </w:r>
      <w:r w:rsidR="003F3D2B" w:rsidRPr="00624565">
        <w:rPr>
          <w:noProof/>
        </w:rPr>
        <w:t xml:space="preserve"> w</w:t>
      </w:r>
      <w:r w:rsidR="003F3D2B">
        <w:rPr>
          <w:noProof/>
        </w:rPr>
        <w:t> </w:t>
      </w:r>
      <w:r w:rsidR="003F3D2B" w:rsidRPr="00624565">
        <w:rPr>
          <w:noProof/>
        </w:rPr>
        <w:t>spr</w:t>
      </w:r>
      <w:r w:rsidRPr="00624565">
        <w:rPr>
          <w:noProof/>
        </w:rPr>
        <w:t xml:space="preserve">awie możliwości wykorzystywania </w:t>
      </w:r>
      <w:r w:rsidRPr="00624565">
        <w:rPr>
          <w:i/>
          <w:noProof/>
        </w:rPr>
        <w:t>standardowej metodyki</w:t>
      </w:r>
      <w:r w:rsidRPr="00624565">
        <w:rPr>
          <w:noProof/>
        </w:rPr>
        <w:t xml:space="preserve"> uzasadniania oświadczeń środowiskowych. Zakres tych prac obejmował głównie wykorzystywanie metod oznaczania śladu środowiskowego produktu</w:t>
      </w:r>
      <w:r w:rsidR="003F3D2B" w:rsidRPr="00624565">
        <w:rPr>
          <w:noProof/>
        </w:rPr>
        <w:t xml:space="preserve"> i</w:t>
      </w:r>
      <w:r w:rsidR="003F3D2B">
        <w:rPr>
          <w:noProof/>
        </w:rPr>
        <w:t> </w:t>
      </w:r>
      <w:r w:rsidR="003F3D2B" w:rsidRPr="00624565">
        <w:rPr>
          <w:noProof/>
        </w:rPr>
        <w:t>org</w:t>
      </w:r>
      <w:r w:rsidRPr="00624565">
        <w:rPr>
          <w:noProof/>
        </w:rPr>
        <w:t>anizacji do uzasadniania oświadczeń środowiskowych</w:t>
      </w:r>
      <w:r w:rsidR="003F3D2B" w:rsidRPr="00624565">
        <w:rPr>
          <w:noProof/>
        </w:rPr>
        <w:t>. W</w:t>
      </w:r>
      <w:r w:rsidR="003F3D2B">
        <w:rPr>
          <w:noProof/>
        </w:rPr>
        <w:t> </w:t>
      </w:r>
      <w:r w:rsidR="003F3D2B" w:rsidRPr="00624565">
        <w:rPr>
          <w:noProof/>
        </w:rPr>
        <w:t>zal</w:t>
      </w:r>
      <w:r w:rsidRPr="00624565">
        <w:rPr>
          <w:noProof/>
        </w:rPr>
        <w:t>eżności od kategorii produktu metody te</w:t>
      </w:r>
      <w:r w:rsidRPr="00624565">
        <w:rPr>
          <w:rStyle w:val="FootnoteReference"/>
          <w:noProof/>
        </w:rPr>
        <w:footnoteReference w:id="53"/>
      </w:r>
      <w:r w:rsidRPr="00624565">
        <w:rPr>
          <w:noProof/>
        </w:rPr>
        <w:t xml:space="preserve"> umożliwiają dokonywanie pomiaru efektywności środowiskowej produktu lub organizacji</w:t>
      </w:r>
      <w:r w:rsidR="003F3D2B" w:rsidRPr="00624565">
        <w:rPr>
          <w:noProof/>
        </w:rPr>
        <w:t xml:space="preserve"> w</w:t>
      </w:r>
      <w:r w:rsidR="003F3D2B">
        <w:rPr>
          <w:noProof/>
        </w:rPr>
        <w:t> </w:t>
      </w:r>
      <w:r w:rsidR="003F3D2B" w:rsidRPr="00624565">
        <w:rPr>
          <w:noProof/>
        </w:rPr>
        <w:t>cał</w:t>
      </w:r>
      <w:r w:rsidRPr="00624565">
        <w:rPr>
          <w:noProof/>
        </w:rPr>
        <w:t>ym łańcuchu wartości, począwszy od pozyskania surowców do końca przydatności do użycia. Celem metod oznaczania śladu środowiskowego jest zapewnienie rzetelnych</w:t>
      </w:r>
      <w:r w:rsidR="003F3D2B" w:rsidRPr="00624565">
        <w:rPr>
          <w:noProof/>
        </w:rPr>
        <w:t xml:space="preserve"> i</w:t>
      </w:r>
      <w:r w:rsidR="003F3D2B">
        <w:rPr>
          <w:noProof/>
        </w:rPr>
        <w:t> </w:t>
      </w:r>
      <w:r w:rsidR="003F3D2B" w:rsidRPr="00624565">
        <w:rPr>
          <w:noProof/>
        </w:rPr>
        <w:t>wyr</w:t>
      </w:r>
      <w:r w:rsidRPr="00624565">
        <w:rPr>
          <w:noProof/>
        </w:rPr>
        <w:t>óżniających się metodyk, które zostały opracowane przy zachowaniu pełnej przejrzystości</w:t>
      </w:r>
      <w:r w:rsidR="003F3D2B" w:rsidRPr="00624565">
        <w:rPr>
          <w:noProof/>
        </w:rPr>
        <w:t xml:space="preserve"> w</w:t>
      </w:r>
      <w:r w:rsidR="003F3D2B">
        <w:rPr>
          <w:noProof/>
        </w:rPr>
        <w:t> </w:t>
      </w:r>
      <w:r w:rsidR="003F3D2B" w:rsidRPr="00624565">
        <w:rPr>
          <w:noProof/>
        </w:rPr>
        <w:t>sto</w:t>
      </w:r>
      <w:r w:rsidRPr="00624565">
        <w:rPr>
          <w:noProof/>
        </w:rPr>
        <w:t>sunku do zainteresowanych stron</w:t>
      </w:r>
      <w:r w:rsidR="003F3D2B" w:rsidRPr="00624565">
        <w:rPr>
          <w:noProof/>
        </w:rPr>
        <w:t xml:space="preserve"> i</w:t>
      </w:r>
      <w:r w:rsidR="003F3D2B">
        <w:rPr>
          <w:noProof/>
        </w:rPr>
        <w:t> </w:t>
      </w:r>
      <w:r w:rsidR="003F3D2B" w:rsidRPr="00624565">
        <w:rPr>
          <w:noProof/>
        </w:rPr>
        <w:t>opa</w:t>
      </w:r>
      <w:r w:rsidRPr="00624565">
        <w:rPr>
          <w:noProof/>
        </w:rPr>
        <w:t>rte na dowodach naukowych.</w:t>
      </w:r>
    </w:p>
    <w:p w14:paraId="725F447E" w14:textId="774E2581" w:rsidR="006F075B" w:rsidRPr="00624565" w:rsidRDefault="006F075B" w:rsidP="006F075B">
      <w:pPr>
        <w:pBdr>
          <w:top w:val="single" w:sz="4" w:space="1" w:color="auto"/>
          <w:left w:val="single" w:sz="4" w:space="4" w:color="auto"/>
          <w:bottom w:val="single" w:sz="4" w:space="1" w:color="auto"/>
          <w:right w:val="single" w:sz="4" w:space="4" w:color="auto"/>
        </w:pBdr>
        <w:tabs>
          <w:tab w:val="num" w:pos="567"/>
        </w:tabs>
        <w:rPr>
          <w:noProof/>
        </w:rPr>
      </w:pPr>
      <w:r w:rsidRPr="00624565">
        <w:rPr>
          <w:noProof/>
        </w:rPr>
        <w:t>Podczas prac przygotowawczych Komisja uznała, że jednym</w:t>
      </w:r>
      <w:r w:rsidR="003F3D2B" w:rsidRPr="00624565">
        <w:rPr>
          <w:noProof/>
        </w:rPr>
        <w:t xml:space="preserve"> z</w:t>
      </w:r>
      <w:r w:rsidR="003F3D2B">
        <w:rPr>
          <w:noProof/>
        </w:rPr>
        <w:t> </w:t>
      </w:r>
      <w:r w:rsidR="003F3D2B" w:rsidRPr="00624565">
        <w:rPr>
          <w:noProof/>
        </w:rPr>
        <w:t>tak</w:t>
      </w:r>
      <w:r w:rsidRPr="00624565">
        <w:rPr>
          <w:noProof/>
        </w:rPr>
        <w:t>ich wariantów jest ustanowienie unijnych ram prawnych, które nałożą na przedsiębiorstwa obowiązek formułowania oświadczeń związanych</w:t>
      </w:r>
      <w:r w:rsidR="003F3D2B" w:rsidRPr="00624565">
        <w:rPr>
          <w:noProof/>
        </w:rPr>
        <w:t xml:space="preserve"> z</w:t>
      </w:r>
      <w:r w:rsidR="003F3D2B">
        <w:rPr>
          <w:noProof/>
        </w:rPr>
        <w:t> </w:t>
      </w:r>
      <w:r w:rsidR="003F3D2B" w:rsidRPr="00624565">
        <w:rPr>
          <w:noProof/>
        </w:rPr>
        <w:t>wpł</w:t>
      </w:r>
      <w:r w:rsidRPr="00624565">
        <w:rPr>
          <w:noProof/>
        </w:rPr>
        <w:t>ywem uwzględnionym</w:t>
      </w:r>
      <w:r w:rsidR="003F3D2B" w:rsidRPr="00624565">
        <w:rPr>
          <w:noProof/>
        </w:rPr>
        <w:t xml:space="preserve"> w</w:t>
      </w:r>
      <w:r w:rsidR="003F3D2B">
        <w:rPr>
          <w:noProof/>
        </w:rPr>
        <w:t> </w:t>
      </w:r>
      <w:r w:rsidR="003F3D2B" w:rsidRPr="00624565">
        <w:rPr>
          <w:noProof/>
        </w:rPr>
        <w:t>met</w:t>
      </w:r>
      <w:r w:rsidRPr="00624565">
        <w:rPr>
          <w:noProof/>
        </w:rPr>
        <w:t>odach oznaczania śladu środowiskowego</w:t>
      </w:r>
      <w:r w:rsidRPr="00624565">
        <w:rPr>
          <w:rStyle w:val="FootnoteReference"/>
          <w:noProof/>
        </w:rPr>
        <w:footnoteReference w:id="54"/>
      </w:r>
      <w:r w:rsidRPr="00624565">
        <w:rPr>
          <w:noProof/>
        </w:rPr>
        <w:t xml:space="preserve"> na potrzeby ich uzasadnienia za pomocą tych metod. Nawet jeżeli metody oznaczania śladu środowiskowego pomagają przedsiębiorstwom</w:t>
      </w:r>
      <w:r w:rsidR="003F3D2B" w:rsidRPr="00624565">
        <w:rPr>
          <w:noProof/>
        </w:rPr>
        <w:t xml:space="preserve"> w</w:t>
      </w:r>
      <w:r w:rsidR="003F3D2B">
        <w:rPr>
          <w:noProof/>
        </w:rPr>
        <w:t> </w:t>
      </w:r>
      <w:r w:rsidR="003F3D2B" w:rsidRPr="00624565">
        <w:rPr>
          <w:noProof/>
        </w:rPr>
        <w:t>okr</w:t>
      </w:r>
      <w:r w:rsidRPr="00624565">
        <w:rPr>
          <w:noProof/>
        </w:rPr>
        <w:t>eśleniu obszarów,</w:t>
      </w:r>
      <w:r w:rsidR="003F3D2B" w:rsidRPr="00624565">
        <w:rPr>
          <w:noProof/>
        </w:rPr>
        <w:t xml:space="preserve"> w</w:t>
      </w:r>
      <w:r w:rsidR="003F3D2B">
        <w:rPr>
          <w:noProof/>
        </w:rPr>
        <w:t> </w:t>
      </w:r>
      <w:r w:rsidR="003F3D2B" w:rsidRPr="00624565">
        <w:rPr>
          <w:noProof/>
        </w:rPr>
        <w:t>któ</w:t>
      </w:r>
      <w:r w:rsidRPr="00624565">
        <w:rPr>
          <w:noProof/>
        </w:rPr>
        <w:t>rych powinny one poprawić wpływ swojej działalności na środowisko oraz jej efektywność środowiskową,</w:t>
      </w:r>
      <w:r w:rsidR="003F3D2B" w:rsidRPr="00624565">
        <w:rPr>
          <w:noProof/>
        </w:rPr>
        <w:t xml:space="preserve"> i</w:t>
      </w:r>
      <w:r w:rsidR="003F3D2B">
        <w:rPr>
          <w:noProof/>
        </w:rPr>
        <w:t> </w:t>
      </w:r>
      <w:r w:rsidR="003F3D2B" w:rsidRPr="00624565">
        <w:rPr>
          <w:noProof/>
        </w:rPr>
        <w:t>umo</w:t>
      </w:r>
      <w:r w:rsidRPr="00624565">
        <w:rPr>
          <w:noProof/>
        </w:rPr>
        <w:t>żliwiają odpowiednie uzasadnienie określonych oświadczeń dotyczących kilku kategorii produktów, nie obejmują one jeszcze wszystkich odpowiednich kategorii wpływu dla wszystkich rodzajów produktów (np.</w:t>
      </w:r>
      <w:r w:rsidR="003F3D2B" w:rsidRPr="00624565">
        <w:rPr>
          <w:noProof/>
        </w:rPr>
        <w:t xml:space="preserve"> w</w:t>
      </w:r>
      <w:r w:rsidR="003F3D2B">
        <w:rPr>
          <w:noProof/>
        </w:rPr>
        <w:t> </w:t>
      </w:r>
      <w:r w:rsidR="003F3D2B" w:rsidRPr="00624565">
        <w:rPr>
          <w:noProof/>
        </w:rPr>
        <w:t>odn</w:t>
      </w:r>
      <w:r w:rsidRPr="00624565">
        <w:rPr>
          <w:noProof/>
        </w:rPr>
        <w:t>iesieniu do rybołówstwa morskiego – zrównoważony charakter stad ryb objętych połowem;</w:t>
      </w:r>
      <w:r w:rsidR="003F3D2B" w:rsidRPr="00624565">
        <w:rPr>
          <w:noProof/>
        </w:rPr>
        <w:t xml:space="preserve"> w</w:t>
      </w:r>
      <w:r w:rsidR="003F3D2B">
        <w:rPr>
          <w:noProof/>
        </w:rPr>
        <w:t> </w:t>
      </w:r>
      <w:r w:rsidR="003F3D2B" w:rsidRPr="00624565">
        <w:rPr>
          <w:noProof/>
        </w:rPr>
        <w:t>odn</w:t>
      </w:r>
      <w:r w:rsidRPr="00624565">
        <w:rPr>
          <w:noProof/>
        </w:rPr>
        <w:t>iesieniu do żywności</w:t>
      </w:r>
      <w:r w:rsidR="003F3D2B" w:rsidRPr="00624565">
        <w:rPr>
          <w:noProof/>
        </w:rPr>
        <w:t xml:space="preserve"> i</w:t>
      </w:r>
      <w:r w:rsidR="003F3D2B">
        <w:rPr>
          <w:noProof/>
        </w:rPr>
        <w:t> </w:t>
      </w:r>
      <w:r w:rsidR="003F3D2B" w:rsidRPr="00624565">
        <w:rPr>
          <w:noProof/>
        </w:rPr>
        <w:t>pro</w:t>
      </w:r>
      <w:r w:rsidRPr="00624565">
        <w:rPr>
          <w:noProof/>
        </w:rPr>
        <w:t>duktów rolnych – różnorodność biologiczna</w:t>
      </w:r>
      <w:r w:rsidR="003F3D2B" w:rsidRPr="00624565">
        <w:rPr>
          <w:noProof/>
        </w:rPr>
        <w:t xml:space="preserve"> i</w:t>
      </w:r>
      <w:r w:rsidR="003F3D2B">
        <w:rPr>
          <w:noProof/>
        </w:rPr>
        <w:t> </w:t>
      </w:r>
      <w:r w:rsidR="003F3D2B" w:rsidRPr="00624565">
        <w:rPr>
          <w:noProof/>
        </w:rPr>
        <w:t>och</w:t>
      </w:r>
      <w:r w:rsidRPr="00624565">
        <w:rPr>
          <w:noProof/>
        </w:rPr>
        <w:t>rona przyrody na poziomie gospodarstwa oraz różne praktyki rolnicze;</w:t>
      </w:r>
      <w:r w:rsidR="003F3D2B" w:rsidRPr="00624565">
        <w:rPr>
          <w:noProof/>
        </w:rPr>
        <w:t xml:space="preserve"> w</w:t>
      </w:r>
      <w:r w:rsidR="003F3D2B">
        <w:rPr>
          <w:noProof/>
        </w:rPr>
        <w:t> </w:t>
      </w:r>
      <w:r w:rsidR="003F3D2B" w:rsidRPr="00624565">
        <w:rPr>
          <w:noProof/>
        </w:rPr>
        <w:t>odn</w:t>
      </w:r>
      <w:r w:rsidRPr="00624565">
        <w:rPr>
          <w:noProof/>
        </w:rPr>
        <w:t>iesieniu do tekstyliów – uwalnianie mikrodrobin plastiku)</w:t>
      </w:r>
      <w:r w:rsidR="003F3D2B" w:rsidRPr="00624565">
        <w:rPr>
          <w:noProof/>
        </w:rPr>
        <w:t xml:space="preserve"> i</w:t>
      </w:r>
      <w:r w:rsidR="003F3D2B">
        <w:rPr>
          <w:noProof/>
        </w:rPr>
        <w:t> </w:t>
      </w:r>
      <w:r w:rsidR="003F3D2B" w:rsidRPr="00624565">
        <w:rPr>
          <w:noProof/>
        </w:rPr>
        <w:t>w</w:t>
      </w:r>
      <w:r w:rsidR="003F3D2B">
        <w:rPr>
          <w:noProof/>
        </w:rPr>
        <w:t> </w:t>
      </w:r>
      <w:r w:rsidR="003F3D2B" w:rsidRPr="00624565">
        <w:rPr>
          <w:noProof/>
        </w:rPr>
        <w:t>zwi</w:t>
      </w:r>
      <w:r w:rsidRPr="00624565">
        <w:rPr>
          <w:noProof/>
        </w:rPr>
        <w:t>ązku</w:t>
      </w:r>
      <w:r w:rsidR="003F3D2B" w:rsidRPr="00624565">
        <w:rPr>
          <w:noProof/>
        </w:rPr>
        <w:t xml:space="preserve"> z</w:t>
      </w:r>
      <w:r w:rsidR="003F3D2B">
        <w:rPr>
          <w:noProof/>
        </w:rPr>
        <w:t> </w:t>
      </w:r>
      <w:r w:rsidR="003F3D2B" w:rsidRPr="00624565">
        <w:rPr>
          <w:noProof/>
        </w:rPr>
        <w:t>tym</w:t>
      </w:r>
      <w:r w:rsidRPr="00624565">
        <w:rPr>
          <w:noProof/>
        </w:rPr>
        <w:t xml:space="preserve"> mogą przedstawiać niepełny obraz kwalifikacji środowiskowych produktu</w:t>
      </w:r>
      <w:r w:rsidR="003F3D2B" w:rsidRPr="00624565">
        <w:rPr>
          <w:noProof/>
        </w:rPr>
        <w:t xml:space="preserve"> w</w:t>
      </w:r>
      <w:r w:rsidR="003F3D2B">
        <w:rPr>
          <w:noProof/>
        </w:rPr>
        <w:t> </w:t>
      </w:r>
      <w:r w:rsidR="003F3D2B" w:rsidRPr="00624565">
        <w:rPr>
          <w:noProof/>
        </w:rPr>
        <w:t>kon</w:t>
      </w:r>
      <w:r w:rsidRPr="00624565">
        <w:rPr>
          <w:noProof/>
        </w:rPr>
        <w:t>tekście oświadczeń środowiskowych. Ponadto wiele oświadczeń środowiskowych dotyczy również aspektów środowiskowych (np. trwałości, możliwości ponownego użycia, możliwości naprawy, zdolności do recyklingu, zawartości materiałów</w:t>
      </w:r>
      <w:r w:rsidR="003F3D2B" w:rsidRPr="00624565">
        <w:rPr>
          <w:noProof/>
        </w:rPr>
        <w:t xml:space="preserve"> z</w:t>
      </w:r>
      <w:r w:rsidR="003F3D2B">
        <w:rPr>
          <w:noProof/>
        </w:rPr>
        <w:t> </w:t>
      </w:r>
      <w:r w:rsidR="003F3D2B" w:rsidRPr="00624565">
        <w:rPr>
          <w:noProof/>
        </w:rPr>
        <w:t>rec</w:t>
      </w:r>
      <w:r w:rsidRPr="00624565">
        <w:rPr>
          <w:noProof/>
        </w:rPr>
        <w:t>yklingu, wykorzystania zasobów naturalnych),</w:t>
      </w:r>
      <w:r w:rsidR="003F3D2B" w:rsidRPr="00624565">
        <w:rPr>
          <w:noProof/>
        </w:rPr>
        <w:t xml:space="preserve"> w</w:t>
      </w:r>
      <w:r w:rsidR="003F3D2B">
        <w:rPr>
          <w:noProof/>
        </w:rPr>
        <w:t> </w:t>
      </w:r>
      <w:r w:rsidR="003F3D2B" w:rsidRPr="00624565">
        <w:rPr>
          <w:noProof/>
        </w:rPr>
        <w:t>odn</w:t>
      </w:r>
      <w:r w:rsidRPr="00624565">
        <w:rPr>
          <w:noProof/>
        </w:rPr>
        <w:t>iesieniu do których metody oznaczania śladu środowiskowego są niewłaściwe</w:t>
      </w:r>
      <w:r w:rsidR="003F3D2B" w:rsidRPr="00624565">
        <w:rPr>
          <w:noProof/>
        </w:rPr>
        <w:t xml:space="preserve"> i</w:t>
      </w:r>
      <w:r w:rsidR="003F3D2B">
        <w:rPr>
          <w:noProof/>
        </w:rPr>
        <w:t> </w:t>
      </w:r>
      <w:r w:rsidR="003F3D2B" w:rsidRPr="00624565">
        <w:rPr>
          <w:noProof/>
        </w:rPr>
        <w:t>nie</w:t>
      </w:r>
      <w:r w:rsidRPr="00624565">
        <w:rPr>
          <w:noProof/>
        </w:rPr>
        <w:t xml:space="preserve"> mogą służyć jako jedyna metoda uzasadniania. Stosowanie</w:t>
      </w:r>
      <w:r w:rsidR="003F3D2B" w:rsidRPr="00624565">
        <w:rPr>
          <w:noProof/>
        </w:rPr>
        <w:t xml:space="preserve"> w</w:t>
      </w:r>
      <w:r w:rsidR="003F3D2B">
        <w:rPr>
          <w:noProof/>
        </w:rPr>
        <w:t> </w:t>
      </w:r>
      <w:r w:rsidR="003F3D2B" w:rsidRPr="00624565">
        <w:rPr>
          <w:noProof/>
        </w:rPr>
        <w:t>odn</w:t>
      </w:r>
      <w:r w:rsidRPr="00624565">
        <w:rPr>
          <w:noProof/>
        </w:rPr>
        <w:t>iesieniu do bardzo szerokiego</w:t>
      </w:r>
      <w:r w:rsidR="003F3D2B" w:rsidRPr="00624565">
        <w:rPr>
          <w:noProof/>
        </w:rPr>
        <w:t xml:space="preserve"> i</w:t>
      </w:r>
      <w:r w:rsidR="003F3D2B">
        <w:rPr>
          <w:noProof/>
        </w:rPr>
        <w:t> </w:t>
      </w:r>
      <w:r w:rsidR="003F3D2B" w:rsidRPr="00624565">
        <w:rPr>
          <w:noProof/>
        </w:rPr>
        <w:t>szy</w:t>
      </w:r>
      <w:r w:rsidRPr="00624565">
        <w:rPr>
          <w:noProof/>
        </w:rPr>
        <w:t>bko zmieniającego się obszaru oświadczeń środowiskowych tylko jednej metody ma swoje ograniczenia. Uznanie jednej metody, na przykład metody oznaczania śladu środowiskowego, jako standardowej metodyki uzasadniania wszystkich oświadczeń środowiskowych byłoby niewłaściwe</w:t>
      </w:r>
      <w:r w:rsidR="003F3D2B" w:rsidRPr="00624565">
        <w:rPr>
          <w:noProof/>
        </w:rPr>
        <w:t xml:space="preserve"> i</w:t>
      </w:r>
      <w:r w:rsidR="003F3D2B">
        <w:rPr>
          <w:noProof/>
        </w:rPr>
        <w:t> </w:t>
      </w:r>
      <w:r w:rsidR="003F3D2B" w:rsidRPr="00624565">
        <w:rPr>
          <w:noProof/>
        </w:rPr>
        <w:t>moż</w:t>
      </w:r>
      <w:r w:rsidRPr="00624565">
        <w:rPr>
          <w:noProof/>
        </w:rPr>
        <w:t>e stwarzać dla przedsiębiorstw ryzyko, że nie będą one mogły informować</w:t>
      </w:r>
      <w:r w:rsidR="003F3D2B" w:rsidRPr="00624565">
        <w:rPr>
          <w:noProof/>
        </w:rPr>
        <w:t xml:space="preserve"> o</w:t>
      </w:r>
      <w:r w:rsidR="003F3D2B">
        <w:rPr>
          <w:noProof/>
        </w:rPr>
        <w:t> </w:t>
      </w:r>
      <w:r w:rsidR="003F3D2B" w:rsidRPr="00624565">
        <w:rPr>
          <w:noProof/>
        </w:rPr>
        <w:t>odp</w:t>
      </w:r>
      <w:r w:rsidRPr="00624565">
        <w:rPr>
          <w:noProof/>
        </w:rPr>
        <w:t xml:space="preserve">owiednich aspektach środowiskowych lub efektywności środowiskowej swoich produktów lub działań. </w:t>
      </w:r>
    </w:p>
    <w:p w14:paraId="4BD3778E" w14:textId="1C705F83" w:rsidR="006F075B" w:rsidRPr="00624565" w:rsidRDefault="006F075B" w:rsidP="006F075B">
      <w:pPr>
        <w:pBdr>
          <w:top w:val="single" w:sz="4" w:space="1" w:color="auto"/>
          <w:left w:val="single" w:sz="4" w:space="4" w:color="auto"/>
          <w:bottom w:val="single" w:sz="4" w:space="1" w:color="auto"/>
          <w:right w:val="single" w:sz="4" w:space="4" w:color="auto"/>
        </w:pBdr>
        <w:tabs>
          <w:tab w:val="num" w:pos="567"/>
        </w:tabs>
        <w:rPr>
          <w:noProof/>
        </w:rPr>
      </w:pPr>
      <w:r w:rsidRPr="00624565">
        <w:rPr>
          <w:noProof/>
        </w:rPr>
        <w:t>Z tych powodów oraz na podstawie wyników konsultacji</w:t>
      </w:r>
      <w:r w:rsidR="003F3D2B" w:rsidRPr="00624565">
        <w:rPr>
          <w:noProof/>
        </w:rPr>
        <w:t xml:space="preserve"> i</w:t>
      </w:r>
      <w:r w:rsidR="003F3D2B">
        <w:rPr>
          <w:noProof/>
        </w:rPr>
        <w:t> </w:t>
      </w:r>
      <w:r w:rsidR="003F3D2B" w:rsidRPr="00624565">
        <w:rPr>
          <w:noProof/>
        </w:rPr>
        <w:t>wew</w:t>
      </w:r>
      <w:r w:rsidRPr="00624565">
        <w:rPr>
          <w:noProof/>
        </w:rPr>
        <w:t>nętrznej oceny skutków pod względem obciążenia przedsiębiorstw</w:t>
      </w:r>
      <w:r w:rsidR="003F3D2B" w:rsidRPr="00624565">
        <w:rPr>
          <w:noProof/>
        </w:rPr>
        <w:t xml:space="preserve"> i</w:t>
      </w:r>
      <w:r w:rsidR="003F3D2B">
        <w:rPr>
          <w:noProof/>
        </w:rPr>
        <w:t> </w:t>
      </w:r>
      <w:r w:rsidR="003F3D2B" w:rsidRPr="00624565">
        <w:rPr>
          <w:noProof/>
        </w:rPr>
        <w:t>dal</w:t>
      </w:r>
      <w:r w:rsidRPr="00624565">
        <w:rPr>
          <w:noProof/>
        </w:rPr>
        <w:t>szej wymiany informacji</w:t>
      </w:r>
      <w:r w:rsidR="003F3D2B" w:rsidRPr="00624565">
        <w:rPr>
          <w:noProof/>
        </w:rPr>
        <w:t xml:space="preserve"> z</w:t>
      </w:r>
      <w:r w:rsidR="003F3D2B">
        <w:rPr>
          <w:noProof/>
        </w:rPr>
        <w:t> </w:t>
      </w:r>
      <w:r w:rsidR="003F3D2B" w:rsidRPr="00624565">
        <w:rPr>
          <w:noProof/>
        </w:rPr>
        <w:t>zai</w:t>
      </w:r>
      <w:r w:rsidRPr="00624565">
        <w:rPr>
          <w:noProof/>
        </w:rPr>
        <w:t xml:space="preserve">nteresowanymi stronami nie przeforsowano wariantu wykorzystywania </w:t>
      </w:r>
      <w:r w:rsidRPr="00624565">
        <w:rPr>
          <w:i/>
          <w:noProof/>
        </w:rPr>
        <w:t>jednej standardowej metodyki</w:t>
      </w:r>
      <w:r w:rsidRPr="00624565">
        <w:rPr>
          <w:noProof/>
        </w:rPr>
        <w:t xml:space="preserve"> do uzasadniania oświadczeń środowiskowych. Zamiast tego za właściwe uznano bardziej elastyczne podejście oparte na preferowanym wariancie strategicznym zidentyfikowanym</w:t>
      </w:r>
      <w:r w:rsidR="003F3D2B" w:rsidRPr="00624565">
        <w:rPr>
          <w:noProof/>
        </w:rPr>
        <w:t xml:space="preserve"> w</w:t>
      </w:r>
      <w:r w:rsidR="003F3D2B">
        <w:rPr>
          <w:noProof/>
        </w:rPr>
        <w:t> </w:t>
      </w:r>
      <w:r w:rsidR="003F3D2B" w:rsidRPr="00624565">
        <w:rPr>
          <w:noProof/>
        </w:rPr>
        <w:t>ram</w:t>
      </w:r>
      <w:r w:rsidRPr="00624565">
        <w:rPr>
          <w:noProof/>
        </w:rPr>
        <w:t>ach oceny skutków, która została opracowana na potrzeby inicjatywy na rzecz wzmacniania pozycji konsumentów</w:t>
      </w:r>
      <w:r w:rsidR="003F3D2B" w:rsidRPr="00624565">
        <w:rPr>
          <w:noProof/>
        </w:rPr>
        <w:t xml:space="preserve"> w</w:t>
      </w:r>
      <w:r w:rsidR="003F3D2B">
        <w:rPr>
          <w:noProof/>
        </w:rPr>
        <w:t> </w:t>
      </w:r>
      <w:r w:rsidR="003F3D2B" w:rsidRPr="00624565">
        <w:rPr>
          <w:noProof/>
        </w:rPr>
        <w:t>pro</w:t>
      </w:r>
      <w:r w:rsidRPr="00624565">
        <w:rPr>
          <w:noProof/>
        </w:rPr>
        <w:t>cesie transformacji ekologicznej.</w:t>
      </w:r>
    </w:p>
    <w:p w14:paraId="0A9E5E14" w14:textId="77777777" w:rsidR="009769E5" w:rsidRPr="00624565" w:rsidRDefault="006F075B" w:rsidP="006F075B">
      <w:pPr>
        <w:pStyle w:val="ManualHeading3"/>
        <w:rPr>
          <w:rFonts w:eastAsia="Arial Unicode MS"/>
          <w:noProof/>
          <w:u w:color="000000"/>
          <w:bdr w:val="nil"/>
        </w:rPr>
      </w:pPr>
      <w:r w:rsidRPr="00624565">
        <w:rPr>
          <w:noProof/>
          <w:u w:color="000000"/>
          <w:bdr w:val="nil"/>
        </w:rPr>
        <w:t>3.2.2.</w:t>
      </w:r>
      <w:r w:rsidRPr="00624565">
        <w:rPr>
          <w:noProof/>
        </w:rPr>
        <w:tab/>
      </w:r>
      <w:r w:rsidRPr="00624565">
        <w:rPr>
          <w:noProof/>
          <w:u w:color="000000"/>
          <w:bdr w:val="nil"/>
        </w:rPr>
        <w:t>Skutki preferowanego wariantu strategicznego</w:t>
      </w:r>
    </w:p>
    <w:p w14:paraId="788BD06C" w14:textId="23685347" w:rsidR="006F075B" w:rsidRPr="00624565" w:rsidRDefault="006F075B" w:rsidP="006F075B">
      <w:pPr>
        <w:shd w:val="clear" w:color="auto" w:fill="FFFFFF" w:themeFill="background1"/>
        <w:spacing w:after="0"/>
        <w:textAlignment w:val="baseline"/>
        <w:rPr>
          <w:noProof/>
        </w:rPr>
      </w:pPr>
      <w:r w:rsidRPr="00624565">
        <w:rPr>
          <w:noProof/>
        </w:rPr>
        <w:t>Preferowany wariant strategiczny, wynikający</w:t>
      </w:r>
      <w:r w:rsidR="003F3D2B" w:rsidRPr="00624565">
        <w:rPr>
          <w:noProof/>
        </w:rPr>
        <w:t xml:space="preserve"> z</w:t>
      </w:r>
      <w:r w:rsidR="003F3D2B">
        <w:rPr>
          <w:noProof/>
        </w:rPr>
        <w:t> </w:t>
      </w:r>
      <w:r w:rsidR="003F3D2B" w:rsidRPr="00624565">
        <w:rPr>
          <w:noProof/>
        </w:rPr>
        <w:t>ana</w:t>
      </w:r>
      <w:r w:rsidRPr="00624565">
        <w:rPr>
          <w:noProof/>
        </w:rPr>
        <w:t>lizy kosztów</w:t>
      </w:r>
      <w:r w:rsidR="003F3D2B" w:rsidRPr="00624565">
        <w:rPr>
          <w:noProof/>
        </w:rPr>
        <w:t xml:space="preserve"> i</w:t>
      </w:r>
      <w:r w:rsidR="003F3D2B">
        <w:rPr>
          <w:noProof/>
        </w:rPr>
        <w:t> </w:t>
      </w:r>
      <w:r w:rsidR="003F3D2B" w:rsidRPr="00624565">
        <w:rPr>
          <w:noProof/>
        </w:rPr>
        <w:t>kor</w:t>
      </w:r>
      <w:r w:rsidRPr="00624565">
        <w:rPr>
          <w:noProof/>
        </w:rPr>
        <w:t>zyści przeprowadzonej</w:t>
      </w:r>
      <w:r w:rsidR="003F3D2B" w:rsidRPr="00624565">
        <w:rPr>
          <w:noProof/>
        </w:rPr>
        <w:t xml:space="preserve"> w</w:t>
      </w:r>
      <w:r w:rsidR="003F3D2B">
        <w:rPr>
          <w:noProof/>
        </w:rPr>
        <w:t> </w:t>
      </w:r>
      <w:r w:rsidR="003F3D2B" w:rsidRPr="00624565">
        <w:rPr>
          <w:noProof/>
        </w:rPr>
        <w:t>ram</w:t>
      </w:r>
      <w:r w:rsidRPr="00624565">
        <w:rPr>
          <w:noProof/>
        </w:rPr>
        <w:t>ach oceny skutków, został przełożony na szereg przepisów zarówno we wniosku dotyczącym wzmacniania pozycji konsumentów</w:t>
      </w:r>
      <w:r w:rsidR="003F3D2B" w:rsidRPr="00624565">
        <w:rPr>
          <w:noProof/>
        </w:rPr>
        <w:t xml:space="preserve"> w</w:t>
      </w:r>
      <w:r w:rsidR="003F3D2B">
        <w:rPr>
          <w:noProof/>
        </w:rPr>
        <w:t> </w:t>
      </w:r>
      <w:r w:rsidR="003F3D2B" w:rsidRPr="00624565">
        <w:rPr>
          <w:noProof/>
        </w:rPr>
        <w:t>pro</w:t>
      </w:r>
      <w:r w:rsidRPr="00624565">
        <w:rPr>
          <w:noProof/>
        </w:rPr>
        <w:t>cesie transformacji ekologicznej, jak i we wniosku dotyczącym oświadczeń środowiskowych. Wymienione poniżej skutki dotyczą preferowanego wariantu strategicznego jako całości</w:t>
      </w:r>
      <w:r w:rsidR="003F3D2B" w:rsidRPr="00624565">
        <w:rPr>
          <w:noProof/>
        </w:rPr>
        <w:t xml:space="preserve"> i</w:t>
      </w:r>
      <w:r w:rsidR="003F3D2B">
        <w:rPr>
          <w:noProof/>
        </w:rPr>
        <w:t> </w:t>
      </w:r>
      <w:r w:rsidR="003F3D2B" w:rsidRPr="00624565">
        <w:rPr>
          <w:noProof/>
        </w:rPr>
        <w:t>w</w:t>
      </w:r>
      <w:r w:rsidR="003F3D2B">
        <w:rPr>
          <w:noProof/>
        </w:rPr>
        <w:t> </w:t>
      </w:r>
      <w:r w:rsidR="003F3D2B" w:rsidRPr="00624565">
        <w:rPr>
          <w:noProof/>
        </w:rPr>
        <w:t>zwi</w:t>
      </w:r>
      <w:r w:rsidRPr="00624565">
        <w:rPr>
          <w:noProof/>
        </w:rPr>
        <w:t>ązku</w:t>
      </w:r>
      <w:r w:rsidR="003F3D2B" w:rsidRPr="00624565">
        <w:rPr>
          <w:noProof/>
        </w:rPr>
        <w:t xml:space="preserve"> z</w:t>
      </w:r>
      <w:r w:rsidR="003F3D2B">
        <w:rPr>
          <w:noProof/>
        </w:rPr>
        <w:t> </w:t>
      </w:r>
      <w:r w:rsidR="003F3D2B" w:rsidRPr="00624565">
        <w:rPr>
          <w:noProof/>
        </w:rPr>
        <w:t>tym</w:t>
      </w:r>
      <w:r w:rsidRPr="00624565">
        <w:rPr>
          <w:noProof/>
        </w:rPr>
        <w:t xml:space="preserve"> obejmują przepisy obu wniosków. </w:t>
      </w:r>
    </w:p>
    <w:p w14:paraId="26C7B10D" w14:textId="1B1DC355" w:rsidR="006F075B" w:rsidRPr="003F3D2B" w:rsidRDefault="006F075B" w:rsidP="006F075B">
      <w:pPr>
        <w:shd w:val="clear" w:color="auto" w:fill="FFFFFF" w:themeFill="background1"/>
        <w:spacing w:after="0"/>
        <w:textAlignment w:val="baseline"/>
        <w:rPr>
          <w:noProof/>
        </w:rPr>
      </w:pPr>
      <w:r w:rsidRPr="00624565">
        <w:rPr>
          <w:noProof/>
        </w:rPr>
        <w:t>Przedmiotowy wniosek obejmuje środki, które są istotne</w:t>
      </w:r>
      <w:r w:rsidR="003F3D2B" w:rsidRPr="00624565">
        <w:rPr>
          <w:noProof/>
        </w:rPr>
        <w:t xml:space="preserve"> w</w:t>
      </w:r>
      <w:r w:rsidR="003F3D2B">
        <w:rPr>
          <w:noProof/>
        </w:rPr>
        <w:t> </w:t>
      </w:r>
      <w:r w:rsidR="003F3D2B" w:rsidRPr="00624565">
        <w:rPr>
          <w:noProof/>
        </w:rPr>
        <w:t>kon</w:t>
      </w:r>
      <w:r w:rsidRPr="00624565">
        <w:rPr>
          <w:noProof/>
        </w:rPr>
        <w:t>tekście podejścia Komisji „jedno więcej – jedno mniej”</w:t>
      </w:r>
      <w:r w:rsidR="003F3D2B" w:rsidRPr="00624565">
        <w:rPr>
          <w:noProof/>
        </w:rPr>
        <w:t xml:space="preserve"> w</w:t>
      </w:r>
      <w:r w:rsidR="003F3D2B">
        <w:rPr>
          <w:noProof/>
        </w:rPr>
        <w:t> </w:t>
      </w:r>
      <w:r w:rsidR="003F3D2B" w:rsidRPr="00624565">
        <w:rPr>
          <w:noProof/>
        </w:rPr>
        <w:t>cel</w:t>
      </w:r>
      <w:r w:rsidRPr="00624565">
        <w:rPr>
          <w:noProof/>
        </w:rPr>
        <w:t>u ograniczenia obciążenia administracyjnego</w:t>
      </w:r>
      <w:r w:rsidR="003F3D2B" w:rsidRPr="00624565">
        <w:rPr>
          <w:noProof/>
        </w:rPr>
        <w:t xml:space="preserve"> i</w:t>
      </w:r>
      <w:r w:rsidR="003F3D2B">
        <w:rPr>
          <w:noProof/>
        </w:rPr>
        <w:t> </w:t>
      </w:r>
      <w:r w:rsidR="003F3D2B" w:rsidRPr="00624565">
        <w:rPr>
          <w:noProof/>
        </w:rPr>
        <w:t>któ</w:t>
      </w:r>
      <w:r w:rsidRPr="00624565">
        <w:rPr>
          <w:noProof/>
        </w:rPr>
        <w:t>re zostały wcześniej zgłoszone</w:t>
      </w:r>
      <w:r w:rsidR="003F3D2B" w:rsidRPr="00624565">
        <w:rPr>
          <w:noProof/>
        </w:rPr>
        <w:t xml:space="preserve"> i</w:t>
      </w:r>
      <w:r w:rsidR="003F3D2B">
        <w:rPr>
          <w:noProof/>
        </w:rPr>
        <w:t> </w:t>
      </w:r>
      <w:r w:rsidR="003F3D2B" w:rsidRPr="00624565">
        <w:rPr>
          <w:noProof/>
        </w:rPr>
        <w:t>uwz</w:t>
      </w:r>
      <w:r w:rsidRPr="00624565">
        <w:rPr>
          <w:noProof/>
        </w:rPr>
        <w:t>ględnione</w:t>
      </w:r>
      <w:r w:rsidR="003F3D2B" w:rsidRPr="00624565">
        <w:rPr>
          <w:noProof/>
        </w:rPr>
        <w:t xml:space="preserve"> w</w:t>
      </w:r>
      <w:r w:rsidR="003F3D2B">
        <w:rPr>
          <w:noProof/>
        </w:rPr>
        <w:t> </w:t>
      </w:r>
      <w:r w:rsidR="003F3D2B" w:rsidRPr="00624565">
        <w:rPr>
          <w:noProof/>
        </w:rPr>
        <w:t>oce</w:t>
      </w:r>
      <w:r w:rsidRPr="00624565">
        <w:rPr>
          <w:noProof/>
        </w:rPr>
        <w:t>nie skutków dołączonej do wniosku dotyczącego wzmacniania pozycji konsumentów</w:t>
      </w:r>
      <w:r w:rsidR="003F3D2B" w:rsidRPr="00624565">
        <w:rPr>
          <w:noProof/>
        </w:rPr>
        <w:t xml:space="preserve"> w</w:t>
      </w:r>
      <w:r w:rsidR="003F3D2B">
        <w:rPr>
          <w:noProof/>
        </w:rPr>
        <w:t> </w:t>
      </w:r>
      <w:r w:rsidR="003F3D2B" w:rsidRPr="00624565">
        <w:rPr>
          <w:noProof/>
        </w:rPr>
        <w:t>pro</w:t>
      </w:r>
      <w:r w:rsidRPr="00624565">
        <w:rPr>
          <w:noProof/>
        </w:rPr>
        <w:t>cesie transformacji ekologicznej</w:t>
      </w:r>
      <w:r w:rsidRPr="003F3D2B">
        <w:rPr>
          <w:noProof/>
        </w:rPr>
        <w:t>.</w:t>
      </w:r>
      <w:r w:rsidR="003F3D2B" w:rsidRPr="003F3D2B">
        <w:rPr>
          <w:noProof/>
        </w:rPr>
        <w:t xml:space="preserve"> </w:t>
      </w:r>
    </w:p>
    <w:p w14:paraId="55E01644" w14:textId="77777777" w:rsidR="006F075B" w:rsidRPr="00624565" w:rsidRDefault="006F075B" w:rsidP="003D1B02">
      <w:pPr>
        <w:pStyle w:val="Bullet0"/>
        <w:numPr>
          <w:ilvl w:val="0"/>
          <w:numId w:val="17"/>
        </w:numPr>
        <w:rPr>
          <w:b/>
          <w:noProof/>
          <w:bdr w:val="none" w:sz="0" w:space="0" w:color="auto" w:frame="1"/>
        </w:rPr>
      </w:pPr>
      <w:r w:rsidRPr="00624565">
        <w:rPr>
          <w:b/>
          <w:noProof/>
          <w:bdr w:val="none" w:sz="0" w:space="0" w:color="auto" w:frame="1"/>
        </w:rPr>
        <w:t>Przewidywane skutki ustalonego zakresu</w:t>
      </w:r>
    </w:p>
    <w:p w14:paraId="10C300AE" w14:textId="3A1787D9" w:rsidR="006F075B" w:rsidRPr="00624565" w:rsidRDefault="006F075B" w:rsidP="006F075B">
      <w:pPr>
        <w:tabs>
          <w:tab w:val="num" w:pos="567"/>
        </w:tabs>
        <w:rPr>
          <w:noProof/>
        </w:rPr>
      </w:pPr>
      <w:r w:rsidRPr="00624565">
        <w:rPr>
          <w:noProof/>
        </w:rPr>
        <w:t>W przedmiotowym wniosku wprowadzono minimalne wymogi dotyczące uzasadniania oświadczeń środowiskowych</w:t>
      </w:r>
      <w:r w:rsidR="003F3D2B" w:rsidRPr="00624565">
        <w:rPr>
          <w:noProof/>
        </w:rPr>
        <w:t xml:space="preserve"> i</w:t>
      </w:r>
      <w:r w:rsidR="003F3D2B">
        <w:rPr>
          <w:noProof/>
        </w:rPr>
        <w:t> </w:t>
      </w:r>
      <w:r w:rsidR="003F3D2B" w:rsidRPr="00624565">
        <w:rPr>
          <w:noProof/>
        </w:rPr>
        <w:t>inf</w:t>
      </w:r>
      <w:r w:rsidRPr="00624565">
        <w:rPr>
          <w:noProof/>
        </w:rPr>
        <w:t>ormowania</w:t>
      </w:r>
      <w:r w:rsidR="003F3D2B" w:rsidRPr="00624565">
        <w:rPr>
          <w:noProof/>
        </w:rPr>
        <w:t xml:space="preserve"> o</w:t>
      </w:r>
      <w:r w:rsidR="003F3D2B">
        <w:rPr>
          <w:noProof/>
        </w:rPr>
        <w:t> </w:t>
      </w:r>
      <w:r w:rsidR="003F3D2B" w:rsidRPr="00624565">
        <w:rPr>
          <w:noProof/>
        </w:rPr>
        <w:t>nic</w:t>
      </w:r>
      <w:r w:rsidRPr="00624565">
        <w:rPr>
          <w:noProof/>
        </w:rPr>
        <w:t>h, które to oświadczenia podlegają weryfikacji przez osobę trzecią, która musi zostać przeprowadzona przed wykorzystaniem oświadczenia</w:t>
      </w:r>
      <w:r w:rsidR="003F3D2B" w:rsidRPr="00624565">
        <w:rPr>
          <w:noProof/>
        </w:rPr>
        <w:t xml:space="preserve"> w</w:t>
      </w:r>
      <w:r w:rsidR="003F3D2B">
        <w:rPr>
          <w:noProof/>
        </w:rPr>
        <w:t> </w:t>
      </w:r>
      <w:r w:rsidR="003F3D2B" w:rsidRPr="00624565">
        <w:rPr>
          <w:noProof/>
        </w:rPr>
        <w:t>inf</w:t>
      </w:r>
      <w:r w:rsidRPr="00624565">
        <w:rPr>
          <w:noProof/>
        </w:rPr>
        <w:t>ormacjach handlowych. Chociaż oczekuje się, że środek ten przyczyni się do wyeliminowania wprowadzających</w:t>
      </w:r>
      <w:r w:rsidR="003F3D2B" w:rsidRPr="00624565">
        <w:rPr>
          <w:noProof/>
        </w:rPr>
        <w:t xml:space="preserve"> w</w:t>
      </w:r>
      <w:r w:rsidR="003F3D2B">
        <w:rPr>
          <w:noProof/>
        </w:rPr>
        <w:t> </w:t>
      </w:r>
      <w:r w:rsidR="003F3D2B" w:rsidRPr="00624565">
        <w:rPr>
          <w:noProof/>
        </w:rPr>
        <w:t>błą</w:t>
      </w:r>
      <w:r w:rsidRPr="00624565">
        <w:rPr>
          <w:noProof/>
        </w:rPr>
        <w:t>d lub fałszywych oświadczeń, oraz mimo że pomoże on</w:t>
      </w:r>
      <w:r w:rsidR="003F3D2B" w:rsidRPr="00624565">
        <w:rPr>
          <w:noProof/>
        </w:rPr>
        <w:t xml:space="preserve"> w</w:t>
      </w:r>
      <w:r w:rsidR="003F3D2B">
        <w:rPr>
          <w:noProof/>
        </w:rPr>
        <w:t> </w:t>
      </w:r>
      <w:r w:rsidR="003F3D2B" w:rsidRPr="00624565">
        <w:rPr>
          <w:noProof/>
        </w:rPr>
        <w:t>zap</w:t>
      </w:r>
      <w:r w:rsidRPr="00624565">
        <w:rPr>
          <w:noProof/>
        </w:rPr>
        <w:t>ewnieniu właściwego egzekwowania, spowoduje również dodatkowe koszty dla przedsiębiorców, którzy będą chcieli złożyć takie oświadczenia. Oczekuje się, że wpływ na mniejsze przedsiębiorstwa będzie proporcjonalnie większy niż na duże przedsiębiorstwa</w:t>
      </w:r>
      <w:r w:rsidR="003F3D2B" w:rsidRPr="00624565">
        <w:rPr>
          <w:noProof/>
        </w:rPr>
        <w:t>. Z</w:t>
      </w:r>
      <w:r w:rsidR="003F3D2B">
        <w:rPr>
          <w:noProof/>
        </w:rPr>
        <w:t> </w:t>
      </w:r>
      <w:r w:rsidR="003F3D2B" w:rsidRPr="00624565">
        <w:rPr>
          <w:noProof/>
        </w:rPr>
        <w:t>teg</w:t>
      </w:r>
      <w:r w:rsidRPr="00624565">
        <w:rPr>
          <w:noProof/>
        </w:rPr>
        <w:t>o powodu oraz</w:t>
      </w:r>
      <w:r w:rsidR="003F3D2B" w:rsidRPr="00624565">
        <w:rPr>
          <w:noProof/>
        </w:rPr>
        <w:t xml:space="preserve"> w</w:t>
      </w:r>
      <w:r w:rsidR="003F3D2B">
        <w:rPr>
          <w:noProof/>
        </w:rPr>
        <w:t> </w:t>
      </w:r>
      <w:r w:rsidR="003F3D2B" w:rsidRPr="00624565">
        <w:rPr>
          <w:noProof/>
        </w:rPr>
        <w:t>cel</w:t>
      </w:r>
      <w:r w:rsidRPr="00624565">
        <w:rPr>
          <w:noProof/>
        </w:rPr>
        <w:t>u zapewnienia, aby te dodatkowe koszty administracyjne nie wywarły nieproporcjonalnego wpływu na najmniejsze przedsiębiorstwa (np. małe gospodarstwa rodzinne sprzedające produkty bezpośrednio konsumentom),</w:t>
      </w:r>
      <w:r w:rsidR="003F3D2B" w:rsidRPr="00624565">
        <w:rPr>
          <w:noProof/>
        </w:rPr>
        <w:t xml:space="preserve"> w</w:t>
      </w:r>
      <w:r w:rsidR="003F3D2B">
        <w:rPr>
          <w:noProof/>
        </w:rPr>
        <w:t> </w:t>
      </w:r>
      <w:r w:rsidR="003F3D2B" w:rsidRPr="00624565">
        <w:rPr>
          <w:noProof/>
        </w:rPr>
        <w:t>prz</w:t>
      </w:r>
      <w:r w:rsidRPr="00624565">
        <w:rPr>
          <w:noProof/>
        </w:rPr>
        <w:t>edmiotowym wniosku zwolniono mikroprzedsiębiorstwa (czyli przedsiębiorstwa zatrudniające mniej niż 10 osób, których obroty roczne nie przekraczają 2 mln EUR</w:t>
      </w:r>
      <w:r w:rsidRPr="00624565">
        <w:rPr>
          <w:rStyle w:val="FootnoteReference"/>
          <w:noProof/>
        </w:rPr>
        <w:footnoteReference w:id="55"/>
      </w:r>
      <w:r w:rsidRPr="00624565">
        <w:rPr>
          <w:noProof/>
        </w:rPr>
        <w:t>)</w:t>
      </w:r>
      <w:r w:rsidR="003F3D2B" w:rsidRPr="00624565">
        <w:rPr>
          <w:noProof/>
        </w:rPr>
        <w:t xml:space="preserve"> z</w:t>
      </w:r>
      <w:r w:rsidR="003F3D2B">
        <w:rPr>
          <w:noProof/>
        </w:rPr>
        <w:t> </w:t>
      </w:r>
      <w:r w:rsidR="003F3D2B" w:rsidRPr="00624565">
        <w:rPr>
          <w:noProof/>
        </w:rPr>
        <w:t>obo</w:t>
      </w:r>
      <w:r w:rsidRPr="00624565">
        <w:rPr>
          <w:noProof/>
        </w:rPr>
        <w:t>wiązków określonych</w:t>
      </w:r>
      <w:r w:rsidR="003F3D2B" w:rsidRPr="00624565">
        <w:rPr>
          <w:noProof/>
        </w:rPr>
        <w:t xml:space="preserve"> w</w:t>
      </w:r>
      <w:r w:rsidR="003F3D2B">
        <w:rPr>
          <w:noProof/>
        </w:rPr>
        <w:t> </w:t>
      </w:r>
      <w:r w:rsidR="003F3D2B" w:rsidRPr="00624565">
        <w:rPr>
          <w:noProof/>
        </w:rPr>
        <w:t>nin</w:t>
      </w:r>
      <w:r w:rsidRPr="00624565">
        <w:rPr>
          <w:noProof/>
        </w:rPr>
        <w:t>iejszym wniosku</w:t>
      </w:r>
      <w:r w:rsidR="003F3D2B" w:rsidRPr="00624565">
        <w:rPr>
          <w:noProof/>
        </w:rPr>
        <w:t xml:space="preserve"> w</w:t>
      </w:r>
      <w:r w:rsidR="003F3D2B">
        <w:rPr>
          <w:noProof/>
        </w:rPr>
        <w:t> </w:t>
      </w:r>
      <w:r w:rsidR="003F3D2B" w:rsidRPr="00624565">
        <w:rPr>
          <w:noProof/>
        </w:rPr>
        <w:t>odn</w:t>
      </w:r>
      <w:r w:rsidRPr="00624565">
        <w:rPr>
          <w:noProof/>
        </w:rPr>
        <w:t>iesieniu do uzasadniania wymogów związanych</w:t>
      </w:r>
      <w:r w:rsidR="003F3D2B" w:rsidRPr="00624565">
        <w:rPr>
          <w:noProof/>
        </w:rPr>
        <w:t xml:space="preserve"> z</w:t>
      </w:r>
      <w:r w:rsidR="003F3D2B">
        <w:rPr>
          <w:noProof/>
        </w:rPr>
        <w:t> </w:t>
      </w:r>
      <w:r w:rsidR="003F3D2B" w:rsidRPr="00624565">
        <w:rPr>
          <w:noProof/>
        </w:rPr>
        <w:t>oce</w:t>
      </w:r>
      <w:r w:rsidRPr="00624565">
        <w:rPr>
          <w:noProof/>
        </w:rPr>
        <w:t>ną uzasadnienia</w:t>
      </w:r>
      <w:r w:rsidR="003F3D2B" w:rsidRPr="00624565">
        <w:rPr>
          <w:noProof/>
        </w:rPr>
        <w:t xml:space="preserve"> i</w:t>
      </w:r>
      <w:r w:rsidR="003F3D2B">
        <w:rPr>
          <w:noProof/>
        </w:rPr>
        <w:t> </w:t>
      </w:r>
      <w:r w:rsidR="003F3D2B" w:rsidRPr="00624565">
        <w:rPr>
          <w:noProof/>
        </w:rPr>
        <w:t>inf</w:t>
      </w:r>
      <w:r w:rsidRPr="00624565">
        <w:rPr>
          <w:noProof/>
        </w:rPr>
        <w:t>ormowania</w:t>
      </w:r>
      <w:r w:rsidR="003F3D2B" w:rsidRPr="00624565">
        <w:rPr>
          <w:noProof/>
        </w:rPr>
        <w:t xml:space="preserve"> o</w:t>
      </w:r>
      <w:r w:rsidR="003F3D2B">
        <w:rPr>
          <w:noProof/>
        </w:rPr>
        <w:t> </w:t>
      </w:r>
      <w:r w:rsidR="003F3D2B" w:rsidRPr="00624565">
        <w:rPr>
          <w:noProof/>
        </w:rPr>
        <w:t>nic</w:t>
      </w:r>
      <w:r w:rsidRPr="00624565">
        <w:rPr>
          <w:noProof/>
        </w:rPr>
        <w:t>h. Jeżeli jednak te najmniejsze przedsiębiorstwa mimo to będą chciały otrzymać certyfikat zgodności oświadczenia środowiskowego uznawany</w:t>
      </w:r>
      <w:r w:rsidR="003F3D2B" w:rsidRPr="00624565">
        <w:rPr>
          <w:noProof/>
        </w:rPr>
        <w:t xml:space="preserve"> w</w:t>
      </w:r>
      <w:r w:rsidR="003F3D2B">
        <w:rPr>
          <w:noProof/>
        </w:rPr>
        <w:t> </w:t>
      </w:r>
      <w:r w:rsidR="003F3D2B" w:rsidRPr="00624565">
        <w:rPr>
          <w:noProof/>
        </w:rPr>
        <w:t>cał</w:t>
      </w:r>
      <w:r w:rsidRPr="00624565">
        <w:rPr>
          <w:noProof/>
        </w:rPr>
        <w:t>ej Unii, powinny spełnić wszystkie wymogi określone</w:t>
      </w:r>
      <w:r w:rsidR="003F3D2B" w:rsidRPr="00624565">
        <w:rPr>
          <w:noProof/>
        </w:rPr>
        <w:t xml:space="preserve"> w</w:t>
      </w:r>
      <w:r w:rsidR="003F3D2B">
        <w:rPr>
          <w:noProof/>
        </w:rPr>
        <w:t> </w:t>
      </w:r>
      <w:r w:rsidR="003F3D2B" w:rsidRPr="00624565">
        <w:rPr>
          <w:noProof/>
        </w:rPr>
        <w:t>prz</w:t>
      </w:r>
      <w:r w:rsidRPr="00624565">
        <w:rPr>
          <w:noProof/>
        </w:rPr>
        <w:t>edmiotowym wniosku.</w:t>
      </w:r>
    </w:p>
    <w:p w14:paraId="23FDBBC0" w14:textId="637630AD" w:rsidR="006F075B" w:rsidRPr="00624565" w:rsidRDefault="006F075B" w:rsidP="006F075B">
      <w:pPr>
        <w:tabs>
          <w:tab w:val="num" w:pos="567"/>
        </w:tabs>
        <w:rPr>
          <w:noProof/>
        </w:rPr>
      </w:pPr>
      <w:r w:rsidRPr="00624565">
        <w:rPr>
          <w:noProof/>
        </w:rPr>
        <w:t>Wszyscy przedsiębiorcy,</w:t>
      </w:r>
      <w:r w:rsidR="003F3D2B" w:rsidRPr="00624565">
        <w:rPr>
          <w:noProof/>
        </w:rPr>
        <w:t xml:space="preserve"> w</w:t>
      </w:r>
      <w:r w:rsidR="003F3D2B">
        <w:rPr>
          <w:noProof/>
        </w:rPr>
        <w:t> </w:t>
      </w:r>
      <w:r w:rsidR="003F3D2B" w:rsidRPr="00624565">
        <w:rPr>
          <w:noProof/>
        </w:rPr>
        <w:t>tym</w:t>
      </w:r>
      <w:r w:rsidRPr="00624565">
        <w:rPr>
          <w:noProof/>
        </w:rPr>
        <w:t xml:space="preserve"> najmniejsze przedsiębiorstwa, pozostają jednak objęci zakresem dyrektywy</w:t>
      </w:r>
      <w:r w:rsidR="003F3D2B" w:rsidRPr="00624565">
        <w:rPr>
          <w:noProof/>
        </w:rPr>
        <w:t xml:space="preserve"> o</w:t>
      </w:r>
      <w:r w:rsidR="003F3D2B">
        <w:rPr>
          <w:noProof/>
        </w:rPr>
        <w:t> </w:t>
      </w:r>
      <w:r w:rsidR="003F3D2B" w:rsidRPr="00624565">
        <w:rPr>
          <w:noProof/>
        </w:rPr>
        <w:t>nie</w:t>
      </w:r>
      <w:r w:rsidRPr="00624565">
        <w:rPr>
          <w:noProof/>
        </w:rPr>
        <w:t>uczciwych praktykach handlowych. Oznacza to, że zawarte</w:t>
      </w:r>
      <w:r w:rsidR="003F3D2B" w:rsidRPr="00624565">
        <w:rPr>
          <w:noProof/>
        </w:rPr>
        <w:t xml:space="preserve"> w</w:t>
      </w:r>
      <w:r w:rsidR="003F3D2B">
        <w:rPr>
          <w:noProof/>
        </w:rPr>
        <w:t> </w:t>
      </w:r>
      <w:r w:rsidR="003F3D2B" w:rsidRPr="00624565">
        <w:rPr>
          <w:noProof/>
        </w:rPr>
        <w:t>tej</w:t>
      </w:r>
      <w:r w:rsidRPr="00624565">
        <w:rPr>
          <w:noProof/>
        </w:rPr>
        <w:t xml:space="preserve"> dyrektywie ogólne zasady dotyczące oświadczeń środowiskowych będą nadal obowiązywać,</w:t>
      </w:r>
      <w:r w:rsidR="003F3D2B" w:rsidRPr="00624565">
        <w:rPr>
          <w:noProof/>
        </w:rPr>
        <w:t xml:space="preserve"> a</w:t>
      </w:r>
      <w:r w:rsidR="003F3D2B">
        <w:rPr>
          <w:noProof/>
        </w:rPr>
        <w:t> </w:t>
      </w:r>
      <w:r w:rsidR="003F3D2B" w:rsidRPr="00624565">
        <w:rPr>
          <w:noProof/>
        </w:rPr>
        <w:t>kon</w:t>
      </w:r>
      <w:r w:rsidRPr="00624565">
        <w:rPr>
          <w:noProof/>
        </w:rPr>
        <w:t>sumenci poszkodowani</w:t>
      </w:r>
      <w:r w:rsidR="003F3D2B" w:rsidRPr="00624565">
        <w:rPr>
          <w:noProof/>
        </w:rPr>
        <w:t xml:space="preserve"> w</w:t>
      </w:r>
      <w:r w:rsidR="003F3D2B">
        <w:rPr>
          <w:noProof/>
        </w:rPr>
        <w:t> </w:t>
      </w:r>
      <w:r w:rsidR="003F3D2B" w:rsidRPr="00624565">
        <w:rPr>
          <w:noProof/>
        </w:rPr>
        <w:t>wyn</w:t>
      </w:r>
      <w:r w:rsidRPr="00624565">
        <w:rPr>
          <w:noProof/>
        </w:rPr>
        <w:t>iku nieuczciwych praktyk handlowych</w:t>
      </w:r>
      <w:r w:rsidR="003F3D2B" w:rsidRPr="00624565">
        <w:rPr>
          <w:noProof/>
        </w:rPr>
        <w:t xml:space="preserve"> w</w:t>
      </w:r>
      <w:r w:rsidR="003F3D2B">
        <w:rPr>
          <w:noProof/>
        </w:rPr>
        <w:t> </w:t>
      </w:r>
      <w:r w:rsidR="003F3D2B" w:rsidRPr="00624565">
        <w:rPr>
          <w:noProof/>
        </w:rPr>
        <w:t>dal</w:t>
      </w:r>
      <w:r w:rsidRPr="00624565">
        <w:rPr>
          <w:noProof/>
        </w:rPr>
        <w:t>szym ciągu będą mogli wnosić skargi do właściwych organów</w:t>
      </w:r>
      <w:r w:rsidR="003F3D2B" w:rsidRPr="00624565">
        <w:rPr>
          <w:noProof/>
        </w:rPr>
        <w:t xml:space="preserve"> i</w:t>
      </w:r>
      <w:r w:rsidR="003F3D2B">
        <w:rPr>
          <w:noProof/>
        </w:rPr>
        <w:t> </w:t>
      </w:r>
      <w:r w:rsidR="003F3D2B" w:rsidRPr="00624565">
        <w:rPr>
          <w:noProof/>
        </w:rPr>
        <w:t>doc</w:t>
      </w:r>
      <w:r w:rsidRPr="00624565">
        <w:rPr>
          <w:noProof/>
        </w:rPr>
        <w:t>hodzić roszczeń</w:t>
      </w:r>
      <w:r w:rsidR="003F3D2B" w:rsidRPr="00624565">
        <w:rPr>
          <w:noProof/>
        </w:rPr>
        <w:t xml:space="preserve"> w</w:t>
      </w:r>
      <w:r w:rsidR="003F3D2B">
        <w:rPr>
          <w:noProof/>
        </w:rPr>
        <w:t> </w:t>
      </w:r>
      <w:r w:rsidR="003F3D2B" w:rsidRPr="00624565">
        <w:rPr>
          <w:noProof/>
        </w:rPr>
        <w:t>sąd</w:t>
      </w:r>
      <w:r w:rsidRPr="00624565">
        <w:rPr>
          <w:noProof/>
        </w:rPr>
        <w:t>ach krajowych</w:t>
      </w:r>
      <w:r w:rsidR="003F3D2B" w:rsidRPr="00624565">
        <w:rPr>
          <w:noProof/>
        </w:rPr>
        <w:t xml:space="preserve"> i</w:t>
      </w:r>
      <w:r w:rsidR="003F3D2B">
        <w:rPr>
          <w:noProof/>
        </w:rPr>
        <w:t> </w:t>
      </w:r>
      <w:r w:rsidR="003F3D2B" w:rsidRPr="00624565">
        <w:rPr>
          <w:noProof/>
        </w:rPr>
        <w:t>uni</w:t>
      </w:r>
      <w:r w:rsidRPr="00624565">
        <w:rPr>
          <w:noProof/>
        </w:rPr>
        <w:t>jnych.</w:t>
      </w:r>
    </w:p>
    <w:p w14:paraId="5818727D" w14:textId="0B4EAA42" w:rsidR="006F075B" w:rsidRPr="00624565" w:rsidRDefault="006F075B" w:rsidP="006F075B">
      <w:pPr>
        <w:tabs>
          <w:tab w:val="num" w:pos="567"/>
        </w:tabs>
        <w:rPr>
          <w:noProof/>
        </w:rPr>
      </w:pPr>
      <w:r w:rsidRPr="00624565">
        <w:rPr>
          <w:noProof/>
        </w:rPr>
        <w:t>W przedmiotowym wniosku zwrócono się również do państw członkowskich</w:t>
      </w:r>
      <w:r w:rsidR="003F3D2B" w:rsidRPr="00624565">
        <w:rPr>
          <w:noProof/>
        </w:rPr>
        <w:t xml:space="preserve"> o</w:t>
      </w:r>
      <w:r w:rsidR="003F3D2B">
        <w:rPr>
          <w:noProof/>
        </w:rPr>
        <w:t> </w:t>
      </w:r>
      <w:r w:rsidR="003F3D2B" w:rsidRPr="00624565">
        <w:rPr>
          <w:noProof/>
        </w:rPr>
        <w:t>prz</w:t>
      </w:r>
      <w:r w:rsidRPr="00624565">
        <w:rPr>
          <w:noProof/>
        </w:rPr>
        <w:t>edsięwzięcie odpowiednich środków mających na celu udzielenie pomocy małym</w:t>
      </w:r>
      <w:r w:rsidR="003F3D2B" w:rsidRPr="00624565">
        <w:rPr>
          <w:noProof/>
        </w:rPr>
        <w:t xml:space="preserve"> i</w:t>
      </w:r>
      <w:r w:rsidR="003F3D2B">
        <w:rPr>
          <w:noProof/>
        </w:rPr>
        <w:t> </w:t>
      </w:r>
      <w:r w:rsidR="003F3D2B" w:rsidRPr="00624565">
        <w:rPr>
          <w:noProof/>
        </w:rPr>
        <w:t>śre</w:t>
      </w:r>
      <w:r w:rsidRPr="00624565">
        <w:rPr>
          <w:noProof/>
        </w:rPr>
        <w:t>dnim przedsiębiorstwom</w:t>
      </w:r>
      <w:r w:rsidR="003F3D2B" w:rsidRPr="00624565">
        <w:rPr>
          <w:noProof/>
        </w:rPr>
        <w:t xml:space="preserve"> w</w:t>
      </w:r>
      <w:r w:rsidR="003F3D2B">
        <w:rPr>
          <w:noProof/>
        </w:rPr>
        <w:t> </w:t>
      </w:r>
      <w:r w:rsidR="003F3D2B" w:rsidRPr="00624565">
        <w:rPr>
          <w:noProof/>
        </w:rPr>
        <w:t>sto</w:t>
      </w:r>
      <w:r w:rsidRPr="00624565">
        <w:rPr>
          <w:noProof/>
        </w:rPr>
        <w:t>sowaniu wymogów określonych we wniosku. Oczekuje się, że ułatwiony dostęp do środków takich jak wsparcie finansowe oraz pomoc organizacyjna</w:t>
      </w:r>
      <w:r w:rsidR="003F3D2B" w:rsidRPr="00624565">
        <w:rPr>
          <w:noProof/>
        </w:rPr>
        <w:t xml:space="preserve"> i</w:t>
      </w:r>
      <w:r w:rsidR="003F3D2B">
        <w:rPr>
          <w:noProof/>
        </w:rPr>
        <w:t> </w:t>
      </w:r>
      <w:r w:rsidR="003F3D2B" w:rsidRPr="00624565">
        <w:rPr>
          <w:noProof/>
        </w:rPr>
        <w:t>tec</w:t>
      </w:r>
      <w:r w:rsidRPr="00624565">
        <w:rPr>
          <w:noProof/>
        </w:rPr>
        <w:t>hniczna zachęci te przedsiębiorstwa do udziału</w:t>
      </w:r>
      <w:r w:rsidR="003F3D2B" w:rsidRPr="00624565">
        <w:rPr>
          <w:noProof/>
        </w:rPr>
        <w:t xml:space="preserve"> w</w:t>
      </w:r>
      <w:r w:rsidR="003F3D2B">
        <w:rPr>
          <w:noProof/>
        </w:rPr>
        <w:t> </w:t>
      </w:r>
      <w:r w:rsidR="003F3D2B" w:rsidRPr="00624565">
        <w:rPr>
          <w:noProof/>
        </w:rPr>
        <w:t>zie</w:t>
      </w:r>
      <w:r w:rsidRPr="00624565">
        <w:rPr>
          <w:noProof/>
        </w:rPr>
        <w:t xml:space="preserve">lonej transformacji. </w:t>
      </w:r>
    </w:p>
    <w:p w14:paraId="3CED1906" w14:textId="77777777" w:rsidR="006F075B" w:rsidRPr="00624565" w:rsidRDefault="006F075B" w:rsidP="003D1B02">
      <w:pPr>
        <w:pStyle w:val="Bullet0"/>
        <w:numPr>
          <w:ilvl w:val="0"/>
          <w:numId w:val="17"/>
        </w:numPr>
        <w:rPr>
          <w:noProof/>
        </w:rPr>
      </w:pPr>
      <w:r w:rsidRPr="00624565">
        <w:rPr>
          <w:b/>
          <w:noProof/>
        </w:rPr>
        <w:t>Przewidywane skutki wymogów dotyczących uzasadniania oświadczeń</w:t>
      </w:r>
      <w:r w:rsidRPr="00624565">
        <w:rPr>
          <w:noProof/>
        </w:rPr>
        <w:t xml:space="preserve"> </w:t>
      </w:r>
    </w:p>
    <w:p w14:paraId="6EE5DF6E" w14:textId="7260BEE4" w:rsidR="006F075B" w:rsidRPr="003F3D2B" w:rsidRDefault="006F075B" w:rsidP="006F075B">
      <w:pPr>
        <w:tabs>
          <w:tab w:val="num" w:pos="567"/>
        </w:tabs>
        <w:rPr>
          <w:noProof/>
        </w:rPr>
      </w:pPr>
      <w:r w:rsidRPr="00624565">
        <w:rPr>
          <w:noProof/>
        </w:rPr>
        <w:t xml:space="preserve">W wyniku zakazania oświadczeń, które nie spełniają minimalnych kryteriów, przedmiotowy środek przyczyni się do </w:t>
      </w:r>
      <w:r w:rsidRPr="00624565">
        <w:rPr>
          <w:b/>
          <w:noProof/>
        </w:rPr>
        <w:t>zwiększenia wiarygodności informacji</w:t>
      </w:r>
      <w:r w:rsidRPr="00624565">
        <w:rPr>
          <w:noProof/>
        </w:rPr>
        <w:t xml:space="preserve"> przekazywanych konsumentom</w:t>
      </w:r>
      <w:r w:rsidR="003F3D2B" w:rsidRPr="00624565">
        <w:rPr>
          <w:noProof/>
        </w:rPr>
        <w:t xml:space="preserve"> i</w:t>
      </w:r>
      <w:r w:rsidR="003F3D2B">
        <w:rPr>
          <w:noProof/>
        </w:rPr>
        <w:t> </w:t>
      </w:r>
      <w:r w:rsidR="003F3D2B" w:rsidRPr="00624565">
        <w:rPr>
          <w:noProof/>
        </w:rPr>
        <w:t>w</w:t>
      </w:r>
      <w:r w:rsidR="003F3D2B">
        <w:rPr>
          <w:noProof/>
        </w:rPr>
        <w:t> </w:t>
      </w:r>
      <w:r w:rsidR="003F3D2B" w:rsidRPr="00624565">
        <w:rPr>
          <w:noProof/>
        </w:rPr>
        <w:t>zwi</w:t>
      </w:r>
      <w:r w:rsidRPr="00624565">
        <w:rPr>
          <w:noProof/>
        </w:rPr>
        <w:t>ązku</w:t>
      </w:r>
      <w:r w:rsidR="003F3D2B" w:rsidRPr="00624565">
        <w:rPr>
          <w:noProof/>
        </w:rPr>
        <w:t xml:space="preserve"> z</w:t>
      </w:r>
      <w:r w:rsidR="003F3D2B">
        <w:rPr>
          <w:noProof/>
        </w:rPr>
        <w:t> </w:t>
      </w:r>
      <w:r w:rsidR="003F3D2B" w:rsidRPr="00624565">
        <w:rPr>
          <w:noProof/>
        </w:rPr>
        <w:t>tym</w:t>
      </w:r>
      <w:r w:rsidRPr="00624565">
        <w:rPr>
          <w:noProof/>
        </w:rPr>
        <w:t xml:space="preserve"> wywrze </w:t>
      </w:r>
      <w:r w:rsidRPr="00624565">
        <w:rPr>
          <w:b/>
          <w:noProof/>
        </w:rPr>
        <w:t>pozytywny wpływ na decyzje konsumentów</w:t>
      </w:r>
      <w:r w:rsidRPr="00624565">
        <w:rPr>
          <w:noProof/>
        </w:rPr>
        <w:t>, ułatwiając konsumentom wybór produktów oferujących lepszą efektywność środowiskową,</w:t>
      </w:r>
      <w:r w:rsidR="003F3D2B" w:rsidRPr="00624565">
        <w:rPr>
          <w:noProof/>
        </w:rPr>
        <w:t xml:space="preserve"> a</w:t>
      </w:r>
      <w:r w:rsidR="003F3D2B">
        <w:rPr>
          <w:noProof/>
        </w:rPr>
        <w:t> </w:t>
      </w:r>
      <w:r w:rsidR="003F3D2B" w:rsidRPr="00624565">
        <w:rPr>
          <w:noProof/>
        </w:rPr>
        <w:t>tym</w:t>
      </w:r>
      <w:r w:rsidRPr="00624565">
        <w:rPr>
          <w:noProof/>
        </w:rPr>
        <w:t xml:space="preserve"> samym poprawiając ich dobrobyt. Biorąc pod uwagę, że niektórzy konsumenci będą kupować produkty, które będą rzeczywiście lepsze dla środowiska, szacuje się, że </w:t>
      </w:r>
      <w:r w:rsidRPr="00624565">
        <w:rPr>
          <w:b/>
          <w:noProof/>
        </w:rPr>
        <w:t>wpływ na środowisko będzie bardzo pozytywny</w:t>
      </w:r>
      <w:r w:rsidRPr="003F3D2B">
        <w:rPr>
          <w:b/>
          <w:noProof/>
        </w:rPr>
        <w:t>.</w:t>
      </w:r>
      <w:r w:rsidR="003F3D2B" w:rsidRPr="003F3D2B">
        <w:rPr>
          <w:noProof/>
        </w:rPr>
        <w:t xml:space="preserve"> </w:t>
      </w:r>
    </w:p>
    <w:p w14:paraId="03B98084" w14:textId="456F8509" w:rsidR="006F075B" w:rsidRPr="00624565" w:rsidRDefault="006F075B" w:rsidP="006F075B">
      <w:pPr>
        <w:pStyle w:val="ListParagraph"/>
        <w:ind w:left="0"/>
        <w:rPr>
          <w:noProof/>
        </w:rPr>
      </w:pPr>
      <w:r w:rsidRPr="00624565">
        <w:rPr>
          <w:noProof/>
        </w:rPr>
        <w:t>Jeżeli chodzi</w:t>
      </w:r>
      <w:r w:rsidR="003F3D2B" w:rsidRPr="00624565">
        <w:rPr>
          <w:noProof/>
        </w:rPr>
        <w:t xml:space="preserve"> o</w:t>
      </w:r>
      <w:r w:rsidR="003F3D2B">
        <w:rPr>
          <w:noProof/>
        </w:rPr>
        <w:t> </w:t>
      </w:r>
      <w:r w:rsidR="003F3D2B" w:rsidRPr="00624565">
        <w:rPr>
          <w:b/>
          <w:noProof/>
        </w:rPr>
        <w:t>wpł</w:t>
      </w:r>
      <w:r w:rsidRPr="00624565">
        <w:rPr>
          <w:b/>
          <w:noProof/>
        </w:rPr>
        <w:t>yw na przedsiębiorstwa</w:t>
      </w:r>
      <w:r w:rsidRPr="00624565">
        <w:rPr>
          <w:noProof/>
        </w:rPr>
        <w:t>, oświadczenia niespełniające wspomnianych minimalnych kryteriów będą musiały zostać usunięte. Usunięcie oświadczeń będzie wymagało dostosowania opakowań produktów, ulotek itp., ale koszt dostosowania będzie jednorazowy</w:t>
      </w:r>
      <w:r w:rsidRPr="00624565">
        <w:rPr>
          <w:rStyle w:val="FootnoteReference"/>
          <w:noProof/>
        </w:rPr>
        <w:footnoteReference w:id="56"/>
      </w:r>
      <w:r w:rsidRPr="00624565">
        <w:rPr>
          <w:noProof/>
        </w:rPr>
        <w:t>.</w:t>
      </w:r>
    </w:p>
    <w:p w14:paraId="7E83FDAC" w14:textId="10B596FA" w:rsidR="006F075B" w:rsidRPr="00624565" w:rsidRDefault="006F075B" w:rsidP="006F075B">
      <w:pPr>
        <w:tabs>
          <w:tab w:val="num" w:pos="567"/>
        </w:tabs>
        <w:rPr>
          <w:noProof/>
        </w:rPr>
      </w:pPr>
      <w:r w:rsidRPr="00624565">
        <w:rPr>
          <w:noProof/>
        </w:rPr>
        <w:t xml:space="preserve">Ponadto </w:t>
      </w:r>
      <w:r w:rsidRPr="00624565">
        <w:rPr>
          <w:b/>
          <w:noProof/>
        </w:rPr>
        <w:t>przedsiębiorstwa będą musiały ponieść koszty uzasadnienia oświadczeń</w:t>
      </w:r>
      <w:r w:rsidRPr="00624565">
        <w:rPr>
          <w:noProof/>
        </w:rPr>
        <w:t>. Koszty te będą zależały</w:t>
      </w:r>
      <w:r w:rsidR="003F3D2B" w:rsidRPr="00624565">
        <w:rPr>
          <w:noProof/>
        </w:rPr>
        <w:t xml:space="preserve"> w</w:t>
      </w:r>
      <w:r w:rsidR="003F3D2B">
        <w:rPr>
          <w:noProof/>
        </w:rPr>
        <w:t> </w:t>
      </w:r>
      <w:r w:rsidR="003F3D2B" w:rsidRPr="00624565">
        <w:rPr>
          <w:noProof/>
        </w:rPr>
        <w:t>duż</w:t>
      </w:r>
      <w:r w:rsidRPr="00624565">
        <w:rPr>
          <w:noProof/>
        </w:rPr>
        <w:t>ej mierze od rodzaju oświadczenia środowiskowego, które przedsiębiorstwo będzie chciało złożyć dobrowolnie, oraz od liczby produktów objętych oświadczeniem. Oświadczenia dotyczące wpływu produktu na środowisko</w:t>
      </w:r>
      <w:r w:rsidR="003F3D2B" w:rsidRPr="00624565">
        <w:rPr>
          <w:noProof/>
        </w:rPr>
        <w:t xml:space="preserve"> w</w:t>
      </w:r>
      <w:r w:rsidR="003F3D2B">
        <w:rPr>
          <w:noProof/>
        </w:rPr>
        <w:t> </w:t>
      </w:r>
      <w:r w:rsidR="003F3D2B" w:rsidRPr="00624565">
        <w:rPr>
          <w:noProof/>
        </w:rPr>
        <w:t>cał</w:t>
      </w:r>
      <w:r w:rsidRPr="00624565">
        <w:rPr>
          <w:noProof/>
        </w:rPr>
        <w:t>ym cyklu życia (np. ograniczenie emisji gazów cieplarnianych</w:t>
      </w:r>
      <w:r w:rsidR="003F3D2B" w:rsidRPr="00624565">
        <w:rPr>
          <w:noProof/>
        </w:rPr>
        <w:t xml:space="preserve"> w</w:t>
      </w:r>
      <w:r w:rsidR="003F3D2B">
        <w:rPr>
          <w:noProof/>
        </w:rPr>
        <w:t> </w:t>
      </w:r>
      <w:r w:rsidR="003F3D2B" w:rsidRPr="00624565">
        <w:rPr>
          <w:noProof/>
        </w:rPr>
        <w:t>cał</w:t>
      </w:r>
      <w:r w:rsidRPr="00624565">
        <w:rPr>
          <w:noProof/>
        </w:rPr>
        <w:t>ym cyklu życia oraz</w:t>
      </w:r>
      <w:r w:rsidR="003F3D2B" w:rsidRPr="00624565">
        <w:rPr>
          <w:noProof/>
        </w:rPr>
        <w:t xml:space="preserve"> w</w:t>
      </w:r>
      <w:r w:rsidR="003F3D2B">
        <w:rPr>
          <w:noProof/>
        </w:rPr>
        <w:t> </w:t>
      </w:r>
      <w:r w:rsidR="003F3D2B" w:rsidRPr="00624565">
        <w:rPr>
          <w:noProof/>
        </w:rPr>
        <w:t>łań</w:t>
      </w:r>
      <w:r w:rsidRPr="00624565">
        <w:rPr>
          <w:noProof/>
        </w:rPr>
        <w:t>cuchu wartości) będą wymagały znacząco większych inwestycji niż oświadczenia koncentrujące się na konkretnym aspekcie środowiskowym (np. zawartość materiałów</w:t>
      </w:r>
      <w:r w:rsidR="003F3D2B" w:rsidRPr="00624565">
        <w:rPr>
          <w:noProof/>
        </w:rPr>
        <w:t xml:space="preserve"> z</w:t>
      </w:r>
      <w:r w:rsidR="003F3D2B">
        <w:rPr>
          <w:noProof/>
        </w:rPr>
        <w:t> </w:t>
      </w:r>
      <w:r w:rsidR="003F3D2B" w:rsidRPr="00624565">
        <w:rPr>
          <w:noProof/>
        </w:rPr>
        <w:t>rec</w:t>
      </w:r>
      <w:r w:rsidRPr="00624565">
        <w:rPr>
          <w:noProof/>
        </w:rPr>
        <w:t>yklingu</w:t>
      </w:r>
      <w:r w:rsidR="003F3D2B" w:rsidRPr="00624565">
        <w:rPr>
          <w:noProof/>
        </w:rPr>
        <w:t xml:space="preserve"> w</w:t>
      </w:r>
      <w:r w:rsidR="003F3D2B">
        <w:rPr>
          <w:noProof/>
        </w:rPr>
        <w:t> </w:t>
      </w:r>
      <w:r w:rsidR="003F3D2B" w:rsidRPr="00624565">
        <w:rPr>
          <w:noProof/>
        </w:rPr>
        <w:t>opa</w:t>
      </w:r>
      <w:r w:rsidRPr="00624565">
        <w:rPr>
          <w:noProof/>
        </w:rPr>
        <w:t>kowaniu). Powiązane koszty uzasadnienia oświadczenia mogą znacząco różnić się</w:t>
      </w:r>
      <w:r w:rsidR="003F3D2B" w:rsidRPr="00624565">
        <w:rPr>
          <w:noProof/>
        </w:rPr>
        <w:t xml:space="preserve"> w</w:t>
      </w:r>
      <w:r w:rsidR="003F3D2B">
        <w:rPr>
          <w:noProof/>
        </w:rPr>
        <w:t> </w:t>
      </w:r>
      <w:r w:rsidR="003F3D2B" w:rsidRPr="00624565">
        <w:rPr>
          <w:noProof/>
        </w:rPr>
        <w:t>zal</w:t>
      </w:r>
      <w:r w:rsidRPr="00624565">
        <w:rPr>
          <w:noProof/>
        </w:rPr>
        <w:t>eżności od charakteru</w:t>
      </w:r>
      <w:r w:rsidR="003F3D2B" w:rsidRPr="00624565">
        <w:rPr>
          <w:noProof/>
        </w:rPr>
        <w:t xml:space="preserve"> i</w:t>
      </w:r>
      <w:r w:rsidR="003F3D2B">
        <w:rPr>
          <w:noProof/>
        </w:rPr>
        <w:t> </w:t>
      </w:r>
      <w:r w:rsidR="003F3D2B" w:rsidRPr="00624565">
        <w:rPr>
          <w:noProof/>
        </w:rPr>
        <w:t>zło</w:t>
      </w:r>
      <w:r w:rsidRPr="00624565">
        <w:rPr>
          <w:noProof/>
        </w:rPr>
        <w:t>żoności oświadczenia. Na przykład szacuje się, że koszty uzasadnienia prostego oświadczenia, np. dotyczącego materiałów wykorzystywanych</w:t>
      </w:r>
      <w:r w:rsidR="003F3D2B" w:rsidRPr="00624565">
        <w:rPr>
          <w:noProof/>
        </w:rPr>
        <w:t xml:space="preserve"> w</w:t>
      </w:r>
      <w:r w:rsidR="003F3D2B">
        <w:rPr>
          <w:noProof/>
        </w:rPr>
        <w:t> </w:t>
      </w:r>
      <w:r w:rsidR="003F3D2B" w:rsidRPr="00624565">
        <w:rPr>
          <w:noProof/>
        </w:rPr>
        <w:t>pro</w:t>
      </w:r>
      <w:r w:rsidRPr="00624565">
        <w:rPr>
          <w:noProof/>
        </w:rPr>
        <w:t>dukcji, wyniosą 500 EUR</w:t>
      </w:r>
      <w:r w:rsidRPr="00624565">
        <w:rPr>
          <w:rStyle w:val="FootnoteReference"/>
          <w:noProof/>
        </w:rPr>
        <w:footnoteReference w:id="57"/>
      </w:r>
      <w:r w:rsidRPr="00624565">
        <w:rPr>
          <w:noProof/>
        </w:rPr>
        <w:t>. Jeżeli przedsiębiorstwo zdecyduje się na przykład na złożenie oświadczenia dotyczącego śladu środowiskowego jednego ze swoich produktów</w:t>
      </w:r>
      <w:r w:rsidR="003F3D2B" w:rsidRPr="00624565">
        <w:rPr>
          <w:noProof/>
        </w:rPr>
        <w:t xml:space="preserve"> i</w:t>
      </w:r>
      <w:r w:rsidR="003F3D2B">
        <w:rPr>
          <w:noProof/>
        </w:rPr>
        <w:t> </w:t>
      </w:r>
      <w:r w:rsidR="003F3D2B" w:rsidRPr="00624565">
        <w:rPr>
          <w:noProof/>
        </w:rPr>
        <w:t>będ</w:t>
      </w:r>
      <w:r w:rsidRPr="00624565">
        <w:rPr>
          <w:noProof/>
        </w:rPr>
        <w:t>zie chciało przeprowadzić badanie</w:t>
      </w:r>
      <w:r w:rsidR="003F3D2B" w:rsidRPr="00624565">
        <w:rPr>
          <w:noProof/>
        </w:rPr>
        <w:t xml:space="preserve"> z</w:t>
      </w:r>
      <w:r w:rsidR="003F3D2B">
        <w:rPr>
          <w:noProof/>
        </w:rPr>
        <w:t> </w:t>
      </w:r>
      <w:r w:rsidR="003F3D2B" w:rsidRPr="00624565">
        <w:rPr>
          <w:noProof/>
        </w:rPr>
        <w:t>wyk</w:t>
      </w:r>
      <w:r w:rsidRPr="00624565">
        <w:rPr>
          <w:noProof/>
        </w:rPr>
        <w:t xml:space="preserve">orzystaniem metody oznaczania śladu środowiskowego produktu, takie oświadczenie będzie kosztowało około 8 000 EUR (kwota ta może zostać zmniejszona </w:t>
      </w:r>
      <w:r w:rsidRPr="003F3D2B">
        <w:rPr>
          <w:noProof/>
        </w:rPr>
        <w:t>do</w:t>
      </w:r>
      <w:r w:rsidR="003F3D2B" w:rsidRPr="003F3D2B">
        <w:rPr>
          <w:noProof/>
        </w:rPr>
        <w:t> </w:t>
      </w:r>
      <w:r w:rsidRPr="003F3D2B">
        <w:rPr>
          <w:noProof/>
        </w:rPr>
        <w:t>4</w:t>
      </w:r>
      <w:r w:rsidRPr="00624565">
        <w:rPr>
          <w:noProof/>
        </w:rPr>
        <w:t xml:space="preserve"> 000 EUR, jeżeli będą istniały zasady dotyczące kategorii śladu środowiskowego produktu)</w:t>
      </w:r>
      <w:r w:rsidR="003F3D2B" w:rsidRPr="00624565">
        <w:rPr>
          <w:noProof/>
        </w:rPr>
        <w:t>. W</w:t>
      </w:r>
      <w:r w:rsidR="003F3D2B">
        <w:rPr>
          <w:noProof/>
        </w:rPr>
        <w:t> </w:t>
      </w:r>
      <w:r w:rsidR="003F3D2B" w:rsidRPr="00624565">
        <w:rPr>
          <w:noProof/>
        </w:rPr>
        <w:t>prz</w:t>
      </w:r>
      <w:r w:rsidRPr="00624565">
        <w:rPr>
          <w:noProof/>
        </w:rPr>
        <w:t>ypadku gdy wybrane oświadczenie będzie dotyczyło np. śladu środowiskowego samej organizacji, zastosowanie metod oznaczania śladu środowiskowego organizacji do uzasadnienia oświadczenia może kosztować 54 000 EUR (w przypadku braku zasad sektorowych)</w:t>
      </w:r>
      <w:r w:rsidRPr="00624565">
        <w:rPr>
          <w:rStyle w:val="FootnoteReference"/>
          <w:noProof/>
        </w:rPr>
        <w:footnoteReference w:id="58"/>
      </w:r>
      <w:r w:rsidRPr="00624565">
        <w:rPr>
          <w:noProof/>
        </w:rPr>
        <w:t xml:space="preserve">. </w:t>
      </w:r>
    </w:p>
    <w:p w14:paraId="28A7B8C1" w14:textId="203D2D1E" w:rsidR="006F075B" w:rsidRPr="00624565" w:rsidRDefault="006F075B" w:rsidP="006F075B">
      <w:pPr>
        <w:tabs>
          <w:tab w:val="num" w:pos="567"/>
        </w:tabs>
        <w:rPr>
          <w:noProof/>
        </w:rPr>
      </w:pPr>
      <w:r w:rsidRPr="00624565">
        <w:rPr>
          <w:noProof/>
        </w:rPr>
        <w:t>To jednak przedsiębiorstwa decydują, czy uwzględnić (bądź nie) oświadczenia środowiskowe</w:t>
      </w:r>
      <w:r w:rsidR="003F3D2B" w:rsidRPr="00624565">
        <w:rPr>
          <w:noProof/>
        </w:rPr>
        <w:t xml:space="preserve"> w</w:t>
      </w:r>
      <w:r w:rsidR="003F3D2B">
        <w:rPr>
          <w:noProof/>
        </w:rPr>
        <w:t> </w:t>
      </w:r>
      <w:r w:rsidR="003F3D2B" w:rsidRPr="00624565">
        <w:rPr>
          <w:noProof/>
        </w:rPr>
        <w:t>swo</w:t>
      </w:r>
      <w:r w:rsidRPr="00624565">
        <w:rPr>
          <w:noProof/>
        </w:rPr>
        <w:t xml:space="preserve">ich </w:t>
      </w:r>
      <w:r w:rsidRPr="00624565">
        <w:rPr>
          <w:i/>
          <w:noProof/>
        </w:rPr>
        <w:t>dobrowolnych</w:t>
      </w:r>
      <w:r w:rsidRPr="00624565">
        <w:rPr>
          <w:noProof/>
        </w:rPr>
        <w:t xml:space="preserve"> informacjach handlowych. Oznacza to, że </w:t>
      </w:r>
      <w:r w:rsidRPr="00624565">
        <w:rPr>
          <w:b/>
          <w:noProof/>
        </w:rPr>
        <w:t>przedsiębiorstwa mogą kontrolować swoje koszty</w:t>
      </w:r>
      <w:r w:rsidRPr="00624565">
        <w:rPr>
          <w:noProof/>
        </w:rPr>
        <w:t xml:space="preserve"> za pomocą ustalenia zakresu oświadczenia (o ile chcą złożyć takie oświadczenie), uwzględniając oczekiwany zwrot</w:t>
      </w:r>
      <w:r w:rsidR="003F3D2B" w:rsidRPr="00624565">
        <w:rPr>
          <w:noProof/>
        </w:rPr>
        <w:t xml:space="preserve"> z</w:t>
      </w:r>
      <w:r w:rsidR="003F3D2B">
        <w:rPr>
          <w:noProof/>
        </w:rPr>
        <w:t> </w:t>
      </w:r>
      <w:r w:rsidR="003F3D2B" w:rsidRPr="00624565">
        <w:rPr>
          <w:noProof/>
        </w:rPr>
        <w:t>inw</w:t>
      </w:r>
      <w:r w:rsidRPr="00624565">
        <w:rPr>
          <w:noProof/>
        </w:rPr>
        <w:t>estycji</w:t>
      </w:r>
      <w:r w:rsidR="003F3D2B" w:rsidRPr="00624565">
        <w:rPr>
          <w:noProof/>
        </w:rPr>
        <w:t>. W</w:t>
      </w:r>
      <w:r w:rsidR="003F3D2B">
        <w:rPr>
          <w:noProof/>
        </w:rPr>
        <w:t> </w:t>
      </w:r>
      <w:r w:rsidR="003F3D2B" w:rsidRPr="00624565">
        <w:rPr>
          <w:noProof/>
        </w:rPr>
        <w:t>skr</w:t>
      </w:r>
      <w:r w:rsidRPr="00624565">
        <w:rPr>
          <w:noProof/>
        </w:rPr>
        <w:t>ócie, koszty uzasadnienia mają dla przedsiębiorstw charakter dobrowolny, ponieważ uzasadnienie jest elementem strategii marketingowej przedsiębiorstwa,</w:t>
      </w:r>
      <w:r w:rsidR="003F3D2B" w:rsidRPr="00624565">
        <w:rPr>
          <w:noProof/>
        </w:rPr>
        <w:t xml:space="preserve"> i</w:t>
      </w:r>
      <w:r w:rsidR="003F3D2B">
        <w:rPr>
          <w:noProof/>
        </w:rPr>
        <w:t> </w:t>
      </w:r>
      <w:r w:rsidR="003F3D2B" w:rsidRPr="00624565">
        <w:rPr>
          <w:noProof/>
        </w:rPr>
        <w:t>w</w:t>
      </w:r>
      <w:r w:rsidR="003F3D2B">
        <w:rPr>
          <w:noProof/>
        </w:rPr>
        <w:t> </w:t>
      </w:r>
      <w:r w:rsidR="003F3D2B" w:rsidRPr="00624565">
        <w:rPr>
          <w:noProof/>
        </w:rPr>
        <w:t>zwi</w:t>
      </w:r>
      <w:r w:rsidRPr="00624565">
        <w:rPr>
          <w:noProof/>
        </w:rPr>
        <w:t>ązku</w:t>
      </w:r>
      <w:r w:rsidR="003F3D2B" w:rsidRPr="00624565">
        <w:rPr>
          <w:noProof/>
        </w:rPr>
        <w:t xml:space="preserve"> z</w:t>
      </w:r>
      <w:r w:rsidR="003F3D2B">
        <w:rPr>
          <w:noProof/>
        </w:rPr>
        <w:t> </w:t>
      </w:r>
      <w:r w:rsidR="003F3D2B" w:rsidRPr="00624565">
        <w:rPr>
          <w:noProof/>
        </w:rPr>
        <w:t>tym</w:t>
      </w:r>
      <w:r w:rsidRPr="00624565">
        <w:rPr>
          <w:noProof/>
        </w:rPr>
        <w:t xml:space="preserve"> trudno jest</w:t>
      </w:r>
      <w:r w:rsidR="003F3D2B" w:rsidRPr="00624565">
        <w:rPr>
          <w:noProof/>
        </w:rPr>
        <w:t xml:space="preserve"> w</w:t>
      </w:r>
      <w:r w:rsidR="003F3D2B">
        <w:rPr>
          <w:noProof/>
        </w:rPr>
        <w:t> </w:t>
      </w:r>
      <w:r w:rsidR="003F3D2B" w:rsidRPr="00624565">
        <w:rPr>
          <w:noProof/>
        </w:rPr>
        <w:t>wia</w:t>
      </w:r>
      <w:r w:rsidRPr="00624565">
        <w:rPr>
          <w:noProof/>
        </w:rPr>
        <w:t>rygodny sposób oszacować całkowite koszty dla rynku unijnego.</w:t>
      </w:r>
    </w:p>
    <w:p w14:paraId="456794F6" w14:textId="2A9482FC" w:rsidR="006F075B" w:rsidRPr="003F3D2B" w:rsidRDefault="006F075B" w:rsidP="006F075B">
      <w:pPr>
        <w:tabs>
          <w:tab w:val="num" w:pos="567"/>
        </w:tabs>
        <w:rPr>
          <w:noProof/>
        </w:rPr>
      </w:pPr>
      <w:r w:rsidRPr="00624565">
        <w:rPr>
          <w:noProof/>
        </w:rPr>
        <w:t>Jeżeli chodzi</w:t>
      </w:r>
      <w:r w:rsidR="003F3D2B" w:rsidRPr="00624565">
        <w:rPr>
          <w:noProof/>
        </w:rPr>
        <w:t xml:space="preserve"> o</w:t>
      </w:r>
      <w:r w:rsidR="003F3D2B">
        <w:rPr>
          <w:noProof/>
        </w:rPr>
        <w:t> </w:t>
      </w:r>
      <w:r w:rsidR="003F3D2B" w:rsidRPr="00624565">
        <w:rPr>
          <w:b/>
          <w:noProof/>
        </w:rPr>
        <w:t>kos</w:t>
      </w:r>
      <w:r w:rsidRPr="00624565">
        <w:rPr>
          <w:b/>
          <w:noProof/>
        </w:rPr>
        <w:t>zty egzekwowania</w:t>
      </w:r>
      <w:r w:rsidR="003F3D2B" w:rsidRPr="00624565">
        <w:rPr>
          <w:b/>
          <w:noProof/>
        </w:rPr>
        <w:t xml:space="preserve"> i</w:t>
      </w:r>
      <w:r w:rsidR="003F3D2B">
        <w:rPr>
          <w:b/>
          <w:noProof/>
        </w:rPr>
        <w:t> </w:t>
      </w:r>
      <w:r w:rsidR="003F3D2B" w:rsidRPr="00624565">
        <w:rPr>
          <w:b/>
          <w:noProof/>
        </w:rPr>
        <w:t>inn</w:t>
      </w:r>
      <w:r w:rsidRPr="00624565">
        <w:rPr>
          <w:b/>
          <w:noProof/>
        </w:rPr>
        <w:t>e koszty</w:t>
      </w:r>
      <w:r w:rsidRPr="00624565">
        <w:rPr>
          <w:noProof/>
        </w:rPr>
        <w:t>, właściwe organy będą musiały ocenić, na ile dane oświadczenie spełnia kryteria określone</w:t>
      </w:r>
      <w:r w:rsidR="003F3D2B" w:rsidRPr="00624565">
        <w:rPr>
          <w:noProof/>
        </w:rPr>
        <w:t xml:space="preserve"> w</w:t>
      </w:r>
      <w:r w:rsidR="003F3D2B">
        <w:rPr>
          <w:noProof/>
        </w:rPr>
        <w:t> </w:t>
      </w:r>
      <w:r w:rsidR="003F3D2B" w:rsidRPr="00624565">
        <w:rPr>
          <w:noProof/>
        </w:rPr>
        <w:t>ram</w:t>
      </w:r>
      <w:r w:rsidRPr="00624565">
        <w:rPr>
          <w:noProof/>
        </w:rPr>
        <w:t>ach tego wariantu, tj. czy przedsiębiorstwo formułujące oświadczenie posiada certyfikat zgodności wydany przez akredytowanego weryfikatora. Szereg konsultowanych organów ds. ochrony konsumentów wskazało jednak, że wariant ten może prowadzić do oszczędności, ponieważ jego zastosowanie sprawi, że do uzasadnienia oceny „pseudoekologicznego marketingu” potrzebnych będzie mniej zasobów</w:t>
      </w:r>
      <w:r w:rsidRPr="003F3D2B">
        <w:rPr>
          <w:noProof/>
        </w:rPr>
        <w:t>.</w:t>
      </w:r>
      <w:r w:rsidR="003F3D2B" w:rsidRPr="003F3D2B">
        <w:rPr>
          <w:noProof/>
        </w:rPr>
        <w:t xml:space="preserve"> </w:t>
      </w:r>
    </w:p>
    <w:p w14:paraId="31CA7AD5" w14:textId="19B03E32" w:rsidR="006F075B" w:rsidRPr="00624565" w:rsidRDefault="006F075B" w:rsidP="003D1B02">
      <w:pPr>
        <w:pStyle w:val="Bullet0"/>
        <w:numPr>
          <w:ilvl w:val="0"/>
          <w:numId w:val="17"/>
        </w:numPr>
        <w:rPr>
          <w:noProof/>
        </w:rPr>
      </w:pPr>
      <w:r w:rsidRPr="00624565">
        <w:rPr>
          <w:b/>
          <w:noProof/>
        </w:rPr>
        <w:t>Przewidywane skutki wymogów dotyczących informowania</w:t>
      </w:r>
      <w:r w:rsidR="003F3D2B" w:rsidRPr="00624565">
        <w:rPr>
          <w:b/>
          <w:noProof/>
        </w:rPr>
        <w:t xml:space="preserve"> o</w:t>
      </w:r>
      <w:r w:rsidR="003F3D2B">
        <w:rPr>
          <w:b/>
          <w:noProof/>
        </w:rPr>
        <w:t> </w:t>
      </w:r>
      <w:r w:rsidR="003F3D2B" w:rsidRPr="00624565">
        <w:rPr>
          <w:b/>
          <w:noProof/>
        </w:rPr>
        <w:t>ośw</w:t>
      </w:r>
      <w:r w:rsidRPr="00624565">
        <w:rPr>
          <w:b/>
          <w:noProof/>
        </w:rPr>
        <w:t>iadczeniach</w:t>
      </w:r>
      <w:r w:rsidRPr="00624565">
        <w:rPr>
          <w:noProof/>
        </w:rPr>
        <w:t xml:space="preserve"> </w:t>
      </w:r>
    </w:p>
    <w:p w14:paraId="3FD71293" w14:textId="186BF04A" w:rsidR="006F075B" w:rsidRPr="00624565" w:rsidRDefault="006F075B" w:rsidP="006F075B">
      <w:pPr>
        <w:tabs>
          <w:tab w:val="num" w:pos="567"/>
        </w:tabs>
        <w:rPr>
          <w:noProof/>
        </w:rPr>
      </w:pPr>
      <w:r w:rsidRPr="00624565">
        <w:rPr>
          <w:noProof/>
        </w:rPr>
        <w:t>Oczekuje się, że zasady informowania przyczynią się do zwiększenia jasności</w:t>
      </w:r>
      <w:r w:rsidR="003F3D2B" w:rsidRPr="00624565">
        <w:rPr>
          <w:noProof/>
        </w:rPr>
        <w:t xml:space="preserve"> i</w:t>
      </w:r>
      <w:r w:rsidR="003F3D2B">
        <w:rPr>
          <w:noProof/>
        </w:rPr>
        <w:t> </w:t>
      </w:r>
      <w:r w:rsidR="003F3D2B" w:rsidRPr="00624565">
        <w:rPr>
          <w:noProof/>
        </w:rPr>
        <w:t>prz</w:t>
      </w:r>
      <w:r w:rsidRPr="00624565">
        <w:rPr>
          <w:noProof/>
        </w:rPr>
        <w:t>ejrzystości oświadczeń</w:t>
      </w:r>
      <w:r w:rsidR="003F3D2B" w:rsidRPr="00624565">
        <w:rPr>
          <w:noProof/>
        </w:rPr>
        <w:t xml:space="preserve"> i</w:t>
      </w:r>
      <w:r w:rsidR="003F3D2B">
        <w:rPr>
          <w:noProof/>
        </w:rPr>
        <w:t> </w:t>
      </w:r>
      <w:r w:rsidR="003F3D2B" w:rsidRPr="00624565">
        <w:rPr>
          <w:noProof/>
        </w:rPr>
        <w:t>tym</w:t>
      </w:r>
      <w:r w:rsidRPr="00624565">
        <w:rPr>
          <w:noProof/>
        </w:rPr>
        <w:t xml:space="preserve"> samym </w:t>
      </w:r>
      <w:r w:rsidRPr="00624565">
        <w:rPr>
          <w:b/>
          <w:noProof/>
        </w:rPr>
        <w:t xml:space="preserve">poprawią dobrobyt konsumentów. </w:t>
      </w:r>
      <w:r w:rsidRPr="00624565">
        <w:rPr>
          <w:noProof/>
        </w:rPr>
        <w:t>Jeżeli chodzi</w:t>
      </w:r>
      <w:r w:rsidR="003F3D2B" w:rsidRPr="00624565">
        <w:rPr>
          <w:noProof/>
        </w:rPr>
        <w:t xml:space="preserve"> o</w:t>
      </w:r>
      <w:r w:rsidR="003F3D2B">
        <w:rPr>
          <w:noProof/>
        </w:rPr>
        <w:t> </w:t>
      </w:r>
      <w:r w:rsidR="003F3D2B" w:rsidRPr="00624565">
        <w:rPr>
          <w:noProof/>
        </w:rPr>
        <w:t>kos</w:t>
      </w:r>
      <w:r w:rsidRPr="00624565">
        <w:rPr>
          <w:noProof/>
        </w:rPr>
        <w:t>zty dla przedsiębiorstw, po przeprowadzeniu oceny</w:t>
      </w:r>
      <w:r w:rsidR="003F3D2B" w:rsidRPr="00624565">
        <w:rPr>
          <w:noProof/>
        </w:rPr>
        <w:t xml:space="preserve"> w</w:t>
      </w:r>
      <w:r w:rsidR="003F3D2B">
        <w:rPr>
          <w:noProof/>
        </w:rPr>
        <w:t> </w:t>
      </w:r>
      <w:r w:rsidR="003F3D2B" w:rsidRPr="00624565">
        <w:rPr>
          <w:noProof/>
        </w:rPr>
        <w:t>cel</w:t>
      </w:r>
      <w:r w:rsidRPr="00624565">
        <w:rPr>
          <w:noProof/>
        </w:rPr>
        <w:t>u uzasadnienia oświadczenia dodatkowe koszty zapewnienia zgodności</w:t>
      </w:r>
      <w:r w:rsidR="003F3D2B" w:rsidRPr="00624565">
        <w:rPr>
          <w:noProof/>
        </w:rPr>
        <w:t xml:space="preserve"> z</w:t>
      </w:r>
      <w:r w:rsidR="003F3D2B">
        <w:rPr>
          <w:noProof/>
        </w:rPr>
        <w:t> </w:t>
      </w:r>
      <w:r w:rsidR="003F3D2B" w:rsidRPr="00624565">
        <w:rPr>
          <w:noProof/>
        </w:rPr>
        <w:t>wym</w:t>
      </w:r>
      <w:r w:rsidRPr="00624565">
        <w:rPr>
          <w:noProof/>
        </w:rPr>
        <w:t>ogami dotyczącymi informowania będą niewielkie</w:t>
      </w:r>
      <w:r w:rsidR="003F3D2B" w:rsidRPr="00624565">
        <w:rPr>
          <w:noProof/>
        </w:rPr>
        <w:t xml:space="preserve"> i</w:t>
      </w:r>
      <w:r w:rsidR="003F3D2B">
        <w:rPr>
          <w:noProof/>
        </w:rPr>
        <w:t> </w:t>
      </w:r>
      <w:r w:rsidR="003F3D2B" w:rsidRPr="00624565">
        <w:rPr>
          <w:noProof/>
        </w:rPr>
        <w:t>zwy</w:t>
      </w:r>
      <w:r w:rsidRPr="00624565">
        <w:rPr>
          <w:noProof/>
        </w:rPr>
        <w:t>kle będą uwzględnione</w:t>
      </w:r>
      <w:r w:rsidR="003F3D2B" w:rsidRPr="00624565">
        <w:rPr>
          <w:noProof/>
        </w:rPr>
        <w:t xml:space="preserve"> w</w:t>
      </w:r>
      <w:r w:rsidR="003F3D2B">
        <w:rPr>
          <w:noProof/>
        </w:rPr>
        <w:t> </w:t>
      </w:r>
      <w:r w:rsidR="003F3D2B" w:rsidRPr="00624565">
        <w:rPr>
          <w:noProof/>
        </w:rPr>
        <w:t>kos</w:t>
      </w:r>
      <w:r w:rsidRPr="00624565">
        <w:rPr>
          <w:noProof/>
        </w:rPr>
        <w:t>ztach uzasadnienia.</w:t>
      </w:r>
    </w:p>
    <w:p w14:paraId="38F05909" w14:textId="77777777" w:rsidR="006F075B" w:rsidRPr="00624565" w:rsidRDefault="006F075B" w:rsidP="003D1B02">
      <w:pPr>
        <w:pStyle w:val="Bullet0"/>
        <w:numPr>
          <w:ilvl w:val="0"/>
          <w:numId w:val="17"/>
        </w:numPr>
        <w:rPr>
          <w:b/>
          <w:noProof/>
          <w:szCs w:val="24"/>
        </w:rPr>
      </w:pPr>
      <w:r w:rsidRPr="00624565">
        <w:rPr>
          <w:b/>
          <w:noProof/>
        </w:rPr>
        <w:t>Przewidywane skutki wymogów dotyczących systemów oznakowania</w:t>
      </w:r>
    </w:p>
    <w:p w14:paraId="77947A9E" w14:textId="674DEE49" w:rsidR="006F075B" w:rsidRPr="00624565" w:rsidRDefault="006F075B" w:rsidP="006F075B">
      <w:pPr>
        <w:tabs>
          <w:tab w:val="num" w:pos="567"/>
        </w:tabs>
        <w:rPr>
          <w:noProof/>
        </w:rPr>
      </w:pPr>
      <w:r w:rsidRPr="00624565">
        <w:rPr>
          <w:noProof/>
        </w:rPr>
        <w:t>Wprowadzenie minimalnych kryteriów</w:t>
      </w:r>
      <w:r w:rsidR="003F3D2B" w:rsidRPr="00624565">
        <w:rPr>
          <w:noProof/>
        </w:rPr>
        <w:t xml:space="preserve"> w</w:t>
      </w:r>
      <w:r w:rsidR="003F3D2B">
        <w:rPr>
          <w:noProof/>
        </w:rPr>
        <w:t> </w:t>
      </w:r>
      <w:r w:rsidR="003F3D2B" w:rsidRPr="00624565">
        <w:rPr>
          <w:noProof/>
        </w:rPr>
        <w:t>odn</w:t>
      </w:r>
      <w:r w:rsidRPr="00624565">
        <w:rPr>
          <w:noProof/>
        </w:rPr>
        <w:t>iesieniu do wszystkich oznakowań ekologicznych przyczyni się do zwiększenia przejrzystości</w:t>
      </w:r>
      <w:r w:rsidR="003F3D2B" w:rsidRPr="00624565">
        <w:rPr>
          <w:noProof/>
        </w:rPr>
        <w:t xml:space="preserve"> i</w:t>
      </w:r>
      <w:r w:rsidR="003F3D2B">
        <w:rPr>
          <w:noProof/>
        </w:rPr>
        <w:t> </w:t>
      </w:r>
      <w:r w:rsidR="003F3D2B" w:rsidRPr="00624565">
        <w:rPr>
          <w:noProof/>
        </w:rPr>
        <w:t>wia</w:t>
      </w:r>
      <w:r w:rsidRPr="00624565">
        <w:rPr>
          <w:noProof/>
        </w:rPr>
        <w:t>rygodności oznakowań (oraz spowolni mnożenie oznakowań lub nawet odwróci obecną tendencję ich mnożenia),</w:t>
      </w:r>
      <w:r w:rsidR="003F3D2B" w:rsidRPr="00624565">
        <w:rPr>
          <w:noProof/>
        </w:rPr>
        <w:t xml:space="preserve"> a</w:t>
      </w:r>
      <w:r w:rsidR="003F3D2B">
        <w:rPr>
          <w:noProof/>
        </w:rPr>
        <w:t> </w:t>
      </w:r>
      <w:r w:rsidR="003F3D2B" w:rsidRPr="00624565">
        <w:rPr>
          <w:noProof/>
        </w:rPr>
        <w:t>tak</w:t>
      </w:r>
      <w:r w:rsidRPr="00624565">
        <w:rPr>
          <w:noProof/>
        </w:rPr>
        <w:t>że umożliwi konsumentom podejmowanie wyższej jakości decyzji. Konsumenci będą mieli pewność, że produkty posiadające oznakowanie dotyczące zrównoważonego charakteru spełniają minimalne wymogi dotyczące przejrzystości</w:t>
      </w:r>
      <w:r w:rsidR="003F3D2B" w:rsidRPr="00624565">
        <w:rPr>
          <w:noProof/>
        </w:rPr>
        <w:t xml:space="preserve"> i</w:t>
      </w:r>
      <w:r w:rsidR="003F3D2B">
        <w:rPr>
          <w:noProof/>
        </w:rPr>
        <w:t> </w:t>
      </w:r>
      <w:r w:rsidR="003F3D2B" w:rsidRPr="00624565">
        <w:rPr>
          <w:noProof/>
        </w:rPr>
        <w:t>wia</w:t>
      </w:r>
      <w:r w:rsidRPr="00624565">
        <w:rPr>
          <w:noProof/>
        </w:rPr>
        <w:t>rygodności, co przełoży się na zwiększenie zaufania konsumentów</w:t>
      </w:r>
      <w:r w:rsidR="003F3D2B" w:rsidRPr="00624565">
        <w:rPr>
          <w:noProof/>
        </w:rPr>
        <w:t xml:space="preserve"> i</w:t>
      </w:r>
      <w:r w:rsidR="003F3D2B">
        <w:rPr>
          <w:noProof/>
        </w:rPr>
        <w:t> </w:t>
      </w:r>
      <w:r w:rsidR="003F3D2B" w:rsidRPr="00624565">
        <w:rPr>
          <w:noProof/>
        </w:rPr>
        <w:t>lep</w:t>
      </w:r>
      <w:r w:rsidRPr="00624565">
        <w:rPr>
          <w:noProof/>
        </w:rPr>
        <w:t>sze zrozumienie oznakowań. Oczekuje się, że te dodatkowe wymogi dotyczące zarządzania systemami oznakowania przyczynią się do zmniejszenia liczby oznakowań, ponieważ nierzetelne systemy zostaną wyeliminowane. Należy zauważyć, że warunki przystąpienia do systemów oznakowania ekologicznego mające zastosowanie do małych</w:t>
      </w:r>
      <w:r w:rsidR="003F3D2B" w:rsidRPr="00624565">
        <w:rPr>
          <w:noProof/>
        </w:rPr>
        <w:t xml:space="preserve"> i</w:t>
      </w:r>
      <w:r w:rsidR="003F3D2B">
        <w:rPr>
          <w:noProof/>
        </w:rPr>
        <w:t> </w:t>
      </w:r>
      <w:r w:rsidR="003F3D2B" w:rsidRPr="00624565">
        <w:rPr>
          <w:noProof/>
        </w:rPr>
        <w:t>śre</w:t>
      </w:r>
      <w:r w:rsidRPr="00624565">
        <w:rPr>
          <w:noProof/>
        </w:rPr>
        <w:t>dnich przedsiębiorstw są proporcjonalne do wielkości</w:t>
      </w:r>
      <w:r w:rsidR="003F3D2B" w:rsidRPr="00624565">
        <w:rPr>
          <w:noProof/>
        </w:rPr>
        <w:t xml:space="preserve"> i</w:t>
      </w:r>
      <w:r w:rsidR="003F3D2B">
        <w:rPr>
          <w:noProof/>
        </w:rPr>
        <w:t> </w:t>
      </w:r>
      <w:r w:rsidR="003F3D2B" w:rsidRPr="00624565">
        <w:rPr>
          <w:noProof/>
        </w:rPr>
        <w:t>obr</w:t>
      </w:r>
      <w:r w:rsidRPr="00624565">
        <w:rPr>
          <w:noProof/>
        </w:rPr>
        <w:t xml:space="preserve">otów przedsiębiorstw. </w:t>
      </w:r>
    </w:p>
    <w:p w14:paraId="16310320" w14:textId="6030396D" w:rsidR="006F075B" w:rsidRPr="00624565" w:rsidRDefault="006F075B" w:rsidP="006F075B">
      <w:pPr>
        <w:tabs>
          <w:tab w:val="num" w:pos="567"/>
        </w:tabs>
        <w:rPr>
          <w:rFonts w:eastAsia="Times New Roman"/>
          <w:noProof/>
        </w:rPr>
      </w:pPr>
      <w:r w:rsidRPr="00624565">
        <w:rPr>
          <w:noProof/>
        </w:rPr>
        <w:t>Oczekuje się, że wprowadzenie minimalnych kryteriów oceny sprawiedliwości oznakowań dotyczących zrównoważonego charakteru, jak przewidziano</w:t>
      </w:r>
      <w:r w:rsidR="003F3D2B" w:rsidRPr="00624565">
        <w:rPr>
          <w:noProof/>
        </w:rPr>
        <w:t xml:space="preserve"> w</w:t>
      </w:r>
      <w:r w:rsidR="003F3D2B">
        <w:rPr>
          <w:noProof/>
        </w:rPr>
        <w:t> </w:t>
      </w:r>
      <w:r w:rsidR="003F3D2B" w:rsidRPr="00624565">
        <w:rPr>
          <w:noProof/>
        </w:rPr>
        <w:t>ram</w:t>
      </w:r>
      <w:r w:rsidRPr="00624565">
        <w:rPr>
          <w:noProof/>
        </w:rPr>
        <w:t xml:space="preserve">ach wariantu 2.3.B, spowoduje poprawę </w:t>
      </w:r>
      <w:r w:rsidRPr="00624565">
        <w:rPr>
          <w:b/>
          <w:noProof/>
        </w:rPr>
        <w:t>dobrobytu konsumentów</w:t>
      </w:r>
      <w:r w:rsidRPr="00624565">
        <w:rPr>
          <w:noProof/>
        </w:rPr>
        <w:t>. Jeżeli chodzi</w:t>
      </w:r>
      <w:r w:rsidR="003F3D2B" w:rsidRPr="00624565">
        <w:rPr>
          <w:noProof/>
        </w:rPr>
        <w:t xml:space="preserve"> o</w:t>
      </w:r>
      <w:r w:rsidR="003F3D2B">
        <w:rPr>
          <w:noProof/>
        </w:rPr>
        <w:t> </w:t>
      </w:r>
      <w:r w:rsidR="003F3D2B" w:rsidRPr="00624565">
        <w:rPr>
          <w:b/>
          <w:noProof/>
        </w:rPr>
        <w:t>wpł</w:t>
      </w:r>
      <w:r w:rsidRPr="00624565">
        <w:rPr>
          <w:b/>
          <w:noProof/>
        </w:rPr>
        <w:t>yw na przedsiębiorstwa</w:t>
      </w:r>
      <w:r w:rsidRPr="00624565">
        <w:rPr>
          <w:noProof/>
        </w:rPr>
        <w:t xml:space="preserve">, oczekuje się, że środek ten przyczyni się do powstania równych warunków konkurencji między produktami opatrzonymi oznakowaniem, ponieważ wszystkie produkty będą musiały spełniać takie same wymogi minimalne. Oprócz tego środek ten przyczyni się również do powstania równych warunków konkurencji między organizacjami stosującymi oznakowania. </w:t>
      </w:r>
    </w:p>
    <w:p w14:paraId="7151A2B0" w14:textId="11CF68AA" w:rsidR="006F075B" w:rsidRPr="00624565" w:rsidRDefault="006F075B" w:rsidP="006F075B">
      <w:pPr>
        <w:tabs>
          <w:tab w:val="num" w:pos="567"/>
        </w:tabs>
        <w:rPr>
          <w:rFonts w:eastAsia="Times New Roman"/>
          <w:noProof/>
        </w:rPr>
      </w:pPr>
      <w:r w:rsidRPr="00624565">
        <w:rPr>
          <w:noProof/>
        </w:rPr>
        <w:t>Ponadto oczekuje się, że środek ten przyczyni się do ograniczenia przeszkód utrudniających handel transgraniczny przez uniknięcie niezharmonizowanych podejść krajowych stosowanych przez państwa członkowskie, które borykają się</w:t>
      </w:r>
      <w:r w:rsidR="003F3D2B" w:rsidRPr="00624565">
        <w:rPr>
          <w:noProof/>
        </w:rPr>
        <w:t xml:space="preserve"> z</w:t>
      </w:r>
      <w:r w:rsidR="003F3D2B">
        <w:rPr>
          <w:noProof/>
        </w:rPr>
        <w:t> </w:t>
      </w:r>
      <w:r w:rsidR="003F3D2B" w:rsidRPr="00624565">
        <w:rPr>
          <w:noProof/>
        </w:rPr>
        <w:t>pro</w:t>
      </w:r>
      <w:r w:rsidRPr="00624565">
        <w:rPr>
          <w:noProof/>
        </w:rPr>
        <w:t>blemem mnożenia nieprzejrzystych lub niewiarygodnych oznakowań/logo. To</w:t>
      </w:r>
      <w:r w:rsidR="003F3D2B" w:rsidRPr="00624565">
        <w:rPr>
          <w:noProof/>
        </w:rPr>
        <w:t xml:space="preserve"> z</w:t>
      </w:r>
      <w:r w:rsidR="003F3D2B">
        <w:rPr>
          <w:noProof/>
        </w:rPr>
        <w:t> </w:t>
      </w:r>
      <w:r w:rsidR="003F3D2B" w:rsidRPr="00624565">
        <w:rPr>
          <w:noProof/>
        </w:rPr>
        <w:t>kol</w:t>
      </w:r>
      <w:r w:rsidRPr="00624565">
        <w:rPr>
          <w:noProof/>
        </w:rPr>
        <w:t>ei spowoduje mniejszą niepewność prawa</w:t>
      </w:r>
      <w:r w:rsidR="003F3D2B" w:rsidRPr="00624565">
        <w:rPr>
          <w:noProof/>
        </w:rPr>
        <w:t xml:space="preserve"> i</w:t>
      </w:r>
      <w:r w:rsidR="003F3D2B">
        <w:rPr>
          <w:noProof/>
        </w:rPr>
        <w:t> </w:t>
      </w:r>
      <w:r w:rsidR="003F3D2B" w:rsidRPr="00624565">
        <w:rPr>
          <w:noProof/>
        </w:rPr>
        <w:t>spa</w:t>
      </w:r>
      <w:r w:rsidRPr="00624565">
        <w:rPr>
          <w:noProof/>
        </w:rPr>
        <w:t>dek kosztów</w:t>
      </w:r>
      <w:r w:rsidR="003F3D2B" w:rsidRPr="00624565">
        <w:rPr>
          <w:noProof/>
        </w:rPr>
        <w:t xml:space="preserve"> w</w:t>
      </w:r>
      <w:r w:rsidR="003F3D2B">
        <w:rPr>
          <w:noProof/>
        </w:rPr>
        <w:t> </w:t>
      </w:r>
      <w:r w:rsidR="003F3D2B" w:rsidRPr="00624565">
        <w:rPr>
          <w:noProof/>
        </w:rPr>
        <w:t>prz</w:t>
      </w:r>
      <w:r w:rsidRPr="00624565">
        <w:rPr>
          <w:noProof/>
        </w:rPr>
        <w:t>ypadku przedsiębiorstw, ponieważ będą one musiały przestrzegać podobnych zasad na rynku wewnętrznym.</w:t>
      </w:r>
    </w:p>
    <w:p w14:paraId="63DB1F63" w14:textId="20187DD6" w:rsidR="006F075B" w:rsidRPr="003F3D2B" w:rsidRDefault="006F075B" w:rsidP="006F075B">
      <w:pPr>
        <w:tabs>
          <w:tab w:val="num" w:pos="567"/>
        </w:tabs>
        <w:rPr>
          <w:noProof/>
        </w:rPr>
      </w:pPr>
      <w:r w:rsidRPr="00624565">
        <w:rPr>
          <w:noProof/>
        </w:rPr>
        <w:t>Oczekuje się, że podmioty wystawiające oznakowania/logo</w:t>
      </w:r>
      <w:r w:rsidR="003F3D2B" w:rsidRPr="00624565">
        <w:rPr>
          <w:noProof/>
        </w:rPr>
        <w:t xml:space="preserve"> i</w:t>
      </w:r>
      <w:r w:rsidR="003F3D2B">
        <w:rPr>
          <w:noProof/>
        </w:rPr>
        <w:t> </w:t>
      </w:r>
      <w:r w:rsidR="003F3D2B" w:rsidRPr="00624565">
        <w:rPr>
          <w:noProof/>
        </w:rPr>
        <w:t>zar</w:t>
      </w:r>
      <w:r w:rsidRPr="00624565">
        <w:rPr>
          <w:noProof/>
        </w:rPr>
        <w:t xml:space="preserve">ządzające oznakowaniami/logo będą musiały ponieść pewne </w:t>
      </w:r>
      <w:r w:rsidRPr="00624565">
        <w:rPr>
          <w:b/>
          <w:noProof/>
        </w:rPr>
        <w:t>koszty administracyjne</w:t>
      </w:r>
      <w:r w:rsidRPr="00624565">
        <w:rPr>
          <w:rStyle w:val="FootnoteReference"/>
          <w:rFonts w:eastAsia="Times New Roman"/>
          <w:bCs/>
          <w:noProof/>
          <w:lang w:eastAsia="en-IE"/>
        </w:rPr>
        <w:footnoteReference w:id="59"/>
      </w:r>
      <w:r w:rsidRPr="00624565">
        <w:rPr>
          <w:noProof/>
        </w:rPr>
        <w:t xml:space="preserve">. Podmioty te będą musiały ponieść również znaczne </w:t>
      </w:r>
      <w:r w:rsidRPr="00624565">
        <w:rPr>
          <w:b/>
          <w:noProof/>
        </w:rPr>
        <w:t>koszty przestrzegania przepisów</w:t>
      </w:r>
      <w:r w:rsidRPr="00624565">
        <w:rPr>
          <w:noProof/>
        </w:rPr>
        <w:t xml:space="preserve"> wynikające</w:t>
      </w:r>
      <w:r w:rsidR="003F3D2B" w:rsidRPr="00624565">
        <w:rPr>
          <w:noProof/>
        </w:rPr>
        <w:t xml:space="preserve"> z</w:t>
      </w:r>
      <w:r w:rsidR="003F3D2B">
        <w:rPr>
          <w:noProof/>
        </w:rPr>
        <w:t> </w:t>
      </w:r>
      <w:r w:rsidR="003F3D2B" w:rsidRPr="00624565">
        <w:rPr>
          <w:noProof/>
        </w:rPr>
        <w:t>wdr</w:t>
      </w:r>
      <w:r w:rsidRPr="00624565">
        <w:rPr>
          <w:noProof/>
        </w:rPr>
        <w:t>ożenia niezbędnych zmian do ich wewnętrznych procesów,</w:t>
      </w:r>
      <w:r w:rsidR="003F3D2B" w:rsidRPr="00624565">
        <w:rPr>
          <w:noProof/>
        </w:rPr>
        <w:t xml:space="preserve"> w</w:t>
      </w:r>
      <w:r w:rsidR="003F3D2B">
        <w:rPr>
          <w:noProof/>
        </w:rPr>
        <w:t> </w:t>
      </w:r>
      <w:r w:rsidR="003F3D2B" w:rsidRPr="00624565">
        <w:rPr>
          <w:noProof/>
        </w:rPr>
        <w:t>tym</w:t>
      </w:r>
      <w:r w:rsidRPr="00624565">
        <w:rPr>
          <w:noProof/>
        </w:rPr>
        <w:t xml:space="preserve"> będą musiały przeprowadzić certyfikację dokonywaną przez osoby trzecie dla poszczególnych zastosowań (jeżeli nie zrobiły już tego na etapie podstawowym). Koszty poniesione przez podmioty wystawiające oznakowania</w:t>
      </w:r>
      <w:r w:rsidR="003F3D2B" w:rsidRPr="00624565">
        <w:rPr>
          <w:noProof/>
        </w:rPr>
        <w:t xml:space="preserve"> i</w:t>
      </w:r>
      <w:r w:rsidR="003F3D2B">
        <w:rPr>
          <w:noProof/>
        </w:rPr>
        <w:t> </w:t>
      </w:r>
      <w:r w:rsidR="003F3D2B" w:rsidRPr="00624565">
        <w:rPr>
          <w:noProof/>
        </w:rPr>
        <w:t>zar</w:t>
      </w:r>
      <w:r w:rsidRPr="00624565">
        <w:rPr>
          <w:noProof/>
        </w:rPr>
        <w:t>ządzające oznakowaniami, określone ilościowo</w:t>
      </w:r>
      <w:r w:rsidR="003F3D2B" w:rsidRPr="00624565">
        <w:rPr>
          <w:noProof/>
        </w:rPr>
        <w:t xml:space="preserve"> w</w:t>
      </w:r>
      <w:r w:rsidR="003F3D2B">
        <w:rPr>
          <w:noProof/>
        </w:rPr>
        <w:t> </w:t>
      </w:r>
      <w:r w:rsidR="003F3D2B" w:rsidRPr="00624565">
        <w:rPr>
          <w:noProof/>
        </w:rPr>
        <w:t>oce</w:t>
      </w:r>
      <w:r w:rsidRPr="00624565">
        <w:rPr>
          <w:noProof/>
        </w:rPr>
        <w:t>nie skutków, zostaną przerzucone na producentów</w:t>
      </w:r>
      <w:r w:rsidR="003F3D2B" w:rsidRPr="00624565">
        <w:rPr>
          <w:noProof/>
        </w:rPr>
        <w:t xml:space="preserve"> i</w:t>
      </w:r>
      <w:r w:rsidR="003F3D2B">
        <w:rPr>
          <w:noProof/>
        </w:rPr>
        <w:t> </w:t>
      </w:r>
      <w:r w:rsidR="003F3D2B" w:rsidRPr="00624565">
        <w:rPr>
          <w:noProof/>
        </w:rPr>
        <w:t>spr</w:t>
      </w:r>
      <w:r w:rsidRPr="00624565">
        <w:rPr>
          <w:noProof/>
        </w:rPr>
        <w:t>zedawców wnioskujących</w:t>
      </w:r>
      <w:r w:rsidR="003F3D2B" w:rsidRPr="00624565">
        <w:rPr>
          <w:noProof/>
        </w:rPr>
        <w:t xml:space="preserve"> o</w:t>
      </w:r>
      <w:r w:rsidR="003F3D2B">
        <w:rPr>
          <w:noProof/>
        </w:rPr>
        <w:t> </w:t>
      </w:r>
      <w:r w:rsidR="003F3D2B" w:rsidRPr="00624565">
        <w:rPr>
          <w:noProof/>
        </w:rPr>
        <w:t>ozn</w:t>
      </w:r>
      <w:r w:rsidRPr="00624565">
        <w:rPr>
          <w:noProof/>
        </w:rPr>
        <w:t>akowanie</w:t>
      </w:r>
      <w:r w:rsidRPr="003F3D2B">
        <w:rPr>
          <w:noProof/>
        </w:rPr>
        <w:t>.</w:t>
      </w:r>
      <w:r w:rsidR="003F3D2B" w:rsidRPr="003F3D2B">
        <w:rPr>
          <w:noProof/>
        </w:rPr>
        <w:t xml:space="preserve"> </w:t>
      </w:r>
    </w:p>
    <w:p w14:paraId="68501711" w14:textId="0B38910E" w:rsidR="006F075B" w:rsidRPr="00624565" w:rsidRDefault="006F075B" w:rsidP="006F075B">
      <w:pPr>
        <w:tabs>
          <w:tab w:val="num" w:pos="567"/>
        </w:tabs>
        <w:rPr>
          <w:rFonts w:eastAsia="Times New Roman"/>
          <w:noProof/>
          <w:szCs w:val="24"/>
        </w:rPr>
      </w:pPr>
      <w:r w:rsidRPr="00624565">
        <w:rPr>
          <w:noProof/>
        </w:rPr>
        <w:t>Jeżeli chodzi</w:t>
      </w:r>
      <w:r w:rsidR="003F3D2B" w:rsidRPr="00624565">
        <w:rPr>
          <w:noProof/>
        </w:rPr>
        <w:t xml:space="preserve"> o</w:t>
      </w:r>
      <w:r w:rsidR="003F3D2B">
        <w:rPr>
          <w:noProof/>
        </w:rPr>
        <w:t> </w:t>
      </w:r>
      <w:r w:rsidR="003F3D2B" w:rsidRPr="00624565">
        <w:rPr>
          <w:b/>
          <w:noProof/>
        </w:rPr>
        <w:t>kos</w:t>
      </w:r>
      <w:r w:rsidRPr="00624565">
        <w:rPr>
          <w:b/>
          <w:noProof/>
        </w:rPr>
        <w:t>zty pośrednie</w:t>
      </w:r>
      <w:r w:rsidRPr="00624565">
        <w:rPr>
          <w:noProof/>
        </w:rPr>
        <w:t>, przewiduje się wzrost kosztów wnioskowania</w:t>
      </w:r>
      <w:r w:rsidR="003F3D2B" w:rsidRPr="00624565">
        <w:rPr>
          <w:noProof/>
        </w:rPr>
        <w:t xml:space="preserve"> o</w:t>
      </w:r>
      <w:r w:rsidR="003F3D2B">
        <w:rPr>
          <w:noProof/>
        </w:rPr>
        <w:t> </w:t>
      </w:r>
      <w:r w:rsidR="003F3D2B" w:rsidRPr="00624565">
        <w:rPr>
          <w:noProof/>
        </w:rPr>
        <w:t>ozn</w:t>
      </w:r>
      <w:r w:rsidRPr="00624565">
        <w:rPr>
          <w:noProof/>
        </w:rPr>
        <w:t>akowanie</w:t>
      </w:r>
      <w:r w:rsidR="003F3D2B" w:rsidRPr="00624565">
        <w:rPr>
          <w:noProof/>
        </w:rPr>
        <w:t>. Z</w:t>
      </w:r>
      <w:r w:rsidR="003F3D2B">
        <w:rPr>
          <w:noProof/>
        </w:rPr>
        <w:t> </w:t>
      </w:r>
      <w:r w:rsidR="003F3D2B" w:rsidRPr="00624565">
        <w:rPr>
          <w:noProof/>
        </w:rPr>
        <w:t>dru</w:t>
      </w:r>
      <w:r w:rsidRPr="00624565">
        <w:rPr>
          <w:noProof/>
        </w:rPr>
        <w:t>giej strony większa harmonizacja może przyczynić się do ograniczenia potrzeby wnioskowania</w:t>
      </w:r>
      <w:r w:rsidR="003F3D2B" w:rsidRPr="00624565">
        <w:rPr>
          <w:noProof/>
        </w:rPr>
        <w:t xml:space="preserve"> o</w:t>
      </w:r>
      <w:r w:rsidR="003F3D2B">
        <w:rPr>
          <w:noProof/>
        </w:rPr>
        <w:t> </w:t>
      </w:r>
      <w:r w:rsidR="003F3D2B" w:rsidRPr="00624565">
        <w:rPr>
          <w:noProof/>
        </w:rPr>
        <w:t>kil</w:t>
      </w:r>
      <w:r w:rsidRPr="00624565">
        <w:rPr>
          <w:noProof/>
        </w:rPr>
        <w:t>ka oznakowań.</w:t>
      </w:r>
    </w:p>
    <w:p w14:paraId="6391DBEA" w14:textId="53D935F4" w:rsidR="006F075B" w:rsidRPr="00624565" w:rsidRDefault="006F075B" w:rsidP="006F075B">
      <w:pPr>
        <w:tabs>
          <w:tab w:val="num" w:pos="567"/>
        </w:tabs>
        <w:rPr>
          <w:rFonts w:eastAsia="Times New Roman"/>
          <w:noProof/>
        </w:rPr>
      </w:pPr>
      <w:r w:rsidRPr="00624565">
        <w:rPr>
          <w:noProof/>
        </w:rPr>
        <w:t>Oczekuje się, że</w:t>
      </w:r>
      <w:r w:rsidR="003F3D2B" w:rsidRPr="00624565">
        <w:rPr>
          <w:noProof/>
        </w:rPr>
        <w:t xml:space="preserve"> w</w:t>
      </w:r>
      <w:r w:rsidR="003F3D2B">
        <w:rPr>
          <w:noProof/>
        </w:rPr>
        <w:t> </w:t>
      </w:r>
      <w:r w:rsidR="003F3D2B" w:rsidRPr="00624565">
        <w:rPr>
          <w:noProof/>
        </w:rPr>
        <w:t>odn</w:t>
      </w:r>
      <w:r w:rsidRPr="00624565">
        <w:rPr>
          <w:noProof/>
        </w:rPr>
        <w:t xml:space="preserve">iesieniu do administracji publicznej </w:t>
      </w:r>
      <w:r w:rsidRPr="00624565">
        <w:rPr>
          <w:b/>
          <w:noProof/>
        </w:rPr>
        <w:t>koszty egzekwowania</w:t>
      </w:r>
      <w:r w:rsidRPr="00624565">
        <w:rPr>
          <w:noProof/>
        </w:rPr>
        <w:t>, które zostały oszacowane</w:t>
      </w:r>
      <w:r w:rsidR="003F3D2B" w:rsidRPr="00624565">
        <w:rPr>
          <w:noProof/>
        </w:rPr>
        <w:t xml:space="preserve"> w</w:t>
      </w:r>
      <w:r w:rsidR="003F3D2B">
        <w:rPr>
          <w:noProof/>
        </w:rPr>
        <w:t> </w:t>
      </w:r>
      <w:r w:rsidR="003F3D2B" w:rsidRPr="00624565">
        <w:rPr>
          <w:noProof/>
        </w:rPr>
        <w:t>oce</w:t>
      </w:r>
      <w:r w:rsidRPr="00624565">
        <w:rPr>
          <w:noProof/>
        </w:rPr>
        <w:t>nie skutków, nie będą wysokie, ponieważ zgodnie</w:t>
      </w:r>
      <w:r w:rsidR="003F3D2B" w:rsidRPr="00624565">
        <w:rPr>
          <w:noProof/>
        </w:rPr>
        <w:t xml:space="preserve"> z</w:t>
      </w:r>
      <w:r w:rsidR="003F3D2B">
        <w:rPr>
          <w:noProof/>
        </w:rPr>
        <w:t> </w:t>
      </w:r>
      <w:r w:rsidR="003F3D2B" w:rsidRPr="00624565">
        <w:rPr>
          <w:noProof/>
        </w:rPr>
        <w:t>zap</w:t>
      </w:r>
      <w:r w:rsidRPr="00624565">
        <w:rPr>
          <w:noProof/>
        </w:rPr>
        <w:t xml:space="preserve">roponowanymi kryteriami minimalnymi wymaga się, aby wszystkie odpowiednie informacje były udostępniane online oraz aby oznakowania były poddawane weryfikacji przez osobę trzecią. </w:t>
      </w:r>
    </w:p>
    <w:p w14:paraId="6DAE79B2" w14:textId="0BFA0B1C" w:rsidR="006F075B" w:rsidRPr="00624565" w:rsidRDefault="006F075B" w:rsidP="006F075B">
      <w:pPr>
        <w:tabs>
          <w:tab w:val="num" w:pos="567"/>
        </w:tabs>
        <w:rPr>
          <w:noProof/>
        </w:rPr>
      </w:pPr>
      <w:r w:rsidRPr="00624565">
        <w:rPr>
          <w:noProof/>
        </w:rPr>
        <w:t>Dalsze środki dotyczące oznakowania, opracowane dodatkowo poza oceną skutków, zapewnią silne wsparcie na rzecz osiągnięcia celu, jakim jest powstrzymanie mnożenia systemów oznakowania ekologicznego</w:t>
      </w:r>
      <w:r w:rsidR="003F3D2B" w:rsidRPr="00624565">
        <w:rPr>
          <w:noProof/>
        </w:rPr>
        <w:t xml:space="preserve"> w</w:t>
      </w:r>
      <w:r w:rsidR="003F3D2B">
        <w:rPr>
          <w:noProof/>
        </w:rPr>
        <w:t> </w:t>
      </w:r>
      <w:r w:rsidR="003F3D2B" w:rsidRPr="00624565">
        <w:rPr>
          <w:noProof/>
        </w:rPr>
        <w:t>cał</w:t>
      </w:r>
      <w:r w:rsidRPr="00624565">
        <w:rPr>
          <w:noProof/>
        </w:rPr>
        <w:t>ej UE, oraz przyczynią się do poprawy funkcjonowania rynku wewnętrznego. Dzięki powstrzymaniu pojawiania się nowych systemów publicznych organy regionalne</w:t>
      </w:r>
      <w:r w:rsidR="003F3D2B" w:rsidRPr="00624565">
        <w:rPr>
          <w:noProof/>
        </w:rPr>
        <w:t xml:space="preserve"> i</w:t>
      </w:r>
      <w:r w:rsidR="003F3D2B">
        <w:rPr>
          <w:noProof/>
        </w:rPr>
        <w:t> </w:t>
      </w:r>
      <w:r w:rsidR="003F3D2B" w:rsidRPr="00624565">
        <w:rPr>
          <w:noProof/>
        </w:rPr>
        <w:t>kra</w:t>
      </w:r>
      <w:r w:rsidRPr="00624565">
        <w:rPr>
          <w:noProof/>
        </w:rPr>
        <w:t>jowe nie będą mogły opracowywać oznakowań</w:t>
      </w:r>
      <w:r w:rsidR="003F3D2B" w:rsidRPr="00624565">
        <w:rPr>
          <w:noProof/>
        </w:rPr>
        <w:t xml:space="preserve"> i</w:t>
      </w:r>
      <w:r w:rsidR="003F3D2B">
        <w:rPr>
          <w:noProof/>
        </w:rPr>
        <w:t> </w:t>
      </w:r>
      <w:r w:rsidR="003F3D2B" w:rsidRPr="00624565">
        <w:rPr>
          <w:noProof/>
        </w:rPr>
        <w:t>sys</w:t>
      </w:r>
      <w:r w:rsidRPr="00624565">
        <w:rPr>
          <w:noProof/>
        </w:rPr>
        <w:t>temów oznakowania, które będą musiały zostać poddane przeglądowi lub odrzucone bezpośrednio po wprowadzeniu równoważnego oznakowania na szczeblu UE. Okres między przyjęciem tego środka</w:t>
      </w:r>
      <w:r w:rsidR="003F3D2B" w:rsidRPr="00624565">
        <w:rPr>
          <w:noProof/>
        </w:rPr>
        <w:t xml:space="preserve"> i</w:t>
      </w:r>
      <w:r w:rsidR="003F3D2B">
        <w:rPr>
          <w:noProof/>
        </w:rPr>
        <w:t> </w:t>
      </w:r>
      <w:r w:rsidR="003F3D2B" w:rsidRPr="00624565">
        <w:rPr>
          <w:noProof/>
        </w:rPr>
        <w:t>jeg</w:t>
      </w:r>
      <w:r w:rsidRPr="00624565">
        <w:rPr>
          <w:noProof/>
        </w:rPr>
        <w:t>o wdrożeniem zapewni czas na zaplanowanie działań</w:t>
      </w:r>
      <w:r w:rsidR="003F3D2B" w:rsidRPr="00624565">
        <w:rPr>
          <w:noProof/>
        </w:rPr>
        <w:t xml:space="preserve"> i</w:t>
      </w:r>
      <w:r w:rsidR="003F3D2B">
        <w:rPr>
          <w:noProof/>
        </w:rPr>
        <w:t> </w:t>
      </w:r>
      <w:r w:rsidR="003F3D2B" w:rsidRPr="00624565">
        <w:rPr>
          <w:noProof/>
        </w:rPr>
        <w:t>poz</w:t>
      </w:r>
      <w:r w:rsidRPr="00624565">
        <w:rPr>
          <w:noProof/>
        </w:rPr>
        <w:t>woli uniknąć tych dodatkowych kosztów obciążających organy publiczne. Sporządzanie oznakowań na szczeblu UE dla tej samej grupy produktów zapewni również efektywniejsze wykorzystywanie zasobów, niż gdyby oznakowania były sporządzane na szczeblu krajowym.</w:t>
      </w:r>
    </w:p>
    <w:p w14:paraId="597F8BC3" w14:textId="0FF28079" w:rsidR="006F075B" w:rsidRPr="00624565" w:rsidDel="0073649D" w:rsidRDefault="006F075B" w:rsidP="006F075B">
      <w:pPr>
        <w:tabs>
          <w:tab w:val="num" w:pos="567"/>
        </w:tabs>
        <w:rPr>
          <w:noProof/>
        </w:rPr>
      </w:pPr>
      <w:r w:rsidRPr="00624565">
        <w:rPr>
          <w:noProof/>
        </w:rPr>
        <w:t>Ograniczone zostanie również niekontrolowane ustanawianie nowych systemów oznakowania opracowanych przez podmioty prywatne. Organy państw członkowskich będą musiały zatwierdzić możliwość opracowania takich systemów na podstawie ich wartości dodanej. Oczekuje się, że przyczyni się to do ograniczenia mnożenia systemów. Trudno jest oszacować</w:t>
      </w:r>
      <w:r w:rsidR="003F3D2B" w:rsidRPr="00624565">
        <w:rPr>
          <w:noProof/>
        </w:rPr>
        <w:t xml:space="preserve"> </w:t>
      </w:r>
      <w:r w:rsidR="003F3D2B" w:rsidRPr="00624565">
        <w:rPr>
          <w:b/>
          <w:noProof/>
        </w:rPr>
        <w:t>w</w:t>
      </w:r>
      <w:r w:rsidR="003F3D2B">
        <w:rPr>
          <w:noProof/>
        </w:rPr>
        <w:t> </w:t>
      </w:r>
      <w:r w:rsidR="003F3D2B" w:rsidRPr="00624565">
        <w:rPr>
          <w:b/>
          <w:noProof/>
        </w:rPr>
        <w:t>odn</w:t>
      </w:r>
      <w:r w:rsidRPr="00624565">
        <w:rPr>
          <w:b/>
          <w:noProof/>
        </w:rPr>
        <w:t>iesieniu do organów publicznych koszty administracyjne</w:t>
      </w:r>
      <w:r w:rsidRPr="00624565">
        <w:rPr>
          <w:noProof/>
        </w:rPr>
        <w:t xml:space="preserve"> związane</w:t>
      </w:r>
      <w:r w:rsidR="003F3D2B" w:rsidRPr="00624565">
        <w:rPr>
          <w:noProof/>
        </w:rPr>
        <w:t xml:space="preserve"> z</w:t>
      </w:r>
      <w:r w:rsidR="003F3D2B">
        <w:rPr>
          <w:noProof/>
        </w:rPr>
        <w:t> </w:t>
      </w:r>
      <w:r w:rsidR="003F3D2B" w:rsidRPr="00624565">
        <w:rPr>
          <w:noProof/>
        </w:rPr>
        <w:t>opr</w:t>
      </w:r>
      <w:r w:rsidRPr="00624565">
        <w:rPr>
          <w:noProof/>
        </w:rPr>
        <w:t>acowaniem</w:t>
      </w:r>
      <w:r w:rsidR="003F3D2B" w:rsidRPr="00624565">
        <w:rPr>
          <w:noProof/>
        </w:rPr>
        <w:t xml:space="preserve"> i</w:t>
      </w:r>
      <w:r w:rsidR="003F3D2B">
        <w:rPr>
          <w:noProof/>
        </w:rPr>
        <w:t> </w:t>
      </w:r>
      <w:r w:rsidR="003F3D2B" w:rsidRPr="00624565">
        <w:rPr>
          <w:noProof/>
        </w:rPr>
        <w:t>wdr</w:t>
      </w:r>
      <w:r w:rsidRPr="00624565">
        <w:rPr>
          <w:noProof/>
        </w:rPr>
        <w:t xml:space="preserve">ożeniem procedury zatwierdzania, ponieważ nie ma żadnej pewności co do możliwej liczby wniosków. Oczekuje się, że środek ten spowoduje obciążenie </w:t>
      </w:r>
      <w:r w:rsidRPr="00624565">
        <w:rPr>
          <w:b/>
          <w:noProof/>
        </w:rPr>
        <w:t>przedsiębiorstw kosztami administracyjnymi</w:t>
      </w:r>
      <w:r w:rsidRPr="00624565">
        <w:rPr>
          <w:noProof/>
        </w:rPr>
        <w:t xml:space="preserve"> związanymi</w:t>
      </w:r>
      <w:r w:rsidR="003F3D2B" w:rsidRPr="00624565">
        <w:rPr>
          <w:noProof/>
        </w:rPr>
        <w:t xml:space="preserve"> z</w:t>
      </w:r>
      <w:r w:rsidR="003F3D2B">
        <w:rPr>
          <w:noProof/>
        </w:rPr>
        <w:t> </w:t>
      </w:r>
      <w:r w:rsidR="003F3D2B" w:rsidRPr="00624565">
        <w:rPr>
          <w:noProof/>
        </w:rPr>
        <w:t>dos</w:t>
      </w:r>
      <w:r w:rsidRPr="00624565">
        <w:rPr>
          <w:noProof/>
        </w:rPr>
        <w:t>tarczaniem informacji dołączonych do ich wniosku organom państw członkowskich na potrzeby opracowania prywatnego systemu oznakowania. Te koszty administracyjne nie zostały jeszcze zgłoszone i są one istotne</w:t>
      </w:r>
      <w:r w:rsidR="003F3D2B" w:rsidRPr="00624565">
        <w:rPr>
          <w:noProof/>
        </w:rPr>
        <w:t xml:space="preserve"> w</w:t>
      </w:r>
      <w:r w:rsidR="003F3D2B">
        <w:rPr>
          <w:noProof/>
        </w:rPr>
        <w:t> </w:t>
      </w:r>
      <w:r w:rsidR="003F3D2B" w:rsidRPr="00624565">
        <w:rPr>
          <w:noProof/>
        </w:rPr>
        <w:t>kon</w:t>
      </w:r>
      <w:r w:rsidRPr="00624565">
        <w:rPr>
          <w:noProof/>
        </w:rPr>
        <w:t>tekście podejścia „jedno więcej – jedno mniej”</w:t>
      </w:r>
      <w:r w:rsidR="003F3D2B" w:rsidRPr="00624565">
        <w:rPr>
          <w:noProof/>
        </w:rPr>
        <w:t xml:space="preserve"> w</w:t>
      </w:r>
      <w:r w:rsidR="003F3D2B">
        <w:rPr>
          <w:noProof/>
        </w:rPr>
        <w:t> </w:t>
      </w:r>
      <w:r w:rsidR="003F3D2B" w:rsidRPr="00624565">
        <w:rPr>
          <w:noProof/>
        </w:rPr>
        <w:t>cel</w:t>
      </w:r>
      <w:r w:rsidRPr="00624565">
        <w:rPr>
          <w:noProof/>
        </w:rPr>
        <w:t>u ograniczenia obciążenia administracyjnego. Oczekuje się jednak, że koszty te nie będą wysokie, ponieważ należy spodziewać się stosunkowo niewielkiej liczby takich dostarczanych informacji ze względu na wcześniejsze zawiadomienie</w:t>
      </w:r>
      <w:r w:rsidR="003F3D2B" w:rsidRPr="00624565">
        <w:rPr>
          <w:noProof/>
        </w:rPr>
        <w:t xml:space="preserve"> o</w:t>
      </w:r>
      <w:r w:rsidR="003F3D2B">
        <w:rPr>
          <w:noProof/>
        </w:rPr>
        <w:t> </w:t>
      </w:r>
      <w:r w:rsidR="003F3D2B" w:rsidRPr="00624565">
        <w:rPr>
          <w:noProof/>
        </w:rPr>
        <w:t>ogr</w:t>
      </w:r>
      <w:r w:rsidRPr="00624565">
        <w:rPr>
          <w:noProof/>
        </w:rPr>
        <w:t>aniczeniach dotyczących ustanawiania tego rodzaju systemów, które wynika</w:t>
      </w:r>
      <w:r w:rsidR="003F3D2B" w:rsidRPr="00624565">
        <w:rPr>
          <w:noProof/>
        </w:rPr>
        <w:t xml:space="preserve"> z</w:t>
      </w:r>
      <w:r w:rsidR="003F3D2B">
        <w:rPr>
          <w:noProof/>
        </w:rPr>
        <w:t> </w:t>
      </w:r>
      <w:r w:rsidR="003F3D2B" w:rsidRPr="00624565">
        <w:rPr>
          <w:noProof/>
        </w:rPr>
        <w:t>ods</w:t>
      </w:r>
      <w:r w:rsidRPr="00624565">
        <w:rPr>
          <w:noProof/>
        </w:rPr>
        <w:t>tępu czasu między datą przedstawienia przedmiotowego wniosku</w:t>
      </w:r>
      <w:r w:rsidR="003F3D2B" w:rsidRPr="00624565">
        <w:rPr>
          <w:noProof/>
        </w:rPr>
        <w:t xml:space="preserve"> a</w:t>
      </w:r>
      <w:r w:rsidR="003F3D2B">
        <w:rPr>
          <w:noProof/>
        </w:rPr>
        <w:t> </w:t>
      </w:r>
      <w:r w:rsidR="003F3D2B" w:rsidRPr="00624565">
        <w:rPr>
          <w:noProof/>
        </w:rPr>
        <w:t>dat</w:t>
      </w:r>
      <w:r w:rsidRPr="00624565">
        <w:rPr>
          <w:noProof/>
        </w:rPr>
        <w:t>ą transpozycji (która nastąpi prawdopodobnie za około cztery lata).</w:t>
      </w:r>
    </w:p>
    <w:p w14:paraId="0D21997A" w14:textId="3C100F6D" w:rsidR="006F075B" w:rsidRPr="00624565" w:rsidRDefault="006F075B" w:rsidP="006F075B">
      <w:pPr>
        <w:tabs>
          <w:tab w:val="num" w:pos="567"/>
        </w:tabs>
        <w:rPr>
          <w:noProof/>
        </w:rPr>
      </w:pPr>
      <w:r w:rsidRPr="00624565">
        <w:rPr>
          <w:noProof/>
        </w:rPr>
        <w:t>Ograniczenie możliwości umieszczania na oznakowaniach oceny lub wyniku opartych na zagregowanym wskaźniku wpływu na środowisko wyłącznie do oznakowań opracowanych na szczeblu UE ma na celu ograniczenie dezorientacji konsumentów</w:t>
      </w:r>
      <w:r w:rsidR="003F3D2B" w:rsidRPr="00624565">
        <w:rPr>
          <w:noProof/>
        </w:rPr>
        <w:t xml:space="preserve"> i</w:t>
      </w:r>
      <w:r w:rsidR="003F3D2B">
        <w:rPr>
          <w:noProof/>
        </w:rPr>
        <w:t> </w:t>
      </w:r>
      <w:r w:rsidR="003F3D2B" w:rsidRPr="00624565">
        <w:rPr>
          <w:noProof/>
        </w:rPr>
        <w:t>inf</w:t>
      </w:r>
      <w:r w:rsidRPr="00624565">
        <w:rPr>
          <w:noProof/>
        </w:rPr>
        <w:t>ormacji wprowadzających</w:t>
      </w:r>
      <w:r w:rsidR="003F3D2B" w:rsidRPr="00624565">
        <w:rPr>
          <w:noProof/>
        </w:rPr>
        <w:t xml:space="preserve"> w</w:t>
      </w:r>
      <w:r w:rsidR="003F3D2B">
        <w:rPr>
          <w:noProof/>
        </w:rPr>
        <w:t> </w:t>
      </w:r>
      <w:r w:rsidR="003F3D2B" w:rsidRPr="00624565">
        <w:rPr>
          <w:noProof/>
        </w:rPr>
        <w:t>błą</w:t>
      </w:r>
      <w:r w:rsidRPr="00624565">
        <w:rPr>
          <w:noProof/>
        </w:rPr>
        <w:t>d, jak również ogólne ograniczenie mnożenia oznakowań. Istnieje ryzyko, że charakter zagregowanego wskaźnika mógłby zostać wykorzystany do obniżenia negatywnego wpływu określonych parametrów produktu</w:t>
      </w:r>
      <w:r w:rsidR="003F3D2B" w:rsidRPr="00624565">
        <w:rPr>
          <w:noProof/>
        </w:rPr>
        <w:t xml:space="preserve"> w</w:t>
      </w:r>
      <w:r w:rsidR="003F3D2B">
        <w:rPr>
          <w:noProof/>
        </w:rPr>
        <w:t> </w:t>
      </w:r>
      <w:r w:rsidR="003F3D2B" w:rsidRPr="00624565">
        <w:rPr>
          <w:noProof/>
        </w:rPr>
        <w:t>wyn</w:t>
      </w:r>
      <w:r w:rsidRPr="00624565">
        <w:rPr>
          <w:noProof/>
        </w:rPr>
        <w:t>iku uwzględnienia</w:t>
      </w:r>
      <w:r w:rsidR="003F3D2B" w:rsidRPr="00624565">
        <w:rPr>
          <w:noProof/>
        </w:rPr>
        <w:t xml:space="preserve"> w</w:t>
      </w:r>
      <w:r w:rsidR="003F3D2B">
        <w:rPr>
          <w:noProof/>
        </w:rPr>
        <w:t> </w:t>
      </w:r>
      <w:r w:rsidR="003F3D2B" w:rsidRPr="00624565">
        <w:rPr>
          <w:noProof/>
        </w:rPr>
        <w:t>sze</w:t>
      </w:r>
      <w:r w:rsidRPr="00624565">
        <w:rPr>
          <w:noProof/>
        </w:rPr>
        <w:t>rszym zakresie pozytywnego wpływu innych parametrów,</w:t>
      </w:r>
      <w:r w:rsidR="003F3D2B" w:rsidRPr="00624565">
        <w:rPr>
          <w:noProof/>
        </w:rPr>
        <w:t xml:space="preserve"> a</w:t>
      </w:r>
      <w:r w:rsidR="003F3D2B">
        <w:rPr>
          <w:noProof/>
        </w:rPr>
        <w:t> </w:t>
      </w:r>
      <w:r w:rsidR="003F3D2B" w:rsidRPr="00624565">
        <w:rPr>
          <w:noProof/>
        </w:rPr>
        <w:t>tak</w:t>
      </w:r>
      <w:r w:rsidRPr="00624565">
        <w:rPr>
          <w:noProof/>
        </w:rPr>
        <w:t>że do przekazania konsumentowi wprowadzających</w:t>
      </w:r>
      <w:r w:rsidR="003F3D2B" w:rsidRPr="00624565">
        <w:rPr>
          <w:noProof/>
        </w:rPr>
        <w:t xml:space="preserve"> w</w:t>
      </w:r>
      <w:r w:rsidR="003F3D2B">
        <w:rPr>
          <w:noProof/>
        </w:rPr>
        <w:t> </w:t>
      </w:r>
      <w:r w:rsidR="003F3D2B" w:rsidRPr="00624565">
        <w:rPr>
          <w:noProof/>
        </w:rPr>
        <w:t>błą</w:t>
      </w:r>
      <w:r w:rsidRPr="00624565">
        <w:rPr>
          <w:noProof/>
        </w:rPr>
        <w:t>d informacji na temat faktycznego zasadniczego wpływu produktu. Istotne jest, aby powstrzymać stosowanie potencjalnych systemów</w:t>
      </w:r>
      <w:r w:rsidR="003F3D2B" w:rsidRPr="00624565">
        <w:rPr>
          <w:noProof/>
        </w:rPr>
        <w:t xml:space="preserve"> z</w:t>
      </w:r>
      <w:r w:rsidR="003F3D2B">
        <w:rPr>
          <w:noProof/>
        </w:rPr>
        <w:t> </w:t>
      </w:r>
      <w:r w:rsidR="003F3D2B" w:rsidRPr="00624565">
        <w:rPr>
          <w:noProof/>
        </w:rPr>
        <w:t>agr</w:t>
      </w:r>
      <w:r w:rsidRPr="00624565">
        <w:rPr>
          <w:noProof/>
        </w:rPr>
        <w:t>egowaną oceną punktową na szczeblu regionalnym lub krajowym</w:t>
      </w:r>
      <w:r w:rsidR="003F3D2B" w:rsidRPr="00624565">
        <w:rPr>
          <w:noProof/>
        </w:rPr>
        <w:t xml:space="preserve"> w</w:t>
      </w:r>
      <w:r w:rsidR="003F3D2B">
        <w:rPr>
          <w:noProof/>
        </w:rPr>
        <w:t> </w:t>
      </w:r>
      <w:r w:rsidR="003F3D2B" w:rsidRPr="00624565">
        <w:rPr>
          <w:noProof/>
        </w:rPr>
        <w:t>cel</w:t>
      </w:r>
      <w:r w:rsidRPr="00624565">
        <w:rPr>
          <w:noProof/>
        </w:rPr>
        <w:t>u zapewnienia harmonizacji na rynku wewnętrznym. Ponadto tego rodzaju oznakowania zazwyczaj opierają się na różnych metodykach stosowanych</w:t>
      </w:r>
      <w:r w:rsidR="003F3D2B" w:rsidRPr="00624565">
        <w:rPr>
          <w:noProof/>
        </w:rPr>
        <w:t xml:space="preserve"> w</w:t>
      </w:r>
      <w:r w:rsidR="003F3D2B">
        <w:rPr>
          <w:noProof/>
        </w:rPr>
        <w:t> </w:t>
      </w:r>
      <w:r w:rsidR="003F3D2B" w:rsidRPr="00624565">
        <w:rPr>
          <w:noProof/>
        </w:rPr>
        <w:t>odn</w:t>
      </w:r>
      <w:r w:rsidRPr="00624565">
        <w:rPr>
          <w:noProof/>
        </w:rPr>
        <w:t>iesieniu do tej samej grupy produktów, co może prowadzić do sytuacji,</w:t>
      </w:r>
      <w:r w:rsidR="003F3D2B" w:rsidRPr="00624565">
        <w:rPr>
          <w:noProof/>
        </w:rPr>
        <w:t xml:space="preserve"> w</w:t>
      </w:r>
      <w:r w:rsidR="003F3D2B">
        <w:rPr>
          <w:noProof/>
        </w:rPr>
        <w:t> </w:t>
      </w:r>
      <w:r w:rsidR="003F3D2B" w:rsidRPr="00624565">
        <w:rPr>
          <w:noProof/>
        </w:rPr>
        <w:t>któ</w:t>
      </w:r>
      <w:r w:rsidRPr="00624565">
        <w:rPr>
          <w:noProof/>
        </w:rPr>
        <w:t>rej ten sam produkt otrzyma inną ocenę</w:t>
      </w:r>
      <w:r w:rsidR="003F3D2B" w:rsidRPr="00624565">
        <w:rPr>
          <w:noProof/>
        </w:rPr>
        <w:t xml:space="preserve"> w</w:t>
      </w:r>
      <w:r w:rsidR="003F3D2B">
        <w:rPr>
          <w:noProof/>
        </w:rPr>
        <w:t> </w:t>
      </w:r>
      <w:r w:rsidR="003F3D2B" w:rsidRPr="00624565">
        <w:rPr>
          <w:noProof/>
        </w:rPr>
        <w:t>zal</w:t>
      </w:r>
      <w:r w:rsidRPr="00624565">
        <w:rPr>
          <w:noProof/>
        </w:rPr>
        <w:t>eżności od zastosowanego systemu.</w:t>
      </w:r>
    </w:p>
    <w:p w14:paraId="5D09846E" w14:textId="77777777" w:rsidR="006F075B" w:rsidRPr="00624565" w:rsidRDefault="006F075B" w:rsidP="003D1B02">
      <w:pPr>
        <w:pStyle w:val="Bullet0"/>
        <w:numPr>
          <w:ilvl w:val="0"/>
          <w:numId w:val="17"/>
        </w:numPr>
        <w:rPr>
          <w:b/>
          <w:noProof/>
        </w:rPr>
      </w:pPr>
      <w:r w:rsidRPr="00624565">
        <w:rPr>
          <w:b/>
          <w:noProof/>
        </w:rPr>
        <w:t xml:space="preserve">Przewidywane skutki weryfikacji </w:t>
      </w:r>
      <w:r w:rsidRPr="00624565">
        <w:rPr>
          <w:b/>
          <w:i/>
          <w:iCs/>
          <w:noProof/>
        </w:rPr>
        <w:t>ex ante</w:t>
      </w:r>
    </w:p>
    <w:p w14:paraId="512A691F" w14:textId="4F06D5F6" w:rsidR="006F075B" w:rsidRPr="00624565" w:rsidRDefault="006F075B" w:rsidP="006F075B">
      <w:pPr>
        <w:tabs>
          <w:tab w:val="num" w:pos="567"/>
        </w:tabs>
        <w:rPr>
          <w:noProof/>
          <w:szCs w:val="24"/>
        </w:rPr>
      </w:pPr>
      <w:r w:rsidRPr="00624565">
        <w:rPr>
          <w:noProof/>
        </w:rPr>
        <w:t xml:space="preserve">Weryfikacja </w:t>
      </w:r>
      <w:r w:rsidRPr="00624565">
        <w:rPr>
          <w:i/>
          <w:iCs/>
          <w:noProof/>
        </w:rPr>
        <w:t>ex ante</w:t>
      </w:r>
      <w:r w:rsidRPr="00624565">
        <w:rPr>
          <w:noProof/>
        </w:rPr>
        <w:t xml:space="preserve"> przeprowadzana przez niezależne organy akredytowane ułatwi</w:t>
      </w:r>
      <w:r w:rsidR="003F3D2B" w:rsidRPr="00624565">
        <w:rPr>
          <w:noProof/>
        </w:rPr>
        <w:t xml:space="preserve"> i</w:t>
      </w:r>
      <w:r w:rsidR="003F3D2B">
        <w:rPr>
          <w:noProof/>
        </w:rPr>
        <w:t> </w:t>
      </w:r>
      <w:r w:rsidR="003F3D2B" w:rsidRPr="00624565">
        <w:rPr>
          <w:noProof/>
        </w:rPr>
        <w:t>będ</w:t>
      </w:r>
      <w:r w:rsidRPr="00624565">
        <w:rPr>
          <w:noProof/>
        </w:rPr>
        <w:t xml:space="preserve">zie wspierać </w:t>
      </w:r>
      <w:r w:rsidRPr="00624565">
        <w:rPr>
          <w:b/>
          <w:noProof/>
        </w:rPr>
        <w:t>egzekwowanie wymogów określonych</w:t>
      </w:r>
      <w:r w:rsidR="003F3D2B" w:rsidRPr="00624565">
        <w:rPr>
          <w:b/>
          <w:noProof/>
        </w:rPr>
        <w:t xml:space="preserve"> w</w:t>
      </w:r>
      <w:r w:rsidR="003F3D2B">
        <w:rPr>
          <w:b/>
          <w:noProof/>
        </w:rPr>
        <w:t> </w:t>
      </w:r>
      <w:r w:rsidR="003F3D2B" w:rsidRPr="00624565">
        <w:rPr>
          <w:b/>
          <w:noProof/>
        </w:rPr>
        <w:t>prz</w:t>
      </w:r>
      <w:r w:rsidRPr="00624565">
        <w:rPr>
          <w:b/>
          <w:noProof/>
        </w:rPr>
        <w:t>edmiotowym wniosku</w:t>
      </w:r>
      <w:r w:rsidRPr="00624565">
        <w:rPr>
          <w:noProof/>
        </w:rPr>
        <w:t xml:space="preserve"> bez nadmiernego obciążania zasobów właściwych organów. Certyfikat zgodności umożliwia właściwym organom lokalnym łatwe sprawdzenie wiarygodności oświadczenia na rynku. Skargi zgłaszane</w:t>
      </w:r>
      <w:r w:rsidR="003F3D2B" w:rsidRPr="00624565">
        <w:rPr>
          <w:noProof/>
        </w:rPr>
        <w:t xml:space="preserve"> w</w:t>
      </w:r>
      <w:r w:rsidR="003F3D2B">
        <w:rPr>
          <w:noProof/>
        </w:rPr>
        <w:t> </w:t>
      </w:r>
      <w:r w:rsidR="003F3D2B" w:rsidRPr="00624565">
        <w:rPr>
          <w:noProof/>
        </w:rPr>
        <w:t>sto</w:t>
      </w:r>
      <w:r w:rsidRPr="00624565">
        <w:rPr>
          <w:noProof/>
        </w:rPr>
        <w:t>sunku do oświadczeń,</w:t>
      </w:r>
      <w:r w:rsidR="003F3D2B" w:rsidRPr="00624565">
        <w:rPr>
          <w:noProof/>
        </w:rPr>
        <w:t xml:space="preserve"> w</w:t>
      </w:r>
      <w:r w:rsidR="003F3D2B">
        <w:rPr>
          <w:noProof/>
        </w:rPr>
        <w:t> </w:t>
      </w:r>
      <w:r w:rsidR="003F3D2B" w:rsidRPr="00624565">
        <w:rPr>
          <w:noProof/>
        </w:rPr>
        <w:t>prz</w:t>
      </w:r>
      <w:r w:rsidRPr="00624565">
        <w:rPr>
          <w:noProof/>
        </w:rPr>
        <w:t xml:space="preserve">ypadku których istnieje ważny certyfikat zgodności, można byłoby rozpatrywać szybciej, co przyczyni się do </w:t>
      </w:r>
      <w:r w:rsidRPr="00624565">
        <w:rPr>
          <w:b/>
          <w:noProof/>
        </w:rPr>
        <w:t>oszczędności kosztów egzekwowania</w:t>
      </w:r>
      <w:r w:rsidR="003F3D2B" w:rsidRPr="00624565">
        <w:rPr>
          <w:noProof/>
        </w:rPr>
        <w:t xml:space="preserve"> w</w:t>
      </w:r>
      <w:r w:rsidR="003F3D2B">
        <w:rPr>
          <w:noProof/>
        </w:rPr>
        <w:t> </w:t>
      </w:r>
      <w:r w:rsidR="003F3D2B" w:rsidRPr="00624565">
        <w:rPr>
          <w:noProof/>
        </w:rPr>
        <w:t>por</w:t>
      </w:r>
      <w:r w:rsidRPr="00624565">
        <w:rPr>
          <w:noProof/>
        </w:rPr>
        <w:t>ównaniu</w:t>
      </w:r>
      <w:r w:rsidR="003F3D2B" w:rsidRPr="00624565">
        <w:rPr>
          <w:noProof/>
        </w:rPr>
        <w:t xml:space="preserve"> z</w:t>
      </w:r>
      <w:r w:rsidR="003F3D2B">
        <w:rPr>
          <w:noProof/>
        </w:rPr>
        <w:t> </w:t>
      </w:r>
      <w:r w:rsidR="003F3D2B" w:rsidRPr="00624565">
        <w:rPr>
          <w:noProof/>
        </w:rPr>
        <w:t>dot</w:t>
      </w:r>
      <w:r w:rsidRPr="00624565">
        <w:rPr>
          <w:noProof/>
        </w:rPr>
        <w:t xml:space="preserve">ychczasowym scenariuszem postępowania. </w:t>
      </w:r>
    </w:p>
    <w:p w14:paraId="630F9916" w14:textId="6C790D07" w:rsidR="006F075B" w:rsidRPr="00624565" w:rsidRDefault="006F075B" w:rsidP="006F075B">
      <w:pPr>
        <w:tabs>
          <w:tab w:val="num" w:pos="567"/>
        </w:tabs>
        <w:rPr>
          <w:noProof/>
        </w:rPr>
      </w:pPr>
      <w:r w:rsidRPr="00624565">
        <w:rPr>
          <w:b/>
          <w:noProof/>
        </w:rPr>
        <w:t>Przedsiębiorstwa</w:t>
      </w:r>
      <w:r w:rsidRPr="00624565">
        <w:rPr>
          <w:noProof/>
        </w:rPr>
        <w:t xml:space="preserve"> składające oświadczenia środowiskowe </w:t>
      </w:r>
      <w:r w:rsidRPr="00624565">
        <w:rPr>
          <w:b/>
          <w:noProof/>
        </w:rPr>
        <w:t>odnoszą korzyści</w:t>
      </w:r>
      <w:r w:rsidR="003F3D2B" w:rsidRPr="00624565">
        <w:rPr>
          <w:b/>
          <w:noProof/>
        </w:rPr>
        <w:t xml:space="preserve"> z</w:t>
      </w:r>
      <w:r w:rsidR="003F3D2B">
        <w:rPr>
          <w:b/>
          <w:noProof/>
        </w:rPr>
        <w:t> </w:t>
      </w:r>
      <w:r w:rsidR="003F3D2B" w:rsidRPr="00624565">
        <w:rPr>
          <w:b/>
          <w:noProof/>
        </w:rPr>
        <w:t>pro</w:t>
      </w:r>
      <w:r w:rsidRPr="00624565">
        <w:rPr>
          <w:b/>
          <w:noProof/>
        </w:rPr>
        <w:t>cesu certyfikacji</w:t>
      </w:r>
      <w:r w:rsidRPr="00624565">
        <w:rPr>
          <w:noProof/>
        </w:rPr>
        <w:t xml:space="preserve"> oświadczeń, ponieważ certyfikat zgodności uznawany</w:t>
      </w:r>
      <w:r w:rsidR="003F3D2B" w:rsidRPr="00624565">
        <w:rPr>
          <w:noProof/>
        </w:rPr>
        <w:t xml:space="preserve"> w</w:t>
      </w:r>
      <w:r w:rsidR="003F3D2B">
        <w:rPr>
          <w:noProof/>
        </w:rPr>
        <w:t> </w:t>
      </w:r>
      <w:r w:rsidR="003F3D2B" w:rsidRPr="00624565">
        <w:rPr>
          <w:noProof/>
        </w:rPr>
        <w:t>cał</w:t>
      </w:r>
      <w:r w:rsidRPr="00624565">
        <w:rPr>
          <w:noProof/>
        </w:rPr>
        <w:t>ej UE zapewni pewność prawa</w:t>
      </w:r>
      <w:r w:rsidR="003F3D2B" w:rsidRPr="00624565">
        <w:rPr>
          <w:noProof/>
        </w:rPr>
        <w:t xml:space="preserve"> i</w:t>
      </w:r>
      <w:r w:rsidR="003F3D2B">
        <w:rPr>
          <w:noProof/>
        </w:rPr>
        <w:t> </w:t>
      </w:r>
      <w:r w:rsidR="003F3D2B" w:rsidRPr="00624565">
        <w:rPr>
          <w:noProof/>
        </w:rPr>
        <w:t>będ</w:t>
      </w:r>
      <w:r w:rsidRPr="00624565">
        <w:rPr>
          <w:noProof/>
        </w:rPr>
        <w:t>zie wymagał tylko jednej certyfikacji w UE, dzięki czemu proces certyfikacji będzie tańszy</w:t>
      </w:r>
      <w:r w:rsidR="003F3D2B" w:rsidRPr="00624565">
        <w:rPr>
          <w:noProof/>
        </w:rPr>
        <w:t xml:space="preserve"> i</w:t>
      </w:r>
      <w:r w:rsidR="003F3D2B">
        <w:rPr>
          <w:noProof/>
        </w:rPr>
        <w:t> </w:t>
      </w:r>
      <w:r w:rsidR="003F3D2B" w:rsidRPr="00624565">
        <w:rPr>
          <w:noProof/>
        </w:rPr>
        <w:t>łat</w:t>
      </w:r>
      <w:r w:rsidRPr="00624565">
        <w:rPr>
          <w:noProof/>
        </w:rPr>
        <w:t xml:space="preserve">wiejszy dla podmiotów prowadzących działalność handlową na rynku wewnętrznym. </w:t>
      </w:r>
    </w:p>
    <w:p w14:paraId="6870BE20" w14:textId="49F78863" w:rsidR="006F075B" w:rsidRPr="00624565" w:rsidRDefault="006F075B" w:rsidP="006F075B">
      <w:pPr>
        <w:tabs>
          <w:tab w:val="num" w:pos="567"/>
        </w:tabs>
        <w:rPr>
          <w:noProof/>
        </w:rPr>
      </w:pPr>
      <w:r w:rsidRPr="00624565">
        <w:rPr>
          <w:noProof/>
        </w:rPr>
        <w:t>Jeżeli chodzi</w:t>
      </w:r>
      <w:r w:rsidR="003F3D2B" w:rsidRPr="00624565">
        <w:rPr>
          <w:noProof/>
        </w:rPr>
        <w:t xml:space="preserve"> o</w:t>
      </w:r>
      <w:r w:rsidR="003F3D2B">
        <w:rPr>
          <w:noProof/>
        </w:rPr>
        <w:t> </w:t>
      </w:r>
      <w:r w:rsidR="003F3D2B" w:rsidRPr="00624565">
        <w:rPr>
          <w:b/>
          <w:noProof/>
        </w:rPr>
        <w:t>kos</w:t>
      </w:r>
      <w:r w:rsidRPr="00624565">
        <w:rPr>
          <w:b/>
          <w:noProof/>
        </w:rPr>
        <w:t>zty administracyjne</w:t>
      </w:r>
      <w:r w:rsidR="003F3D2B" w:rsidRPr="00624565">
        <w:rPr>
          <w:b/>
          <w:noProof/>
        </w:rPr>
        <w:t xml:space="preserve"> w</w:t>
      </w:r>
      <w:r w:rsidR="003F3D2B">
        <w:rPr>
          <w:b/>
          <w:noProof/>
        </w:rPr>
        <w:t> </w:t>
      </w:r>
      <w:r w:rsidR="003F3D2B" w:rsidRPr="00624565">
        <w:rPr>
          <w:b/>
          <w:noProof/>
        </w:rPr>
        <w:t>odn</w:t>
      </w:r>
      <w:r w:rsidRPr="00624565">
        <w:rPr>
          <w:b/>
          <w:noProof/>
        </w:rPr>
        <w:t>iesieniu do przedsiębiorstw</w:t>
      </w:r>
      <w:r w:rsidRPr="00624565">
        <w:rPr>
          <w:noProof/>
        </w:rPr>
        <w:t xml:space="preserve">, przed złożeniem oświadczenia środowiskowego przedsiębiorstwa będą musiały dostarczyć „weryfikatorowi” wniosek </w:t>
      </w:r>
      <w:r w:rsidRPr="00624565">
        <w:rPr>
          <w:i/>
          <w:iCs/>
          <w:noProof/>
        </w:rPr>
        <w:t>ex ante</w:t>
      </w:r>
      <w:r w:rsidR="003F3D2B" w:rsidRPr="00624565">
        <w:rPr>
          <w:noProof/>
        </w:rPr>
        <w:t xml:space="preserve"> o</w:t>
      </w:r>
      <w:r w:rsidR="003F3D2B">
        <w:rPr>
          <w:noProof/>
        </w:rPr>
        <w:t> </w:t>
      </w:r>
      <w:r w:rsidR="003F3D2B" w:rsidRPr="00624565">
        <w:rPr>
          <w:noProof/>
        </w:rPr>
        <w:t>wyd</w:t>
      </w:r>
      <w:r w:rsidRPr="00624565">
        <w:rPr>
          <w:noProof/>
        </w:rPr>
        <w:t>anie certyfikatu zgodności. Przedmiotowe koszty administracyjne będą zależeć od zakresu każdego dobrowolnie złożonego oświadczenia oraz od spodziewanej liczby oświadczeń, co utrudnia wiarygodne oszacowanie ogólnych kosztów dla rynku unijnego</w:t>
      </w:r>
      <w:r w:rsidR="003F3D2B" w:rsidRPr="00624565">
        <w:rPr>
          <w:noProof/>
        </w:rPr>
        <w:t>. Z</w:t>
      </w:r>
      <w:r w:rsidR="003F3D2B">
        <w:rPr>
          <w:noProof/>
        </w:rPr>
        <w:t> </w:t>
      </w:r>
      <w:r w:rsidR="003F3D2B" w:rsidRPr="00624565">
        <w:rPr>
          <w:noProof/>
        </w:rPr>
        <w:t>teg</w:t>
      </w:r>
      <w:r w:rsidRPr="00624565">
        <w:rPr>
          <w:noProof/>
        </w:rPr>
        <w:t>o powodu koszty te nie zostały jeszcze zgłoszone, chociaż są istotne</w:t>
      </w:r>
      <w:r w:rsidR="003F3D2B" w:rsidRPr="00624565">
        <w:rPr>
          <w:noProof/>
        </w:rPr>
        <w:t xml:space="preserve"> w</w:t>
      </w:r>
      <w:r w:rsidR="003F3D2B">
        <w:rPr>
          <w:noProof/>
        </w:rPr>
        <w:t> </w:t>
      </w:r>
      <w:r w:rsidR="003F3D2B" w:rsidRPr="00624565">
        <w:rPr>
          <w:noProof/>
        </w:rPr>
        <w:t>kon</w:t>
      </w:r>
      <w:r w:rsidRPr="00624565">
        <w:rPr>
          <w:noProof/>
        </w:rPr>
        <w:t>tekście podejścia „jedno więcej – jedno mniej”</w:t>
      </w:r>
      <w:r w:rsidR="003F3D2B" w:rsidRPr="00624565">
        <w:rPr>
          <w:noProof/>
        </w:rPr>
        <w:t xml:space="preserve"> w</w:t>
      </w:r>
      <w:r w:rsidR="003F3D2B">
        <w:rPr>
          <w:noProof/>
        </w:rPr>
        <w:t> </w:t>
      </w:r>
      <w:r w:rsidR="003F3D2B" w:rsidRPr="00624565">
        <w:rPr>
          <w:noProof/>
        </w:rPr>
        <w:t>cel</w:t>
      </w:r>
      <w:r w:rsidRPr="00624565">
        <w:rPr>
          <w:noProof/>
        </w:rPr>
        <w:t>u ograniczenia obciążenia administracyjnego.</w:t>
      </w:r>
    </w:p>
    <w:p w14:paraId="483AC95C" w14:textId="0FD79055" w:rsidR="006F075B" w:rsidRPr="00624565" w:rsidRDefault="006F075B" w:rsidP="003D1B02">
      <w:pPr>
        <w:pStyle w:val="Bullet0"/>
        <w:numPr>
          <w:ilvl w:val="0"/>
          <w:numId w:val="17"/>
        </w:numPr>
        <w:rPr>
          <w:b/>
          <w:noProof/>
        </w:rPr>
      </w:pPr>
      <w:r w:rsidRPr="00624565">
        <w:rPr>
          <w:b/>
          <w:noProof/>
        </w:rPr>
        <w:t>Oczekiwane postępy</w:t>
      </w:r>
      <w:r w:rsidR="003F3D2B" w:rsidRPr="00624565">
        <w:rPr>
          <w:b/>
          <w:noProof/>
        </w:rPr>
        <w:t xml:space="preserve"> w</w:t>
      </w:r>
      <w:r w:rsidR="003F3D2B">
        <w:rPr>
          <w:b/>
          <w:noProof/>
        </w:rPr>
        <w:t> </w:t>
      </w:r>
      <w:r w:rsidR="003F3D2B" w:rsidRPr="00624565">
        <w:rPr>
          <w:b/>
          <w:noProof/>
        </w:rPr>
        <w:t>kie</w:t>
      </w:r>
      <w:r w:rsidRPr="00624565">
        <w:rPr>
          <w:b/>
          <w:noProof/>
        </w:rPr>
        <w:t>runku osiągnięcia odpowiednich celów zrównoważonego rozwoju</w:t>
      </w:r>
    </w:p>
    <w:p w14:paraId="124BB24E" w14:textId="658954E2" w:rsidR="006F075B" w:rsidRPr="00624565" w:rsidRDefault="006F075B" w:rsidP="006F075B">
      <w:pPr>
        <w:tabs>
          <w:tab w:val="num" w:pos="567"/>
        </w:tabs>
        <w:rPr>
          <w:noProof/>
        </w:rPr>
      </w:pPr>
      <w:r w:rsidRPr="00624565">
        <w:rPr>
          <w:noProof/>
        </w:rPr>
        <w:t>Jeżeli chodzi</w:t>
      </w:r>
      <w:r w:rsidR="003F3D2B" w:rsidRPr="00624565">
        <w:rPr>
          <w:noProof/>
        </w:rPr>
        <w:t xml:space="preserve"> o</w:t>
      </w:r>
      <w:r w:rsidR="003F3D2B">
        <w:rPr>
          <w:noProof/>
        </w:rPr>
        <w:t> </w:t>
      </w:r>
      <w:r w:rsidR="003F3D2B" w:rsidRPr="00624565">
        <w:rPr>
          <w:noProof/>
        </w:rPr>
        <w:t>cel</w:t>
      </w:r>
      <w:r w:rsidRPr="00624565">
        <w:rPr>
          <w:noProof/>
        </w:rPr>
        <w:t xml:space="preserve"> zrównoważonego rozwoju </w:t>
      </w:r>
      <w:r w:rsidRPr="003F3D2B">
        <w:rPr>
          <w:noProof/>
        </w:rPr>
        <w:t>nr</w:t>
      </w:r>
      <w:r w:rsidR="003F3D2B" w:rsidRPr="003F3D2B">
        <w:rPr>
          <w:noProof/>
        </w:rPr>
        <w:t> </w:t>
      </w:r>
      <w:r w:rsidRPr="003F3D2B">
        <w:rPr>
          <w:noProof/>
        </w:rPr>
        <w:t>1</w:t>
      </w:r>
      <w:r w:rsidRPr="00624565">
        <w:rPr>
          <w:noProof/>
        </w:rPr>
        <w:t>2 polegający na zapewnieniu wzorców zrównoważonej konsumpcji</w:t>
      </w:r>
      <w:r w:rsidR="003F3D2B" w:rsidRPr="00624565">
        <w:rPr>
          <w:noProof/>
        </w:rPr>
        <w:t xml:space="preserve"> i</w:t>
      </w:r>
      <w:r w:rsidR="003F3D2B">
        <w:rPr>
          <w:noProof/>
        </w:rPr>
        <w:t> </w:t>
      </w:r>
      <w:r w:rsidR="003F3D2B" w:rsidRPr="00624565">
        <w:rPr>
          <w:noProof/>
        </w:rPr>
        <w:t>pro</w:t>
      </w:r>
      <w:r w:rsidRPr="00624565">
        <w:rPr>
          <w:noProof/>
        </w:rPr>
        <w:t>dukcji, oczekuje się, że wdrożenie preferowanego wariantu strategicznego</w:t>
      </w:r>
      <w:r w:rsidR="003F3D2B" w:rsidRPr="00624565">
        <w:rPr>
          <w:noProof/>
        </w:rPr>
        <w:t xml:space="preserve"> w</w:t>
      </w:r>
      <w:r w:rsidR="003F3D2B">
        <w:rPr>
          <w:noProof/>
        </w:rPr>
        <w:t> </w:t>
      </w:r>
      <w:r w:rsidR="003F3D2B" w:rsidRPr="00624565">
        <w:rPr>
          <w:noProof/>
        </w:rPr>
        <w:t>ram</w:t>
      </w:r>
      <w:r w:rsidRPr="00624565">
        <w:rPr>
          <w:noProof/>
        </w:rPr>
        <w:t>ach przedmiotowego wniosku oraz</w:t>
      </w:r>
      <w:r w:rsidR="003F3D2B" w:rsidRPr="00624565">
        <w:rPr>
          <w:noProof/>
        </w:rPr>
        <w:t xml:space="preserve"> w</w:t>
      </w:r>
      <w:r w:rsidR="003F3D2B">
        <w:rPr>
          <w:noProof/>
        </w:rPr>
        <w:t> </w:t>
      </w:r>
      <w:r w:rsidR="003F3D2B" w:rsidRPr="00624565">
        <w:rPr>
          <w:noProof/>
        </w:rPr>
        <w:t>ram</w:t>
      </w:r>
      <w:r w:rsidRPr="00624565">
        <w:rPr>
          <w:noProof/>
        </w:rPr>
        <w:t>ach wniosku dotyczącego wzmacniania pozycji konsumentów</w:t>
      </w:r>
      <w:r w:rsidR="003F3D2B" w:rsidRPr="00624565">
        <w:rPr>
          <w:noProof/>
        </w:rPr>
        <w:t xml:space="preserve"> w</w:t>
      </w:r>
      <w:r w:rsidR="003F3D2B">
        <w:rPr>
          <w:noProof/>
        </w:rPr>
        <w:t> </w:t>
      </w:r>
      <w:r w:rsidR="003F3D2B" w:rsidRPr="00624565">
        <w:rPr>
          <w:noProof/>
        </w:rPr>
        <w:t>pro</w:t>
      </w:r>
      <w:r w:rsidRPr="00624565">
        <w:rPr>
          <w:noProof/>
        </w:rPr>
        <w:t>cesie transformacji ekologicznej doprowadzi do zwiększenia liczby nabywanych produktów, które nie wprowadzają konsumenta</w:t>
      </w:r>
      <w:r w:rsidR="003F3D2B" w:rsidRPr="00624565">
        <w:rPr>
          <w:noProof/>
        </w:rPr>
        <w:t xml:space="preserve"> w</w:t>
      </w:r>
      <w:r w:rsidR="003F3D2B">
        <w:rPr>
          <w:noProof/>
        </w:rPr>
        <w:t> </w:t>
      </w:r>
      <w:r w:rsidR="003F3D2B" w:rsidRPr="00624565">
        <w:rPr>
          <w:noProof/>
        </w:rPr>
        <w:t>błą</w:t>
      </w:r>
      <w:r w:rsidRPr="00624565">
        <w:rPr>
          <w:noProof/>
        </w:rPr>
        <w:t>d</w:t>
      </w:r>
      <w:r w:rsidR="003F3D2B" w:rsidRPr="00624565">
        <w:rPr>
          <w:noProof/>
        </w:rPr>
        <w:t xml:space="preserve"> w</w:t>
      </w:r>
      <w:r w:rsidR="003F3D2B">
        <w:rPr>
          <w:noProof/>
        </w:rPr>
        <w:t> </w:t>
      </w:r>
      <w:r w:rsidR="003F3D2B" w:rsidRPr="00624565">
        <w:rPr>
          <w:noProof/>
        </w:rPr>
        <w:t>kwe</w:t>
      </w:r>
      <w:r w:rsidRPr="00624565">
        <w:rPr>
          <w:noProof/>
        </w:rPr>
        <w:t>stii ich wpływu na środowisko. Oczekuje się, że przedmiotowe inicjatywy przyczynią się do lepszej ochrony konsumentów przed nieuczciwymi praktykami handlowymi, takimi jak pseudoekologiczny marketing lub nieprzejrzyste dobrowolne oznakowania dotyczące zrównoważonego charakteru, które to praktyki są niezgodne</w:t>
      </w:r>
      <w:r w:rsidR="003F3D2B" w:rsidRPr="00624565">
        <w:rPr>
          <w:noProof/>
        </w:rPr>
        <w:t xml:space="preserve"> z</w:t>
      </w:r>
      <w:r w:rsidR="003F3D2B">
        <w:rPr>
          <w:noProof/>
        </w:rPr>
        <w:t> </w:t>
      </w:r>
      <w:r w:rsidR="003F3D2B" w:rsidRPr="00624565">
        <w:rPr>
          <w:noProof/>
        </w:rPr>
        <w:t>tra</w:t>
      </w:r>
      <w:r w:rsidRPr="00624565">
        <w:rPr>
          <w:noProof/>
        </w:rPr>
        <w:t>nsformacją ekologiczną. Jeżeli chodzi</w:t>
      </w:r>
      <w:r w:rsidR="003F3D2B" w:rsidRPr="00624565">
        <w:rPr>
          <w:noProof/>
        </w:rPr>
        <w:t xml:space="preserve"> o</w:t>
      </w:r>
      <w:r w:rsidR="003F3D2B">
        <w:rPr>
          <w:noProof/>
        </w:rPr>
        <w:t> </w:t>
      </w:r>
      <w:r w:rsidR="003F3D2B" w:rsidRPr="00624565">
        <w:rPr>
          <w:noProof/>
        </w:rPr>
        <w:t>cel</w:t>
      </w:r>
      <w:r w:rsidRPr="00624565">
        <w:rPr>
          <w:noProof/>
        </w:rPr>
        <w:t xml:space="preserve"> zrównoważonego rozwoju </w:t>
      </w:r>
      <w:r w:rsidRPr="003F3D2B">
        <w:rPr>
          <w:noProof/>
        </w:rPr>
        <w:t>nr</w:t>
      </w:r>
      <w:r w:rsidR="003F3D2B" w:rsidRPr="003F3D2B">
        <w:rPr>
          <w:noProof/>
        </w:rPr>
        <w:t> </w:t>
      </w:r>
      <w:r w:rsidRPr="003F3D2B">
        <w:rPr>
          <w:noProof/>
        </w:rPr>
        <w:t>1</w:t>
      </w:r>
      <w:r w:rsidRPr="00624565">
        <w:rPr>
          <w:noProof/>
        </w:rPr>
        <w:t>3 dotyczący działań</w:t>
      </w:r>
      <w:r w:rsidR="003F3D2B" w:rsidRPr="00624565">
        <w:rPr>
          <w:noProof/>
        </w:rPr>
        <w:t xml:space="preserve"> w</w:t>
      </w:r>
      <w:r w:rsidR="003F3D2B">
        <w:rPr>
          <w:noProof/>
        </w:rPr>
        <w:t> </w:t>
      </w:r>
      <w:r w:rsidR="003F3D2B" w:rsidRPr="00624565">
        <w:rPr>
          <w:noProof/>
        </w:rPr>
        <w:t>dzi</w:t>
      </w:r>
      <w:r w:rsidRPr="00624565">
        <w:rPr>
          <w:noProof/>
        </w:rPr>
        <w:t>edzinie klimatu, oczekuje się, że przedmiotowe inicjatywy przyczynią się do ograniczenia emisji ekwiwalentu CO</w:t>
      </w:r>
      <w:r w:rsidRPr="00624565">
        <w:rPr>
          <w:noProof/>
          <w:vertAlign w:val="subscript"/>
        </w:rPr>
        <w:t>2</w:t>
      </w:r>
      <w:r w:rsidR="003F3D2B" w:rsidRPr="00624565">
        <w:rPr>
          <w:noProof/>
        </w:rPr>
        <w:t xml:space="preserve"> o</w:t>
      </w:r>
      <w:r w:rsidR="003F3D2B">
        <w:rPr>
          <w:noProof/>
        </w:rPr>
        <w:t> </w:t>
      </w:r>
      <w:r w:rsidR="003F3D2B" w:rsidRPr="00624565">
        <w:rPr>
          <w:noProof/>
        </w:rPr>
        <w:t>5</w:t>
      </w:r>
      <w:r w:rsidRPr="00624565">
        <w:rPr>
          <w:noProof/>
        </w:rPr>
        <w:t>–7 Mt</w:t>
      </w:r>
      <w:r w:rsidR="003F3D2B" w:rsidRPr="00624565">
        <w:rPr>
          <w:noProof/>
        </w:rPr>
        <w:t xml:space="preserve"> w</w:t>
      </w:r>
      <w:r w:rsidR="003F3D2B">
        <w:rPr>
          <w:noProof/>
        </w:rPr>
        <w:t> </w:t>
      </w:r>
      <w:r w:rsidR="003F3D2B" w:rsidRPr="00624565">
        <w:rPr>
          <w:noProof/>
        </w:rPr>
        <w:t>okr</w:t>
      </w:r>
      <w:r w:rsidRPr="00624565">
        <w:rPr>
          <w:noProof/>
        </w:rPr>
        <w:t>esie wynoszącym 15 lat</w:t>
      </w:r>
      <w:r w:rsidRPr="00624565">
        <w:rPr>
          <w:rStyle w:val="FootnoteReference"/>
          <w:noProof/>
        </w:rPr>
        <w:footnoteReference w:id="60"/>
      </w:r>
      <w:r w:rsidRPr="00624565">
        <w:rPr>
          <w:noProof/>
        </w:rPr>
        <w:t xml:space="preserve">. </w:t>
      </w:r>
    </w:p>
    <w:p w14:paraId="7D0412AE" w14:textId="76AD4DB2" w:rsidR="00EE4289" w:rsidRPr="00624565" w:rsidRDefault="00EE4289" w:rsidP="00EE4289">
      <w:pPr>
        <w:pStyle w:val="ManualHeading2"/>
        <w:ind w:left="0" w:firstLine="0"/>
        <w:rPr>
          <w:noProof/>
        </w:rPr>
      </w:pPr>
      <w:r w:rsidRPr="00624565">
        <w:rPr>
          <w:noProof/>
        </w:rPr>
        <w:t xml:space="preserve">3.3. </w:t>
      </w:r>
      <w:r w:rsidRPr="00624565">
        <w:rPr>
          <w:noProof/>
        </w:rPr>
        <w:tab/>
        <w:t>Sprawność regulacyjna</w:t>
      </w:r>
      <w:r w:rsidR="003F3D2B" w:rsidRPr="00624565">
        <w:rPr>
          <w:noProof/>
        </w:rPr>
        <w:t xml:space="preserve"> i</w:t>
      </w:r>
      <w:r w:rsidR="003F3D2B">
        <w:rPr>
          <w:noProof/>
        </w:rPr>
        <w:t> </w:t>
      </w:r>
      <w:r w:rsidR="003F3D2B" w:rsidRPr="00624565">
        <w:rPr>
          <w:noProof/>
        </w:rPr>
        <w:t>upr</w:t>
      </w:r>
      <w:r w:rsidRPr="00624565">
        <w:rPr>
          <w:noProof/>
        </w:rPr>
        <w:t>oszczenie</w:t>
      </w:r>
    </w:p>
    <w:p w14:paraId="204D8DD5" w14:textId="179F5825" w:rsidR="00EE4289" w:rsidRPr="00624565" w:rsidRDefault="00EE4289" w:rsidP="00EE4289">
      <w:pPr>
        <w:spacing w:after="0"/>
        <w:textAlignment w:val="baseline"/>
        <w:rPr>
          <w:rFonts w:eastAsia="Times New Roman"/>
          <w:noProof/>
        </w:rPr>
      </w:pPr>
      <w:r w:rsidRPr="00624565">
        <w:rPr>
          <w:noProof/>
        </w:rPr>
        <w:t>Niniejszy wniosek jest nową inicjatywą, której celem jest uzupełnienie ogólnych dyrektyw dotyczących ochrony konsumentów,</w:t>
      </w:r>
      <w:r w:rsidR="003F3D2B" w:rsidRPr="00624565">
        <w:rPr>
          <w:noProof/>
        </w:rPr>
        <w:t xml:space="preserve"> a</w:t>
      </w:r>
      <w:r w:rsidR="003F3D2B">
        <w:rPr>
          <w:noProof/>
        </w:rPr>
        <w:t> </w:t>
      </w:r>
      <w:r w:rsidR="003F3D2B" w:rsidRPr="00624565">
        <w:rPr>
          <w:noProof/>
        </w:rPr>
        <w:t>w</w:t>
      </w:r>
      <w:r w:rsidR="003F3D2B">
        <w:rPr>
          <w:noProof/>
        </w:rPr>
        <w:t> </w:t>
      </w:r>
      <w:r w:rsidR="003F3D2B" w:rsidRPr="00624565">
        <w:rPr>
          <w:noProof/>
        </w:rPr>
        <w:t>szc</w:t>
      </w:r>
      <w:r w:rsidRPr="00624565">
        <w:rPr>
          <w:noProof/>
        </w:rPr>
        <w:t xml:space="preserve">zególności – jako </w:t>
      </w:r>
      <w:r w:rsidRPr="00624565">
        <w:rPr>
          <w:i/>
          <w:noProof/>
        </w:rPr>
        <w:t>lex specialis</w:t>
      </w:r>
      <w:r w:rsidRPr="00624565">
        <w:rPr>
          <w:noProof/>
        </w:rPr>
        <w:t xml:space="preserve"> – wniosku dotyczącego wzmacniania pozycji konsumentów</w:t>
      </w:r>
      <w:r w:rsidR="003F3D2B" w:rsidRPr="00624565">
        <w:rPr>
          <w:noProof/>
        </w:rPr>
        <w:t xml:space="preserve"> w</w:t>
      </w:r>
      <w:r w:rsidR="003F3D2B">
        <w:rPr>
          <w:noProof/>
        </w:rPr>
        <w:t> </w:t>
      </w:r>
      <w:r w:rsidR="003F3D2B" w:rsidRPr="00624565">
        <w:rPr>
          <w:noProof/>
        </w:rPr>
        <w:t>pro</w:t>
      </w:r>
      <w:r w:rsidRPr="00624565">
        <w:rPr>
          <w:noProof/>
        </w:rPr>
        <w:t>cesie transformacji ekologicznej. Bezpośrednim celem niniejszego wniosku jest ograniczenie obciążeń regulacyjnych dzięki wzmocnieniu funkcjonowania rynku wewnętrznego</w:t>
      </w:r>
      <w:r w:rsidR="003F3D2B" w:rsidRPr="00624565">
        <w:rPr>
          <w:noProof/>
        </w:rPr>
        <w:t xml:space="preserve"> w</w:t>
      </w:r>
      <w:r w:rsidR="003F3D2B">
        <w:rPr>
          <w:noProof/>
        </w:rPr>
        <w:t> </w:t>
      </w:r>
      <w:r w:rsidR="003F3D2B" w:rsidRPr="00624565">
        <w:rPr>
          <w:noProof/>
        </w:rPr>
        <w:t>odn</w:t>
      </w:r>
      <w:r w:rsidRPr="00624565">
        <w:rPr>
          <w:noProof/>
        </w:rPr>
        <w:t>iesieniu do ekologicznych produktów</w:t>
      </w:r>
      <w:r w:rsidR="003F3D2B" w:rsidRPr="00624565">
        <w:rPr>
          <w:noProof/>
        </w:rPr>
        <w:t xml:space="preserve"> i</w:t>
      </w:r>
      <w:r w:rsidR="003F3D2B">
        <w:rPr>
          <w:noProof/>
        </w:rPr>
        <w:t> </w:t>
      </w:r>
      <w:r w:rsidR="003F3D2B" w:rsidRPr="00624565">
        <w:rPr>
          <w:noProof/>
        </w:rPr>
        <w:t>prz</w:t>
      </w:r>
      <w:r w:rsidRPr="00624565">
        <w:rPr>
          <w:noProof/>
        </w:rPr>
        <w:t>edsiębiorstw oraz określeniu minimalnych kryteriów dotyczących oświadczeń środowiskowych. Przyczyni się to do zmniejszenia ryzyka rozdrobnienia prawnego jednolitego rynku oraz do zwiększenia pewności prawa. Oczekuje się, że to</w:t>
      </w:r>
      <w:r w:rsidR="003F3D2B" w:rsidRPr="00624565">
        <w:rPr>
          <w:noProof/>
        </w:rPr>
        <w:t xml:space="preserve"> z</w:t>
      </w:r>
      <w:r w:rsidR="003F3D2B">
        <w:rPr>
          <w:noProof/>
        </w:rPr>
        <w:t> </w:t>
      </w:r>
      <w:r w:rsidR="003F3D2B" w:rsidRPr="00624565">
        <w:rPr>
          <w:noProof/>
        </w:rPr>
        <w:t>kol</w:t>
      </w:r>
      <w:r w:rsidRPr="00624565">
        <w:rPr>
          <w:noProof/>
        </w:rPr>
        <w:t>ei pozwoli zaoszczędzić koszty przedsiębiorstwom, które chcą sformułować takie oświadczenia, oraz właściwym organom odpowiedzialnym za egzekwowanie prawa ochrony konsumentów. Ponadto</w:t>
      </w:r>
      <w:r w:rsidR="003F3D2B" w:rsidRPr="00624565">
        <w:rPr>
          <w:noProof/>
        </w:rPr>
        <w:t xml:space="preserve"> w</w:t>
      </w:r>
      <w:r w:rsidR="003F3D2B">
        <w:rPr>
          <w:noProof/>
        </w:rPr>
        <w:t> </w:t>
      </w:r>
      <w:r w:rsidR="003F3D2B" w:rsidRPr="00624565">
        <w:rPr>
          <w:noProof/>
        </w:rPr>
        <w:t>nin</w:t>
      </w:r>
      <w:r w:rsidRPr="00624565">
        <w:rPr>
          <w:noProof/>
        </w:rPr>
        <w:t>iejszym wniosku przewidziano klauzulę przeglądową dotyczącą sporządzenia oceny po sześciu latach od wejścia dyrektywy</w:t>
      </w:r>
      <w:r w:rsidR="003F3D2B" w:rsidRPr="00624565">
        <w:rPr>
          <w:noProof/>
        </w:rPr>
        <w:t xml:space="preserve"> w</w:t>
      </w:r>
      <w:r w:rsidR="003F3D2B">
        <w:rPr>
          <w:noProof/>
        </w:rPr>
        <w:t> </w:t>
      </w:r>
      <w:r w:rsidR="003F3D2B" w:rsidRPr="00624565">
        <w:rPr>
          <w:noProof/>
        </w:rPr>
        <w:t>życ</w:t>
      </w:r>
      <w:r w:rsidRPr="00624565">
        <w:rPr>
          <w:noProof/>
        </w:rPr>
        <w:t>ie, czy osiągnięte zostały cele dyrektywy oraz czy potrzebna jest dalsza harmonizacja</w:t>
      </w:r>
      <w:r w:rsidR="003F3D2B" w:rsidRPr="00624565">
        <w:rPr>
          <w:noProof/>
        </w:rPr>
        <w:t xml:space="preserve"> w</w:t>
      </w:r>
      <w:r w:rsidR="003F3D2B">
        <w:rPr>
          <w:noProof/>
        </w:rPr>
        <w:t> </w:t>
      </w:r>
      <w:r w:rsidR="003F3D2B" w:rsidRPr="00624565">
        <w:rPr>
          <w:noProof/>
        </w:rPr>
        <w:t>odn</w:t>
      </w:r>
      <w:r w:rsidRPr="00624565">
        <w:rPr>
          <w:noProof/>
        </w:rPr>
        <w:t>iesieniu do uzasadniania oświadczeń środowiskowych</w:t>
      </w:r>
      <w:r w:rsidR="003F3D2B" w:rsidRPr="00624565">
        <w:rPr>
          <w:noProof/>
        </w:rPr>
        <w:t xml:space="preserve"> i</w:t>
      </w:r>
      <w:r w:rsidR="003F3D2B">
        <w:rPr>
          <w:noProof/>
        </w:rPr>
        <w:t> </w:t>
      </w:r>
      <w:r w:rsidR="003F3D2B" w:rsidRPr="00624565">
        <w:rPr>
          <w:noProof/>
        </w:rPr>
        <w:t>inf</w:t>
      </w:r>
      <w:r w:rsidRPr="00624565">
        <w:rPr>
          <w:noProof/>
        </w:rPr>
        <w:t>ormowania</w:t>
      </w:r>
      <w:r w:rsidR="003F3D2B" w:rsidRPr="00624565">
        <w:rPr>
          <w:noProof/>
        </w:rPr>
        <w:t xml:space="preserve"> o</w:t>
      </w:r>
      <w:r w:rsidR="003F3D2B">
        <w:rPr>
          <w:noProof/>
        </w:rPr>
        <w:t> </w:t>
      </w:r>
      <w:r w:rsidR="003F3D2B" w:rsidRPr="00624565">
        <w:rPr>
          <w:noProof/>
        </w:rPr>
        <w:t>nic</w:t>
      </w:r>
      <w:r w:rsidRPr="00624565">
        <w:rPr>
          <w:noProof/>
        </w:rPr>
        <w:t>h,</w:t>
      </w:r>
      <w:r w:rsidR="003F3D2B" w:rsidRPr="00624565">
        <w:rPr>
          <w:noProof/>
        </w:rPr>
        <w:t xml:space="preserve"> z</w:t>
      </w:r>
      <w:r w:rsidR="003F3D2B">
        <w:rPr>
          <w:noProof/>
        </w:rPr>
        <w:t> </w:t>
      </w:r>
      <w:r w:rsidR="003F3D2B" w:rsidRPr="00624565">
        <w:rPr>
          <w:noProof/>
        </w:rPr>
        <w:t>myś</w:t>
      </w:r>
      <w:r w:rsidRPr="00624565">
        <w:rPr>
          <w:noProof/>
        </w:rPr>
        <w:t>lą</w:t>
      </w:r>
      <w:r w:rsidR="003F3D2B" w:rsidRPr="00624565">
        <w:rPr>
          <w:noProof/>
        </w:rPr>
        <w:t xml:space="preserve"> o</w:t>
      </w:r>
      <w:r w:rsidR="003F3D2B">
        <w:rPr>
          <w:noProof/>
        </w:rPr>
        <w:t> </w:t>
      </w:r>
      <w:r w:rsidR="003F3D2B" w:rsidRPr="00624565">
        <w:rPr>
          <w:noProof/>
        </w:rPr>
        <w:t>sku</w:t>
      </w:r>
      <w:r w:rsidRPr="00624565">
        <w:rPr>
          <w:noProof/>
        </w:rPr>
        <w:t>teczniejszym osiągnięciu tych celów.Przedmiotowy wniosek dotyczy oświadczeń środowiskowych składanych zarówno</w:t>
      </w:r>
      <w:r w:rsidR="003F3D2B" w:rsidRPr="00624565">
        <w:rPr>
          <w:noProof/>
        </w:rPr>
        <w:t xml:space="preserve"> w</w:t>
      </w:r>
      <w:r w:rsidR="003F3D2B">
        <w:rPr>
          <w:noProof/>
        </w:rPr>
        <w:t> </w:t>
      </w:r>
      <w:r w:rsidR="003F3D2B" w:rsidRPr="00624565">
        <w:rPr>
          <w:noProof/>
        </w:rPr>
        <w:t>oto</w:t>
      </w:r>
      <w:r w:rsidRPr="00624565">
        <w:rPr>
          <w:noProof/>
        </w:rPr>
        <w:t>czeniu fizycznym, jak</w:t>
      </w:r>
      <w:r w:rsidR="003F3D2B" w:rsidRPr="00624565">
        <w:rPr>
          <w:noProof/>
        </w:rPr>
        <w:t xml:space="preserve"> i</w:t>
      </w:r>
      <w:r w:rsidR="003F3D2B">
        <w:rPr>
          <w:noProof/>
        </w:rPr>
        <w:t> </w:t>
      </w:r>
      <w:r w:rsidR="003F3D2B" w:rsidRPr="00624565">
        <w:rPr>
          <w:noProof/>
        </w:rPr>
        <w:t>cyf</w:t>
      </w:r>
      <w:r w:rsidRPr="00624565">
        <w:rPr>
          <w:noProof/>
        </w:rPr>
        <w:t>rowym,</w:t>
      </w:r>
      <w:r w:rsidR="003F3D2B" w:rsidRPr="00624565">
        <w:rPr>
          <w:noProof/>
        </w:rPr>
        <w:t xml:space="preserve"> i</w:t>
      </w:r>
      <w:r w:rsidR="003F3D2B">
        <w:rPr>
          <w:noProof/>
        </w:rPr>
        <w:t> </w:t>
      </w:r>
      <w:r w:rsidR="003F3D2B" w:rsidRPr="00624565">
        <w:rPr>
          <w:noProof/>
        </w:rPr>
        <w:t>w</w:t>
      </w:r>
      <w:r w:rsidR="003F3D2B">
        <w:rPr>
          <w:noProof/>
        </w:rPr>
        <w:t> </w:t>
      </w:r>
      <w:r w:rsidR="003F3D2B" w:rsidRPr="00624565">
        <w:rPr>
          <w:noProof/>
        </w:rPr>
        <w:t>zwi</w:t>
      </w:r>
      <w:r w:rsidRPr="00624565">
        <w:rPr>
          <w:noProof/>
        </w:rPr>
        <w:t>ązku</w:t>
      </w:r>
      <w:r w:rsidR="003F3D2B" w:rsidRPr="00624565">
        <w:rPr>
          <w:noProof/>
        </w:rPr>
        <w:t xml:space="preserve"> z</w:t>
      </w:r>
      <w:r w:rsidR="003F3D2B">
        <w:rPr>
          <w:noProof/>
        </w:rPr>
        <w:t> </w:t>
      </w:r>
      <w:r w:rsidR="003F3D2B" w:rsidRPr="00624565">
        <w:rPr>
          <w:noProof/>
        </w:rPr>
        <w:t>tym</w:t>
      </w:r>
      <w:r w:rsidRPr="00624565">
        <w:rPr>
          <w:noProof/>
        </w:rPr>
        <w:t xml:space="preserve"> należy uznać, że jest on przystosowany do środowiska cyfrowego.</w:t>
      </w:r>
    </w:p>
    <w:p w14:paraId="5A46D827" w14:textId="77777777" w:rsidR="00EE4289" w:rsidRPr="00624565" w:rsidRDefault="00EE4289" w:rsidP="00EE4289">
      <w:pPr>
        <w:pStyle w:val="ManualHeading2"/>
        <w:rPr>
          <w:noProof/>
        </w:rPr>
      </w:pPr>
      <w:r w:rsidRPr="00624565">
        <w:rPr>
          <w:noProof/>
        </w:rPr>
        <w:t xml:space="preserve">3.4. </w:t>
      </w:r>
      <w:r w:rsidRPr="00624565">
        <w:rPr>
          <w:noProof/>
        </w:rPr>
        <w:tab/>
        <w:t>Prawa podstawowe</w:t>
      </w:r>
    </w:p>
    <w:p w14:paraId="6ADF3DB6" w14:textId="2B9569C2" w:rsidR="00EE4289" w:rsidRPr="00624565" w:rsidRDefault="00EE4289" w:rsidP="00EE4289">
      <w:pPr>
        <w:spacing w:after="0"/>
        <w:textAlignment w:val="baseline"/>
        <w:rPr>
          <w:rFonts w:eastAsia="Times New Roman"/>
          <w:noProof/>
          <w:sz w:val="18"/>
          <w:szCs w:val="18"/>
        </w:rPr>
      </w:pPr>
      <w:r w:rsidRPr="00624565">
        <w:rPr>
          <w:noProof/>
        </w:rPr>
        <w:t>Przedmiotowy wniosek jest zgodny</w:t>
      </w:r>
      <w:r w:rsidR="003F3D2B" w:rsidRPr="00624565">
        <w:rPr>
          <w:noProof/>
        </w:rPr>
        <w:t xml:space="preserve"> z</w:t>
      </w:r>
      <w:r w:rsidR="003F3D2B">
        <w:rPr>
          <w:noProof/>
        </w:rPr>
        <w:t> </w:t>
      </w:r>
      <w:r w:rsidR="003F3D2B" w:rsidRPr="00624565">
        <w:rPr>
          <w:noProof/>
        </w:rPr>
        <w:t>art</w:t>
      </w:r>
      <w:r w:rsidRPr="00624565">
        <w:rPr>
          <w:noProof/>
        </w:rPr>
        <w:t>. 38 Karty praw podstawowych Unii Europejskiej, zgodnie</w:t>
      </w:r>
      <w:r w:rsidR="003F3D2B" w:rsidRPr="00624565">
        <w:rPr>
          <w:noProof/>
        </w:rPr>
        <w:t xml:space="preserve"> z</w:t>
      </w:r>
      <w:r w:rsidR="003F3D2B">
        <w:rPr>
          <w:noProof/>
        </w:rPr>
        <w:t> </w:t>
      </w:r>
      <w:r w:rsidR="003F3D2B" w:rsidRPr="00624565">
        <w:rPr>
          <w:noProof/>
        </w:rPr>
        <w:t>któ</w:t>
      </w:r>
      <w:r w:rsidRPr="00624565">
        <w:rPr>
          <w:noProof/>
        </w:rPr>
        <w:t>rym UE jest zobowiązana do zapewnienia wysokiego poziomu ochrony konsumentów. Aby osiągnąć taki poziom ochrony konsumentów, należy zapewnić wiarygodność, porównywalność</w:t>
      </w:r>
      <w:r w:rsidR="003F3D2B" w:rsidRPr="00624565">
        <w:rPr>
          <w:noProof/>
        </w:rPr>
        <w:t xml:space="preserve"> i</w:t>
      </w:r>
      <w:r w:rsidR="003F3D2B">
        <w:rPr>
          <w:noProof/>
        </w:rPr>
        <w:t> </w:t>
      </w:r>
      <w:r w:rsidR="003F3D2B" w:rsidRPr="00624565">
        <w:rPr>
          <w:noProof/>
        </w:rPr>
        <w:t>wer</w:t>
      </w:r>
      <w:r w:rsidRPr="00624565">
        <w:rPr>
          <w:noProof/>
        </w:rPr>
        <w:t>yfikowalność oświadczeń środowiskowych oraz zaradzić problemowi pseudoekologicznego marketingu</w:t>
      </w:r>
      <w:r w:rsidR="003F3D2B" w:rsidRPr="00624565">
        <w:rPr>
          <w:noProof/>
        </w:rPr>
        <w:t xml:space="preserve"> i</w:t>
      </w:r>
      <w:r w:rsidR="003F3D2B">
        <w:rPr>
          <w:noProof/>
        </w:rPr>
        <w:t> </w:t>
      </w:r>
      <w:r w:rsidR="003F3D2B" w:rsidRPr="00624565">
        <w:rPr>
          <w:noProof/>
        </w:rPr>
        <w:t>wyk</w:t>
      </w:r>
      <w:r w:rsidRPr="00624565">
        <w:rPr>
          <w:noProof/>
        </w:rPr>
        <w:t>orzystywania niewiarygodnych</w:t>
      </w:r>
      <w:r w:rsidR="003F3D2B" w:rsidRPr="00624565">
        <w:rPr>
          <w:noProof/>
        </w:rPr>
        <w:t xml:space="preserve"> i</w:t>
      </w:r>
      <w:r w:rsidR="003F3D2B">
        <w:rPr>
          <w:noProof/>
        </w:rPr>
        <w:t> </w:t>
      </w:r>
      <w:r w:rsidR="003F3D2B" w:rsidRPr="00624565">
        <w:rPr>
          <w:noProof/>
        </w:rPr>
        <w:t>nie</w:t>
      </w:r>
      <w:r w:rsidRPr="00624565">
        <w:rPr>
          <w:noProof/>
        </w:rPr>
        <w:t>przejrzystych oświadczeń środowiskowych</w:t>
      </w:r>
      <w:r w:rsidR="003F3D2B" w:rsidRPr="00624565">
        <w:rPr>
          <w:noProof/>
        </w:rPr>
        <w:t xml:space="preserve"> i</w:t>
      </w:r>
      <w:r w:rsidR="003F3D2B">
        <w:rPr>
          <w:noProof/>
        </w:rPr>
        <w:t> </w:t>
      </w:r>
      <w:r w:rsidR="003F3D2B" w:rsidRPr="00624565">
        <w:rPr>
          <w:noProof/>
        </w:rPr>
        <w:t>ozn</w:t>
      </w:r>
      <w:r w:rsidRPr="00624565">
        <w:rPr>
          <w:noProof/>
        </w:rPr>
        <w:t>akowań ekologicznych. Niniejszy wniosek przyczynia się również do ochrony prawa do wysokiego poziomu ochrony środowiska oraz do poprawy jakości środowiska zgodnie</w:t>
      </w:r>
      <w:r w:rsidR="003F3D2B" w:rsidRPr="00624565">
        <w:rPr>
          <w:noProof/>
        </w:rPr>
        <w:t xml:space="preserve"> z</w:t>
      </w:r>
      <w:r w:rsidR="003F3D2B">
        <w:rPr>
          <w:noProof/>
        </w:rPr>
        <w:t> </w:t>
      </w:r>
      <w:r w:rsidR="003F3D2B" w:rsidRPr="003F3D2B">
        <w:rPr>
          <w:noProof/>
        </w:rPr>
        <w:t>art</w:t>
      </w:r>
      <w:r w:rsidRPr="003F3D2B">
        <w:rPr>
          <w:noProof/>
        </w:rPr>
        <w:t>.</w:t>
      </w:r>
      <w:r w:rsidR="003F3D2B" w:rsidRPr="003F3D2B">
        <w:rPr>
          <w:noProof/>
        </w:rPr>
        <w:t> </w:t>
      </w:r>
      <w:r w:rsidRPr="003F3D2B">
        <w:rPr>
          <w:noProof/>
        </w:rPr>
        <w:t>3</w:t>
      </w:r>
      <w:r w:rsidRPr="00624565">
        <w:rPr>
          <w:noProof/>
        </w:rPr>
        <w:t>7 Karty. Dzięki zwalczaniu pseudoekologicznego marketingu wniosek ten przyczyni się ponadto do zapewnienia równych warunków działania dla przedsiębiorstw wprowadzających do obrotu swoje „zielone” produkty</w:t>
      </w:r>
      <w:r w:rsidR="003F3D2B" w:rsidRPr="00624565">
        <w:rPr>
          <w:noProof/>
        </w:rPr>
        <w:t xml:space="preserve"> i</w:t>
      </w:r>
      <w:r w:rsidR="003F3D2B">
        <w:rPr>
          <w:noProof/>
        </w:rPr>
        <w:t> </w:t>
      </w:r>
      <w:r w:rsidR="003F3D2B" w:rsidRPr="00624565">
        <w:rPr>
          <w:noProof/>
        </w:rPr>
        <w:t>w</w:t>
      </w:r>
      <w:r w:rsidR="003F3D2B">
        <w:rPr>
          <w:noProof/>
        </w:rPr>
        <w:t> </w:t>
      </w:r>
      <w:r w:rsidR="003F3D2B" w:rsidRPr="00624565">
        <w:rPr>
          <w:noProof/>
        </w:rPr>
        <w:t>zwi</w:t>
      </w:r>
      <w:r w:rsidRPr="00624565">
        <w:rPr>
          <w:noProof/>
        </w:rPr>
        <w:t>ązku</w:t>
      </w:r>
      <w:r w:rsidR="003F3D2B" w:rsidRPr="00624565">
        <w:rPr>
          <w:noProof/>
        </w:rPr>
        <w:t xml:space="preserve"> z</w:t>
      </w:r>
      <w:r w:rsidR="003F3D2B">
        <w:rPr>
          <w:noProof/>
        </w:rPr>
        <w:t> </w:t>
      </w:r>
      <w:r w:rsidR="003F3D2B" w:rsidRPr="00624565">
        <w:rPr>
          <w:noProof/>
        </w:rPr>
        <w:t>tym</w:t>
      </w:r>
      <w:r w:rsidRPr="00624565">
        <w:rPr>
          <w:noProof/>
        </w:rPr>
        <w:t xml:space="preserve"> gwarantuje wolność prowadzenia działalności gospodarczej zgodnie</w:t>
      </w:r>
      <w:r w:rsidR="003F3D2B" w:rsidRPr="00624565">
        <w:rPr>
          <w:noProof/>
        </w:rPr>
        <w:t xml:space="preserve"> z</w:t>
      </w:r>
      <w:r w:rsidR="003F3D2B">
        <w:rPr>
          <w:noProof/>
        </w:rPr>
        <w:t> </w:t>
      </w:r>
      <w:r w:rsidR="003F3D2B" w:rsidRPr="00624565">
        <w:rPr>
          <w:noProof/>
        </w:rPr>
        <w:t>pra</w:t>
      </w:r>
      <w:r w:rsidRPr="00624565">
        <w:rPr>
          <w:noProof/>
        </w:rPr>
        <w:t>wem Unii oraz ustawodawstwami</w:t>
      </w:r>
      <w:r w:rsidR="003F3D2B" w:rsidRPr="00624565">
        <w:rPr>
          <w:noProof/>
        </w:rPr>
        <w:t xml:space="preserve"> i</w:t>
      </w:r>
      <w:r w:rsidR="003F3D2B">
        <w:rPr>
          <w:noProof/>
        </w:rPr>
        <w:t> </w:t>
      </w:r>
      <w:r w:rsidR="003F3D2B" w:rsidRPr="00624565">
        <w:rPr>
          <w:noProof/>
        </w:rPr>
        <w:t>pra</w:t>
      </w:r>
      <w:r w:rsidRPr="00624565">
        <w:rPr>
          <w:noProof/>
        </w:rPr>
        <w:t xml:space="preserve">ktykami krajowymi. </w:t>
      </w:r>
    </w:p>
    <w:p w14:paraId="114F5E64" w14:textId="77777777" w:rsidR="009769E5" w:rsidRPr="00624565" w:rsidRDefault="009769E5" w:rsidP="00BC1E44">
      <w:pPr>
        <w:pStyle w:val="ManualHeading1"/>
        <w:rPr>
          <w:noProof/>
        </w:rPr>
      </w:pPr>
      <w:r w:rsidRPr="00624565">
        <w:rPr>
          <w:noProof/>
        </w:rPr>
        <w:t>4.</w:t>
      </w:r>
      <w:r w:rsidRPr="00624565">
        <w:rPr>
          <w:noProof/>
        </w:rPr>
        <w:tab/>
        <w:t>WPŁYW NA BUDŻET</w:t>
      </w:r>
    </w:p>
    <w:p w14:paraId="2CE4CBC4" w14:textId="72E2B4C1" w:rsidR="00BC1E44" w:rsidRPr="00624565" w:rsidRDefault="00BC1E44" w:rsidP="00BC1E44">
      <w:pPr>
        <w:pBdr>
          <w:top w:val="nil"/>
          <w:left w:val="nil"/>
          <w:bottom w:val="nil"/>
          <w:right w:val="nil"/>
          <w:between w:val="nil"/>
          <w:bar w:val="nil"/>
        </w:pBdr>
        <w:spacing w:before="0" w:after="240"/>
        <w:rPr>
          <w:rFonts w:eastAsia="Arial Unicode MS"/>
          <w:noProof/>
        </w:rPr>
      </w:pPr>
      <w:r w:rsidRPr="00624565">
        <w:rPr>
          <w:noProof/>
        </w:rPr>
        <w:t xml:space="preserve">Całkowity budżet przeznaczony na przedmiotową inicjatywę wynosi około 25 mln EUR </w:t>
      </w:r>
      <w:r w:rsidRPr="003F3D2B">
        <w:rPr>
          <w:noProof/>
        </w:rPr>
        <w:t>do</w:t>
      </w:r>
      <w:r w:rsidR="003F3D2B" w:rsidRPr="003F3D2B">
        <w:rPr>
          <w:noProof/>
        </w:rPr>
        <w:t> </w:t>
      </w:r>
      <w:r w:rsidRPr="003F3D2B">
        <w:rPr>
          <w:noProof/>
        </w:rPr>
        <w:t>2</w:t>
      </w:r>
      <w:r w:rsidRPr="00624565">
        <w:rPr>
          <w:noProof/>
        </w:rPr>
        <w:t>0</w:t>
      </w:r>
      <w:r w:rsidRPr="003F3D2B">
        <w:rPr>
          <w:noProof/>
        </w:rPr>
        <w:t>27</w:t>
      </w:r>
      <w:r w:rsidR="003F3D2B" w:rsidRPr="003F3D2B">
        <w:rPr>
          <w:noProof/>
        </w:rPr>
        <w:t> </w:t>
      </w:r>
      <w:r w:rsidRPr="003F3D2B">
        <w:rPr>
          <w:noProof/>
        </w:rPr>
        <w:t>r.</w:t>
      </w:r>
      <w:r w:rsidRPr="00624565">
        <w:rPr>
          <w:noProof/>
        </w:rPr>
        <w:t xml:space="preserve"> (tj.</w:t>
      </w:r>
      <w:r w:rsidR="003F3D2B" w:rsidRPr="00624565">
        <w:rPr>
          <w:noProof/>
        </w:rPr>
        <w:t xml:space="preserve"> w</w:t>
      </w:r>
      <w:r w:rsidR="003F3D2B">
        <w:rPr>
          <w:noProof/>
        </w:rPr>
        <w:t> </w:t>
      </w:r>
      <w:r w:rsidR="003F3D2B" w:rsidRPr="00624565">
        <w:rPr>
          <w:noProof/>
        </w:rPr>
        <w:t>ram</w:t>
      </w:r>
      <w:r w:rsidRPr="00624565">
        <w:rPr>
          <w:noProof/>
        </w:rPr>
        <w:t xml:space="preserve">ach obecnych WRF). </w:t>
      </w:r>
    </w:p>
    <w:p w14:paraId="6069E2D6" w14:textId="6593D3E3" w:rsidR="00BC1E44" w:rsidRPr="00624565" w:rsidRDefault="00BC1E44" w:rsidP="00BC1E44">
      <w:pPr>
        <w:spacing w:after="0"/>
        <w:textAlignment w:val="baseline"/>
        <w:rPr>
          <w:rFonts w:eastAsia="Times New Roman"/>
          <w:noProof/>
        </w:rPr>
      </w:pPr>
      <w:r w:rsidRPr="00624565">
        <w:rPr>
          <w:noProof/>
        </w:rPr>
        <w:t>Jak wskazano</w:t>
      </w:r>
      <w:r w:rsidR="003F3D2B" w:rsidRPr="00624565">
        <w:rPr>
          <w:noProof/>
        </w:rPr>
        <w:t xml:space="preserve"> w</w:t>
      </w:r>
      <w:r w:rsidR="003F3D2B">
        <w:rPr>
          <w:noProof/>
        </w:rPr>
        <w:t> </w:t>
      </w:r>
      <w:r w:rsidR="003F3D2B" w:rsidRPr="00624565">
        <w:rPr>
          <w:noProof/>
        </w:rPr>
        <w:t>oce</w:t>
      </w:r>
      <w:r w:rsidRPr="00624565">
        <w:rPr>
          <w:noProof/>
        </w:rPr>
        <w:t>nie skutków finansowych regulacji,</w:t>
      </w:r>
      <w:r w:rsidR="003F3D2B" w:rsidRPr="00624565">
        <w:rPr>
          <w:noProof/>
        </w:rPr>
        <w:t xml:space="preserve"> w</w:t>
      </w:r>
      <w:r w:rsidR="003F3D2B">
        <w:rPr>
          <w:noProof/>
        </w:rPr>
        <w:t> </w:t>
      </w:r>
      <w:r w:rsidR="003F3D2B" w:rsidRPr="00624565">
        <w:rPr>
          <w:noProof/>
        </w:rPr>
        <w:t>ram</w:t>
      </w:r>
      <w:r w:rsidRPr="00624565">
        <w:rPr>
          <w:noProof/>
        </w:rPr>
        <w:t>ach inicjatywy przewidziano zasoby ludzkie</w:t>
      </w:r>
      <w:r w:rsidR="003F3D2B" w:rsidRPr="00624565">
        <w:rPr>
          <w:noProof/>
        </w:rPr>
        <w:t xml:space="preserve"> i</w:t>
      </w:r>
      <w:r w:rsidR="003F3D2B">
        <w:rPr>
          <w:noProof/>
        </w:rPr>
        <w:t> </w:t>
      </w:r>
      <w:r w:rsidR="003F3D2B" w:rsidRPr="00624565">
        <w:rPr>
          <w:noProof/>
        </w:rPr>
        <w:t>wyd</w:t>
      </w:r>
      <w:r w:rsidRPr="00624565">
        <w:rPr>
          <w:noProof/>
        </w:rPr>
        <w:t>atki administracyjne niezbędne do wdrożenia dyrektywy oraz przygotowania aktów delegowanych</w:t>
      </w:r>
      <w:r w:rsidR="003F3D2B" w:rsidRPr="00624565">
        <w:rPr>
          <w:noProof/>
        </w:rPr>
        <w:t xml:space="preserve"> i</w:t>
      </w:r>
      <w:r w:rsidR="003F3D2B">
        <w:rPr>
          <w:noProof/>
        </w:rPr>
        <w:t> </w:t>
      </w:r>
      <w:r w:rsidR="003F3D2B" w:rsidRPr="00624565">
        <w:rPr>
          <w:noProof/>
        </w:rPr>
        <w:t>wyk</w:t>
      </w:r>
      <w:r w:rsidRPr="00624565">
        <w:rPr>
          <w:noProof/>
        </w:rPr>
        <w:t xml:space="preserve">onawczych. </w:t>
      </w:r>
    </w:p>
    <w:p w14:paraId="59301444" w14:textId="6737DB3C" w:rsidR="009769E5" w:rsidRPr="00624565" w:rsidRDefault="00BC1E44" w:rsidP="00BC1E44">
      <w:pPr>
        <w:pBdr>
          <w:top w:val="nil"/>
          <w:left w:val="nil"/>
          <w:bottom w:val="nil"/>
          <w:right w:val="nil"/>
          <w:between w:val="nil"/>
          <w:bar w:val="nil"/>
        </w:pBdr>
        <w:spacing w:before="0" w:after="240"/>
        <w:rPr>
          <w:rFonts w:eastAsia="Arial Unicode MS"/>
          <w:noProof/>
        </w:rPr>
      </w:pPr>
      <w:r w:rsidRPr="00624565">
        <w:rPr>
          <w:noProof/>
        </w:rPr>
        <w:t>W jej ramach przewidziano również środki, które zostaną</w:t>
      </w:r>
      <w:r w:rsidR="003F3D2B" w:rsidRPr="00624565">
        <w:rPr>
          <w:noProof/>
        </w:rPr>
        <w:t xml:space="preserve"> w</w:t>
      </w:r>
      <w:r w:rsidR="003F3D2B">
        <w:rPr>
          <w:noProof/>
        </w:rPr>
        <w:t> </w:t>
      </w:r>
      <w:r w:rsidR="003F3D2B" w:rsidRPr="00624565">
        <w:rPr>
          <w:noProof/>
        </w:rPr>
        <w:t>peł</w:t>
      </w:r>
      <w:r w:rsidRPr="00624565">
        <w:rPr>
          <w:noProof/>
        </w:rPr>
        <w:t>ni sfinansowane</w:t>
      </w:r>
      <w:r w:rsidR="003F3D2B" w:rsidRPr="00624565">
        <w:rPr>
          <w:noProof/>
        </w:rPr>
        <w:t xml:space="preserve"> w</w:t>
      </w:r>
      <w:r w:rsidR="003F3D2B">
        <w:rPr>
          <w:noProof/>
        </w:rPr>
        <w:t> </w:t>
      </w:r>
      <w:r w:rsidR="003F3D2B" w:rsidRPr="00624565">
        <w:rPr>
          <w:noProof/>
        </w:rPr>
        <w:t>dro</w:t>
      </w:r>
      <w:r w:rsidRPr="00624565">
        <w:rPr>
          <w:noProof/>
        </w:rPr>
        <w:t>dze przeniesienia środków przydzielonych na program LIFE. Jak wskazano</w:t>
      </w:r>
      <w:r w:rsidR="003F3D2B" w:rsidRPr="00624565">
        <w:rPr>
          <w:noProof/>
        </w:rPr>
        <w:t xml:space="preserve"> w</w:t>
      </w:r>
      <w:r w:rsidR="003F3D2B">
        <w:rPr>
          <w:noProof/>
        </w:rPr>
        <w:t> </w:t>
      </w:r>
      <w:r w:rsidR="003F3D2B" w:rsidRPr="00624565">
        <w:rPr>
          <w:noProof/>
        </w:rPr>
        <w:t>tab</w:t>
      </w:r>
      <w:r w:rsidRPr="00624565">
        <w:rPr>
          <w:noProof/>
        </w:rPr>
        <w:t>elach przedstawionych</w:t>
      </w:r>
      <w:r w:rsidR="003F3D2B" w:rsidRPr="00624565">
        <w:rPr>
          <w:noProof/>
        </w:rPr>
        <w:t xml:space="preserve"> w</w:t>
      </w:r>
      <w:r w:rsidR="003F3D2B">
        <w:rPr>
          <w:noProof/>
        </w:rPr>
        <w:t> </w:t>
      </w:r>
      <w:r w:rsidR="003F3D2B" w:rsidRPr="00624565">
        <w:rPr>
          <w:noProof/>
        </w:rPr>
        <w:t>sek</w:t>
      </w:r>
      <w:r w:rsidRPr="00624565">
        <w:rPr>
          <w:noProof/>
        </w:rPr>
        <w:t>cji 3 oceny skutków finansowych regulacji, kwota ta obejmuje uzyskanie informacji na temat śladu środowiskowego oraz innych wymaganych zbiorów danych</w:t>
      </w:r>
      <w:r w:rsidR="003F3D2B" w:rsidRPr="00624565">
        <w:rPr>
          <w:noProof/>
        </w:rPr>
        <w:t xml:space="preserve"> w</w:t>
      </w:r>
      <w:r w:rsidR="003F3D2B">
        <w:rPr>
          <w:noProof/>
        </w:rPr>
        <w:t> </w:t>
      </w:r>
      <w:r w:rsidR="003F3D2B" w:rsidRPr="00624565">
        <w:rPr>
          <w:noProof/>
        </w:rPr>
        <w:t>cel</w:t>
      </w:r>
      <w:r w:rsidRPr="00624565">
        <w:rPr>
          <w:noProof/>
        </w:rPr>
        <w:t>u wsparcia przedsiębiorstw,</w:t>
      </w:r>
      <w:r w:rsidR="003F3D2B" w:rsidRPr="00624565">
        <w:rPr>
          <w:noProof/>
        </w:rPr>
        <w:t xml:space="preserve"> w</w:t>
      </w:r>
      <w:r w:rsidR="003F3D2B">
        <w:rPr>
          <w:noProof/>
        </w:rPr>
        <w:t> </w:t>
      </w:r>
      <w:r w:rsidR="003F3D2B" w:rsidRPr="00624565">
        <w:rPr>
          <w:noProof/>
        </w:rPr>
        <w:t>szc</w:t>
      </w:r>
      <w:r w:rsidRPr="00624565">
        <w:rPr>
          <w:noProof/>
        </w:rPr>
        <w:t>zególności MŚP,</w:t>
      </w:r>
      <w:r w:rsidR="003F3D2B" w:rsidRPr="00624565">
        <w:rPr>
          <w:noProof/>
        </w:rPr>
        <w:t xml:space="preserve"> w</w:t>
      </w:r>
      <w:r w:rsidR="003F3D2B">
        <w:rPr>
          <w:noProof/>
        </w:rPr>
        <w:t> </w:t>
      </w:r>
      <w:r w:rsidR="003F3D2B" w:rsidRPr="00624565">
        <w:rPr>
          <w:noProof/>
        </w:rPr>
        <w:t>zap</w:t>
      </w:r>
      <w:r w:rsidRPr="00624565">
        <w:rPr>
          <w:noProof/>
        </w:rPr>
        <w:t>ewnieniu zgodności</w:t>
      </w:r>
      <w:r w:rsidR="003F3D2B" w:rsidRPr="00624565">
        <w:rPr>
          <w:noProof/>
        </w:rPr>
        <w:t xml:space="preserve"> z</w:t>
      </w:r>
      <w:r w:rsidR="003F3D2B">
        <w:rPr>
          <w:noProof/>
        </w:rPr>
        <w:t> </w:t>
      </w:r>
      <w:r w:rsidR="003F3D2B" w:rsidRPr="00624565">
        <w:rPr>
          <w:noProof/>
        </w:rPr>
        <w:t>wni</w:t>
      </w:r>
      <w:r w:rsidRPr="00624565">
        <w:rPr>
          <w:noProof/>
        </w:rPr>
        <w:t>oskiem dotyczącym oświadczeń środowiskowych. Zapewnienie MŚP, dużym przedsiębiorstwom, agencjom publicznym</w:t>
      </w:r>
      <w:r w:rsidR="003F3D2B" w:rsidRPr="00624565">
        <w:rPr>
          <w:noProof/>
        </w:rPr>
        <w:t xml:space="preserve"> i</w:t>
      </w:r>
      <w:r w:rsidR="003F3D2B">
        <w:rPr>
          <w:noProof/>
        </w:rPr>
        <w:t> </w:t>
      </w:r>
      <w:r w:rsidR="003F3D2B" w:rsidRPr="00624565">
        <w:rPr>
          <w:noProof/>
        </w:rPr>
        <w:t>wsz</w:t>
      </w:r>
      <w:r w:rsidRPr="00624565">
        <w:rPr>
          <w:noProof/>
        </w:rPr>
        <w:t>ystkim zainteresowanym stronom publicznego dostępu do tych informacji faktycznie przyczyni się do ograniczenia kosztów opracowania</w:t>
      </w:r>
      <w:r w:rsidR="003F3D2B" w:rsidRPr="00624565">
        <w:rPr>
          <w:noProof/>
        </w:rPr>
        <w:t xml:space="preserve"> i</w:t>
      </w:r>
      <w:r w:rsidR="003F3D2B">
        <w:rPr>
          <w:noProof/>
        </w:rPr>
        <w:t> </w:t>
      </w:r>
      <w:r w:rsidR="003F3D2B" w:rsidRPr="00624565">
        <w:rPr>
          <w:noProof/>
        </w:rPr>
        <w:t>utr</w:t>
      </w:r>
      <w:r w:rsidRPr="00624565">
        <w:rPr>
          <w:noProof/>
        </w:rPr>
        <w:t>walenia ich własnych metodyk oraz potencjalnie może pomóc</w:t>
      </w:r>
      <w:r w:rsidR="003F3D2B" w:rsidRPr="00624565">
        <w:rPr>
          <w:noProof/>
        </w:rPr>
        <w:t xml:space="preserve"> w</w:t>
      </w:r>
      <w:r w:rsidR="003F3D2B">
        <w:rPr>
          <w:noProof/>
        </w:rPr>
        <w:t> </w:t>
      </w:r>
      <w:r w:rsidR="003F3D2B" w:rsidRPr="00624565">
        <w:rPr>
          <w:noProof/>
        </w:rPr>
        <w:t>obn</w:t>
      </w:r>
      <w:r w:rsidRPr="00624565">
        <w:rPr>
          <w:noProof/>
        </w:rPr>
        <w:t>iżeniu kosztów</w:t>
      </w:r>
      <w:r w:rsidR="003F3D2B" w:rsidRPr="00624565">
        <w:rPr>
          <w:noProof/>
        </w:rPr>
        <w:t xml:space="preserve"> w</w:t>
      </w:r>
      <w:r w:rsidR="003F3D2B">
        <w:rPr>
          <w:noProof/>
        </w:rPr>
        <w:t> </w:t>
      </w:r>
      <w:r w:rsidR="003F3D2B" w:rsidRPr="00624565">
        <w:rPr>
          <w:noProof/>
        </w:rPr>
        <w:t>prz</w:t>
      </w:r>
      <w:r w:rsidRPr="00624565">
        <w:rPr>
          <w:noProof/>
        </w:rPr>
        <w:t>ypadku użytkowników opracowanych metodyk. Dostęp do zbiorów danych dotyczących śladu środowiskowego będzie również stanowił wsparcie we wdrażaniu innych strategii politycznych UE dotyczących zrównoważenia środowiskowego</w:t>
      </w:r>
      <w:r w:rsidR="003F3D2B" w:rsidRPr="00624565">
        <w:rPr>
          <w:noProof/>
        </w:rPr>
        <w:t xml:space="preserve"> i</w:t>
      </w:r>
      <w:r w:rsidR="003F3D2B">
        <w:rPr>
          <w:noProof/>
        </w:rPr>
        <w:t> </w:t>
      </w:r>
      <w:r w:rsidR="003F3D2B" w:rsidRPr="00624565">
        <w:rPr>
          <w:noProof/>
        </w:rPr>
        <w:t>pom</w:t>
      </w:r>
      <w:r w:rsidRPr="00624565">
        <w:rPr>
          <w:noProof/>
        </w:rPr>
        <w:t>oże konsumentom</w:t>
      </w:r>
      <w:r w:rsidR="003F3D2B" w:rsidRPr="00624565">
        <w:rPr>
          <w:noProof/>
        </w:rPr>
        <w:t xml:space="preserve"> w</w:t>
      </w:r>
      <w:r w:rsidR="003F3D2B">
        <w:rPr>
          <w:noProof/>
        </w:rPr>
        <w:t> </w:t>
      </w:r>
      <w:r w:rsidR="003F3D2B" w:rsidRPr="00624565">
        <w:rPr>
          <w:noProof/>
        </w:rPr>
        <w:t>pod</w:t>
      </w:r>
      <w:r w:rsidRPr="00624565">
        <w:rPr>
          <w:noProof/>
        </w:rPr>
        <w:t>ejmowaniu właściwych wyborów, jak np.</w:t>
      </w:r>
      <w:r w:rsidR="003F3D2B" w:rsidRPr="00624565">
        <w:rPr>
          <w:noProof/>
        </w:rPr>
        <w:t xml:space="preserve"> w</w:t>
      </w:r>
      <w:r w:rsidR="003F3D2B">
        <w:rPr>
          <w:noProof/>
        </w:rPr>
        <w:t> </w:t>
      </w:r>
      <w:r w:rsidR="003F3D2B" w:rsidRPr="00624565">
        <w:rPr>
          <w:noProof/>
        </w:rPr>
        <w:t>prz</w:t>
      </w:r>
      <w:r w:rsidRPr="00624565">
        <w:rPr>
          <w:noProof/>
        </w:rPr>
        <w:t>ypadku wniosku dotyczącego rozporządzenia</w:t>
      </w:r>
      <w:r w:rsidR="003F3D2B" w:rsidRPr="00624565">
        <w:rPr>
          <w:noProof/>
        </w:rPr>
        <w:t xml:space="preserve"> w</w:t>
      </w:r>
      <w:r w:rsidR="003F3D2B">
        <w:rPr>
          <w:noProof/>
        </w:rPr>
        <w:t> </w:t>
      </w:r>
      <w:r w:rsidR="003F3D2B" w:rsidRPr="00624565">
        <w:rPr>
          <w:noProof/>
        </w:rPr>
        <w:t>spr</w:t>
      </w:r>
      <w:r w:rsidRPr="00624565">
        <w:rPr>
          <w:noProof/>
        </w:rPr>
        <w:t>awie ekoprojektu dla zrównoważonych produktów</w:t>
      </w:r>
      <w:r w:rsidR="003F3D2B" w:rsidRPr="00624565">
        <w:rPr>
          <w:noProof/>
        </w:rPr>
        <w:t>. W</w:t>
      </w:r>
      <w:r w:rsidR="003F3D2B">
        <w:rPr>
          <w:noProof/>
        </w:rPr>
        <w:t> </w:t>
      </w:r>
      <w:r w:rsidR="003F3D2B" w:rsidRPr="00624565">
        <w:rPr>
          <w:noProof/>
        </w:rPr>
        <w:t>roz</w:t>
      </w:r>
      <w:r w:rsidRPr="00624565">
        <w:rPr>
          <w:noProof/>
        </w:rPr>
        <w:t>porządzeniu</w:t>
      </w:r>
      <w:r w:rsidR="003F3D2B" w:rsidRPr="00624565">
        <w:rPr>
          <w:noProof/>
        </w:rPr>
        <w:t xml:space="preserve"> w</w:t>
      </w:r>
      <w:r w:rsidR="003F3D2B">
        <w:rPr>
          <w:noProof/>
        </w:rPr>
        <w:t> </w:t>
      </w:r>
      <w:r w:rsidR="003F3D2B" w:rsidRPr="00624565">
        <w:rPr>
          <w:noProof/>
        </w:rPr>
        <w:t>spr</w:t>
      </w:r>
      <w:r w:rsidRPr="00624565">
        <w:rPr>
          <w:noProof/>
        </w:rPr>
        <w:t>awie ekoprojektu dla zrównoważonych produktów wprowadzono możliwość ustanowienia obowiązkowych wymogów informacyjnych, które mogą być również powiązane</w:t>
      </w:r>
      <w:r w:rsidR="003F3D2B" w:rsidRPr="00624565">
        <w:rPr>
          <w:noProof/>
        </w:rPr>
        <w:t xml:space="preserve"> z</w:t>
      </w:r>
      <w:r w:rsidR="003F3D2B">
        <w:rPr>
          <w:noProof/>
        </w:rPr>
        <w:t> </w:t>
      </w:r>
      <w:r w:rsidR="003F3D2B" w:rsidRPr="00624565">
        <w:rPr>
          <w:noProof/>
        </w:rPr>
        <w:t>wym</w:t>
      </w:r>
      <w:r w:rsidRPr="00624565">
        <w:rPr>
          <w:noProof/>
        </w:rPr>
        <w:t>ogami dotyczącymi oznakowania, przez co rozporządzenie to przyczyni się do poprawy przepływów informacji za pośrednictwem cyfrowych paszportów produktów. Zbiory danych dotyczących śladu środowiskowego pomogą również</w:t>
      </w:r>
      <w:r w:rsidR="003F3D2B" w:rsidRPr="00624565">
        <w:rPr>
          <w:noProof/>
        </w:rPr>
        <w:t xml:space="preserve"> w</w:t>
      </w:r>
      <w:r w:rsidR="003F3D2B">
        <w:rPr>
          <w:noProof/>
        </w:rPr>
        <w:t> </w:t>
      </w:r>
      <w:r w:rsidR="003F3D2B" w:rsidRPr="00624565">
        <w:rPr>
          <w:noProof/>
        </w:rPr>
        <w:t>obl</w:t>
      </w:r>
      <w:r w:rsidRPr="00624565">
        <w:rPr>
          <w:noProof/>
        </w:rPr>
        <w:t>iczaniu</w:t>
      </w:r>
      <w:r w:rsidR="003F3D2B" w:rsidRPr="00624565">
        <w:rPr>
          <w:noProof/>
        </w:rPr>
        <w:t xml:space="preserve"> i</w:t>
      </w:r>
      <w:r w:rsidR="003F3D2B">
        <w:rPr>
          <w:noProof/>
        </w:rPr>
        <w:t> </w:t>
      </w:r>
      <w:r w:rsidR="003F3D2B" w:rsidRPr="00624565">
        <w:rPr>
          <w:noProof/>
        </w:rPr>
        <w:t>ust</w:t>
      </w:r>
      <w:r w:rsidRPr="00624565">
        <w:rPr>
          <w:noProof/>
        </w:rPr>
        <w:t>alaniu wymogów informacyjnych</w:t>
      </w:r>
      <w:r w:rsidR="003F3D2B" w:rsidRPr="00624565">
        <w:rPr>
          <w:noProof/>
        </w:rPr>
        <w:t xml:space="preserve"> i</w:t>
      </w:r>
      <w:r w:rsidR="003F3D2B">
        <w:rPr>
          <w:noProof/>
        </w:rPr>
        <w:t> </w:t>
      </w:r>
      <w:r w:rsidR="003F3D2B" w:rsidRPr="00624565">
        <w:rPr>
          <w:noProof/>
        </w:rPr>
        <w:t>wym</w:t>
      </w:r>
      <w:r w:rsidRPr="00624565">
        <w:rPr>
          <w:noProof/>
        </w:rPr>
        <w:t>ogów dotyczących efektywności</w:t>
      </w:r>
      <w:r w:rsidR="003F3D2B" w:rsidRPr="00624565">
        <w:rPr>
          <w:noProof/>
        </w:rPr>
        <w:t xml:space="preserve"> w</w:t>
      </w:r>
      <w:r w:rsidR="003F3D2B">
        <w:rPr>
          <w:noProof/>
        </w:rPr>
        <w:t> </w:t>
      </w:r>
      <w:r w:rsidR="003F3D2B" w:rsidRPr="00624565">
        <w:rPr>
          <w:noProof/>
        </w:rPr>
        <w:t>akt</w:t>
      </w:r>
      <w:r w:rsidRPr="00624565">
        <w:rPr>
          <w:noProof/>
        </w:rPr>
        <w:t>ach delegowanych powiązanych</w:t>
      </w:r>
      <w:r w:rsidR="003F3D2B" w:rsidRPr="00624565">
        <w:rPr>
          <w:noProof/>
        </w:rPr>
        <w:t xml:space="preserve"> z</w:t>
      </w:r>
      <w:r w:rsidR="003F3D2B">
        <w:rPr>
          <w:noProof/>
        </w:rPr>
        <w:t> </w:t>
      </w:r>
      <w:r w:rsidR="003F3D2B" w:rsidRPr="00624565">
        <w:rPr>
          <w:noProof/>
        </w:rPr>
        <w:t>roz</w:t>
      </w:r>
      <w:r w:rsidRPr="00624565">
        <w:rPr>
          <w:noProof/>
        </w:rPr>
        <w:t>porządzeniem</w:t>
      </w:r>
      <w:r w:rsidR="003F3D2B" w:rsidRPr="00624565">
        <w:rPr>
          <w:noProof/>
        </w:rPr>
        <w:t xml:space="preserve"> w</w:t>
      </w:r>
      <w:r w:rsidR="003F3D2B">
        <w:rPr>
          <w:noProof/>
        </w:rPr>
        <w:t> </w:t>
      </w:r>
      <w:r w:rsidR="003F3D2B" w:rsidRPr="00624565">
        <w:rPr>
          <w:noProof/>
        </w:rPr>
        <w:t>spr</w:t>
      </w:r>
      <w:r w:rsidRPr="00624565">
        <w:rPr>
          <w:noProof/>
        </w:rPr>
        <w:t>awie ekoprojektu dla zrównoważonych produktów, np.</w:t>
      </w:r>
      <w:r w:rsidR="003F3D2B" w:rsidRPr="00624565">
        <w:rPr>
          <w:noProof/>
        </w:rPr>
        <w:t xml:space="preserve"> w</w:t>
      </w:r>
      <w:r w:rsidR="003F3D2B">
        <w:rPr>
          <w:noProof/>
        </w:rPr>
        <w:t> </w:t>
      </w:r>
      <w:r w:rsidR="003F3D2B" w:rsidRPr="00624565">
        <w:rPr>
          <w:noProof/>
        </w:rPr>
        <w:t>odn</w:t>
      </w:r>
      <w:r w:rsidRPr="00624565">
        <w:rPr>
          <w:noProof/>
        </w:rPr>
        <w:t>iesieniu do śladu węglowego</w:t>
      </w:r>
      <w:r w:rsidR="003F3D2B" w:rsidRPr="00624565">
        <w:rPr>
          <w:noProof/>
        </w:rPr>
        <w:t xml:space="preserve"> i</w:t>
      </w:r>
      <w:r w:rsidR="003F3D2B">
        <w:rPr>
          <w:noProof/>
        </w:rPr>
        <w:t> </w:t>
      </w:r>
      <w:r w:rsidR="003F3D2B" w:rsidRPr="00624565">
        <w:rPr>
          <w:noProof/>
        </w:rPr>
        <w:t>śro</w:t>
      </w:r>
      <w:r w:rsidRPr="00624565">
        <w:rPr>
          <w:noProof/>
        </w:rPr>
        <w:t>dowiskowego, na podstawie zharmonizowanego zbioru wysokiej jakości danych wtórnych. Dzięki połączeniu tych danych</w:t>
      </w:r>
      <w:r w:rsidR="003F3D2B" w:rsidRPr="00624565">
        <w:rPr>
          <w:noProof/>
        </w:rPr>
        <w:t xml:space="preserve"> z</w:t>
      </w:r>
      <w:r w:rsidR="003F3D2B">
        <w:rPr>
          <w:noProof/>
        </w:rPr>
        <w:t> </w:t>
      </w:r>
      <w:r w:rsidR="003F3D2B" w:rsidRPr="00624565">
        <w:rPr>
          <w:noProof/>
        </w:rPr>
        <w:t>opa</w:t>
      </w:r>
      <w:r w:rsidRPr="00624565">
        <w:rPr>
          <w:noProof/>
        </w:rPr>
        <w:t>rtymi na dowodach strategiami politycznymi konsument będzie lepiej poinformowany</w:t>
      </w:r>
      <w:r w:rsidR="003F3D2B" w:rsidRPr="00624565">
        <w:rPr>
          <w:noProof/>
        </w:rPr>
        <w:t xml:space="preserve"> i</w:t>
      </w:r>
      <w:r w:rsidR="003F3D2B">
        <w:rPr>
          <w:noProof/>
        </w:rPr>
        <w:t> </w:t>
      </w:r>
      <w:r w:rsidR="003F3D2B" w:rsidRPr="00624565">
        <w:rPr>
          <w:noProof/>
        </w:rPr>
        <w:t>będ</w:t>
      </w:r>
      <w:r w:rsidRPr="00624565">
        <w:rPr>
          <w:noProof/>
        </w:rPr>
        <w:t>zie mógł zaufać informacjom dotyczącym środowiska, które zostały dostarczone przez przedsiębiorstwa.</w:t>
      </w:r>
    </w:p>
    <w:p w14:paraId="24865D74" w14:textId="7B54DCB6" w:rsidR="009769E5" w:rsidRPr="00624565" w:rsidRDefault="009769E5" w:rsidP="009769E5">
      <w:pPr>
        <w:pStyle w:val="ManualHeading1"/>
        <w:rPr>
          <w:noProof/>
        </w:rPr>
      </w:pPr>
      <w:r w:rsidRPr="00624565">
        <w:rPr>
          <w:noProof/>
        </w:rPr>
        <w:t>5.</w:t>
      </w:r>
      <w:r w:rsidRPr="00624565">
        <w:rPr>
          <w:noProof/>
        </w:rPr>
        <w:tab/>
        <w:t>INNE ELEMENTY – plany wdrażania</w:t>
      </w:r>
      <w:r w:rsidR="003F3D2B" w:rsidRPr="00624565">
        <w:rPr>
          <w:noProof/>
        </w:rPr>
        <w:t xml:space="preserve"> i</w:t>
      </w:r>
      <w:r w:rsidR="003F3D2B">
        <w:rPr>
          <w:noProof/>
        </w:rPr>
        <w:t> </w:t>
      </w:r>
      <w:r w:rsidR="003F3D2B" w:rsidRPr="00624565">
        <w:rPr>
          <w:noProof/>
        </w:rPr>
        <w:t>mon</w:t>
      </w:r>
      <w:r w:rsidRPr="00624565">
        <w:rPr>
          <w:noProof/>
        </w:rPr>
        <w:t>itorowanie, ustalenia dotyczące oceny</w:t>
      </w:r>
      <w:r w:rsidR="003F3D2B" w:rsidRPr="00624565">
        <w:rPr>
          <w:noProof/>
        </w:rPr>
        <w:t xml:space="preserve"> i</w:t>
      </w:r>
      <w:r w:rsidR="003F3D2B">
        <w:rPr>
          <w:noProof/>
        </w:rPr>
        <w:t> </w:t>
      </w:r>
      <w:r w:rsidR="003F3D2B" w:rsidRPr="00624565">
        <w:rPr>
          <w:noProof/>
        </w:rPr>
        <w:t>skł</w:t>
      </w:r>
      <w:r w:rsidRPr="00624565">
        <w:rPr>
          <w:noProof/>
        </w:rPr>
        <w:t xml:space="preserve">adania sprawozdań </w:t>
      </w:r>
    </w:p>
    <w:p w14:paraId="51BC026E" w14:textId="26C2454E" w:rsidR="009769E5" w:rsidRPr="00624565" w:rsidRDefault="00BC1E44" w:rsidP="00BC1E44">
      <w:pPr>
        <w:pBdr>
          <w:top w:val="nil"/>
          <w:left w:val="nil"/>
          <w:bottom w:val="nil"/>
          <w:right w:val="nil"/>
          <w:between w:val="nil"/>
          <w:bar w:val="nil"/>
        </w:pBdr>
        <w:spacing w:before="0" w:after="240"/>
        <w:rPr>
          <w:rFonts w:eastAsia="Times New Roman"/>
          <w:noProof/>
        </w:rPr>
      </w:pPr>
      <w:r w:rsidRPr="00624565">
        <w:rPr>
          <w:noProof/>
        </w:rPr>
        <w:t>Komisja przedstawi Parlamentowi Europejskiemu</w:t>
      </w:r>
      <w:r w:rsidR="003F3D2B" w:rsidRPr="00624565">
        <w:rPr>
          <w:noProof/>
        </w:rPr>
        <w:t xml:space="preserve"> i</w:t>
      </w:r>
      <w:r w:rsidR="003F3D2B">
        <w:rPr>
          <w:noProof/>
        </w:rPr>
        <w:t> </w:t>
      </w:r>
      <w:r w:rsidR="003F3D2B" w:rsidRPr="00624565">
        <w:rPr>
          <w:noProof/>
        </w:rPr>
        <w:t>Rad</w:t>
      </w:r>
      <w:r w:rsidRPr="00624565">
        <w:rPr>
          <w:noProof/>
        </w:rPr>
        <w:t>zie sprawozdanie</w:t>
      </w:r>
      <w:r w:rsidR="003F3D2B" w:rsidRPr="00624565">
        <w:rPr>
          <w:noProof/>
        </w:rPr>
        <w:t xml:space="preserve"> w</w:t>
      </w:r>
      <w:r w:rsidR="003F3D2B">
        <w:rPr>
          <w:noProof/>
        </w:rPr>
        <w:t> </w:t>
      </w:r>
      <w:r w:rsidR="003F3D2B" w:rsidRPr="00624565">
        <w:rPr>
          <w:noProof/>
        </w:rPr>
        <w:t>spr</w:t>
      </w:r>
      <w:r w:rsidRPr="00624565">
        <w:rPr>
          <w:noProof/>
        </w:rPr>
        <w:t>awie oceny osiągnięcia celów niniejszej dyrektywy nie później niż sześć lat po jej wdrożeniu.Państwa członkowskie są zobowiązane do regularnego monitorowania stosowania niniejszej dyrektywy na podstawie przeglądu oświadczeń środowiskowych, które zostały zgłoszone organom egzekwowania prawa. Państwo członkowskie mają przekazywać te informacje Komisji co rok. Europejska Agencja Środowiska ma co dwa lata publikować sprawozdania zawierające jej ocenę zmian</w:t>
      </w:r>
      <w:r w:rsidR="003F3D2B" w:rsidRPr="00624565">
        <w:rPr>
          <w:noProof/>
        </w:rPr>
        <w:t xml:space="preserve"> w</w:t>
      </w:r>
      <w:r w:rsidR="003F3D2B">
        <w:rPr>
          <w:noProof/>
        </w:rPr>
        <w:t> </w:t>
      </w:r>
      <w:r w:rsidR="003F3D2B" w:rsidRPr="00624565">
        <w:rPr>
          <w:noProof/>
        </w:rPr>
        <w:t>zak</w:t>
      </w:r>
      <w:r w:rsidRPr="00624565">
        <w:rPr>
          <w:noProof/>
        </w:rPr>
        <w:t>resie oświadczeń środowiskowych</w:t>
      </w:r>
      <w:r w:rsidR="003F3D2B" w:rsidRPr="00624565">
        <w:rPr>
          <w:noProof/>
        </w:rPr>
        <w:t xml:space="preserve"> i</w:t>
      </w:r>
      <w:r w:rsidR="003F3D2B">
        <w:rPr>
          <w:noProof/>
        </w:rPr>
        <w:t> </w:t>
      </w:r>
      <w:r w:rsidR="003F3D2B" w:rsidRPr="00624565">
        <w:rPr>
          <w:noProof/>
        </w:rPr>
        <w:t>sys</w:t>
      </w:r>
      <w:r w:rsidRPr="00624565">
        <w:rPr>
          <w:noProof/>
        </w:rPr>
        <w:t>temów oznakowania</w:t>
      </w:r>
      <w:r w:rsidR="003F3D2B" w:rsidRPr="00624565">
        <w:rPr>
          <w:noProof/>
        </w:rPr>
        <w:t xml:space="preserve"> w</w:t>
      </w:r>
      <w:r w:rsidR="003F3D2B">
        <w:rPr>
          <w:noProof/>
        </w:rPr>
        <w:t> </w:t>
      </w:r>
      <w:r w:rsidR="003F3D2B" w:rsidRPr="00624565">
        <w:rPr>
          <w:noProof/>
        </w:rPr>
        <w:t>pos</w:t>
      </w:r>
      <w:r w:rsidRPr="00624565">
        <w:rPr>
          <w:noProof/>
        </w:rPr>
        <w:t>zczególnych państwach członkowskich.</w:t>
      </w:r>
    </w:p>
    <w:p w14:paraId="34B62741" w14:textId="70B5A72E" w:rsidR="00BC1E44" w:rsidRPr="00624565" w:rsidRDefault="003216AC" w:rsidP="00BC1E44">
      <w:pPr>
        <w:pStyle w:val="ManualHeading1"/>
        <w:rPr>
          <w:rFonts w:eastAsia="Times New Roman"/>
          <w:noProof/>
          <w:szCs w:val="24"/>
        </w:rPr>
      </w:pPr>
      <w:r w:rsidRPr="00624565">
        <w:rPr>
          <w:noProof/>
        </w:rPr>
        <w:t>6.</w:t>
      </w:r>
      <w:r w:rsidRPr="00624565">
        <w:rPr>
          <w:noProof/>
        </w:rPr>
        <w:tab/>
        <w:t>Dokładne objaśnienia przepisów szczegółowych wniosku</w:t>
      </w:r>
    </w:p>
    <w:p w14:paraId="4B0CB4AA" w14:textId="77777777" w:rsidR="00BC1E44" w:rsidRPr="00624565" w:rsidRDefault="00BC1E44" w:rsidP="00BC1E44">
      <w:pPr>
        <w:pStyle w:val="ManualHeading2"/>
        <w:rPr>
          <w:rFonts w:eastAsia="Times New Roman"/>
          <w:b w:val="0"/>
          <w:bCs/>
          <w:noProof/>
        </w:rPr>
      </w:pPr>
      <w:r w:rsidRPr="00624565">
        <w:rPr>
          <w:noProof/>
        </w:rPr>
        <w:t xml:space="preserve">6.1. </w:t>
      </w:r>
      <w:r w:rsidRPr="00624565">
        <w:rPr>
          <w:noProof/>
        </w:rPr>
        <w:tab/>
        <w:t>Zakres wniosku</w:t>
      </w:r>
    </w:p>
    <w:p w14:paraId="417BC59C" w14:textId="352370D3" w:rsidR="00BC1E44" w:rsidRPr="00624565" w:rsidRDefault="00BC1E44" w:rsidP="00BC1E44">
      <w:pPr>
        <w:tabs>
          <w:tab w:val="num" w:pos="567"/>
        </w:tabs>
        <w:rPr>
          <w:rFonts w:eastAsia="Times New Roman"/>
          <w:b/>
          <w:noProof/>
        </w:rPr>
      </w:pPr>
      <w:r w:rsidRPr="00624565">
        <w:rPr>
          <w:noProof/>
        </w:rPr>
        <w:t xml:space="preserve">W </w:t>
      </w:r>
      <w:r w:rsidRPr="003F3D2B">
        <w:rPr>
          <w:noProof/>
        </w:rPr>
        <w:t>art.</w:t>
      </w:r>
      <w:r w:rsidR="003F3D2B" w:rsidRPr="003F3D2B">
        <w:rPr>
          <w:noProof/>
        </w:rPr>
        <w:t> </w:t>
      </w:r>
      <w:r w:rsidRPr="003F3D2B">
        <w:rPr>
          <w:noProof/>
        </w:rPr>
        <w:t>1</w:t>
      </w:r>
      <w:r w:rsidRPr="00624565">
        <w:rPr>
          <w:noProof/>
        </w:rPr>
        <w:t xml:space="preserve"> określono zakres wniosku. Wniosek zawiera minimalne wymogi dotyczące uzasadniania dobrowolnych oświadczeń środowiskowych</w:t>
      </w:r>
      <w:r w:rsidR="003F3D2B" w:rsidRPr="00624565">
        <w:rPr>
          <w:noProof/>
        </w:rPr>
        <w:t xml:space="preserve"> i</w:t>
      </w:r>
      <w:r w:rsidR="003F3D2B">
        <w:rPr>
          <w:noProof/>
        </w:rPr>
        <w:t> </w:t>
      </w:r>
      <w:r w:rsidR="003F3D2B" w:rsidRPr="00624565">
        <w:rPr>
          <w:noProof/>
        </w:rPr>
        <w:t>ozn</w:t>
      </w:r>
      <w:r w:rsidRPr="00624565">
        <w:rPr>
          <w:noProof/>
        </w:rPr>
        <w:t>akowań ekologicznych oraz informowania</w:t>
      </w:r>
      <w:r w:rsidR="003F3D2B" w:rsidRPr="00624565">
        <w:rPr>
          <w:noProof/>
        </w:rPr>
        <w:t xml:space="preserve"> o</w:t>
      </w:r>
      <w:r w:rsidR="003F3D2B">
        <w:rPr>
          <w:noProof/>
        </w:rPr>
        <w:t> </w:t>
      </w:r>
      <w:r w:rsidR="003F3D2B" w:rsidRPr="00624565">
        <w:rPr>
          <w:noProof/>
        </w:rPr>
        <w:t>nic</w:t>
      </w:r>
      <w:r w:rsidRPr="00624565">
        <w:rPr>
          <w:noProof/>
        </w:rPr>
        <w:t>h</w:t>
      </w:r>
      <w:r w:rsidR="003F3D2B" w:rsidRPr="00624565">
        <w:rPr>
          <w:noProof/>
        </w:rPr>
        <w:t xml:space="preserve"> w</w:t>
      </w:r>
      <w:r w:rsidR="003F3D2B">
        <w:rPr>
          <w:noProof/>
        </w:rPr>
        <w:t> </w:t>
      </w:r>
      <w:r w:rsidR="003F3D2B" w:rsidRPr="00624565">
        <w:rPr>
          <w:noProof/>
        </w:rPr>
        <w:t>ram</w:t>
      </w:r>
      <w:r w:rsidRPr="00624565">
        <w:rPr>
          <w:noProof/>
        </w:rPr>
        <w:t>ach praktyk handlowych stosowanych przez przedsiębiorstwa wobec konsumentów bez uszczerbku dla innych przepisów Unii określających warunki dotyczące oświadczeń środowiskowych</w:t>
      </w:r>
      <w:r w:rsidR="003F3D2B" w:rsidRPr="00624565">
        <w:rPr>
          <w:noProof/>
        </w:rPr>
        <w:t xml:space="preserve"> w</w:t>
      </w:r>
      <w:r w:rsidR="003F3D2B">
        <w:rPr>
          <w:noProof/>
        </w:rPr>
        <w:t> </w:t>
      </w:r>
      <w:r w:rsidR="003F3D2B" w:rsidRPr="00624565">
        <w:rPr>
          <w:noProof/>
        </w:rPr>
        <w:t>odn</w:t>
      </w:r>
      <w:r w:rsidRPr="00624565">
        <w:rPr>
          <w:noProof/>
        </w:rPr>
        <w:t>iesieniu do określonych produktów lub sektorów (jak wskazano</w:t>
      </w:r>
      <w:r w:rsidR="003F3D2B" w:rsidRPr="00624565">
        <w:rPr>
          <w:noProof/>
        </w:rPr>
        <w:t xml:space="preserve"> w</w:t>
      </w:r>
      <w:r w:rsidR="003F3D2B">
        <w:rPr>
          <w:noProof/>
        </w:rPr>
        <w:t> </w:t>
      </w:r>
      <w:r w:rsidR="003F3D2B" w:rsidRPr="00624565">
        <w:rPr>
          <w:noProof/>
        </w:rPr>
        <w:t>sek</w:t>
      </w:r>
      <w:r w:rsidRPr="00624565">
        <w:rPr>
          <w:noProof/>
        </w:rPr>
        <w:t xml:space="preserve">cji 1.2). </w:t>
      </w:r>
    </w:p>
    <w:p w14:paraId="4458C212" w14:textId="77777777" w:rsidR="00BC1E44" w:rsidRPr="00624565" w:rsidRDefault="00BC1E44" w:rsidP="00BC1E44">
      <w:pPr>
        <w:pStyle w:val="ManualHeading2"/>
        <w:rPr>
          <w:rFonts w:eastAsia="Times New Roman"/>
          <w:b w:val="0"/>
          <w:noProof/>
        </w:rPr>
      </w:pPr>
      <w:r w:rsidRPr="00624565">
        <w:rPr>
          <w:noProof/>
        </w:rPr>
        <w:t xml:space="preserve">6.2. </w:t>
      </w:r>
      <w:r w:rsidRPr="00624565">
        <w:rPr>
          <w:noProof/>
        </w:rPr>
        <w:tab/>
        <w:t xml:space="preserve">Wymogi dotyczące uzasadniania oświadczeń środowiskowych </w:t>
      </w:r>
    </w:p>
    <w:p w14:paraId="1C1A028F" w14:textId="00F70034" w:rsidR="00BC1E44" w:rsidRPr="00624565" w:rsidRDefault="00BC1E44" w:rsidP="00BC1E44">
      <w:pPr>
        <w:rPr>
          <w:rFonts w:eastAsia="Times New Roman"/>
          <w:noProof/>
        </w:rPr>
      </w:pPr>
      <w:r w:rsidRPr="00624565">
        <w:rPr>
          <w:noProof/>
        </w:rPr>
        <w:t>Art. 3 wniosku dotyczy głównie elementów, które nie zostały włączone do przepisów dotyczących ochrony konsumentów,</w:t>
      </w:r>
      <w:r w:rsidR="003F3D2B" w:rsidRPr="00624565">
        <w:rPr>
          <w:noProof/>
        </w:rPr>
        <w:t xml:space="preserve"> w</w:t>
      </w:r>
      <w:r w:rsidR="003F3D2B">
        <w:rPr>
          <w:noProof/>
        </w:rPr>
        <w:t> </w:t>
      </w:r>
      <w:r w:rsidR="003F3D2B" w:rsidRPr="00624565">
        <w:rPr>
          <w:noProof/>
        </w:rPr>
        <w:t>szc</w:t>
      </w:r>
      <w:r w:rsidRPr="00624565">
        <w:rPr>
          <w:noProof/>
        </w:rPr>
        <w:t>zególności</w:t>
      </w:r>
      <w:r w:rsidR="003F3D2B" w:rsidRPr="00624565">
        <w:rPr>
          <w:noProof/>
        </w:rPr>
        <w:t xml:space="preserve"> w</w:t>
      </w:r>
      <w:r w:rsidR="003F3D2B">
        <w:rPr>
          <w:noProof/>
        </w:rPr>
        <w:t> </w:t>
      </w:r>
      <w:r w:rsidR="003F3D2B" w:rsidRPr="00624565">
        <w:rPr>
          <w:noProof/>
        </w:rPr>
        <w:t>odn</w:t>
      </w:r>
      <w:r w:rsidRPr="00624565">
        <w:rPr>
          <w:noProof/>
        </w:rPr>
        <w:t>iesieniu do uzasadniania oświadczeń,</w:t>
      </w:r>
      <w:r w:rsidR="003F3D2B" w:rsidRPr="00624565">
        <w:rPr>
          <w:noProof/>
        </w:rPr>
        <w:t xml:space="preserve"> i</w:t>
      </w:r>
      <w:r w:rsidR="003F3D2B">
        <w:rPr>
          <w:noProof/>
        </w:rPr>
        <w:t> </w:t>
      </w:r>
      <w:r w:rsidR="003F3D2B" w:rsidRPr="00624565">
        <w:rPr>
          <w:noProof/>
        </w:rPr>
        <w:t>w</w:t>
      </w:r>
      <w:r w:rsidR="003F3D2B">
        <w:rPr>
          <w:noProof/>
        </w:rPr>
        <w:t> </w:t>
      </w:r>
      <w:r w:rsidR="003F3D2B" w:rsidRPr="00624565">
        <w:rPr>
          <w:noProof/>
        </w:rPr>
        <w:t>nie</w:t>
      </w:r>
      <w:r w:rsidRPr="00624565">
        <w:rPr>
          <w:noProof/>
        </w:rPr>
        <w:t>których przypadkach zawiera dodatkowe wyjaśnienia. We wniosku zawarto wymóg, aby uzasadnianie wyraźnych oświadczeń środowiskowych opierało się na ocenie spełniającej wybrane kryteria minimalne</w:t>
      </w:r>
      <w:r w:rsidR="003F3D2B" w:rsidRPr="00624565">
        <w:rPr>
          <w:noProof/>
        </w:rPr>
        <w:t xml:space="preserve"> w</w:t>
      </w:r>
      <w:r w:rsidR="003F3D2B">
        <w:rPr>
          <w:noProof/>
        </w:rPr>
        <w:t> </w:t>
      </w:r>
      <w:r w:rsidR="003F3D2B" w:rsidRPr="00624565">
        <w:rPr>
          <w:noProof/>
        </w:rPr>
        <w:t>cel</w:t>
      </w:r>
      <w:r w:rsidRPr="00624565">
        <w:rPr>
          <w:noProof/>
        </w:rPr>
        <w:t>u uniknięcia wprowadzającego</w:t>
      </w:r>
      <w:r w:rsidR="003F3D2B" w:rsidRPr="00624565">
        <w:rPr>
          <w:noProof/>
        </w:rPr>
        <w:t xml:space="preserve"> w</w:t>
      </w:r>
      <w:r w:rsidR="003F3D2B">
        <w:rPr>
          <w:noProof/>
        </w:rPr>
        <w:t> </w:t>
      </w:r>
      <w:r w:rsidR="003F3D2B" w:rsidRPr="00624565">
        <w:rPr>
          <w:noProof/>
        </w:rPr>
        <w:t>błą</w:t>
      </w:r>
      <w:r w:rsidRPr="00624565">
        <w:rPr>
          <w:noProof/>
        </w:rPr>
        <w:t>d charakteru oświadczeń,</w:t>
      </w:r>
      <w:r w:rsidR="003F3D2B" w:rsidRPr="00624565">
        <w:rPr>
          <w:noProof/>
        </w:rPr>
        <w:t xml:space="preserve"> a</w:t>
      </w:r>
      <w:r w:rsidR="003F3D2B">
        <w:rPr>
          <w:noProof/>
        </w:rPr>
        <w:t> </w:t>
      </w:r>
      <w:r w:rsidR="003F3D2B" w:rsidRPr="00624565">
        <w:rPr>
          <w:noProof/>
        </w:rPr>
        <w:t>mia</w:t>
      </w:r>
      <w:r w:rsidRPr="00624565">
        <w:rPr>
          <w:noProof/>
        </w:rPr>
        <w:t>nowicie, aby ocena stanowiąca podstawę uzasadnienia oświadczeń:</w:t>
      </w:r>
    </w:p>
    <w:p w14:paraId="2CE0EF82" w14:textId="26993446" w:rsidR="00BC1E44" w:rsidRPr="00624565" w:rsidRDefault="00BC1E44" w:rsidP="003D1B02">
      <w:pPr>
        <w:pStyle w:val="Tiret0"/>
        <w:numPr>
          <w:ilvl w:val="0"/>
          <w:numId w:val="19"/>
        </w:numPr>
        <w:rPr>
          <w:noProof/>
        </w:rPr>
      </w:pPr>
      <w:r w:rsidRPr="00624565">
        <w:rPr>
          <w:noProof/>
        </w:rPr>
        <w:t>opierała się na uznanych danych naukowych</w:t>
      </w:r>
      <w:r w:rsidR="003F3D2B" w:rsidRPr="00624565">
        <w:rPr>
          <w:noProof/>
        </w:rPr>
        <w:t xml:space="preserve"> i</w:t>
      </w:r>
      <w:r w:rsidR="003F3D2B">
        <w:rPr>
          <w:noProof/>
        </w:rPr>
        <w:t> </w:t>
      </w:r>
      <w:r w:rsidR="003F3D2B" w:rsidRPr="00624565">
        <w:rPr>
          <w:noProof/>
        </w:rPr>
        <w:t>naj</w:t>
      </w:r>
      <w:r w:rsidRPr="00624565">
        <w:rPr>
          <w:noProof/>
        </w:rPr>
        <w:t xml:space="preserve">nowszej wiedzy technicznej; </w:t>
      </w:r>
    </w:p>
    <w:p w14:paraId="4C51139C" w14:textId="447282B2" w:rsidR="00BC1E44" w:rsidRPr="00624565" w:rsidRDefault="00BC1E44" w:rsidP="003D1B02">
      <w:pPr>
        <w:pStyle w:val="Tiret0"/>
        <w:numPr>
          <w:ilvl w:val="0"/>
          <w:numId w:val="19"/>
        </w:numPr>
        <w:rPr>
          <w:noProof/>
        </w:rPr>
      </w:pPr>
      <w:r w:rsidRPr="00624565">
        <w:rPr>
          <w:noProof/>
        </w:rPr>
        <w:t>przedstawiała znaczenie wpływu, aspektów</w:t>
      </w:r>
      <w:r w:rsidR="003F3D2B" w:rsidRPr="00624565">
        <w:rPr>
          <w:noProof/>
        </w:rPr>
        <w:t xml:space="preserve"> i</w:t>
      </w:r>
      <w:r w:rsidR="003F3D2B">
        <w:rPr>
          <w:noProof/>
        </w:rPr>
        <w:t> </w:t>
      </w:r>
      <w:r w:rsidR="003F3D2B" w:rsidRPr="00624565">
        <w:rPr>
          <w:noProof/>
        </w:rPr>
        <w:t>efe</w:t>
      </w:r>
      <w:r w:rsidRPr="00624565">
        <w:rPr>
          <w:noProof/>
        </w:rPr>
        <w:t>ktywności</w:t>
      </w:r>
      <w:r w:rsidR="003F3D2B" w:rsidRPr="00624565">
        <w:rPr>
          <w:noProof/>
        </w:rPr>
        <w:t xml:space="preserve"> z</w:t>
      </w:r>
      <w:r w:rsidR="003F3D2B">
        <w:rPr>
          <w:noProof/>
        </w:rPr>
        <w:t> </w:t>
      </w:r>
      <w:r w:rsidR="003F3D2B" w:rsidRPr="00624565">
        <w:rPr>
          <w:noProof/>
        </w:rPr>
        <w:t>per</w:t>
      </w:r>
      <w:r w:rsidRPr="00624565">
        <w:rPr>
          <w:noProof/>
        </w:rPr>
        <w:t>spektywy cyklu życia;</w:t>
      </w:r>
    </w:p>
    <w:p w14:paraId="5D6A2927" w14:textId="689BA9FA" w:rsidR="00BC1E44" w:rsidRPr="00624565" w:rsidRDefault="00BC1E44" w:rsidP="003D1B02">
      <w:pPr>
        <w:pStyle w:val="Tiret0"/>
        <w:numPr>
          <w:ilvl w:val="0"/>
          <w:numId w:val="19"/>
        </w:numPr>
        <w:rPr>
          <w:noProof/>
        </w:rPr>
      </w:pPr>
      <w:r w:rsidRPr="00624565">
        <w:rPr>
          <w:noProof/>
        </w:rPr>
        <w:t>uwzględniała wszystkie istotne aspekty</w:t>
      </w:r>
      <w:r w:rsidR="003F3D2B" w:rsidRPr="00624565">
        <w:rPr>
          <w:noProof/>
        </w:rPr>
        <w:t xml:space="preserve"> i</w:t>
      </w:r>
      <w:r w:rsidR="003F3D2B">
        <w:rPr>
          <w:noProof/>
        </w:rPr>
        <w:t> </w:t>
      </w:r>
      <w:r w:rsidR="003F3D2B" w:rsidRPr="00624565">
        <w:rPr>
          <w:noProof/>
        </w:rPr>
        <w:t>sku</w:t>
      </w:r>
      <w:r w:rsidRPr="00624565">
        <w:rPr>
          <w:noProof/>
        </w:rPr>
        <w:t xml:space="preserve">tki umożliwiające ocenę efektywności; </w:t>
      </w:r>
    </w:p>
    <w:p w14:paraId="4CB9A312" w14:textId="6501D9D7" w:rsidR="00BC1E44" w:rsidRPr="00624565" w:rsidRDefault="00BC1E44" w:rsidP="003D1B02">
      <w:pPr>
        <w:pStyle w:val="Tiret0"/>
        <w:numPr>
          <w:ilvl w:val="0"/>
          <w:numId w:val="19"/>
        </w:numPr>
        <w:rPr>
          <w:noProof/>
        </w:rPr>
      </w:pPr>
      <w:r w:rsidRPr="00624565">
        <w:rPr>
          <w:noProof/>
        </w:rPr>
        <w:t>wskazywała, czy dane oświadczenie zawiera dokładne informacje na temat całego produktu, czy tylko jego części (na temat całego cyklu życia, czy tylko jego określonych etapów, na temat wszystkich działań przedsiębiorcy, czy tylko niektórych</w:t>
      </w:r>
      <w:r w:rsidR="003F3D2B" w:rsidRPr="00624565">
        <w:rPr>
          <w:noProof/>
        </w:rPr>
        <w:t xml:space="preserve"> z</w:t>
      </w:r>
      <w:r w:rsidR="003F3D2B">
        <w:rPr>
          <w:noProof/>
        </w:rPr>
        <w:t> </w:t>
      </w:r>
      <w:r w:rsidR="003F3D2B" w:rsidRPr="00624565">
        <w:rPr>
          <w:noProof/>
        </w:rPr>
        <w:t>nic</w:t>
      </w:r>
      <w:r w:rsidRPr="00624565">
        <w:rPr>
          <w:noProof/>
        </w:rPr>
        <w:t>h);</w:t>
      </w:r>
    </w:p>
    <w:p w14:paraId="08B1C495" w14:textId="496CCC6C" w:rsidR="00BC1E44" w:rsidRPr="00624565" w:rsidRDefault="00BC1E44" w:rsidP="003D1B02">
      <w:pPr>
        <w:pStyle w:val="Tiret0"/>
        <w:numPr>
          <w:ilvl w:val="0"/>
          <w:numId w:val="19"/>
        </w:numPr>
        <w:rPr>
          <w:noProof/>
        </w:rPr>
      </w:pPr>
      <w:r w:rsidRPr="00624565">
        <w:rPr>
          <w:noProof/>
        </w:rPr>
        <w:t>wykazywała, że oświadczenie nie jest równoważne</w:t>
      </w:r>
      <w:r w:rsidR="003F3D2B" w:rsidRPr="00624565">
        <w:rPr>
          <w:noProof/>
        </w:rPr>
        <w:t xml:space="preserve"> z</w:t>
      </w:r>
      <w:r w:rsidR="003F3D2B">
        <w:rPr>
          <w:noProof/>
        </w:rPr>
        <w:t> </w:t>
      </w:r>
      <w:r w:rsidR="003F3D2B" w:rsidRPr="00624565">
        <w:rPr>
          <w:noProof/>
        </w:rPr>
        <w:t>wym</w:t>
      </w:r>
      <w:r w:rsidRPr="00624565">
        <w:rPr>
          <w:noProof/>
        </w:rPr>
        <w:t>ogami nałożonymi przez przepisy prawa;</w:t>
      </w:r>
    </w:p>
    <w:p w14:paraId="26CF2FD8" w14:textId="77777777" w:rsidR="00BC1E44" w:rsidRPr="00624565" w:rsidRDefault="00BC1E44" w:rsidP="003D1B02">
      <w:pPr>
        <w:pStyle w:val="Tiret0"/>
        <w:numPr>
          <w:ilvl w:val="0"/>
          <w:numId w:val="19"/>
        </w:numPr>
        <w:rPr>
          <w:noProof/>
        </w:rPr>
      </w:pPr>
      <w:r w:rsidRPr="00624565">
        <w:rPr>
          <w:noProof/>
        </w:rPr>
        <w:t xml:space="preserve">zawierała informacje, czy efektywność środowiskowa danego produktu jest znacząco lepsza niż jest to powszechnie przyjęte; </w:t>
      </w:r>
    </w:p>
    <w:p w14:paraId="756B2F48" w14:textId="77777777" w:rsidR="00BC1E44" w:rsidRPr="00624565" w:rsidRDefault="00BC1E44" w:rsidP="003D1B02">
      <w:pPr>
        <w:pStyle w:val="Tiret0"/>
        <w:numPr>
          <w:ilvl w:val="0"/>
          <w:numId w:val="19"/>
        </w:numPr>
        <w:rPr>
          <w:noProof/>
        </w:rPr>
      </w:pPr>
      <w:r w:rsidRPr="00624565">
        <w:rPr>
          <w:noProof/>
        </w:rPr>
        <w:t xml:space="preserve">określała, czy pozytywne efekty prowadzą do znacznego pogorszenia innego wpływu; </w:t>
      </w:r>
    </w:p>
    <w:p w14:paraId="2C01D7BE" w14:textId="1B827F53" w:rsidR="00BC1E44" w:rsidRPr="00624565" w:rsidRDefault="00BC1E44" w:rsidP="003D1B02">
      <w:pPr>
        <w:pStyle w:val="Tiret0"/>
        <w:numPr>
          <w:ilvl w:val="0"/>
          <w:numId w:val="19"/>
        </w:numPr>
        <w:rPr>
          <w:noProof/>
        </w:rPr>
      </w:pPr>
      <w:r w:rsidRPr="00624565">
        <w:rPr>
          <w:noProof/>
        </w:rPr>
        <w:t>zawierała wymóg przejrzystego informowania</w:t>
      </w:r>
      <w:r w:rsidR="003F3D2B" w:rsidRPr="00624565">
        <w:rPr>
          <w:noProof/>
        </w:rPr>
        <w:t xml:space="preserve"> o</w:t>
      </w:r>
      <w:r w:rsidR="003F3D2B">
        <w:rPr>
          <w:noProof/>
        </w:rPr>
        <w:t> </w:t>
      </w:r>
      <w:r w:rsidR="003F3D2B" w:rsidRPr="00624565">
        <w:rPr>
          <w:noProof/>
        </w:rPr>
        <w:t>kom</w:t>
      </w:r>
      <w:r w:rsidRPr="00624565">
        <w:rPr>
          <w:noProof/>
        </w:rPr>
        <w:t xml:space="preserve">pensacji gazów cieplarnianych; </w:t>
      </w:r>
    </w:p>
    <w:p w14:paraId="5DBE4DCB" w14:textId="66502CF7" w:rsidR="00BC1E44" w:rsidRPr="00624565" w:rsidRDefault="00BC1E44" w:rsidP="003D1B02">
      <w:pPr>
        <w:pStyle w:val="Tiret0"/>
        <w:numPr>
          <w:ilvl w:val="0"/>
          <w:numId w:val="19"/>
        </w:numPr>
        <w:rPr>
          <w:noProof/>
          <w:szCs w:val="24"/>
        </w:rPr>
      </w:pPr>
      <w:r w:rsidRPr="00624565">
        <w:rPr>
          <w:noProof/>
        </w:rPr>
        <w:t>zawierała dokładne informacje pierwotne</w:t>
      </w:r>
      <w:r w:rsidR="003F3D2B" w:rsidRPr="00624565">
        <w:rPr>
          <w:noProof/>
        </w:rPr>
        <w:t xml:space="preserve"> i</w:t>
      </w:r>
      <w:r w:rsidR="003F3D2B">
        <w:rPr>
          <w:noProof/>
        </w:rPr>
        <w:t> </w:t>
      </w:r>
      <w:r w:rsidR="003F3D2B" w:rsidRPr="00624565">
        <w:rPr>
          <w:noProof/>
        </w:rPr>
        <w:t>wtó</w:t>
      </w:r>
      <w:r w:rsidRPr="00624565">
        <w:rPr>
          <w:noProof/>
        </w:rPr>
        <w:t xml:space="preserve">rne. </w:t>
      </w:r>
    </w:p>
    <w:p w14:paraId="68BB404E" w14:textId="6E5B89F5" w:rsidR="00BC1E44" w:rsidRPr="00624565" w:rsidRDefault="00BC1E44" w:rsidP="00BC1E44">
      <w:pPr>
        <w:rPr>
          <w:noProof/>
        </w:rPr>
      </w:pPr>
      <w:r w:rsidRPr="00624565">
        <w:rPr>
          <w:noProof/>
        </w:rPr>
        <w:t>Mikroprzedsiębiorstwa (czyli przedsiębiorstwa zatrudniające mniej niż 10 osób, których obroty roczne nie przekraczają 2 mln EUR</w:t>
      </w:r>
      <w:r w:rsidRPr="00624565">
        <w:rPr>
          <w:rStyle w:val="FootnoteReference"/>
          <w:noProof/>
        </w:rPr>
        <w:footnoteReference w:id="61"/>
      </w:r>
      <w:r w:rsidRPr="00624565">
        <w:rPr>
          <w:noProof/>
        </w:rPr>
        <w:t>) są zwolnione</w:t>
      </w:r>
      <w:r w:rsidR="003F3D2B" w:rsidRPr="00624565">
        <w:rPr>
          <w:noProof/>
        </w:rPr>
        <w:t xml:space="preserve"> z</w:t>
      </w:r>
      <w:r w:rsidR="003F3D2B">
        <w:rPr>
          <w:noProof/>
        </w:rPr>
        <w:t> </w:t>
      </w:r>
      <w:r w:rsidR="003F3D2B" w:rsidRPr="00624565">
        <w:rPr>
          <w:noProof/>
        </w:rPr>
        <w:t>wym</w:t>
      </w:r>
      <w:r w:rsidRPr="00624565">
        <w:rPr>
          <w:noProof/>
        </w:rPr>
        <w:t>ogów określonych</w:t>
      </w:r>
      <w:r w:rsidR="003F3D2B" w:rsidRPr="00624565">
        <w:rPr>
          <w:noProof/>
        </w:rPr>
        <w:t xml:space="preserve"> w</w:t>
      </w:r>
      <w:r w:rsidR="003F3D2B">
        <w:rPr>
          <w:noProof/>
        </w:rPr>
        <w:t> </w:t>
      </w:r>
      <w:r w:rsidR="003F3D2B" w:rsidRPr="00624565">
        <w:rPr>
          <w:noProof/>
        </w:rPr>
        <w:t>tym</w:t>
      </w:r>
      <w:r w:rsidRPr="00624565">
        <w:rPr>
          <w:noProof/>
        </w:rPr>
        <w:t xml:space="preserve"> artykule, chyba że chciałyby otrzymać certyfikat zgodności oświadczenia środowiskowego,</w:t>
      </w:r>
      <w:r w:rsidR="003F3D2B" w:rsidRPr="00624565">
        <w:rPr>
          <w:noProof/>
        </w:rPr>
        <w:t xml:space="preserve"> w</w:t>
      </w:r>
      <w:r w:rsidR="003F3D2B">
        <w:rPr>
          <w:noProof/>
        </w:rPr>
        <w:t> </w:t>
      </w:r>
      <w:r w:rsidR="003F3D2B" w:rsidRPr="00624565">
        <w:rPr>
          <w:noProof/>
        </w:rPr>
        <w:t>któ</w:t>
      </w:r>
      <w:r w:rsidRPr="00624565">
        <w:rPr>
          <w:noProof/>
        </w:rPr>
        <w:t>rym to przypadku będą musiały spełnić przedmiotowe wymogi.</w:t>
      </w:r>
    </w:p>
    <w:p w14:paraId="729EEF30" w14:textId="4790E349" w:rsidR="00BC1E44" w:rsidRPr="00624565" w:rsidRDefault="00BC1E44" w:rsidP="00BC1E44">
      <w:pPr>
        <w:rPr>
          <w:rFonts w:eastAsia="Times New Roman"/>
          <w:noProof/>
        </w:rPr>
      </w:pPr>
      <w:r w:rsidRPr="00624565">
        <w:rPr>
          <w:noProof/>
        </w:rPr>
        <w:t>Art. 4 określa ponadto dalsze wymogi dotyczące oświadczeń</w:t>
      </w:r>
      <w:r w:rsidR="003F3D2B" w:rsidRPr="00624565">
        <w:rPr>
          <w:noProof/>
        </w:rPr>
        <w:t xml:space="preserve"> o</w:t>
      </w:r>
      <w:r w:rsidR="003F3D2B">
        <w:rPr>
          <w:noProof/>
        </w:rPr>
        <w:t> </w:t>
      </w:r>
      <w:r w:rsidR="003F3D2B" w:rsidRPr="00624565">
        <w:rPr>
          <w:noProof/>
        </w:rPr>
        <w:t>cha</w:t>
      </w:r>
      <w:r w:rsidRPr="00624565">
        <w:rPr>
          <w:noProof/>
        </w:rPr>
        <w:t>rakterze porównawczym (tj. oświadczeń,</w:t>
      </w:r>
      <w:r w:rsidR="003F3D2B" w:rsidRPr="00624565">
        <w:rPr>
          <w:noProof/>
        </w:rPr>
        <w:t xml:space="preserve"> w</w:t>
      </w:r>
      <w:r w:rsidR="003F3D2B">
        <w:rPr>
          <w:noProof/>
        </w:rPr>
        <w:t> </w:t>
      </w:r>
      <w:r w:rsidR="003F3D2B" w:rsidRPr="00624565">
        <w:rPr>
          <w:noProof/>
        </w:rPr>
        <w:t>któ</w:t>
      </w:r>
      <w:r w:rsidRPr="00624565">
        <w:rPr>
          <w:noProof/>
        </w:rPr>
        <w:t>rych stwierdza się lub sugeruje, że danych produkt lub przedsiębiorca wywiera mniejszy lub większy wpływ na środowisko lub wykazuje lepszą lub gorszą efektywność</w:t>
      </w:r>
      <w:r w:rsidR="003F3D2B" w:rsidRPr="00624565">
        <w:rPr>
          <w:noProof/>
        </w:rPr>
        <w:t xml:space="preserve"> w</w:t>
      </w:r>
      <w:r w:rsidR="003F3D2B">
        <w:rPr>
          <w:noProof/>
        </w:rPr>
        <w:t> </w:t>
      </w:r>
      <w:r w:rsidR="003F3D2B" w:rsidRPr="00624565">
        <w:rPr>
          <w:noProof/>
        </w:rPr>
        <w:t>odn</w:t>
      </w:r>
      <w:r w:rsidRPr="00624565">
        <w:rPr>
          <w:noProof/>
        </w:rPr>
        <w:t xml:space="preserve">iesieniu do aspektów środowiskowych niż inne produkty lub inni przedsiębiorcy). Wymogi te obejmują: </w:t>
      </w:r>
    </w:p>
    <w:p w14:paraId="564AF222" w14:textId="77777777" w:rsidR="00BC1E44" w:rsidRPr="00624565" w:rsidRDefault="00BC1E44" w:rsidP="003D1B02">
      <w:pPr>
        <w:pStyle w:val="Bullet0"/>
        <w:numPr>
          <w:ilvl w:val="0"/>
          <w:numId w:val="18"/>
        </w:numPr>
        <w:rPr>
          <w:noProof/>
        </w:rPr>
      </w:pPr>
      <w:r w:rsidRPr="00624565">
        <w:rPr>
          <w:noProof/>
        </w:rPr>
        <w:t xml:space="preserve">wykorzystywanie równoważnych informacji na potrzeby oceny wpływu na środowisko, aspektów środowiskowych lub efektywności środowiskowej porównywanych produktów; </w:t>
      </w:r>
    </w:p>
    <w:p w14:paraId="1437D932" w14:textId="27EFBD93" w:rsidR="00BC1E44" w:rsidRPr="00624565" w:rsidRDefault="00BC1E44" w:rsidP="003D1B02">
      <w:pPr>
        <w:pStyle w:val="Bullet0"/>
        <w:numPr>
          <w:ilvl w:val="0"/>
          <w:numId w:val="18"/>
        </w:numPr>
        <w:rPr>
          <w:noProof/>
        </w:rPr>
      </w:pPr>
      <w:r w:rsidRPr="00624565">
        <w:rPr>
          <w:noProof/>
        </w:rPr>
        <w:t>wykorzystywanie wygenerowanych lub pozyskanych</w:t>
      </w:r>
      <w:r w:rsidR="003F3D2B" w:rsidRPr="00624565">
        <w:rPr>
          <w:noProof/>
        </w:rPr>
        <w:t xml:space="preserve"> w</w:t>
      </w:r>
      <w:r w:rsidR="003F3D2B">
        <w:rPr>
          <w:noProof/>
        </w:rPr>
        <w:t> </w:t>
      </w:r>
      <w:r w:rsidR="003F3D2B" w:rsidRPr="00624565">
        <w:rPr>
          <w:noProof/>
        </w:rPr>
        <w:t>rów</w:t>
      </w:r>
      <w:r w:rsidRPr="00624565">
        <w:rPr>
          <w:noProof/>
        </w:rPr>
        <w:t xml:space="preserve">noważny sposób danych na temat porównywanych produktów lub przedsiębiorców; </w:t>
      </w:r>
    </w:p>
    <w:p w14:paraId="3D941AA5" w14:textId="33D092AD" w:rsidR="00BC1E44" w:rsidRPr="00624565" w:rsidRDefault="00BC1E44" w:rsidP="003D1B02">
      <w:pPr>
        <w:pStyle w:val="Bullet0"/>
        <w:numPr>
          <w:ilvl w:val="0"/>
          <w:numId w:val="18"/>
        </w:numPr>
        <w:rPr>
          <w:noProof/>
        </w:rPr>
      </w:pPr>
      <w:r w:rsidRPr="00624565">
        <w:rPr>
          <w:noProof/>
        </w:rPr>
        <w:t>zapewnienie uwzględnienia równoważności etapów łańcucha wartości</w:t>
      </w:r>
      <w:r w:rsidR="003F3D2B" w:rsidRPr="00624565">
        <w:rPr>
          <w:noProof/>
        </w:rPr>
        <w:t xml:space="preserve"> w</w:t>
      </w:r>
      <w:r w:rsidR="003F3D2B">
        <w:rPr>
          <w:noProof/>
        </w:rPr>
        <w:t> </w:t>
      </w:r>
      <w:r w:rsidR="003F3D2B" w:rsidRPr="00624565">
        <w:rPr>
          <w:noProof/>
        </w:rPr>
        <w:t>odn</w:t>
      </w:r>
      <w:r w:rsidRPr="00624565">
        <w:rPr>
          <w:noProof/>
        </w:rPr>
        <w:t>iesieniu do porównywanych produktów</w:t>
      </w:r>
      <w:r w:rsidR="003F3D2B" w:rsidRPr="00624565">
        <w:rPr>
          <w:noProof/>
        </w:rPr>
        <w:t xml:space="preserve"> i</w:t>
      </w:r>
      <w:r w:rsidR="003F3D2B">
        <w:rPr>
          <w:noProof/>
        </w:rPr>
        <w:t> </w:t>
      </w:r>
      <w:r w:rsidR="003F3D2B" w:rsidRPr="00624565">
        <w:rPr>
          <w:noProof/>
        </w:rPr>
        <w:t>prz</w:t>
      </w:r>
      <w:r w:rsidRPr="00624565">
        <w:rPr>
          <w:noProof/>
        </w:rPr>
        <w:t>edsiębiorców przy jednoczesnym zapewnieniu uwzględnienia najważniejszych etapów</w:t>
      </w:r>
      <w:r w:rsidR="003F3D2B" w:rsidRPr="00624565">
        <w:rPr>
          <w:noProof/>
        </w:rPr>
        <w:t xml:space="preserve"> w</w:t>
      </w:r>
      <w:r w:rsidR="003F3D2B">
        <w:rPr>
          <w:noProof/>
        </w:rPr>
        <w:t> </w:t>
      </w:r>
      <w:r w:rsidR="003F3D2B" w:rsidRPr="00624565">
        <w:rPr>
          <w:noProof/>
        </w:rPr>
        <w:t>odn</w:t>
      </w:r>
      <w:r w:rsidRPr="00624565">
        <w:rPr>
          <w:noProof/>
        </w:rPr>
        <w:t>iesieniu do porównywanych produktów</w:t>
      </w:r>
      <w:r w:rsidR="003F3D2B" w:rsidRPr="00624565">
        <w:rPr>
          <w:noProof/>
        </w:rPr>
        <w:t xml:space="preserve"> i</w:t>
      </w:r>
      <w:r w:rsidR="003F3D2B">
        <w:rPr>
          <w:noProof/>
        </w:rPr>
        <w:t> </w:t>
      </w:r>
      <w:r w:rsidR="003F3D2B" w:rsidRPr="00624565">
        <w:rPr>
          <w:noProof/>
        </w:rPr>
        <w:t>prz</w:t>
      </w:r>
      <w:r w:rsidRPr="00624565">
        <w:rPr>
          <w:noProof/>
        </w:rPr>
        <w:t xml:space="preserve">edsiębiorców; </w:t>
      </w:r>
    </w:p>
    <w:p w14:paraId="75CF10B8" w14:textId="5678A51A" w:rsidR="00BC1E44" w:rsidRPr="00624565" w:rsidRDefault="00BC1E44" w:rsidP="003D1B02">
      <w:pPr>
        <w:pStyle w:val="Bullet0"/>
        <w:numPr>
          <w:ilvl w:val="0"/>
          <w:numId w:val="18"/>
        </w:numPr>
        <w:rPr>
          <w:noProof/>
        </w:rPr>
      </w:pPr>
      <w:r w:rsidRPr="00624565">
        <w:rPr>
          <w:noProof/>
        </w:rPr>
        <w:t>zapewnienie uwzględnienia równoważności wpływu na środowisko, aspektów środowiskowych lub efektywności środowiskowej</w:t>
      </w:r>
      <w:r w:rsidR="003F3D2B" w:rsidRPr="00624565">
        <w:rPr>
          <w:noProof/>
        </w:rPr>
        <w:t xml:space="preserve"> w</w:t>
      </w:r>
      <w:r w:rsidR="003F3D2B">
        <w:rPr>
          <w:noProof/>
        </w:rPr>
        <w:t> </w:t>
      </w:r>
      <w:r w:rsidR="003F3D2B" w:rsidRPr="00624565">
        <w:rPr>
          <w:noProof/>
        </w:rPr>
        <w:t>odn</w:t>
      </w:r>
      <w:r w:rsidRPr="00624565">
        <w:rPr>
          <w:noProof/>
        </w:rPr>
        <w:t>iesieniu do porównywanych produktów</w:t>
      </w:r>
      <w:r w:rsidR="003F3D2B" w:rsidRPr="00624565">
        <w:rPr>
          <w:noProof/>
        </w:rPr>
        <w:t xml:space="preserve"> i</w:t>
      </w:r>
      <w:r w:rsidR="003F3D2B">
        <w:rPr>
          <w:noProof/>
        </w:rPr>
        <w:t> </w:t>
      </w:r>
      <w:r w:rsidR="003F3D2B" w:rsidRPr="00624565">
        <w:rPr>
          <w:noProof/>
        </w:rPr>
        <w:t>prz</w:t>
      </w:r>
      <w:r w:rsidRPr="00624565">
        <w:rPr>
          <w:noProof/>
        </w:rPr>
        <w:t>edsiębiorców przy jednoczesnym zapewnieniu uwzględnienia najważniejszego wpływu na środowisko, najważniejszych aspektów środowiskowych lub najważniejszej efektywności środowiskowej</w:t>
      </w:r>
      <w:r w:rsidR="003F3D2B" w:rsidRPr="00624565">
        <w:rPr>
          <w:noProof/>
        </w:rPr>
        <w:t xml:space="preserve"> w</w:t>
      </w:r>
      <w:r w:rsidR="003F3D2B">
        <w:rPr>
          <w:noProof/>
        </w:rPr>
        <w:t> </w:t>
      </w:r>
      <w:r w:rsidR="003F3D2B" w:rsidRPr="00624565">
        <w:rPr>
          <w:noProof/>
        </w:rPr>
        <w:t>odn</w:t>
      </w:r>
      <w:r w:rsidRPr="00624565">
        <w:rPr>
          <w:noProof/>
        </w:rPr>
        <w:t>iesieniu do wszystkich porównywanych produktów</w:t>
      </w:r>
      <w:r w:rsidR="003F3D2B" w:rsidRPr="00624565">
        <w:rPr>
          <w:noProof/>
        </w:rPr>
        <w:t xml:space="preserve"> i</w:t>
      </w:r>
      <w:r w:rsidR="003F3D2B">
        <w:rPr>
          <w:noProof/>
        </w:rPr>
        <w:t> </w:t>
      </w:r>
      <w:r w:rsidR="003F3D2B" w:rsidRPr="00624565">
        <w:rPr>
          <w:noProof/>
        </w:rPr>
        <w:t>prz</w:t>
      </w:r>
      <w:r w:rsidRPr="00624565">
        <w:rPr>
          <w:noProof/>
        </w:rPr>
        <w:t xml:space="preserve">edsiębiorców; </w:t>
      </w:r>
    </w:p>
    <w:p w14:paraId="23C14873" w14:textId="0EE8988D" w:rsidR="00BC1E44" w:rsidRPr="00624565" w:rsidRDefault="00BC1E44" w:rsidP="003D1B02">
      <w:pPr>
        <w:pStyle w:val="Bullet0"/>
        <w:numPr>
          <w:ilvl w:val="0"/>
          <w:numId w:val="18"/>
        </w:numPr>
        <w:rPr>
          <w:noProof/>
        </w:rPr>
      </w:pPr>
      <w:r w:rsidRPr="00624565">
        <w:rPr>
          <w:noProof/>
        </w:rPr>
        <w:t>spójne ustalenie założeń wykorzystywanych do porównania produktów</w:t>
      </w:r>
      <w:r w:rsidR="003F3D2B" w:rsidRPr="00624565">
        <w:rPr>
          <w:noProof/>
        </w:rPr>
        <w:t xml:space="preserve"> i</w:t>
      </w:r>
      <w:r w:rsidR="003F3D2B">
        <w:rPr>
          <w:noProof/>
        </w:rPr>
        <w:t> </w:t>
      </w:r>
      <w:r w:rsidR="003F3D2B" w:rsidRPr="00624565">
        <w:rPr>
          <w:noProof/>
        </w:rPr>
        <w:t>prz</w:t>
      </w:r>
      <w:r w:rsidRPr="00624565">
        <w:rPr>
          <w:noProof/>
        </w:rPr>
        <w:t>edsiębiorców;</w:t>
      </w:r>
    </w:p>
    <w:p w14:paraId="490522F1" w14:textId="36365DFA" w:rsidR="00BC1E44" w:rsidRPr="00624565" w:rsidRDefault="00BC1E44" w:rsidP="003D1B02">
      <w:pPr>
        <w:pStyle w:val="Bullet0"/>
        <w:numPr>
          <w:ilvl w:val="0"/>
          <w:numId w:val="18"/>
        </w:numPr>
        <w:rPr>
          <w:noProof/>
        </w:rPr>
      </w:pPr>
      <w:r w:rsidRPr="00624565">
        <w:rPr>
          <w:noProof/>
        </w:rPr>
        <w:t>uwzględnienie</w:t>
      </w:r>
      <w:r w:rsidR="003F3D2B" w:rsidRPr="00624565">
        <w:rPr>
          <w:noProof/>
        </w:rPr>
        <w:t xml:space="preserve"> w</w:t>
      </w:r>
      <w:r w:rsidR="003F3D2B">
        <w:rPr>
          <w:noProof/>
        </w:rPr>
        <w:t> </w:t>
      </w:r>
      <w:r w:rsidR="003F3D2B" w:rsidRPr="00624565">
        <w:rPr>
          <w:noProof/>
        </w:rPr>
        <w:t>odn</w:t>
      </w:r>
      <w:r w:rsidRPr="00624565">
        <w:rPr>
          <w:noProof/>
        </w:rPr>
        <w:t>iesieniu do oświadczeń dotyczących poprawy wpływu</w:t>
      </w:r>
      <w:r w:rsidR="003F3D2B" w:rsidRPr="00624565">
        <w:rPr>
          <w:noProof/>
        </w:rPr>
        <w:t xml:space="preserve"> o</w:t>
      </w:r>
      <w:r w:rsidR="003F3D2B">
        <w:rPr>
          <w:noProof/>
        </w:rPr>
        <w:t> </w:t>
      </w:r>
      <w:r w:rsidR="003F3D2B" w:rsidRPr="00624565">
        <w:rPr>
          <w:noProof/>
        </w:rPr>
        <w:t>cha</w:t>
      </w:r>
      <w:r w:rsidRPr="00624565">
        <w:rPr>
          <w:noProof/>
        </w:rPr>
        <w:t>rakterze porównawczym (w porównaniu</w:t>
      </w:r>
      <w:r w:rsidR="003F3D2B" w:rsidRPr="00624565">
        <w:rPr>
          <w:noProof/>
        </w:rPr>
        <w:t xml:space="preserve"> z</w:t>
      </w:r>
      <w:r w:rsidR="003F3D2B">
        <w:rPr>
          <w:noProof/>
        </w:rPr>
        <w:t> </w:t>
      </w:r>
      <w:r w:rsidR="003F3D2B" w:rsidRPr="00624565">
        <w:rPr>
          <w:noProof/>
        </w:rPr>
        <w:t>wcz</w:t>
      </w:r>
      <w:r w:rsidRPr="00624565">
        <w:rPr>
          <w:noProof/>
        </w:rPr>
        <w:t>eśniejszą wersją produktu) wyjaśnienia wpływu poprawy na inne aspekty środowiskowe</w:t>
      </w:r>
      <w:r w:rsidR="003F3D2B" w:rsidRPr="00624565">
        <w:rPr>
          <w:noProof/>
        </w:rPr>
        <w:t xml:space="preserve"> i</w:t>
      </w:r>
      <w:r w:rsidR="003F3D2B">
        <w:rPr>
          <w:noProof/>
        </w:rPr>
        <w:t> </w:t>
      </w:r>
      <w:r w:rsidR="003F3D2B" w:rsidRPr="00624565">
        <w:rPr>
          <w:noProof/>
        </w:rPr>
        <w:t>wpł</w:t>
      </w:r>
      <w:r w:rsidRPr="00624565">
        <w:rPr>
          <w:noProof/>
        </w:rPr>
        <w:t>ywu na środowisko oraz wskazanie roku odniesienia.</w:t>
      </w:r>
    </w:p>
    <w:p w14:paraId="651A561C" w14:textId="02093069" w:rsidR="00BC1E44" w:rsidRPr="00624565" w:rsidRDefault="00BC1E44" w:rsidP="00BC1E44">
      <w:pPr>
        <w:rPr>
          <w:noProof/>
        </w:rPr>
      </w:pPr>
      <w:r w:rsidRPr="00624565">
        <w:rPr>
          <w:noProof/>
        </w:rPr>
        <w:t>Różne rodzaje oświadczeń środowiskowych będą wymagały różnych poziomów uzasadnienia. We wniosku nie narzucono jednej metody</w:t>
      </w:r>
      <w:r w:rsidR="003F3D2B" w:rsidRPr="00624565">
        <w:rPr>
          <w:noProof/>
        </w:rPr>
        <w:t xml:space="preserve"> i</w:t>
      </w:r>
      <w:r w:rsidR="003F3D2B">
        <w:rPr>
          <w:noProof/>
        </w:rPr>
        <w:t> </w:t>
      </w:r>
      <w:r w:rsidR="003F3D2B" w:rsidRPr="00624565">
        <w:rPr>
          <w:noProof/>
        </w:rPr>
        <w:t>nie</w:t>
      </w:r>
      <w:r w:rsidRPr="00624565">
        <w:rPr>
          <w:noProof/>
        </w:rPr>
        <w:t xml:space="preserve"> określono wymogu przeprowadzenia pełnej analizy cyklu życia</w:t>
      </w:r>
      <w:r w:rsidR="003F3D2B" w:rsidRPr="00624565">
        <w:rPr>
          <w:noProof/>
        </w:rPr>
        <w:t xml:space="preserve"> w</w:t>
      </w:r>
      <w:r w:rsidR="003F3D2B">
        <w:rPr>
          <w:noProof/>
        </w:rPr>
        <w:t> </w:t>
      </w:r>
      <w:r w:rsidR="003F3D2B" w:rsidRPr="00624565">
        <w:rPr>
          <w:noProof/>
        </w:rPr>
        <w:t>prz</w:t>
      </w:r>
      <w:r w:rsidRPr="00624565">
        <w:rPr>
          <w:noProof/>
        </w:rPr>
        <w:t>ypadku każdego rodzaju oświadczenia</w:t>
      </w:r>
      <w:r w:rsidR="003F3D2B" w:rsidRPr="00624565">
        <w:rPr>
          <w:noProof/>
        </w:rPr>
        <w:t>. W</w:t>
      </w:r>
      <w:r w:rsidR="003F3D2B">
        <w:rPr>
          <w:noProof/>
        </w:rPr>
        <w:t> </w:t>
      </w:r>
      <w:r w:rsidR="003F3D2B" w:rsidRPr="00624565">
        <w:rPr>
          <w:noProof/>
        </w:rPr>
        <w:t>oce</w:t>
      </w:r>
      <w:r w:rsidRPr="00624565">
        <w:rPr>
          <w:noProof/>
        </w:rPr>
        <w:t>nie wykorzystywanej do uzasadnienia wyraźnych oświadczeń środowiskowych należy uwzględnić cykl życia produktu lub całą działalność przedsiębiorcy</w:t>
      </w:r>
      <w:r w:rsidR="003F3D2B" w:rsidRPr="00624565">
        <w:rPr>
          <w:noProof/>
        </w:rPr>
        <w:t xml:space="preserve"> w</w:t>
      </w:r>
      <w:r w:rsidR="003F3D2B">
        <w:rPr>
          <w:noProof/>
        </w:rPr>
        <w:t> </w:t>
      </w:r>
      <w:r w:rsidR="003F3D2B" w:rsidRPr="00624565">
        <w:rPr>
          <w:noProof/>
        </w:rPr>
        <w:t>cel</w:t>
      </w:r>
      <w:r w:rsidRPr="00624565">
        <w:rPr>
          <w:noProof/>
        </w:rPr>
        <w:t>u określenia istotnego wpływu,</w:t>
      </w:r>
      <w:r w:rsidR="003F3D2B" w:rsidRPr="00624565">
        <w:rPr>
          <w:noProof/>
        </w:rPr>
        <w:t xml:space="preserve"> o</w:t>
      </w:r>
      <w:r w:rsidR="003F3D2B">
        <w:rPr>
          <w:noProof/>
        </w:rPr>
        <w:t> </w:t>
      </w:r>
      <w:r w:rsidR="003F3D2B" w:rsidRPr="00624565">
        <w:rPr>
          <w:noProof/>
        </w:rPr>
        <w:t>któ</w:t>
      </w:r>
      <w:r w:rsidRPr="00624565">
        <w:rPr>
          <w:noProof/>
        </w:rPr>
        <w:t>rym należy poinformować</w:t>
      </w:r>
      <w:r w:rsidR="003F3D2B" w:rsidRPr="00624565">
        <w:rPr>
          <w:noProof/>
        </w:rPr>
        <w:t xml:space="preserve"> w</w:t>
      </w:r>
      <w:r w:rsidR="003F3D2B">
        <w:rPr>
          <w:noProof/>
        </w:rPr>
        <w:t> </w:t>
      </w:r>
      <w:r w:rsidR="003F3D2B" w:rsidRPr="00624565">
        <w:rPr>
          <w:noProof/>
        </w:rPr>
        <w:t>ośw</w:t>
      </w:r>
      <w:r w:rsidRPr="00624565">
        <w:rPr>
          <w:noProof/>
        </w:rPr>
        <w:t>iadczeniach, oraz umożliwienia przedsiębiorcy uniknięcia pominięć istotnych aspektów. Niezbędne jest również sprawdzenie, czy przedstawione</w:t>
      </w:r>
      <w:r w:rsidR="003F3D2B" w:rsidRPr="00624565">
        <w:rPr>
          <w:noProof/>
        </w:rPr>
        <w:t xml:space="preserve"> w</w:t>
      </w:r>
      <w:r w:rsidR="003F3D2B">
        <w:rPr>
          <w:noProof/>
        </w:rPr>
        <w:t> </w:t>
      </w:r>
      <w:r w:rsidR="003F3D2B" w:rsidRPr="00624565">
        <w:rPr>
          <w:noProof/>
        </w:rPr>
        <w:t>ośw</w:t>
      </w:r>
      <w:r w:rsidRPr="00624565">
        <w:rPr>
          <w:noProof/>
        </w:rPr>
        <w:t>iadczeniu korzyści skutkują przeniesieniem wpływu na inne etapy cyklu życia lub na znaczące zwiększenie innego wpływu na środowisko.</w:t>
      </w:r>
    </w:p>
    <w:p w14:paraId="3E6652DA" w14:textId="79FE1D6B" w:rsidR="00BC1E44" w:rsidRPr="00624565" w:rsidRDefault="00BC1E44" w:rsidP="00BC1E44">
      <w:pPr>
        <w:rPr>
          <w:noProof/>
        </w:rPr>
      </w:pPr>
      <w:r w:rsidRPr="00624565">
        <w:rPr>
          <w:noProof/>
        </w:rPr>
        <w:t>Ocena, aby można było uznać ją za rzetelną, powinna obejmować wtórne dane specyficzne dla danego przedsiębiorstwa, dotyczące istotnych aspektów</w:t>
      </w:r>
      <w:r w:rsidR="003F3D2B" w:rsidRPr="00624565">
        <w:rPr>
          <w:noProof/>
        </w:rPr>
        <w:t xml:space="preserve"> w</w:t>
      </w:r>
      <w:r w:rsidR="003F3D2B">
        <w:rPr>
          <w:noProof/>
        </w:rPr>
        <w:t> </w:t>
      </w:r>
      <w:r w:rsidR="003F3D2B" w:rsidRPr="00624565">
        <w:rPr>
          <w:noProof/>
        </w:rPr>
        <w:t>zna</w:t>
      </w:r>
      <w:r w:rsidRPr="00624565">
        <w:rPr>
          <w:noProof/>
        </w:rPr>
        <w:t>czący sposób przyczyniających się do efektywności środowiskowej produktu lub przedsiębiorcy objętego oświadczeniem. Organy ds. ochrony konsumentów</w:t>
      </w:r>
      <w:r w:rsidR="003F3D2B" w:rsidRPr="00624565">
        <w:rPr>
          <w:noProof/>
        </w:rPr>
        <w:t xml:space="preserve"> w</w:t>
      </w:r>
      <w:r w:rsidR="003F3D2B">
        <w:rPr>
          <w:noProof/>
        </w:rPr>
        <w:t> </w:t>
      </w:r>
      <w:r w:rsidR="003F3D2B" w:rsidRPr="00624565">
        <w:rPr>
          <w:noProof/>
        </w:rPr>
        <w:t>nie</w:t>
      </w:r>
      <w:r w:rsidRPr="00624565">
        <w:rPr>
          <w:noProof/>
        </w:rPr>
        <w:t>których krajach zaczynają kwestionować oświadczenia środowiskowe dotyczące produktów, jeżeli</w:t>
      </w:r>
      <w:r w:rsidR="003F3D2B" w:rsidRPr="00624565">
        <w:rPr>
          <w:noProof/>
        </w:rPr>
        <w:t xml:space="preserve"> w</w:t>
      </w:r>
      <w:r w:rsidR="003F3D2B">
        <w:rPr>
          <w:noProof/>
        </w:rPr>
        <w:t> </w:t>
      </w:r>
      <w:r w:rsidR="003F3D2B" w:rsidRPr="00624565">
        <w:rPr>
          <w:noProof/>
        </w:rPr>
        <w:t>uza</w:t>
      </w:r>
      <w:r w:rsidRPr="00624565">
        <w:rPr>
          <w:noProof/>
        </w:rPr>
        <w:t>sadnieniu nie użyto danych wtórnych. Należy znaleźć odpowiednią równowagę między zapewnieniem istotnych</w:t>
      </w:r>
      <w:r w:rsidR="003F3D2B" w:rsidRPr="00624565">
        <w:rPr>
          <w:noProof/>
        </w:rPr>
        <w:t xml:space="preserve"> i</w:t>
      </w:r>
      <w:r w:rsidR="003F3D2B">
        <w:rPr>
          <w:noProof/>
        </w:rPr>
        <w:t> </w:t>
      </w:r>
      <w:r w:rsidR="003F3D2B" w:rsidRPr="00624565">
        <w:rPr>
          <w:noProof/>
        </w:rPr>
        <w:t>rze</w:t>
      </w:r>
      <w:r w:rsidRPr="00624565">
        <w:rPr>
          <w:noProof/>
        </w:rPr>
        <w:t>telnych informacji do celów uzasadniania oświadczeń</w:t>
      </w:r>
      <w:r w:rsidR="003F3D2B" w:rsidRPr="00624565">
        <w:rPr>
          <w:noProof/>
        </w:rPr>
        <w:t xml:space="preserve"> a</w:t>
      </w:r>
      <w:r w:rsidR="003F3D2B">
        <w:rPr>
          <w:noProof/>
        </w:rPr>
        <w:t> </w:t>
      </w:r>
      <w:r w:rsidR="003F3D2B" w:rsidRPr="00624565">
        <w:rPr>
          <w:noProof/>
        </w:rPr>
        <w:t>dzi</w:t>
      </w:r>
      <w:r w:rsidRPr="00624565">
        <w:rPr>
          <w:noProof/>
        </w:rPr>
        <w:t>ałaniami, jakie należy podjąć</w:t>
      </w:r>
      <w:r w:rsidR="003F3D2B" w:rsidRPr="00624565">
        <w:rPr>
          <w:noProof/>
        </w:rPr>
        <w:t xml:space="preserve"> w</w:t>
      </w:r>
      <w:r w:rsidR="003F3D2B">
        <w:rPr>
          <w:noProof/>
        </w:rPr>
        <w:t> </w:t>
      </w:r>
      <w:r w:rsidR="003F3D2B" w:rsidRPr="00624565">
        <w:rPr>
          <w:noProof/>
        </w:rPr>
        <w:t>cel</w:t>
      </w:r>
      <w:r w:rsidRPr="00624565">
        <w:rPr>
          <w:noProof/>
        </w:rPr>
        <w:t>u zebrania informacji pierwotnych, uwzględniając przy tym dostępność takich informacji. Jeżeli chodzi</w:t>
      </w:r>
      <w:r w:rsidR="003F3D2B" w:rsidRPr="00624565">
        <w:rPr>
          <w:noProof/>
        </w:rPr>
        <w:t xml:space="preserve"> o</w:t>
      </w:r>
      <w:r w:rsidR="003F3D2B">
        <w:rPr>
          <w:noProof/>
        </w:rPr>
        <w:t> </w:t>
      </w:r>
      <w:r w:rsidR="003F3D2B" w:rsidRPr="00624565">
        <w:rPr>
          <w:noProof/>
        </w:rPr>
        <w:t>wym</w:t>
      </w:r>
      <w:r w:rsidRPr="00624565">
        <w:rPr>
          <w:noProof/>
        </w:rPr>
        <w:t>óg dotyczący uwzględnienia informacji pierwotnych, należy również brać pod uwagę wielkość wpływu, jaki ma przedsiębiorca formułujący oświadczenie na danych proces, oraz czy dostępne są informacje podstawowe</w:t>
      </w:r>
      <w:r w:rsidR="003F3D2B" w:rsidRPr="00624565">
        <w:rPr>
          <w:noProof/>
        </w:rPr>
        <w:t>. W</w:t>
      </w:r>
      <w:r w:rsidR="003F3D2B">
        <w:rPr>
          <w:noProof/>
        </w:rPr>
        <w:t> </w:t>
      </w:r>
      <w:r w:rsidR="003F3D2B" w:rsidRPr="00624565">
        <w:rPr>
          <w:noProof/>
        </w:rPr>
        <w:t>prz</w:t>
      </w:r>
      <w:r w:rsidRPr="00624565">
        <w:rPr>
          <w:noProof/>
        </w:rPr>
        <w:t>ypadku tego wymogu należy wziąć pod uwagę również fakt, czy procesami zarządza przedsiębiorca formułujący oświadczenie,</w:t>
      </w:r>
      <w:r w:rsidR="003F3D2B" w:rsidRPr="00624565">
        <w:rPr>
          <w:noProof/>
        </w:rPr>
        <w:t xml:space="preserve"> a</w:t>
      </w:r>
      <w:r w:rsidR="003F3D2B">
        <w:rPr>
          <w:noProof/>
        </w:rPr>
        <w:t> </w:t>
      </w:r>
      <w:r w:rsidR="003F3D2B" w:rsidRPr="00624565">
        <w:rPr>
          <w:noProof/>
        </w:rPr>
        <w:t>jeż</w:t>
      </w:r>
      <w:r w:rsidRPr="00624565">
        <w:rPr>
          <w:noProof/>
        </w:rPr>
        <w:t>eli nie, to czy przedsiębiorca ma dostęp do informacji pierwotnych dotyczących danego procesu. Co więcej, jeżeli procesem nie zarządza przedsiębiorca formułujący oświadczenie</w:t>
      </w:r>
      <w:r w:rsidR="003F3D2B" w:rsidRPr="00624565">
        <w:rPr>
          <w:noProof/>
        </w:rPr>
        <w:t xml:space="preserve"> i</w:t>
      </w:r>
      <w:r w:rsidR="003F3D2B">
        <w:rPr>
          <w:noProof/>
        </w:rPr>
        <w:t> </w:t>
      </w:r>
      <w:r w:rsidR="003F3D2B" w:rsidRPr="00624565">
        <w:rPr>
          <w:noProof/>
        </w:rPr>
        <w:t>nie</w:t>
      </w:r>
      <w:r w:rsidRPr="00624565">
        <w:rPr>
          <w:noProof/>
        </w:rPr>
        <w:t>dostępne są informacje pierwotne, należy zezwolić na wykorzystywanie informacji wtórnych, nawet</w:t>
      </w:r>
      <w:r w:rsidR="003F3D2B" w:rsidRPr="00624565">
        <w:rPr>
          <w:noProof/>
        </w:rPr>
        <w:t xml:space="preserve"> w</w:t>
      </w:r>
      <w:r w:rsidR="003F3D2B">
        <w:rPr>
          <w:noProof/>
        </w:rPr>
        <w:t> </w:t>
      </w:r>
      <w:r w:rsidR="003F3D2B" w:rsidRPr="00624565">
        <w:rPr>
          <w:noProof/>
        </w:rPr>
        <w:t>odn</w:t>
      </w:r>
      <w:r w:rsidRPr="00624565">
        <w:rPr>
          <w:noProof/>
        </w:rPr>
        <w:t>iesieniu do procesów, które</w:t>
      </w:r>
      <w:r w:rsidR="003F3D2B" w:rsidRPr="00624565">
        <w:rPr>
          <w:noProof/>
        </w:rPr>
        <w:t xml:space="preserve"> w</w:t>
      </w:r>
      <w:r w:rsidR="003F3D2B">
        <w:rPr>
          <w:noProof/>
        </w:rPr>
        <w:t> </w:t>
      </w:r>
      <w:r w:rsidR="003F3D2B" w:rsidRPr="00624565">
        <w:rPr>
          <w:noProof/>
        </w:rPr>
        <w:t>zna</w:t>
      </w:r>
      <w:r w:rsidRPr="00624565">
        <w:rPr>
          <w:noProof/>
        </w:rPr>
        <w:t>czący sposób przyczyniają się do efektywności środowiskowej produktu lub przedsiębiorcy</w:t>
      </w:r>
      <w:r w:rsidR="003F3D2B" w:rsidRPr="00624565">
        <w:rPr>
          <w:noProof/>
        </w:rPr>
        <w:t>. W</w:t>
      </w:r>
      <w:r w:rsidR="003F3D2B">
        <w:rPr>
          <w:noProof/>
        </w:rPr>
        <w:t> </w:t>
      </w:r>
      <w:r w:rsidR="003F3D2B" w:rsidRPr="00624565">
        <w:rPr>
          <w:noProof/>
        </w:rPr>
        <w:t>każ</w:t>
      </w:r>
      <w:r w:rsidRPr="00624565">
        <w:rPr>
          <w:noProof/>
        </w:rPr>
        <w:t>dym razie zarówno dane podstawowe, jak</w:t>
      </w:r>
      <w:r w:rsidR="003F3D2B" w:rsidRPr="00624565">
        <w:rPr>
          <w:noProof/>
        </w:rPr>
        <w:t xml:space="preserve"> i</w:t>
      </w:r>
      <w:r w:rsidR="003F3D2B">
        <w:rPr>
          <w:noProof/>
        </w:rPr>
        <w:t> </w:t>
      </w:r>
      <w:r w:rsidR="003F3D2B" w:rsidRPr="00624565">
        <w:rPr>
          <w:noProof/>
        </w:rPr>
        <w:t>wtó</w:t>
      </w:r>
      <w:r w:rsidRPr="00624565">
        <w:rPr>
          <w:noProof/>
        </w:rPr>
        <w:t>rne, tj. dane uśrednione, powinny charakteryzować się wysokim poziomem jakości</w:t>
      </w:r>
      <w:r w:rsidR="003F3D2B" w:rsidRPr="00624565">
        <w:rPr>
          <w:noProof/>
        </w:rPr>
        <w:t xml:space="preserve"> i</w:t>
      </w:r>
      <w:r w:rsidR="003F3D2B">
        <w:rPr>
          <w:noProof/>
        </w:rPr>
        <w:t> </w:t>
      </w:r>
      <w:r w:rsidR="003F3D2B" w:rsidRPr="00624565">
        <w:rPr>
          <w:noProof/>
        </w:rPr>
        <w:t>dok</w:t>
      </w:r>
      <w:r w:rsidRPr="00624565">
        <w:rPr>
          <w:noProof/>
        </w:rPr>
        <w:t>ładności.</w:t>
      </w:r>
    </w:p>
    <w:p w14:paraId="76855780" w14:textId="2A5E2A3C" w:rsidR="00BC1E44" w:rsidRPr="00624565" w:rsidRDefault="00BC1E44" w:rsidP="00BC1E44">
      <w:pPr>
        <w:tabs>
          <w:tab w:val="num" w:pos="567"/>
        </w:tabs>
        <w:rPr>
          <w:noProof/>
        </w:rPr>
      </w:pPr>
      <w:r w:rsidRPr="00624565">
        <w:rPr>
          <w:noProof/>
        </w:rPr>
        <w:t>Uznaje się, że należy</w:t>
      </w:r>
      <w:r w:rsidR="003F3D2B" w:rsidRPr="00624565">
        <w:rPr>
          <w:noProof/>
        </w:rPr>
        <w:t xml:space="preserve"> w</w:t>
      </w:r>
      <w:r w:rsidR="003F3D2B">
        <w:rPr>
          <w:noProof/>
        </w:rPr>
        <w:t> </w:t>
      </w:r>
      <w:r w:rsidR="003F3D2B" w:rsidRPr="00624565">
        <w:rPr>
          <w:noProof/>
        </w:rPr>
        <w:t>bar</w:t>
      </w:r>
      <w:r w:rsidRPr="00624565">
        <w:rPr>
          <w:noProof/>
        </w:rPr>
        <w:t>dziej przejrzysty sposób odnieść się do roszczeń związanych</w:t>
      </w:r>
      <w:r w:rsidR="003F3D2B" w:rsidRPr="00624565">
        <w:rPr>
          <w:noProof/>
        </w:rPr>
        <w:t xml:space="preserve"> z</w:t>
      </w:r>
      <w:r w:rsidR="003F3D2B">
        <w:rPr>
          <w:noProof/>
        </w:rPr>
        <w:t> </w:t>
      </w:r>
      <w:r w:rsidR="003F3D2B" w:rsidRPr="00624565">
        <w:rPr>
          <w:noProof/>
        </w:rPr>
        <w:t>kli</w:t>
      </w:r>
      <w:r w:rsidRPr="00624565">
        <w:rPr>
          <w:noProof/>
        </w:rPr>
        <w:t>matem opartych na kompensacji</w:t>
      </w:r>
      <w:r w:rsidR="003F3D2B" w:rsidRPr="00624565">
        <w:rPr>
          <w:noProof/>
        </w:rPr>
        <w:t>. W</w:t>
      </w:r>
      <w:r w:rsidR="003F3D2B">
        <w:rPr>
          <w:noProof/>
        </w:rPr>
        <w:t> </w:t>
      </w:r>
      <w:r w:rsidR="003F3D2B" w:rsidRPr="00624565">
        <w:rPr>
          <w:noProof/>
        </w:rPr>
        <w:t>zwi</w:t>
      </w:r>
      <w:r w:rsidRPr="00624565">
        <w:rPr>
          <w:noProof/>
        </w:rPr>
        <w:t>ązku</w:t>
      </w:r>
      <w:r w:rsidR="003F3D2B" w:rsidRPr="00624565">
        <w:rPr>
          <w:noProof/>
        </w:rPr>
        <w:t xml:space="preserve"> z</w:t>
      </w:r>
      <w:r w:rsidR="003F3D2B">
        <w:rPr>
          <w:noProof/>
        </w:rPr>
        <w:t> </w:t>
      </w:r>
      <w:r w:rsidR="003F3D2B" w:rsidRPr="00624565">
        <w:rPr>
          <w:noProof/>
        </w:rPr>
        <w:t>tym</w:t>
      </w:r>
      <w:r w:rsidRPr="00624565">
        <w:rPr>
          <w:noProof/>
        </w:rPr>
        <w:t xml:space="preserve"> we wniosku zawarto wymóg, aby</w:t>
      </w:r>
      <w:r w:rsidR="003F3D2B" w:rsidRPr="00624565">
        <w:rPr>
          <w:noProof/>
        </w:rPr>
        <w:t xml:space="preserve"> w</w:t>
      </w:r>
      <w:r w:rsidR="003F3D2B">
        <w:rPr>
          <w:noProof/>
        </w:rPr>
        <w:t> </w:t>
      </w:r>
      <w:r w:rsidR="003F3D2B" w:rsidRPr="00624565">
        <w:rPr>
          <w:noProof/>
        </w:rPr>
        <w:t>prz</w:t>
      </w:r>
      <w:r w:rsidRPr="00624565">
        <w:rPr>
          <w:noProof/>
        </w:rPr>
        <w:t>ypadku oświadczeń związanych</w:t>
      </w:r>
      <w:r w:rsidR="003F3D2B" w:rsidRPr="00624565">
        <w:rPr>
          <w:noProof/>
        </w:rPr>
        <w:t xml:space="preserve"> z</w:t>
      </w:r>
      <w:r w:rsidR="003F3D2B">
        <w:rPr>
          <w:noProof/>
        </w:rPr>
        <w:t> </w:t>
      </w:r>
      <w:r w:rsidR="003F3D2B" w:rsidRPr="00624565">
        <w:rPr>
          <w:noProof/>
        </w:rPr>
        <w:t>kli</w:t>
      </w:r>
      <w:r w:rsidRPr="00624565">
        <w:rPr>
          <w:noProof/>
        </w:rPr>
        <w:t xml:space="preserve">matem wszelkie stosowane przez przedsiębiorców </w:t>
      </w:r>
      <w:r w:rsidRPr="00624565">
        <w:rPr>
          <w:i/>
          <w:noProof/>
        </w:rPr>
        <w:t xml:space="preserve">kompensacje </w:t>
      </w:r>
      <w:r w:rsidRPr="00624565">
        <w:rPr>
          <w:noProof/>
        </w:rPr>
        <w:t>emisji gazów cieplarnianych zgłaszać niezależnie od emisji gazów cieplarnianych jako dodatkowe informacje</w:t>
      </w:r>
      <w:r w:rsidR="003F3D2B" w:rsidRPr="00624565">
        <w:rPr>
          <w:noProof/>
        </w:rPr>
        <w:t xml:space="preserve"> o</w:t>
      </w:r>
      <w:r w:rsidR="003F3D2B">
        <w:rPr>
          <w:noProof/>
        </w:rPr>
        <w:t> </w:t>
      </w:r>
      <w:r w:rsidR="003F3D2B" w:rsidRPr="00624565">
        <w:rPr>
          <w:noProof/>
        </w:rPr>
        <w:t>śro</w:t>
      </w:r>
      <w:r w:rsidRPr="00624565">
        <w:rPr>
          <w:noProof/>
        </w:rPr>
        <w:t>dowisku – takie podejście jest również zgodne</w:t>
      </w:r>
      <w:r w:rsidR="003F3D2B" w:rsidRPr="00624565">
        <w:rPr>
          <w:noProof/>
        </w:rPr>
        <w:t xml:space="preserve"> z</w:t>
      </w:r>
      <w:r w:rsidR="003F3D2B">
        <w:rPr>
          <w:noProof/>
        </w:rPr>
        <w:t> </w:t>
      </w:r>
      <w:r w:rsidR="003F3D2B" w:rsidRPr="00624565">
        <w:rPr>
          <w:noProof/>
        </w:rPr>
        <w:t>met</w:t>
      </w:r>
      <w:r w:rsidRPr="00624565">
        <w:rPr>
          <w:noProof/>
        </w:rPr>
        <w:t>odami oznaczania śladu środowiskowego produktu lub organizacji. Oprócz tego</w:t>
      </w:r>
      <w:r w:rsidR="003F3D2B" w:rsidRPr="00624565">
        <w:rPr>
          <w:noProof/>
        </w:rPr>
        <w:t xml:space="preserve"> w</w:t>
      </w:r>
      <w:r w:rsidR="003F3D2B">
        <w:rPr>
          <w:noProof/>
        </w:rPr>
        <w:t> </w:t>
      </w:r>
      <w:r w:rsidR="003F3D2B" w:rsidRPr="00624565">
        <w:rPr>
          <w:noProof/>
        </w:rPr>
        <w:t>inf</w:t>
      </w:r>
      <w:r w:rsidRPr="00624565">
        <w:rPr>
          <w:noProof/>
        </w:rPr>
        <w:t>ormacjach tych należy również określić, czy wspomniane kompensacje odnoszą się do ograniczenia, czy do pochłaniania emisji, oraz zapewnić, aby zastosowane kompensacje charakteryzowały się wysokim poziomem integralności</w:t>
      </w:r>
      <w:r w:rsidR="003F3D2B" w:rsidRPr="00624565">
        <w:rPr>
          <w:noProof/>
        </w:rPr>
        <w:t xml:space="preserve"> i</w:t>
      </w:r>
      <w:r w:rsidR="003F3D2B">
        <w:rPr>
          <w:noProof/>
        </w:rPr>
        <w:t> </w:t>
      </w:r>
      <w:r w:rsidR="003F3D2B" w:rsidRPr="00624565">
        <w:rPr>
          <w:noProof/>
        </w:rPr>
        <w:t>był</w:t>
      </w:r>
      <w:r w:rsidRPr="00624565">
        <w:rPr>
          <w:noProof/>
        </w:rPr>
        <w:t>y prawidłowo rozliczone, tak aby</w:t>
      </w:r>
      <w:r w:rsidR="003F3D2B" w:rsidRPr="00624565">
        <w:rPr>
          <w:noProof/>
        </w:rPr>
        <w:t xml:space="preserve"> w</w:t>
      </w:r>
      <w:r w:rsidR="003F3D2B">
        <w:rPr>
          <w:noProof/>
        </w:rPr>
        <w:t> </w:t>
      </w:r>
      <w:r w:rsidR="003F3D2B" w:rsidRPr="00624565">
        <w:rPr>
          <w:noProof/>
        </w:rPr>
        <w:t>spo</w:t>
      </w:r>
      <w:r w:rsidRPr="00624565">
        <w:rPr>
          <w:noProof/>
        </w:rPr>
        <w:t>sób spójny</w:t>
      </w:r>
      <w:r w:rsidR="003F3D2B" w:rsidRPr="00624565">
        <w:rPr>
          <w:noProof/>
        </w:rPr>
        <w:t xml:space="preserve"> i</w:t>
      </w:r>
      <w:r w:rsidR="003F3D2B">
        <w:rPr>
          <w:noProof/>
        </w:rPr>
        <w:t> </w:t>
      </w:r>
      <w:r w:rsidR="003F3D2B" w:rsidRPr="00624565">
        <w:rPr>
          <w:noProof/>
        </w:rPr>
        <w:t>prz</w:t>
      </w:r>
      <w:r w:rsidRPr="00624565">
        <w:rPr>
          <w:noProof/>
        </w:rPr>
        <w:t>ejrzysty odzwierciedlały deklarowany wpływ na klimat.</w:t>
      </w:r>
    </w:p>
    <w:p w14:paraId="747AAF53" w14:textId="32BA4B62" w:rsidR="00BC1E44" w:rsidRPr="00624565" w:rsidRDefault="00BC1E44" w:rsidP="00BC1E44">
      <w:pPr>
        <w:rPr>
          <w:noProof/>
        </w:rPr>
      </w:pPr>
      <w:r w:rsidRPr="00624565">
        <w:rPr>
          <w:noProof/>
        </w:rPr>
        <w:t>Mikroprzedsiębiorstwa są zwolnione</w:t>
      </w:r>
      <w:r w:rsidR="003F3D2B" w:rsidRPr="00624565">
        <w:rPr>
          <w:noProof/>
        </w:rPr>
        <w:t xml:space="preserve"> z</w:t>
      </w:r>
      <w:r w:rsidR="003F3D2B">
        <w:rPr>
          <w:noProof/>
        </w:rPr>
        <w:t> </w:t>
      </w:r>
      <w:r w:rsidR="003F3D2B" w:rsidRPr="00624565">
        <w:rPr>
          <w:noProof/>
        </w:rPr>
        <w:t>wym</w:t>
      </w:r>
      <w:r w:rsidRPr="00624565">
        <w:rPr>
          <w:noProof/>
        </w:rPr>
        <w:t>ogów określonych</w:t>
      </w:r>
      <w:r w:rsidR="003F3D2B" w:rsidRPr="00624565">
        <w:rPr>
          <w:noProof/>
        </w:rPr>
        <w:t xml:space="preserve"> w</w:t>
      </w:r>
      <w:r w:rsidR="003F3D2B">
        <w:rPr>
          <w:noProof/>
        </w:rPr>
        <w:t> </w:t>
      </w:r>
      <w:r w:rsidR="003F3D2B" w:rsidRPr="00624565">
        <w:rPr>
          <w:noProof/>
        </w:rPr>
        <w:t>tym</w:t>
      </w:r>
      <w:r w:rsidRPr="00624565">
        <w:rPr>
          <w:noProof/>
        </w:rPr>
        <w:t xml:space="preserve"> artykule, chyba że chciałyby otrzymać certyfikat zgodności oświadczenia środowiskowego,</w:t>
      </w:r>
      <w:r w:rsidR="003F3D2B" w:rsidRPr="00624565">
        <w:rPr>
          <w:noProof/>
        </w:rPr>
        <w:t xml:space="preserve"> w</w:t>
      </w:r>
      <w:r w:rsidR="003F3D2B">
        <w:rPr>
          <w:noProof/>
        </w:rPr>
        <w:t> </w:t>
      </w:r>
      <w:r w:rsidR="003F3D2B" w:rsidRPr="00624565">
        <w:rPr>
          <w:noProof/>
        </w:rPr>
        <w:t>któ</w:t>
      </w:r>
      <w:r w:rsidRPr="00624565">
        <w:rPr>
          <w:noProof/>
        </w:rPr>
        <w:t>rym to przypadku będą musiały spełnić przedmiotowe wymogi.</w:t>
      </w:r>
    </w:p>
    <w:p w14:paraId="21A4FDAA" w14:textId="0905DB4E" w:rsidR="00BC1E44" w:rsidRPr="00624565" w:rsidRDefault="00BC1E44" w:rsidP="00BC1E44">
      <w:pPr>
        <w:tabs>
          <w:tab w:val="num" w:pos="567"/>
        </w:tabs>
        <w:rPr>
          <w:noProof/>
        </w:rPr>
      </w:pPr>
      <w:r w:rsidRPr="00624565">
        <w:rPr>
          <w:noProof/>
        </w:rPr>
        <w:t>Komisja powinna być uprawniona do przyjmowania aktów delegowanych</w:t>
      </w:r>
      <w:r w:rsidR="003F3D2B" w:rsidRPr="00624565">
        <w:rPr>
          <w:noProof/>
        </w:rPr>
        <w:t xml:space="preserve"> w</w:t>
      </w:r>
      <w:r w:rsidR="003F3D2B">
        <w:rPr>
          <w:noProof/>
        </w:rPr>
        <w:t> </w:t>
      </w:r>
      <w:r w:rsidR="003F3D2B" w:rsidRPr="00624565">
        <w:rPr>
          <w:noProof/>
        </w:rPr>
        <w:t>cel</w:t>
      </w:r>
      <w:r w:rsidRPr="00624565">
        <w:rPr>
          <w:noProof/>
        </w:rPr>
        <w:t>u uzupełnienia wymogów dotyczących uzasadniania określonych rodzajów oświadczeń. Przedmiotowe akty delegowane co do zasady powinny być zgodne</w:t>
      </w:r>
      <w:r w:rsidR="003F3D2B" w:rsidRPr="00624565">
        <w:rPr>
          <w:noProof/>
        </w:rPr>
        <w:t xml:space="preserve"> z</w:t>
      </w:r>
      <w:r w:rsidR="003F3D2B">
        <w:rPr>
          <w:noProof/>
        </w:rPr>
        <w:t> </w:t>
      </w:r>
      <w:r w:rsidR="003F3D2B" w:rsidRPr="00624565">
        <w:rPr>
          <w:noProof/>
        </w:rPr>
        <w:t>wyn</w:t>
      </w:r>
      <w:r w:rsidRPr="00624565">
        <w:rPr>
          <w:noProof/>
        </w:rPr>
        <w:t>ikami monitorowania zmian</w:t>
      </w:r>
      <w:r w:rsidR="003F3D2B" w:rsidRPr="00624565">
        <w:rPr>
          <w:noProof/>
        </w:rPr>
        <w:t xml:space="preserve"> w</w:t>
      </w:r>
      <w:r w:rsidR="003F3D2B">
        <w:rPr>
          <w:noProof/>
        </w:rPr>
        <w:t> </w:t>
      </w:r>
      <w:r w:rsidR="003F3D2B" w:rsidRPr="00624565">
        <w:rPr>
          <w:noProof/>
        </w:rPr>
        <w:t>zak</w:t>
      </w:r>
      <w:r w:rsidRPr="00624565">
        <w:rPr>
          <w:noProof/>
        </w:rPr>
        <w:t>resie oświadczeń środowiskowych na rynku, co pozwoli na priorytetowe traktowanie tych oświadczeń, które mogą wprowadzać konsumentów</w:t>
      </w:r>
      <w:r w:rsidR="003F3D2B" w:rsidRPr="00624565">
        <w:rPr>
          <w:noProof/>
        </w:rPr>
        <w:t xml:space="preserve"> w</w:t>
      </w:r>
      <w:r w:rsidR="003F3D2B">
        <w:rPr>
          <w:noProof/>
        </w:rPr>
        <w:t> </w:t>
      </w:r>
      <w:r w:rsidR="003F3D2B" w:rsidRPr="00624565">
        <w:rPr>
          <w:noProof/>
        </w:rPr>
        <w:t>błą</w:t>
      </w:r>
      <w:r w:rsidRPr="00624565">
        <w:rPr>
          <w:noProof/>
        </w:rPr>
        <w:t>d</w:t>
      </w:r>
      <w:r w:rsidR="003F3D2B" w:rsidRPr="00624565">
        <w:rPr>
          <w:noProof/>
        </w:rPr>
        <w:t>. W</w:t>
      </w:r>
      <w:r w:rsidR="003F3D2B">
        <w:rPr>
          <w:noProof/>
        </w:rPr>
        <w:t> </w:t>
      </w:r>
      <w:r w:rsidR="003F3D2B" w:rsidRPr="00624565">
        <w:rPr>
          <w:noProof/>
        </w:rPr>
        <w:t>prz</w:t>
      </w:r>
      <w:r w:rsidRPr="00624565">
        <w:rPr>
          <w:noProof/>
        </w:rPr>
        <w:t>ypadku niektórych rodzajów oświadczeń może zaistnieć jednak konieczność wcześniejszego podjęcia działań przez Komisję.</w:t>
      </w:r>
    </w:p>
    <w:p w14:paraId="51A415A2" w14:textId="23F3081B" w:rsidR="00BC1E44" w:rsidRPr="00624565" w:rsidRDefault="00BC1E44" w:rsidP="00BC1E44">
      <w:pPr>
        <w:pStyle w:val="ManualHeading2"/>
        <w:rPr>
          <w:rFonts w:eastAsia="Times New Roman"/>
          <w:b w:val="0"/>
          <w:noProof/>
        </w:rPr>
      </w:pPr>
      <w:r w:rsidRPr="00624565">
        <w:rPr>
          <w:noProof/>
        </w:rPr>
        <w:t xml:space="preserve">6.3. </w:t>
      </w:r>
      <w:r w:rsidRPr="00624565">
        <w:rPr>
          <w:noProof/>
        </w:rPr>
        <w:tab/>
        <w:t>Wymogi dotyczące informowania</w:t>
      </w:r>
      <w:r w:rsidR="003F3D2B" w:rsidRPr="00624565">
        <w:rPr>
          <w:noProof/>
        </w:rPr>
        <w:t xml:space="preserve"> o</w:t>
      </w:r>
      <w:r w:rsidR="003F3D2B">
        <w:rPr>
          <w:noProof/>
        </w:rPr>
        <w:t> </w:t>
      </w:r>
      <w:r w:rsidR="003F3D2B" w:rsidRPr="00624565">
        <w:rPr>
          <w:noProof/>
        </w:rPr>
        <w:t>ośw</w:t>
      </w:r>
      <w:r w:rsidRPr="00624565">
        <w:rPr>
          <w:noProof/>
        </w:rPr>
        <w:t xml:space="preserve">iadczeniach środowiskowych </w:t>
      </w:r>
    </w:p>
    <w:p w14:paraId="1EDECE81" w14:textId="221A3CCB" w:rsidR="00BC1E44" w:rsidRPr="00624565" w:rsidRDefault="00BC1E44" w:rsidP="00BC1E44">
      <w:pPr>
        <w:tabs>
          <w:tab w:val="num" w:pos="567"/>
        </w:tabs>
        <w:rPr>
          <w:noProof/>
        </w:rPr>
      </w:pPr>
      <w:r w:rsidRPr="00624565">
        <w:rPr>
          <w:noProof/>
        </w:rPr>
        <w:t xml:space="preserve">W przepisach </w:t>
      </w:r>
      <w:r w:rsidRPr="003F3D2B">
        <w:rPr>
          <w:noProof/>
        </w:rPr>
        <w:t>art.</w:t>
      </w:r>
      <w:r w:rsidR="003F3D2B" w:rsidRPr="003F3D2B">
        <w:rPr>
          <w:noProof/>
        </w:rPr>
        <w:t> </w:t>
      </w:r>
      <w:r w:rsidRPr="003F3D2B">
        <w:rPr>
          <w:noProof/>
        </w:rPr>
        <w:t>5</w:t>
      </w:r>
      <w:r w:rsidRPr="00624565">
        <w:rPr>
          <w:noProof/>
        </w:rPr>
        <w:t xml:space="preserve"> odniesiono się do problemu braku wiarygodnych informacji na temat charakterystyki środowiskowej produktu</w:t>
      </w:r>
      <w:r w:rsidRPr="00624565">
        <w:rPr>
          <w:rStyle w:val="FootnoteReference"/>
          <w:noProof/>
        </w:rPr>
        <w:footnoteReference w:id="62"/>
      </w:r>
      <w:r w:rsidRPr="00624565">
        <w:rPr>
          <w:noProof/>
        </w:rPr>
        <w:t xml:space="preserve"> dla przedsiębiorców składających oświadczenie środowiskowe. Wymogi te przyczyniają się również do osiągnięcia celu, jakim jest zapewnienie, aby oświadczenia środowiskowe były formułowane</w:t>
      </w:r>
      <w:r w:rsidR="003F3D2B" w:rsidRPr="00624565">
        <w:rPr>
          <w:noProof/>
        </w:rPr>
        <w:t xml:space="preserve"> w</w:t>
      </w:r>
      <w:r w:rsidR="003F3D2B">
        <w:rPr>
          <w:noProof/>
        </w:rPr>
        <w:t> </w:t>
      </w:r>
      <w:r w:rsidR="003F3D2B" w:rsidRPr="00624565">
        <w:rPr>
          <w:noProof/>
        </w:rPr>
        <w:t>odn</w:t>
      </w:r>
      <w:r w:rsidRPr="00624565">
        <w:rPr>
          <w:noProof/>
        </w:rPr>
        <w:t>iesieniu do produktów lub przedsiębiorców, którzy oferują korzyści dla środowiska</w:t>
      </w:r>
      <w:r w:rsidR="003F3D2B" w:rsidRPr="00624565">
        <w:rPr>
          <w:noProof/>
        </w:rPr>
        <w:t xml:space="preserve"> w</w:t>
      </w:r>
      <w:r w:rsidR="003F3D2B">
        <w:rPr>
          <w:noProof/>
        </w:rPr>
        <w:t> </w:t>
      </w:r>
      <w:r w:rsidR="003F3D2B" w:rsidRPr="00624565">
        <w:rPr>
          <w:noProof/>
        </w:rPr>
        <w:t>por</w:t>
      </w:r>
      <w:r w:rsidRPr="00624565">
        <w:rPr>
          <w:noProof/>
        </w:rPr>
        <w:t>ównaniu</w:t>
      </w:r>
      <w:r w:rsidR="003F3D2B" w:rsidRPr="00624565">
        <w:rPr>
          <w:noProof/>
        </w:rPr>
        <w:t xml:space="preserve"> z</w:t>
      </w:r>
      <w:r w:rsidR="003F3D2B">
        <w:rPr>
          <w:noProof/>
        </w:rPr>
        <w:t> </w:t>
      </w:r>
      <w:r w:rsidR="003F3D2B" w:rsidRPr="00624565">
        <w:rPr>
          <w:noProof/>
        </w:rPr>
        <w:t>pow</w:t>
      </w:r>
      <w:r w:rsidRPr="00624565">
        <w:rPr>
          <w:noProof/>
        </w:rPr>
        <w:t>szechną praktyką.</w:t>
      </w:r>
    </w:p>
    <w:p w14:paraId="64A4FEDB" w14:textId="0313A563" w:rsidR="00BC1E44" w:rsidRPr="00624565" w:rsidRDefault="00BC1E44" w:rsidP="00BC1E44">
      <w:pPr>
        <w:tabs>
          <w:tab w:val="num" w:pos="567"/>
        </w:tabs>
        <w:rPr>
          <w:noProof/>
        </w:rPr>
      </w:pPr>
      <w:r w:rsidRPr="00624565">
        <w:rPr>
          <w:noProof/>
        </w:rPr>
        <w:t>W szczególności we wniosku określono, że</w:t>
      </w:r>
      <w:r w:rsidR="003F3D2B" w:rsidRPr="00624565">
        <w:rPr>
          <w:noProof/>
        </w:rPr>
        <w:t xml:space="preserve"> w</w:t>
      </w:r>
      <w:r w:rsidR="003F3D2B">
        <w:rPr>
          <w:noProof/>
        </w:rPr>
        <w:t> </w:t>
      </w:r>
      <w:r w:rsidR="003F3D2B" w:rsidRPr="00624565">
        <w:rPr>
          <w:noProof/>
        </w:rPr>
        <w:t>prz</w:t>
      </w:r>
      <w:r w:rsidRPr="00624565">
        <w:rPr>
          <w:noProof/>
        </w:rPr>
        <w:t>ypadku informowania</w:t>
      </w:r>
      <w:r w:rsidR="003F3D2B" w:rsidRPr="00624565">
        <w:rPr>
          <w:noProof/>
        </w:rPr>
        <w:t xml:space="preserve"> o</w:t>
      </w:r>
      <w:r w:rsidR="003F3D2B">
        <w:rPr>
          <w:noProof/>
        </w:rPr>
        <w:t> </w:t>
      </w:r>
      <w:r w:rsidR="003F3D2B" w:rsidRPr="00624565">
        <w:rPr>
          <w:noProof/>
        </w:rPr>
        <w:t>ośw</w:t>
      </w:r>
      <w:r w:rsidRPr="00624565">
        <w:rPr>
          <w:noProof/>
        </w:rPr>
        <w:t>iadczeniach wszystkie oświadczenia:</w:t>
      </w:r>
    </w:p>
    <w:p w14:paraId="28D20927" w14:textId="58116087" w:rsidR="00BC1E44" w:rsidRPr="00624565" w:rsidRDefault="00BC1E44" w:rsidP="006E3743">
      <w:pPr>
        <w:pStyle w:val="Bullet0"/>
        <w:rPr>
          <w:noProof/>
        </w:rPr>
      </w:pPr>
      <w:r w:rsidRPr="00624565">
        <w:rPr>
          <w:noProof/>
        </w:rPr>
        <w:t>powinny obejmować wyłącznie wpływ na środowisko, aspekty środowiskowe lub efektywność środowiskową, które są oceniane zgodnie</w:t>
      </w:r>
      <w:r w:rsidR="003F3D2B" w:rsidRPr="00624565">
        <w:rPr>
          <w:noProof/>
        </w:rPr>
        <w:t xml:space="preserve"> z</w:t>
      </w:r>
      <w:r w:rsidR="003F3D2B">
        <w:rPr>
          <w:noProof/>
        </w:rPr>
        <w:t> </w:t>
      </w:r>
      <w:r w:rsidR="003F3D2B" w:rsidRPr="00624565">
        <w:rPr>
          <w:noProof/>
        </w:rPr>
        <w:t>wym</w:t>
      </w:r>
      <w:r w:rsidRPr="00624565">
        <w:rPr>
          <w:noProof/>
        </w:rPr>
        <w:t>ogami</w:t>
      </w:r>
      <w:r w:rsidR="003F3D2B" w:rsidRPr="00624565">
        <w:rPr>
          <w:noProof/>
        </w:rPr>
        <w:t xml:space="preserve"> w</w:t>
      </w:r>
      <w:r w:rsidR="003F3D2B">
        <w:rPr>
          <w:noProof/>
        </w:rPr>
        <w:t> </w:t>
      </w:r>
      <w:r w:rsidR="003F3D2B" w:rsidRPr="00624565">
        <w:rPr>
          <w:noProof/>
        </w:rPr>
        <w:t>zak</w:t>
      </w:r>
      <w:r w:rsidRPr="00624565">
        <w:rPr>
          <w:noProof/>
        </w:rPr>
        <w:t>resie uzasadniania określonymi</w:t>
      </w:r>
      <w:r w:rsidR="003F3D2B" w:rsidRPr="00624565">
        <w:rPr>
          <w:noProof/>
        </w:rPr>
        <w:t xml:space="preserve"> w</w:t>
      </w:r>
      <w:r w:rsidR="003F3D2B">
        <w:rPr>
          <w:noProof/>
        </w:rPr>
        <w:t> </w:t>
      </w:r>
      <w:r w:rsidR="003F3D2B" w:rsidRPr="00624565">
        <w:rPr>
          <w:noProof/>
        </w:rPr>
        <w:t>nin</w:t>
      </w:r>
      <w:r w:rsidRPr="00624565">
        <w:rPr>
          <w:noProof/>
        </w:rPr>
        <w:t>iejszym wniosku</w:t>
      </w:r>
      <w:r w:rsidR="003F3D2B" w:rsidRPr="00624565">
        <w:rPr>
          <w:noProof/>
        </w:rPr>
        <w:t xml:space="preserve"> i</w:t>
      </w:r>
      <w:r w:rsidR="003F3D2B">
        <w:rPr>
          <w:noProof/>
        </w:rPr>
        <w:t> </w:t>
      </w:r>
      <w:r w:rsidR="003F3D2B" w:rsidRPr="00624565">
        <w:rPr>
          <w:noProof/>
        </w:rPr>
        <w:t>któ</w:t>
      </w:r>
      <w:r w:rsidRPr="00624565">
        <w:rPr>
          <w:noProof/>
        </w:rPr>
        <w:t xml:space="preserve">re zostały uznane za istotne dla danego produktu lub przedsiębiorcy; </w:t>
      </w:r>
    </w:p>
    <w:p w14:paraId="1CB5DEBC" w14:textId="39D21172" w:rsidR="00BC1E44" w:rsidRPr="00624565" w:rsidRDefault="00BC1E44" w:rsidP="006E3743">
      <w:pPr>
        <w:pStyle w:val="Bullet0"/>
        <w:rPr>
          <w:rFonts w:eastAsia="Times New Roman"/>
          <w:noProof/>
          <w:szCs w:val="24"/>
        </w:rPr>
      </w:pPr>
      <w:r w:rsidRPr="00624565">
        <w:rPr>
          <w:noProof/>
        </w:rPr>
        <w:t>powinny zawierać,</w:t>
      </w:r>
      <w:r w:rsidR="003F3D2B" w:rsidRPr="00624565">
        <w:rPr>
          <w:noProof/>
        </w:rPr>
        <w:t xml:space="preserve"> w</w:t>
      </w:r>
      <w:r w:rsidR="003F3D2B">
        <w:rPr>
          <w:noProof/>
        </w:rPr>
        <w:t> </w:t>
      </w:r>
      <w:r w:rsidR="003F3D2B" w:rsidRPr="00624565">
        <w:rPr>
          <w:noProof/>
        </w:rPr>
        <w:t>sto</w:t>
      </w:r>
      <w:r w:rsidRPr="00624565">
        <w:rPr>
          <w:noProof/>
        </w:rPr>
        <w:t>sownych przypadkach, informacje dotyczące sposobu,</w:t>
      </w:r>
      <w:r w:rsidR="003F3D2B" w:rsidRPr="00624565">
        <w:rPr>
          <w:noProof/>
        </w:rPr>
        <w:t xml:space="preserve"> w</w:t>
      </w:r>
      <w:r w:rsidR="003F3D2B">
        <w:rPr>
          <w:noProof/>
        </w:rPr>
        <w:t> </w:t>
      </w:r>
      <w:r w:rsidR="003F3D2B" w:rsidRPr="00624565">
        <w:rPr>
          <w:noProof/>
        </w:rPr>
        <w:t>jak</w:t>
      </w:r>
      <w:r w:rsidRPr="00624565">
        <w:rPr>
          <w:noProof/>
        </w:rPr>
        <w:t xml:space="preserve">i konsumenci mogą prawidłowo stosować produkt, aby ograniczyć wpływ na środowisko; </w:t>
      </w:r>
    </w:p>
    <w:p w14:paraId="082E834E" w14:textId="1844A042" w:rsidR="00BC1E44" w:rsidRPr="00624565" w:rsidRDefault="00BC1E44" w:rsidP="006E3743">
      <w:pPr>
        <w:pStyle w:val="Bullet0"/>
        <w:rPr>
          <w:rFonts w:eastAsia="Times New Roman"/>
          <w:noProof/>
        </w:rPr>
      </w:pPr>
      <w:r w:rsidRPr="00624565">
        <w:rPr>
          <w:noProof/>
        </w:rPr>
        <w:t>muszą im towarzyszyć informacje dotyczące uzasadnienia (w tym informacje dotyczące produktu lub działalności przedsiębiorcy; aspektów, wpływu lub efektywności objętych oświadczeniem;</w:t>
      </w:r>
      <w:r w:rsidR="003F3D2B" w:rsidRPr="00624565">
        <w:rPr>
          <w:noProof/>
        </w:rPr>
        <w:t xml:space="preserve"> w</w:t>
      </w:r>
      <w:r w:rsidR="003F3D2B">
        <w:rPr>
          <w:noProof/>
        </w:rPr>
        <w:t> </w:t>
      </w:r>
      <w:r w:rsidR="003F3D2B" w:rsidRPr="00624565">
        <w:rPr>
          <w:noProof/>
        </w:rPr>
        <w:t>sto</w:t>
      </w:r>
      <w:r w:rsidRPr="00624565">
        <w:rPr>
          <w:noProof/>
        </w:rPr>
        <w:t>sownych przypadkach, innych uznanych norm międzynarodowych; podstawowych badań</w:t>
      </w:r>
      <w:r w:rsidR="003F3D2B" w:rsidRPr="00624565">
        <w:rPr>
          <w:noProof/>
        </w:rPr>
        <w:t xml:space="preserve"> i</w:t>
      </w:r>
      <w:r w:rsidR="003F3D2B">
        <w:rPr>
          <w:noProof/>
        </w:rPr>
        <w:t> </w:t>
      </w:r>
      <w:r w:rsidR="003F3D2B" w:rsidRPr="00624565">
        <w:rPr>
          <w:noProof/>
        </w:rPr>
        <w:t>obl</w:t>
      </w:r>
      <w:r w:rsidRPr="00624565">
        <w:rPr>
          <w:noProof/>
        </w:rPr>
        <w:t>iczeń; sposobu dokonania usprawnień będących przedmiotem oświadczenia; certyfikatu zgodności</w:t>
      </w:r>
      <w:r w:rsidR="003F3D2B" w:rsidRPr="00624565">
        <w:rPr>
          <w:noProof/>
        </w:rPr>
        <w:t xml:space="preserve"> i</w:t>
      </w:r>
      <w:r w:rsidR="003F3D2B">
        <w:rPr>
          <w:noProof/>
        </w:rPr>
        <w:t> </w:t>
      </w:r>
      <w:r w:rsidR="003F3D2B" w:rsidRPr="00624565">
        <w:rPr>
          <w:noProof/>
        </w:rPr>
        <w:t>wsp</w:t>
      </w:r>
      <w:r w:rsidRPr="00624565">
        <w:rPr>
          <w:noProof/>
        </w:rPr>
        <w:t>ółrzędnych weryfikatora).</w:t>
      </w:r>
    </w:p>
    <w:p w14:paraId="7B6FF2DE" w14:textId="0809E965" w:rsidR="00BC1E44" w:rsidRPr="00624565" w:rsidRDefault="00BC1E44" w:rsidP="00BC1E44">
      <w:pPr>
        <w:rPr>
          <w:noProof/>
        </w:rPr>
      </w:pPr>
      <w:r w:rsidRPr="00624565">
        <w:rPr>
          <w:noProof/>
        </w:rPr>
        <w:t>Mikroprzedsiębiorstwa są zwolnione</w:t>
      </w:r>
      <w:r w:rsidR="003F3D2B" w:rsidRPr="00624565">
        <w:rPr>
          <w:noProof/>
        </w:rPr>
        <w:t xml:space="preserve"> z</w:t>
      </w:r>
      <w:r w:rsidR="003F3D2B">
        <w:rPr>
          <w:noProof/>
        </w:rPr>
        <w:t> </w:t>
      </w:r>
      <w:r w:rsidR="003F3D2B" w:rsidRPr="00624565">
        <w:rPr>
          <w:noProof/>
        </w:rPr>
        <w:t>wym</w:t>
      </w:r>
      <w:r w:rsidRPr="00624565">
        <w:rPr>
          <w:noProof/>
        </w:rPr>
        <w:t>ogów określonych</w:t>
      </w:r>
      <w:r w:rsidR="003F3D2B" w:rsidRPr="00624565">
        <w:rPr>
          <w:noProof/>
        </w:rPr>
        <w:t xml:space="preserve"> w</w:t>
      </w:r>
      <w:r w:rsidR="003F3D2B">
        <w:rPr>
          <w:noProof/>
        </w:rPr>
        <w:t> </w:t>
      </w:r>
      <w:r w:rsidR="003F3D2B" w:rsidRPr="00624565">
        <w:rPr>
          <w:noProof/>
        </w:rPr>
        <w:t>tym</w:t>
      </w:r>
      <w:r w:rsidRPr="00624565">
        <w:rPr>
          <w:noProof/>
        </w:rPr>
        <w:t xml:space="preserve"> artykule, które dotyczą przekazywania informacji dotyczących uzasadnienia, chyba że chciałyby otrzymać certyfikat zgodności oświadczenia środowiskowego,</w:t>
      </w:r>
      <w:r w:rsidR="003F3D2B" w:rsidRPr="00624565">
        <w:rPr>
          <w:noProof/>
        </w:rPr>
        <w:t xml:space="preserve"> w</w:t>
      </w:r>
      <w:r w:rsidR="003F3D2B">
        <w:rPr>
          <w:noProof/>
        </w:rPr>
        <w:t> </w:t>
      </w:r>
      <w:r w:rsidR="003F3D2B" w:rsidRPr="00624565">
        <w:rPr>
          <w:noProof/>
        </w:rPr>
        <w:t>któ</w:t>
      </w:r>
      <w:r w:rsidRPr="00624565">
        <w:rPr>
          <w:noProof/>
        </w:rPr>
        <w:t>rym to przypadku będą musiały spełnić przedmiotowe wymogi.</w:t>
      </w:r>
    </w:p>
    <w:p w14:paraId="10C51CF2" w14:textId="687733A6" w:rsidR="00BC1E44" w:rsidRPr="00624565" w:rsidRDefault="00BC1E44" w:rsidP="00BC1E44">
      <w:pPr>
        <w:tabs>
          <w:tab w:val="num" w:pos="567"/>
        </w:tabs>
        <w:rPr>
          <w:noProof/>
        </w:rPr>
      </w:pPr>
      <w:r w:rsidRPr="00624565">
        <w:rPr>
          <w:noProof/>
        </w:rPr>
        <w:t>Komisja powinna być uprawniona do przyjmowania aktów delegowanych</w:t>
      </w:r>
      <w:r w:rsidR="003F3D2B" w:rsidRPr="00624565">
        <w:rPr>
          <w:noProof/>
        </w:rPr>
        <w:t xml:space="preserve"> w</w:t>
      </w:r>
      <w:r w:rsidR="003F3D2B">
        <w:rPr>
          <w:noProof/>
        </w:rPr>
        <w:t> </w:t>
      </w:r>
      <w:r w:rsidR="003F3D2B" w:rsidRPr="00624565">
        <w:rPr>
          <w:noProof/>
        </w:rPr>
        <w:t>cel</w:t>
      </w:r>
      <w:r w:rsidRPr="00624565">
        <w:rPr>
          <w:noProof/>
        </w:rPr>
        <w:t>u uzupełnienia wymogów dotyczących informowania</w:t>
      </w:r>
      <w:r w:rsidR="003F3D2B" w:rsidRPr="00624565">
        <w:rPr>
          <w:noProof/>
        </w:rPr>
        <w:t xml:space="preserve"> o</w:t>
      </w:r>
      <w:r w:rsidR="003F3D2B">
        <w:rPr>
          <w:noProof/>
        </w:rPr>
        <w:t> </w:t>
      </w:r>
      <w:r w:rsidR="003F3D2B" w:rsidRPr="00624565">
        <w:rPr>
          <w:noProof/>
        </w:rPr>
        <w:t>okr</w:t>
      </w:r>
      <w:r w:rsidRPr="00624565">
        <w:rPr>
          <w:noProof/>
        </w:rPr>
        <w:t>eślonych rodzajach oświadczeń</w:t>
      </w:r>
      <w:r w:rsidR="003F3D2B" w:rsidRPr="00624565">
        <w:rPr>
          <w:noProof/>
        </w:rPr>
        <w:t xml:space="preserve"> w</w:t>
      </w:r>
      <w:r w:rsidR="003F3D2B">
        <w:rPr>
          <w:noProof/>
        </w:rPr>
        <w:t> </w:t>
      </w:r>
      <w:r w:rsidR="003F3D2B" w:rsidRPr="00624565">
        <w:rPr>
          <w:noProof/>
        </w:rPr>
        <w:t>prz</w:t>
      </w:r>
      <w:r w:rsidRPr="00624565">
        <w:rPr>
          <w:noProof/>
        </w:rPr>
        <w:t xml:space="preserve">ypadku gdy jest to konieczne do uzupełnienia dodatkowych przepisów dotyczących uzasadnienia przyjętych na podstawie </w:t>
      </w:r>
      <w:r w:rsidRPr="003F3D2B">
        <w:rPr>
          <w:noProof/>
        </w:rPr>
        <w:t>art.</w:t>
      </w:r>
      <w:r w:rsidR="003F3D2B" w:rsidRPr="003F3D2B">
        <w:rPr>
          <w:noProof/>
        </w:rPr>
        <w:t> </w:t>
      </w:r>
      <w:r w:rsidRPr="003F3D2B">
        <w:rPr>
          <w:noProof/>
        </w:rPr>
        <w:t>3</w:t>
      </w:r>
      <w:r w:rsidR="003F3D2B" w:rsidRPr="00624565">
        <w:rPr>
          <w:noProof/>
        </w:rPr>
        <w:t>. W</w:t>
      </w:r>
      <w:r w:rsidR="003F3D2B">
        <w:rPr>
          <w:noProof/>
        </w:rPr>
        <w:t> </w:t>
      </w:r>
      <w:r w:rsidR="003F3D2B" w:rsidRPr="003F3D2B">
        <w:rPr>
          <w:noProof/>
        </w:rPr>
        <w:t>art</w:t>
      </w:r>
      <w:r w:rsidRPr="003F3D2B">
        <w:rPr>
          <w:noProof/>
        </w:rPr>
        <w:t>.</w:t>
      </w:r>
      <w:r w:rsidR="003F3D2B" w:rsidRPr="003F3D2B">
        <w:rPr>
          <w:noProof/>
        </w:rPr>
        <w:t> </w:t>
      </w:r>
      <w:r w:rsidRPr="003F3D2B">
        <w:rPr>
          <w:noProof/>
        </w:rPr>
        <w:t>6</w:t>
      </w:r>
      <w:r w:rsidRPr="00624565">
        <w:rPr>
          <w:noProof/>
        </w:rPr>
        <w:t xml:space="preserve"> określono ponadto, że oświadczenia</w:t>
      </w:r>
      <w:r w:rsidR="003F3D2B" w:rsidRPr="00624565">
        <w:rPr>
          <w:noProof/>
        </w:rPr>
        <w:t xml:space="preserve"> o</w:t>
      </w:r>
      <w:r w:rsidR="003F3D2B">
        <w:rPr>
          <w:noProof/>
        </w:rPr>
        <w:t> </w:t>
      </w:r>
      <w:r w:rsidR="003F3D2B" w:rsidRPr="00624565">
        <w:rPr>
          <w:noProof/>
        </w:rPr>
        <w:t>cha</w:t>
      </w:r>
      <w:r w:rsidRPr="00624565">
        <w:rPr>
          <w:noProof/>
        </w:rPr>
        <w:t>rakterze porównawczym dotyczące poprawy wpływu produktu na środowisko</w:t>
      </w:r>
      <w:r w:rsidR="003F3D2B" w:rsidRPr="00624565">
        <w:rPr>
          <w:noProof/>
        </w:rPr>
        <w:t xml:space="preserve"> w</w:t>
      </w:r>
      <w:r w:rsidR="003F3D2B">
        <w:rPr>
          <w:noProof/>
        </w:rPr>
        <w:t> </w:t>
      </w:r>
      <w:r w:rsidR="003F3D2B" w:rsidRPr="00624565">
        <w:rPr>
          <w:noProof/>
        </w:rPr>
        <w:t>por</w:t>
      </w:r>
      <w:r w:rsidRPr="00624565">
        <w:rPr>
          <w:noProof/>
        </w:rPr>
        <w:t>ównaniu</w:t>
      </w:r>
      <w:r w:rsidR="003F3D2B" w:rsidRPr="00624565">
        <w:rPr>
          <w:noProof/>
        </w:rPr>
        <w:t xml:space="preserve"> z</w:t>
      </w:r>
      <w:r w:rsidR="003F3D2B">
        <w:rPr>
          <w:noProof/>
        </w:rPr>
        <w:t> </w:t>
      </w:r>
      <w:r w:rsidR="003F3D2B" w:rsidRPr="00624565">
        <w:rPr>
          <w:noProof/>
        </w:rPr>
        <w:t>inn</w:t>
      </w:r>
      <w:r w:rsidRPr="00624565">
        <w:rPr>
          <w:noProof/>
        </w:rPr>
        <w:t>ym produktem tego samego przedsiębiorcy lub faktu, że przedsiębiorca nie sprzedaje już produktów konsumentom, powinny opierać się na dowodach potwierdzających, że poprawa jest istotna</w:t>
      </w:r>
      <w:r w:rsidR="003F3D2B" w:rsidRPr="00624565">
        <w:rPr>
          <w:noProof/>
        </w:rPr>
        <w:t xml:space="preserve"> i</w:t>
      </w:r>
      <w:r w:rsidR="003F3D2B">
        <w:rPr>
          <w:noProof/>
        </w:rPr>
        <w:t> </w:t>
      </w:r>
      <w:r w:rsidR="003F3D2B" w:rsidRPr="00624565">
        <w:rPr>
          <w:noProof/>
        </w:rPr>
        <w:t>zos</w:t>
      </w:r>
      <w:r w:rsidRPr="00624565">
        <w:rPr>
          <w:noProof/>
        </w:rPr>
        <w:t>tała osiągnięta</w:t>
      </w:r>
      <w:r w:rsidR="003F3D2B" w:rsidRPr="00624565">
        <w:rPr>
          <w:noProof/>
        </w:rPr>
        <w:t xml:space="preserve"> w</w:t>
      </w:r>
      <w:r w:rsidR="003F3D2B">
        <w:rPr>
          <w:noProof/>
        </w:rPr>
        <w:t> </w:t>
      </w:r>
      <w:r w:rsidR="003F3D2B" w:rsidRPr="00624565">
        <w:rPr>
          <w:noProof/>
        </w:rPr>
        <w:t>cią</w:t>
      </w:r>
      <w:r w:rsidRPr="00624565">
        <w:rPr>
          <w:noProof/>
        </w:rPr>
        <w:t xml:space="preserve">gu ostatnich pięciu lat. </w:t>
      </w:r>
    </w:p>
    <w:p w14:paraId="74F431C6" w14:textId="0C16754C" w:rsidR="00BC1E44" w:rsidRPr="00624565" w:rsidRDefault="00BC1E44" w:rsidP="00BC1E44">
      <w:pPr>
        <w:pStyle w:val="ManualHeading2"/>
        <w:rPr>
          <w:rFonts w:eastAsia="Times New Roman"/>
          <w:b w:val="0"/>
          <w:noProof/>
        </w:rPr>
      </w:pPr>
      <w:r w:rsidRPr="00624565">
        <w:rPr>
          <w:noProof/>
        </w:rPr>
        <w:t xml:space="preserve">6.4. </w:t>
      </w:r>
      <w:r w:rsidRPr="00624565">
        <w:rPr>
          <w:noProof/>
        </w:rPr>
        <w:tab/>
        <w:t>Przepisy dotyczące oznakowań ekologicznych</w:t>
      </w:r>
      <w:r w:rsidR="003F3D2B" w:rsidRPr="00624565">
        <w:rPr>
          <w:noProof/>
        </w:rPr>
        <w:t xml:space="preserve"> i</w:t>
      </w:r>
      <w:r w:rsidR="003F3D2B">
        <w:rPr>
          <w:noProof/>
        </w:rPr>
        <w:t> </w:t>
      </w:r>
      <w:r w:rsidR="003F3D2B" w:rsidRPr="00624565">
        <w:rPr>
          <w:noProof/>
        </w:rPr>
        <w:t>sys</w:t>
      </w:r>
      <w:r w:rsidRPr="00624565">
        <w:rPr>
          <w:noProof/>
        </w:rPr>
        <w:t xml:space="preserve">temów oznakowania </w:t>
      </w:r>
    </w:p>
    <w:p w14:paraId="57266C2B" w14:textId="4EAA04E5" w:rsidR="00BC1E44" w:rsidRPr="00624565" w:rsidRDefault="00BC1E44" w:rsidP="00BC1E44">
      <w:pPr>
        <w:tabs>
          <w:tab w:val="num" w:pos="567"/>
        </w:tabs>
        <w:rPr>
          <w:noProof/>
        </w:rPr>
      </w:pPr>
      <w:r w:rsidRPr="00624565">
        <w:rPr>
          <w:noProof/>
        </w:rPr>
        <w:t>Wymogi te należy traktować jako uzupełnienie wymogów dotyczących umieszczania oznakowania dotyczącego zrównoważonego charakteru określonych we wniosku dotyczącym wzmacniania pozycji konsumentów</w:t>
      </w:r>
      <w:r w:rsidR="003F3D2B" w:rsidRPr="00624565">
        <w:rPr>
          <w:noProof/>
        </w:rPr>
        <w:t xml:space="preserve"> w</w:t>
      </w:r>
      <w:r w:rsidR="003F3D2B">
        <w:rPr>
          <w:noProof/>
        </w:rPr>
        <w:t> </w:t>
      </w:r>
      <w:r w:rsidR="003F3D2B" w:rsidRPr="00624565">
        <w:rPr>
          <w:noProof/>
        </w:rPr>
        <w:t>pro</w:t>
      </w:r>
      <w:r w:rsidRPr="00624565">
        <w:rPr>
          <w:noProof/>
        </w:rPr>
        <w:t>cesie transformacji ekologicznej oraz</w:t>
      </w:r>
      <w:r w:rsidR="003F3D2B" w:rsidRPr="00624565">
        <w:rPr>
          <w:noProof/>
        </w:rPr>
        <w:t xml:space="preserve"> w</w:t>
      </w:r>
      <w:r w:rsidR="003F3D2B">
        <w:rPr>
          <w:noProof/>
        </w:rPr>
        <w:t> </w:t>
      </w:r>
      <w:r w:rsidR="003F3D2B" w:rsidRPr="00624565">
        <w:rPr>
          <w:noProof/>
        </w:rPr>
        <w:t>wyt</w:t>
      </w:r>
      <w:r w:rsidRPr="00624565">
        <w:rPr>
          <w:noProof/>
        </w:rPr>
        <w:t>ycznych Komisji dotyczących wykładni</w:t>
      </w:r>
      <w:r w:rsidR="003F3D2B" w:rsidRPr="00624565">
        <w:rPr>
          <w:noProof/>
        </w:rPr>
        <w:t xml:space="preserve"> i</w:t>
      </w:r>
      <w:r w:rsidR="003F3D2B">
        <w:rPr>
          <w:noProof/>
        </w:rPr>
        <w:t> </w:t>
      </w:r>
      <w:r w:rsidR="003F3D2B" w:rsidRPr="00624565">
        <w:rPr>
          <w:noProof/>
        </w:rPr>
        <w:t>sto</w:t>
      </w:r>
      <w:r w:rsidRPr="00624565">
        <w:rPr>
          <w:noProof/>
        </w:rPr>
        <w:t>sowania dyrektywy dotyczącej nieuczciwych praktyk handlowych</w:t>
      </w:r>
      <w:r w:rsidRPr="00624565">
        <w:rPr>
          <w:rStyle w:val="FootnoteReference"/>
          <w:noProof/>
        </w:rPr>
        <w:footnoteReference w:id="63"/>
      </w:r>
      <w:r w:rsidRPr="00624565">
        <w:rPr>
          <w:noProof/>
        </w:rPr>
        <w:t xml:space="preserve">. </w:t>
      </w:r>
    </w:p>
    <w:p w14:paraId="7810958B" w14:textId="6DD39483" w:rsidR="00BC1E44" w:rsidRPr="00624565" w:rsidRDefault="00BC1E44" w:rsidP="00BC1E44">
      <w:pPr>
        <w:tabs>
          <w:tab w:val="num" w:pos="567"/>
        </w:tabs>
        <w:rPr>
          <w:noProof/>
        </w:rPr>
      </w:pPr>
      <w:r w:rsidRPr="00624565">
        <w:rPr>
          <w:noProof/>
        </w:rPr>
        <w:t>Oprócz wymogów dotyczących uzasadniania</w:t>
      </w:r>
      <w:r w:rsidR="003F3D2B" w:rsidRPr="00624565">
        <w:rPr>
          <w:noProof/>
        </w:rPr>
        <w:t xml:space="preserve"> i</w:t>
      </w:r>
      <w:r w:rsidR="003F3D2B">
        <w:rPr>
          <w:noProof/>
        </w:rPr>
        <w:t> </w:t>
      </w:r>
      <w:r w:rsidR="003F3D2B" w:rsidRPr="00624565">
        <w:rPr>
          <w:noProof/>
        </w:rPr>
        <w:t>inf</w:t>
      </w:r>
      <w:r w:rsidRPr="00624565">
        <w:rPr>
          <w:noProof/>
        </w:rPr>
        <w:t>ormowania mających zastosowanie do wszystkich rodzajów oświadczeń</w:t>
      </w:r>
      <w:r w:rsidR="003F3D2B" w:rsidRPr="00624565">
        <w:rPr>
          <w:noProof/>
        </w:rPr>
        <w:t xml:space="preserve"> w</w:t>
      </w:r>
      <w:r w:rsidR="003F3D2B">
        <w:rPr>
          <w:noProof/>
        </w:rPr>
        <w:t> </w:t>
      </w:r>
      <w:r w:rsidR="003F3D2B" w:rsidRPr="00624565">
        <w:rPr>
          <w:noProof/>
        </w:rPr>
        <w:t>prz</w:t>
      </w:r>
      <w:r w:rsidRPr="00624565">
        <w:rPr>
          <w:noProof/>
        </w:rPr>
        <w:t>edmiotowym wniosku wykorzystano również wymogi określone we wniosku dotyczącym wzmacniania pozycji konsumentów</w:t>
      </w:r>
      <w:r w:rsidRPr="00624565">
        <w:rPr>
          <w:rStyle w:val="FootnoteReference"/>
          <w:noProof/>
        </w:rPr>
        <w:footnoteReference w:id="64"/>
      </w:r>
      <w:r w:rsidRPr="00624565">
        <w:rPr>
          <w:noProof/>
        </w:rPr>
        <w:t>, które zakazują umieszczania oznakowań opartych na własnej certyfikacji</w:t>
      </w:r>
      <w:r w:rsidRPr="00624565">
        <w:rPr>
          <w:rStyle w:val="FootnoteReference"/>
          <w:noProof/>
        </w:rPr>
        <w:footnoteReference w:id="65"/>
      </w:r>
      <w:r w:rsidRPr="00624565">
        <w:rPr>
          <w:noProof/>
        </w:rPr>
        <w:t>, wniosek ten zapewnia również dodatkowe zabezpieczenia mające na celu poprawę jakości systemów oznakowania ekologicznego przez nałożenie poniżej określonych wymogów dotyczących przejrzystości</w:t>
      </w:r>
      <w:r w:rsidR="003F3D2B" w:rsidRPr="00624565">
        <w:rPr>
          <w:noProof/>
        </w:rPr>
        <w:t xml:space="preserve"> i</w:t>
      </w:r>
      <w:r w:rsidR="003F3D2B">
        <w:rPr>
          <w:noProof/>
        </w:rPr>
        <w:t> </w:t>
      </w:r>
      <w:r w:rsidR="003F3D2B" w:rsidRPr="00624565">
        <w:rPr>
          <w:noProof/>
        </w:rPr>
        <w:t>wia</w:t>
      </w:r>
      <w:r w:rsidRPr="00624565">
        <w:rPr>
          <w:noProof/>
        </w:rPr>
        <w:t>rygodności (zgodnie</w:t>
      </w:r>
      <w:r w:rsidR="003F3D2B" w:rsidRPr="00624565">
        <w:rPr>
          <w:noProof/>
        </w:rPr>
        <w:t xml:space="preserve"> z</w:t>
      </w:r>
      <w:r w:rsidR="003F3D2B">
        <w:rPr>
          <w:noProof/>
        </w:rPr>
        <w:t> </w:t>
      </w:r>
      <w:r w:rsidR="003F3D2B" w:rsidRPr="00624565">
        <w:rPr>
          <w:noProof/>
        </w:rPr>
        <w:t>war</w:t>
      </w:r>
      <w:r w:rsidRPr="00624565">
        <w:rPr>
          <w:noProof/>
        </w:rPr>
        <w:t>iantem strategicznym określonym</w:t>
      </w:r>
      <w:r w:rsidR="003F3D2B" w:rsidRPr="00624565">
        <w:rPr>
          <w:noProof/>
        </w:rPr>
        <w:t xml:space="preserve"> w</w:t>
      </w:r>
      <w:r w:rsidR="003F3D2B">
        <w:rPr>
          <w:noProof/>
        </w:rPr>
        <w:t> </w:t>
      </w:r>
      <w:r w:rsidR="003F3D2B" w:rsidRPr="00624565">
        <w:rPr>
          <w:noProof/>
        </w:rPr>
        <w:t>oce</w:t>
      </w:r>
      <w:r w:rsidRPr="00624565">
        <w:rPr>
          <w:noProof/>
        </w:rPr>
        <w:t xml:space="preserve">nie skutków). </w:t>
      </w:r>
    </w:p>
    <w:p w14:paraId="2F45F33A" w14:textId="72E78657" w:rsidR="00BC1E44" w:rsidRPr="00624565" w:rsidRDefault="00BC1E44" w:rsidP="00BC1E44">
      <w:pPr>
        <w:tabs>
          <w:tab w:val="num" w:pos="567"/>
        </w:tabs>
        <w:rPr>
          <w:noProof/>
        </w:rPr>
      </w:pPr>
      <w:r w:rsidRPr="00624565">
        <w:rPr>
          <w:noProof/>
        </w:rPr>
        <w:t xml:space="preserve">W </w:t>
      </w:r>
      <w:r w:rsidRPr="003F3D2B">
        <w:rPr>
          <w:noProof/>
        </w:rPr>
        <w:t>art.</w:t>
      </w:r>
      <w:r w:rsidR="003F3D2B" w:rsidRPr="003F3D2B">
        <w:rPr>
          <w:noProof/>
        </w:rPr>
        <w:t> </w:t>
      </w:r>
      <w:r w:rsidRPr="003F3D2B">
        <w:rPr>
          <w:noProof/>
        </w:rPr>
        <w:t>7</w:t>
      </w:r>
      <w:r w:rsidRPr="00624565">
        <w:rPr>
          <w:noProof/>
        </w:rPr>
        <w:t xml:space="preserve"> zapewniono, aby oznakowania spełniały wymogi już określone</w:t>
      </w:r>
      <w:r w:rsidR="003F3D2B" w:rsidRPr="00624565">
        <w:rPr>
          <w:noProof/>
        </w:rPr>
        <w:t xml:space="preserve"> w</w:t>
      </w:r>
      <w:r w:rsidR="003F3D2B">
        <w:rPr>
          <w:noProof/>
        </w:rPr>
        <w:t> </w:t>
      </w:r>
      <w:r w:rsidR="003F3D2B" w:rsidRPr="00624565">
        <w:rPr>
          <w:noProof/>
        </w:rPr>
        <w:t>pop</w:t>
      </w:r>
      <w:r w:rsidRPr="00624565">
        <w:rPr>
          <w:noProof/>
        </w:rPr>
        <w:t>rzednich artykułach oraz podlegały weryfikacji zgodnie</w:t>
      </w:r>
      <w:r w:rsidR="003F3D2B" w:rsidRPr="00624565">
        <w:rPr>
          <w:noProof/>
        </w:rPr>
        <w:t xml:space="preserve"> z</w:t>
      </w:r>
      <w:r w:rsidR="003F3D2B">
        <w:rPr>
          <w:noProof/>
        </w:rPr>
        <w:t> </w:t>
      </w:r>
      <w:r w:rsidR="003F3D2B" w:rsidRPr="003F3D2B">
        <w:rPr>
          <w:noProof/>
        </w:rPr>
        <w:t>art</w:t>
      </w:r>
      <w:r w:rsidRPr="003F3D2B">
        <w:rPr>
          <w:noProof/>
        </w:rPr>
        <w:t>.</w:t>
      </w:r>
      <w:r w:rsidR="003F3D2B" w:rsidRPr="003F3D2B">
        <w:rPr>
          <w:noProof/>
        </w:rPr>
        <w:t> </w:t>
      </w:r>
      <w:r w:rsidRPr="003F3D2B">
        <w:rPr>
          <w:noProof/>
        </w:rPr>
        <w:t>1</w:t>
      </w:r>
      <w:r w:rsidRPr="00624565">
        <w:rPr>
          <w:noProof/>
        </w:rPr>
        <w:t>1.</w:t>
      </w:r>
    </w:p>
    <w:p w14:paraId="2990CA1E" w14:textId="33B6871F" w:rsidR="00BC1E44" w:rsidRPr="00624565" w:rsidRDefault="00BC1E44" w:rsidP="00BC1E44">
      <w:pPr>
        <w:tabs>
          <w:tab w:val="num" w:pos="567"/>
        </w:tabs>
        <w:rPr>
          <w:rFonts w:eastAsia="Times New Roman"/>
          <w:noProof/>
        </w:rPr>
      </w:pPr>
      <w:r w:rsidRPr="00624565">
        <w:rPr>
          <w:noProof/>
        </w:rPr>
        <w:t>Mnożenie oznakowań ekologicznych</w:t>
      </w:r>
      <w:r w:rsidR="003F3D2B" w:rsidRPr="00624565">
        <w:rPr>
          <w:noProof/>
        </w:rPr>
        <w:t xml:space="preserve"> i</w:t>
      </w:r>
      <w:r w:rsidR="003F3D2B">
        <w:rPr>
          <w:noProof/>
        </w:rPr>
        <w:t> </w:t>
      </w:r>
      <w:r w:rsidR="003F3D2B" w:rsidRPr="00624565">
        <w:rPr>
          <w:noProof/>
        </w:rPr>
        <w:t>wyn</w:t>
      </w:r>
      <w:r w:rsidRPr="00624565">
        <w:rPr>
          <w:noProof/>
        </w:rPr>
        <w:t>ikająca</w:t>
      </w:r>
      <w:r w:rsidR="003F3D2B" w:rsidRPr="00624565">
        <w:rPr>
          <w:noProof/>
        </w:rPr>
        <w:t xml:space="preserve"> z</w:t>
      </w:r>
      <w:r w:rsidR="003F3D2B">
        <w:rPr>
          <w:noProof/>
        </w:rPr>
        <w:t> </w:t>
      </w:r>
      <w:r w:rsidR="003F3D2B" w:rsidRPr="00624565">
        <w:rPr>
          <w:noProof/>
        </w:rPr>
        <w:t>teg</w:t>
      </w:r>
      <w:r w:rsidRPr="00624565">
        <w:rPr>
          <w:noProof/>
        </w:rPr>
        <w:t>o dezorientacja wśród konsumentów,</w:t>
      </w:r>
      <w:r w:rsidR="003F3D2B" w:rsidRPr="00624565">
        <w:rPr>
          <w:noProof/>
        </w:rPr>
        <w:t xml:space="preserve"> a</w:t>
      </w:r>
      <w:r w:rsidR="003F3D2B">
        <w:rPr>
          <w:noProof/>
        </w:rPr>
        <w:t> </w:t>
      </w:r>
      <w:r w:rsidR="003F3D2B" w:rsidRPr="00624565">
        <w:rPr>
          <w:noProof/>
        </w:rPr>
        <w:t>tak</w:t>
      </w:r>
      <w:r w:rsidRPr="00624565">
        <w:rPr>
          <w:noProof/>
        </w:rPr>
        <w:t>że fragmentacja rynku oraz większe obciążenia wynikające</w:t>
      </w:r>
      <w:r w:rsidR="003F3D2B" w:rsidRPr="00624565">
        <w:rPr>
          <w:noProof/>
        </w:rPr>
        <w:t xml:space="preserve"> z</w:t>
      </w:r>
      <w:r w:rsidR="003F3D2B">
        <w:rPr>
          <w:noProof/>
        </w:rPr>
        <w:t> </w:t>
      </w:r>
      <w:r w:rsidR="003F3D2B" w:rsidRPr="00624565">
        <w:rPr>
          <w:noProof/>
        </w:rPr>
        <w:t>kon</w:t>
      </w:r>
      <w:r w:rsidRPr="00624565">
        <w:rPr>
          <w:noProof/>
        </w:rPr>
        <w:t>ieczności spełnienia wymogów obowiązujących</w:t>
      </w:r>
      <w:r w:rsidR="003F3D2B" w:rsidRPr="00624565">
        <w:rPr>
          <w:noProof/>
        </w:rPr>
        <w:t xml:space="preserve"> w</w:t>
      </w:r>
      <w:r w:rsidR="003F3D2B">
        <w:rPr>
          <w:noProof/>
        </w:rPr>
        <w:t> </w:t>
      </w:r>
      <w:r w:rsidR="003F3D2B" w:rsidRPr="00624565">
        <w:rPr>
          <w:noProof/>
        </w:rPr>
        <w:t>róż</w:t>
      </w:r>
      <w:r w:rsidRPr="00624565">
        <w:rPr>
          <w:noProof/>
        </w:rPr>
        <w:t>nych państwach członkowskich wymagają podjęcia ambitnych działań, które przyniosą korzyści zarówno konsumentom, jak</w:t>
      </w:r>
      <w:r w:rsidR="003F3D2B" w:rsidRPr="00624565">
        <w:rPr>
          <w:noProof/>
        </w:rPr>
        <w:t xml:space="preserve"> i</w:t>
      </w:r>
      <w:r w:rsidR="003F3D2B">
        <w:rPr>
          <w:noProof/>
        </w:rPr>
        <w:t> </w:t>
      </w:r>
      <w:r w:rsidR="003F3D2B" w:rsidRPr="00624565">
        <w:rPr>
          <w:noProof/>
        </w:rPr>
        <w:t>prz</w:t>
      </w:r>
      <w:r w:rsidRPr="00624565">
        <w:rPr>
          <w:noProof/>
        </w:rPr>
        <w:t>edsiębiorstwom</w:t>
      </w:r>
      <w:r w:rsidR="003F3D2B" w:rsidRPr="00624565">
        <w:rPr>
          <w:noProof/>
        </w:rPr>
        <w:t>. W</w:t>
      </w:r>
      <w:r w:rsidR="003F3D2B">
        <w:rPr>
          <w:noProof/>
        </w:rPr>
        <w:t> </w:t>
      </w:r>
      <w:r w:rsidR="003F3D2B" w:rsidRPr="00624565">
        <w:rPr>
          <w:noProof/>
        </w:rPr>
        <w:t>zwi</w:t>
      </w:r>
      <w:r w:rsidRPr="00624565">
        <w:rPr>
          <w:noProof/>
        </w:rPr>
        <w:t>ązku</w:t>
      </w:r>
      <w:r w:rsidR="003F3D2B" w:rsidRPr="00624565">
        <w:rPr>
          <w:noProof/>
        </w:rPr>
        <w:t xml:space="preserve"> z</w:t>
      </w:r>
      <w:r w:rsidR="003F3D2B">
        <w:rPr>
          <w:noProof/>
        </w:rPr>
        <w:t> </w:t>
      </w:r>
      <w:r w:rsidR="003F3D2B" w:rsidRPr="00624565">
        <w:rPr>
          <w:noProof/>
        </w:rPr>
        <w:t>tym w</w:t>
      </w:r>
      <w:r w:rsidR="003F3D2B">
        <w:rPr>
          <w:noProof/>
        </w:rPr>
        <w:t> </w:t>
      </w:r>
      <w:r w:rsidR="003F3D2B" w:rsidRPr="00624565">
        <w:rPr>
          <w:noProof/>
        </w:rPr>
        <w:t>tra</w:t>
      </w:r>
      <w:r w:rsidRPr="00624565">
        <w:rPr>
          <w:noProof/>
        </w:rPr>
        <w:t>kcie procesu decyzyjnego uznano, że należy we wniosku dotyczącym oświadczeń środowiskowych przewidzieć dodatkowe przepisy ukierunkowane na mnożenie oznakowań poza tymi, które zostały ocenione</w:t>
      </w:r>
      <w:r w:rsidR="003F3D2B" w:rsidRPr="00624565">
        <w:rPr>
          <w:noProof/>
        </w:rPr>
        <w:t xml:space="preserve"> w</w:t>
      </w:r>
      <w:r w:rsidR="003F3D2B">
        <w:rPr>
          <w:noProof/>
        </w:rPr>
        <w:t> </w:t>
      </w:r>
      <w:r w:rsidR="003F3D2B" w:rsidRPr="00624565">
        <w:rPr>
          <w:noProof/>
        </w:rPr>
        <w:t>oce</w:t>
      </w:r>
      <w:r w:rsidRPr="00624565">
        <w:rPr>
          <w:noProof/>
        </w:rPr>
        <w:t>nie skutków dołączonej do przedmiotowego wniosku oraz we wniosku dotyczącym wzmacniania pozycji konsumentów</w:t>
      </w:r>
      <w:r w:rsidR="003F3D2B" w:rsidRPr="00624565">
        <w:rPr>
          <w:noProof/>
        </w:rPr>
        <w:t xml:space="preserve"> w</w:t>
      </w:r>
      <w:r w:rsidR="003F3D2B">
        <w:rPr>
          <w:noProof/>
        </w:rPr>
        <w:t> </w:t>
      </w:r>
      <w:r w:rsidR="003F3D2B" w:rsidRPr="00624565">
        <w:rPr>
          <w:noProof/>
        </w:rPr>
        <w:t>pro</w:t>
      </w:r>
      <w:r w:rsidRPr="00624565">
        <w:rPr>
          <w:noProof/>
        </w:rPr>
        <w:t>cesie transformacji ekologicznej,</w:t>
      </w:r>
      <w:r w:rsidR="003F3D2B" w:rsidRPr="00624565">
        <w:rPr>
          <w:noProof/>
        </w:rPr>
        <w:t xml:space="preserve"> a</w:t>
      </w:r>
      <w:r w:rsidR="003F3D2B">
        <w:rPr>
          <w:noProof/>
        </w:rPr>
        <w:t> </w:t>
      </w:r>
      <w:r w:rsidR="003F3D2B" w:rsidRPr="00624565">
        <w:rPr>
          <w:noProof/>
        </w:rPr>
        <w:t>mia</w:t>
      </w:r>
      <w:r w:rsidRPr="00624565">
        <w:rPr>
          <w:noProof/>
        </w:rPr>
        <w:t>nowicie wprowadzenie zakazu, aby oznakowania zawierały ocenę lub wynik opracowane na podstawie zagregowanego wskaźnika przedstawiającego łączny wpływ na środowisko, chyba że zostały one ustanowione na szczeblu UE.</w:t>
      </w:r>
    </w:p>
    <w:p w14:paraId="32A6B6C4" w14:textId="4187B80B" w:rsidR="00BC1E44" w:rsidRPr="00624565" w:rsidRDefault="00BC1E44" w:rsidP="00BC1E44">
      <w:pPr>
        <w:tabs>
          <w:tab w:val="num" w:pos="567"/>
        </w:tabs>
        <w:rPr>
          <w:noProof/>
        </w:rPr>
      </w:pPr>
      <w:r w:rsidRPr="00624565">
        <w:rPr>
          <w:noProof/>
        </w:rPr>
        <w:t xml:space="preserve">W </w:t>
      </w:r>
      <w:r w:rsidRPr="003F3D2B">
        <w:rPr>
          <w:noProof/>
        </w:rPr>
        <w:t>art.</w:t>
      </w:r>
      <w:r w:rsidR="003F3D2B" w:rsidRPr="003F3D2B">
        <w:rPr>
          <w:noProof/>
        </w:rPr>
        <w:t> </w:t>
      </w:r>
      <w:r w:rsidRPr="003F3D2B">
        <w:rPr>
          <w:noProof/>
        </w:rPr>
        <w:t>8</w:t>
      </w:r>
      <w:r w:rsidRPr="00624565">
        <w:rPr>
          <w:noProof/>
        </w:rPr>
        <w:t xml:space="preserve"> określono dalsze szczegółowe wymogi</w:t>
      </w:r>
      <w:r w:rsidR="003F3D2B" w:rsidRPr="00624565">
        <w:rPr>
          <w:noProof/>
        </w:rPr>
        <w:t xml:space="preserve"> w</w:t>
      </w:r>
      <w:r w:rsidR="003F3D2B">
        <w:rPr>
          <w:noProof/>
        </w:rPr>
        <w:t> </w:t>
      </w:r>
      <w:r w:rsidR="003F3D2B" w:rsidRPr="00624565">
        <w:rPr>
          <w:noProof/>
        </w:rPr>
        <w:t>odn</w:t>
      </w:r>
      <w:r w:rsidRPr="00624565">
        <w:rPr>
          <w:noProof/>
        </w:rPr>
        <w:t>iesieniu do systemów oznakowania ekologicznego. Wymogi te są dość podobne do kryteriów zarządzania większą liczbą dobrze znanych</w:t>
      </w:r>
      <w:r w:rsidR="003F3D2B" w:rsidRPr="00624565">
        <w:rPr>
          <w:noProof/>
        </w:rPr>
        <w:t xml:space="preserve"> i</w:t>
      </w:r>
      <w:r w:rsidR="003F3D2B">
        <w:rPr>
          <w:noProof/>
        </w:rPr>
        <w:t> </w:t>
      </w:r>
      <w:r w:rsidR="003F3D2B" w:rsidRPr="00624565">
        <w:rPr>
          <w:noProof/>
        </w:rPr>
        <w:t>ren</w:t>
      </w:r>
      <w:r w:rsidRPr="00624565">
        <w:rPr>
          <w:noProof/>
        </w:rPr>
        <w:t>omowanych publicznych</w:t>
      </w:r>
      <w:r w:rsidR="003F3D2B" w:rsidRPr="00624565">
        <w:rPr>
          <w:noProof/>
        </w:rPr>
        <w:t xml:space="preserve"> i</w:t>
      </w:r>
      <w:r w:rsidR="003F3D2B">
        <w:rPr>
          <w:noProof/>
        </w:rPr>
        <w:t> </w:t>
      </w:r>
      <w:r w:rsidR="003F3D2B" w:rsidRPr="00624565">
        <w:rPr>
          <w:noProof/>
        </w:rPr>
        <w:t>pry</w:t>
      </w:r>
      <w:r w:rsidRPr="00624565">
        <w:rPr>
          <w:noProof/>
        </w:rPr>
        <w:t>watnych systemów oznakowania zrównoważonego charakteru</w:t>
      </w:r>
      <w:r w:rsidR="003F3D2B" w:rsidRPr="00624565">
        <w:rPr>
          <w:noProof/>
        </w:rPr>
        <w:t xml:space="preserve"> i</w:t>
      </w:r>
      <w:r w:rsidR="003F3D2B">
        <w:rPr>
          <w:noProof/>
        </w:rPr>
        <w:t> </w:t>
      </w:r>
      <w:r w:rsidR="003F3D2B" w:rsidRPr="00624565">
        <w:rPr>
          <w:noProof/>
        </w:rPr>
        <w:t>obe</w:t>
      </w:r>
      <w:r w:rsidRPr="00624565">
        <w:rPr>
          <w:noProof/>
        </w:rPr>
        <w:t xml:space="preserve">jmują: </w:t>
      </w:r>
    </w:p>
    <w:p w14:paraId="40BE5D30" w14:textId="36E932D7" w:rsidR="00BC1E44" w:rsidRPr="00624565" w:rsidRDefault="00BC1E44" w:rsidP="006E3743">
      <w:pPr>
        <w:pStyle w:val="Bullet0"/>
        <w:rPr>
          <w:noProof/>
        </w:rPr>
      </w:pPr>
      <w:r w:rsidRPr="00624565">
        <w:rPr>
          <w:noProof/>
        </w:rPr>
        <w:t>wymogi dotyczące przejrzystości</w:t>
      </w:r>
      <w:r w:rsidR="003F3D2B" w:rsidRPr="00624565">
        <w:rPr>
          <w:noProof/>
        </w:rPr>
        <w:t xml:space="preserve"> i</w:t>
      </w:r>
      <w:r w:rsidR="003F3D2B">
        <w:rPr>
          <w:noProof/>
        </w:rPr>
        <w:t> </w:t>
      </w:r>
      <w:r w:rsidR="003F3D2B" w:rsidRPr="00624565">
        <w:rPr>
          <w:noProof/>
        </w:rPr>
        <w:t>dos</w:t>
      </w:r>
      <w:r w:rsidRPr="00624565">
        <w:rPr>
          <w:noProof/>
        </w:rPr>
        <w:t>tępności informacji na temat własności, organu decyzyjnego</w:t>
      </w:r>
      <w:r w:rsidR="003F3D2B" w:rsidRPr="00624565">
        <w:rPr>
          <w:noProof/>
        </w:rPr>
        <w:t xml:space="preserve"> i</w:t>
      </w:r>
      <w:r w:rsidR="003F3D2B">
        <w:rPr>
          <w:noProof/>
        </w:rPr>
        <w:t> </w:t>
      </w:r>
      <w:r w:rsidR="003F3D2B" w:rsidRPr="00624565">
        <w:rPr>
          <w:noProof/>
        </w:rPr>
        <w:t>cel</w:t>
      </w:r>
      <w:r w:rsidRPr="00624565">
        <w:rPr>
          <w:noProof/>
        </w:rPr>
        <w:t xml:space="preserve">ów; </w:t>
      </w:r>
    </w:p>
    <w:p w14:paraId="6209C810" w14:textId="72480300" w:rsidR="00BC1E44" w:rsidRPr="00624565" w:rsidRDefault="00BC1E44" w:rsidP="006E3743">
      <w:pPr>
        <w:pStyle w:val="Bullet0"/>
        <w:rPr>
          <w:rFonts w:eastAsia="Times New Roman"/>
          <w:noProof/>
          <w:szCs w:val="24"/>
        </w:rPr>
      </w:pPr>
      <w:r w:rsidRPr="00624565">
        <w:rPr>
          <w:noProof/>
        </w:rPr>
        <w:t>kryteria stanowiące podstawę wydawania oznakowań opracowane przez ekspertów</w:t>
      </w:r>
      <w:r w:rsidR="003F3D2B" w:rsidRPr="00624565">
        <w:rPr>
          <w:noProof/>
        </w:rPr>
        <w:t xml:space="preserve"> i</w:t>
      </w:r>
      <w:r w:rsidR="003F3D2B">
        <w:rPr>
          <w:noProof/>
        </w:rPr>
        <w:t> </w:t>
      </w:r>
      <w:r w:rsidR="003F3D2B" w:rsidRPr="00624565">
        <w:rPr>
          <w:noProof/>
        </w:rPr>
        <w:t>zwe</w:t>
      </w:r>
      <w:r w:rsidRPr="00624565">
        <w:rPr>
          <w:noProof/>
        </w:rPr>
        <w:t xml:space="preserve">ryfikowane przez zainteresowane strony; </w:t>
      </w:r>
    </w:p>
    <w:p w14:paraId="2C4CEE8C" w14:textId="7E59F9E9" w:rsidR="00BC1E44" w:rsidRPr="00624565" w:rsidRDefault="00BC1E44" w:rsidP="006E3743">
      <w:pPr>
        <w:pStyle w:val="Bullet0"/>
        <w:rPr>
          <w:rFonts w:eastAsia="Times New Roman"/>
          <w:noProof/>
          <w:szCs w:val="24"/>
        </w:rPr>
      </w:pPr>
      <w:r w:rsidRPr="00624565">
        <w:rPr>
          <w:noProof/>
        </w:rPr>
        <w:t>istnienie mechanizmu rozpatrywania skarg</w:t>
      </w:r>
      <w:r w:rsidR="003F3D2B" w:rsidRPr="00624565">
        <w:rPr>
          <w:noProof/>
        </w:rPr>
        <w:t xml:space="preserve"> i</w:t>
      </w:r>
      <w:r w:rsidR="003F3D2B">
        <w:rPr>
          <w:noProof/>
        </w:rPr>
        <w:t> </w:t>
      </w:r>
      <w:r w:rsidR="003F3D2B" w:rsidRPr="00624565">
        <w:rPr>
          <w:noProof/>
        </w:rPr>
        <w:t>roz</w:t>
      </w:r>
      <w:r w:rsidRPr="00624565">
        <w:rPr>
          <w:noProof/>
        </w:rPr>
        <w:t xml:space="preserve">strzygania sporów; </w:t>
      </w:r>
    </w:p>
    <w:p w14:paraId="1E683772" w14:textId="7A7F32B7" w:rsidR="00BC1E44" w:rsidRPr="00624565" w:rsidRDefault="00BC1E44" w:rsidP="006E3743">
      <w:pPr>
        <w:pStyle w:val="Bullet0"/>
        <w:rPr>
          <w:rFonts w:eastAsia="Times New Roman"/>
          <w:noProof/>
          <w:szCs w:val="24"/>
        </w:rPr>
      </w:pPr>
      <w:r w:rsidRPr="00624565">
        <w:rPr>
          <w:noProof/>
        </w:rPr>
        <w:t>procedury postępowania</w:t>
      </w:r>
      <w:r w:rsidR="003F3D2B" w:rsidRPr="00624565">
        <w:rPr>
          <w:noProof/>
        </w:rPr>
        <w:t xml:space="preserve"> w</w:t>
      </w:r>
      <w:r w:rsidR="003F3D2B">
        <w:rPr>
          <w:noProof/>
        </w:rPr>
        <w:t> </w:t>
      </w:r>
      <w:r w:rsidR="003F3D2B" w:rsidRPr="00624565">
        <w:rPr>
          <w:noProof/>
        </w:rPr>
        <w:t>prz</w:t>
      </w:r>
      <w:r w:rsidRPr="00624565">
        <w:rPr>
          <w:noProof/>
        </w:rPr>
        <w:t>ypadku niespełniania wymogów oraz możliwość wycofania lub zawieszenia oznakowania</w:t>
      </w:r>
      <w:r w:rsidR="003F3D2B" w:rsidRPr="00624565">
        <w:rPr>
          <w:noProof/>
        </w:rPr>
        <w:t xml:space="preserve"> w</w:t>
      </w:r>
      <w:r w:rsidR="003F3D2B">
        <w:rPr>
          <w:noProof/>
        </w:rPr>
        <w:t> </w:t>
      </w:r>
      <w:r w:rsidR="003F3D2B" w:rsidRPr="00624565">
        <w:rPr>
          <w:noProof/>
        </w:rPr>
        <w:t>prz</w:t>
      </w:r>
      <w:r w:rsidRPr="00624565">
        <w:rPr>
          <w:noProof/>
        </w:rPr>
        <w:t>ypadku uporczywego</w:t>
      </w:r>
      <w:r w:rsidR="003F3D2B" w:rsidRPr="00624565">
        <w:rPr>
          <w:noProof/>
        </w:rPr>
        <w:t xml:space="preserve"> i</w:t>
      </w:r>
      <w:r w:rsidR="003F3D2B">
        <w:rPr>
          <w:noProof/>
        </w:rPr>
        <w:t> </w:t>
      </w:r>
      <w:r w:rsidR="003F3D2B" w:rsidRPr="00624565">
        <w:rPr>
          <w:noProof/>
        </w:rPr>
        <w:t>raż</w:t>
      </w:r>
      <w:r w:rsidRPr="00624565">
        <w:rPr>
          <w:noProof/>
        </w:rPr>
        <w:t>ącego niespełniania wymogów.</w:t>
      </w:r>
    </w:p>
    <w:p w14:paraId="1F23C7F0" w14:textId="543D91B2" w:rsidR="00BC1E44" w:rsidRPr="00624565" w:rsidRDefault="00BC1E44" w:rsidP="00BC1E44">
      <w:pPr>
        <w:tabs>
          <w:tab w:val="num" w:pos="567"/>
        </w:tabs>
        <w:rPr>
          <w:noProof/>
        </w:rPr>
      </w:pPr>
      <w:r w:rsidRPr="00624565">
        <w:rPr>
          <w:noProof/>
        </w:rPr>
        <w:t>Z tych samych powodów, które zostały wymienione powyżej</w:t>
      </w:r>
      <w:r w:rsidR="003F3D2B" w:rsidRPr="00624565">
        <w:rPr>
          <w:noProof/>
        </w:rPr>
        <w:t xml:space="preserve"> w</w:t>
      </w:r>
      <w:r w:rsidR="003F3D2B">
        <w:rPr>
          <w:noProof/>
        </w:rPr>
        <w:t> </w:t>
      </w:r>
      <w:r w:rsidR="003F3D2B" w:rsidRPr="00624565">
        <w:rPr>
          <w:noProof/>
        </w:rPr>
        <w:t>odn</w:t>
      </w:r>
      <w:r w:rsidRPr="00624565">
        <w:rPr>
          <w:noProof/>
        </w:rPr>
        <w:t>iesieniu do mnożenia oznakowań ekologicznych</w:t>
      </w:r>
      <w:r w:rsidR="003F3D2B" w:rsidRPr="00624565">
        <w:rPr>
          <w:noProof/>
        </w:rPr>
        <w:t xml:space="preserve"> i</w:t>
      </w:r>
      <w:r w:rsidR="003F3D2B">
        <w:rPr>
          <w:noProof/>
        </w:rPr>
        <w:t> </w:t>
      </w:r>
      <w:r w:rsidR="003F3D2B" w:rsidRPr="00624565">
        <w:rPr>
          <w:noProof/>
        </w:rPr>
        <w:t>wyn</w:t>
      </w:r>
      <w:r w:rsidRPr="00624565">
        <w:rPr>
          <w:noProof/>
        </w:rPr>
        <w:t>ikającej</w:t>
      </w:r>
      <w:r w:rsidR="003F3D2B" w:rsidRPr="00624565">
        <w:rPr>
          <w:noProof/>
        </w:rPr>
        <w:t xml:space="preserve"> z</w:t>
      </w:r>
      <w:r w:rsidR="003F3D2B">
        <w:rPr>
          <w:noProof/>
        </w:rPr>
        <w:t> </w:t>
      </w:r>
      <w:r w:rsidR="003F3D2B" w:rsidRPr="00624565">
        <w:rPr>
          <w:noProof/>
        </w:rPr>
        <w:t>teg</w:t>
      </w:r>
      <w:r w:rsidRPr="00624565">
        <w:rPr>
          <w:noProof/>
        </w:rPr>
        <w:t>o dezorientacji wśród konsumentów,</w:t>
      </w:r>
      <w:r w:rsidR="003F3D2B" w:rsidRPr="00624565">
        <w:rPr>
          <w:noProof/>
        </w:rPr>
        <w:t xml:space="preserve"> w</w:t>
      </w:r>
      <w:r w:rsidR="003F3D2B">
        <w:rPr>
          <w:noProof/>
        </w:rPr>
        <w:t> </w:t>
      </w:r>
      <w:r w:rsidR="003F3D2B" w:rsidRPr="003F3D2B">
        <w:rPr>
          <w:noProof/>
        </w:rPr>
        <w:t>art</w:t>
      </w:r>
      <w:r w:rsidRPr="003F3D2B">
        <w:rPr>
          <w:noProof/>
        </w:rPr>
        <w:t>.</w:t>
      </w:r>
      <w:r w:rsidR="003F3D2B" w:rsidRPr="003F3D2B">
        <w:rPr>
          <w:noProof/>
        </w:rPr>
        <w:t> </w:t>
      </w:r>
      <w:r w:rsidRPr="003F3D2B">
        <w:rPr>
          <w:noProof/>
        </w:rPr>
        <w:t>8</w:t>
      </w:r>
      <w:r w:rsidRPr="00624565">
        <w:rPr>
          <w:noProof/>
        </w:rPr>
        <w:t xml:space="preserve"> również wprowadzono dodatkowe przepisy ukierunkowane na mnożenie systemów oznakowania,</w:t>
      </w:r>
      <w:r w:rsidR="003F3D2B" w:rsidRPr="00624565">
        <w:rPr>
          <w:noProof/>
        </w:rPr>
        <w:t xml:space="preserve"> a</w:t>
      </w:r>
      <w:r w:rsidR="003F3D2B">
        <w:rPr>
          <w:noProof/>
        </w:rPr>
        <w:t> </w:t>
      </w:r>
      <w:r w:rsidR="003F3D2B" w:rsidRPr="00624565">
        <w:rPr>
          <w:noProof/>
        </w:rPr>
        <w:t>mia</w:t>
      </w:r>
      <w:r w:rsidRPr="00624565">
        <w:rPr>
          <w:noProof/>
        </w:rPr>
        <w:t xml:space="preserve">nowicie: </w:t>
      </w:r>
    </w:p>
    <w:p w14:paraId="3ABA0C84" w14:textId="77777777" w:rsidR="00BC1E44" w:rsidRPr="00624565" w:rsidRDefault="00BC1E44" w:rsidP="006E3743">
      <w:pPr>
        <w:pStyle w:val="Bullet0"/>
        <w:rPr>
          <w:rFonts w:eastAsia="Times New Roman"/>
          <w:noProof/>
        </w:rPr>
      </w:pPr>
      <w:r w:rsidRPr="00624565">
        <w:rPr>
          <w:noProof/>
        </w:rPr>
        <w:t>zakaz ustanawiania nowych lub regionalnych systemów publicznych;</w:t>
      </w:r>
    </w:p>
    <w:p w14:paraId="0E7F04FD" w14:textId="49E43B6F" w:rsidR="00BC1E44" w:rsidRPr="00624565" w:rsidRDefault="00BC1E44" w:rsidP="006E3743">
      <w:pPr>
        <w:pStyle w:val="Bullet0"/>
        <w:rPr>
          <w:rFonts w:eastAsia="Times New Roman"/>
          <w:noProof/>
        </w:rPr>
      </w:pPr>
      <w:r w:rsidRPr="00624565">
        <w:rPr>
          <w:noProof/>
        </w:rPr>
        <w:t>procedurę zatwierdzania nowych systemów ustanowionych przez podmioty prywatne z UE</w:t>
      </w:r>
      <w:r w:rsidR="003F3D2B" w:rsidRPr="00624565">
        <w:rPr>
          <w:noProof/>
        </w:rPr>
        <w:t xml:space="preserve"> i</w:t>
      </w:r>
      <w:r w:rsidR="003F3D2B">
        <w:rPr>
          <w:noProof/>
        </w:rPr>
        <w:t> </w:t>
      </w:r>
      <w:r w:rsidR="003F3D2B" w:rsidRPr="00624565">
        <w:rPr>
          <w:noProof/>
        </w:rPr>
        <w:t>pań</w:t>
      </w:r>
      <w:r w:rsidRPr="00624565">
        <w:rPr>
          <w:noProof/>
        </w:rPr>
        <w:t>stw trzecich, które to systemy powinny zostać ocenione przez organy krajowe</w:t>
      </w:r>
      <w:r w:rsidR="003F3D2B" w:rsidRPr="00624565">
        <w:rPr>
          <w:noProof/>
        </w:rPr>
        <w:t xml:space="preserve"> i</w:t>
      </w:r>
      <w:r w:rsidR="003F3D2B">
        <w:rPr>
          <w:noProof/>
        </w:rPr>
        <w:t> </w:t>
      </w:r>
      <w:r w:rsidR="003F3D2B" w:rsidRPr="00624565">
        <w:rPr>
          <w:noProof/>
        </w:rPr>
        <w:t>zat</w:t>
      </w:r>
      <w:r w:rsidRPr="00624565">
        <w:rPr>
          <w:noProof/>
        </w:rPr>
        <w:t>wierdzone wyłącznie pod warunkiem, że wnoszą one wartość dodaną pod względem ich celów środowiskowych, uwzględnienia wpływu na środowisko, grupy kategorii produktów lub sektora oraz ich zdolności do wspierania zielonej transformacji MŚP</w:t>
      </w:r>
      <w:r w:rsidR="003F3D2B" w:rsidRPr="00624565">
        <w:rPr>
          <w:noProof/>
        </w:rPr>
        <w:t xml:space="preserve"> w</w:t>
      </w:r>
      <w:r w:rsidR="003F3D2B">
        <w:rPr>
          <w:noProof/>
        </w:rPr>
        <w:t> </w:t>
      </w:r>
      <w:r w:rsidR="003F3D2B" w:rsidRPr="00624565">
        <w:rPr>
          <w:noProof/>
        </w:rPr>
        <w:t>por</w:t>
      </w:r>
      <w:r w:rsidRPr="00624565">
        <w:rPr>
          <w:noProof/>
        </w:rPr>
        <w:t>ównaniu</w:t>
      </w:r>
      <w:r w:rsidR="003F3D2B" w:rsidRPr="00624565">
        <w:rPr>
          <w:noProof/>
        </w:rPr>
        <w:t xml:space="preserve"> z</w:t>
      </w:r>
      <w:r w:rsidR="003F3D2B">
        <w:rPr>
          <w:noProof/>
        </w:rPr>
        <w:t> </w:t>
      </w:r>
      <w:r w:rsidR="003F3D2B" w:rsidRPr="00624565">
        <w:rPr>
          <w:noProof/>
        </w:rPr>
        <w:t>ist</w:t>
      </w:r>
      <w:r w:rsidRPr="00624565">
        <w:rPr>
          <w:noProof/>
        </w:rPr>
        <w:t>niejącymi systemami unijnymi, krajowymi lub regionalnymi.</w:t>
      </w:r>
    </w:p>
    <w:p w14:paraId="39EF1A01" w14:textId="05600061" w:rsidR="00BC1E44" w:rsidRPr="00624565" w:rsidRDefault="00BC1E44" w:rsidP="008E5D4B">
      <w:pPr>
        <w:tabs>
          <w:tab w:val="num" w:pos="567"/>
        </w:tabs>
        <w:rPr>
          <w:rFonts w:eastAsiaTheme="minorEastAsia"/>
          <w:noProof/>
        </w:rPr>
      </w:pPr>
      <w:r w:rsidRPr="00624565">
        <w:rPr>
          <w:noProof/>
        </w:rPr>
        <w:t>Nowe systemy publiczne ustanowione przez podmioty</w:t>
      </w:r>
      <w:r w:rsidR="003F3D2B" w:rsidRPr="00624565">
        <w:rPr>
          <w:noProof/>
        </w:rPr>
        <w:t xml:space="preserve"> z</w:t>
      </w:r>
      <w:r w:rsidR="003F3D2B">
        <w:rPr>
          <w:noProof/>
        </w:rPr>
        <w:t> </w:t>
      </w:r>
      <w:r w:rsidR="003F3D2B" w:rsidRPr="00624565">
        <w:rPr>
          <w:noProof/>
        </w:rPr>
        <w:t>pań</w:t>
      </w:r>
      <w:r w:rsidRPr="00624565">
        <w:rPr>
          <w:noProof/>
        </w:rPr>
        <w:t>stw trzecich, które chcą prowadzić działalność na rynku unijnym, muszą spełniać wymogi określone</w:t>
      </w:r>
      <w:r w:rsidR="003F3D2B" w:rsidRPr="00624565">
        <w:rPr>
          <w:noProof/>
        </w:rPr>
        <w:t xml:space="preserve"> w</w:t>
      </w:r>
      <w:r w:rsidR="003F3D2B">
        <w:rPr>
          <w:noProof/>
        </w:rPr>
        <w:t> </w:t>
      </w:r>
      <w:r w:rsidR="003F3D2B" w:rsidRPr="00624565">
        <w:rPr>
          <w:noProof/>
        </w:rPr>
        <w:t>nin</w:t>
      </w:r>
      <w:r w:rsidRPr="00624565">
        <w:rPr>
          <w:noProof/>
        </w:rPr>
        <w:t>iejszym wniosku</w:t>
      </w:r>
      <w:r w:rsidR="003F3D2B" w:rsidRPr="00624565">
        <w:rPr>
          <w:noProof/>
        </w:rPr>
        <w:t xml:space="preserve"> i</w:t>
      </w:r>
      <w:r w:rsidR="003F3D2B">
        <w:rPr>
          <w:noProof/>
        </w:rPr>
        <w:t> </w:t>
      </w:r>
      <w:r w:rsidR="003F3D2B" w:rsidRPr="00624565">
        <w:rPr>
          <w:noProof/>
        </w:rPr>
        <w:t>pod</w:t>
      </w:r>
      <w:r w:rsidRPr="00624565">
        <w:rPr>
          <w:noProof/>
        </w:rPr>
        <w:t>legają uprzedniej notyfikacji</w:t>
      </w:r>
      <w:r w:rsidR="003F3D2B" w:rsidRPr="00624565">
        <w:rPr>
          <w:noProof/>
        </w:rPr>
        <w:t xml:space="preserve"> i</w:t>
      </w:r>
      <w:r w:rsidR="003F3D2B">
        <w:rPr>
          <w:noProof/>
        </w:rPr>
        <w:t> </w:t>
      </w:r>
      <w:r w:rsidR="003F3D2B" w:rsidRPr="00624565">
        <w:rPr>
          <w:noProof/>
        </w:rPr>
        <w:t>upr</w:t>
      </w:r>
      <w:r w:rsidRPr="00624565">
        <w:rPr>
          <w:noProof/>
        </w:rPr>
        <w:t>zedniemu zatwierdzeniu przez Komisję, co ma służyć zapewnieniu, że systemy te wniosą wartość dodaną pod względem ich celów środowiskowych oraz uwzględnienia wpływu na środowisko, grupy produktów lub sektora.</w:t>
      </w:r>
    </w:p>
    <w:p w14:paraId="24C565C4" w14:textId="67F06BB4" w:rsidR="00BC1E44" w:rsidRPr="00624565" w:rsidRDefault="00BC1E44" w:rsidP="008E5D4B">
      <w:pPr>
        <w:tabs>
          <w:tab w:val="num" w:pos="567"/>
        </w:tabs>
        <w:rPr>
          <w:noProof/>
          <w:szCs w:val="24"/>
        </w:rPr>
      </w:pPr>
      <w:r w:rsidRPr="00624565">
        <w:rPr>
          <w:noProof/>
        </w:rPr>
        <w:t xml:space="preserve">W </w:t>
      </w:r>
      <w:r w:rsidRPr="003F3D2B">
        <w:rPr>
          <w:noProof/>
        </w:rPr>
        <w:t>art.</w:t>
      </w:r>
      <w:r w:rsidR="003F3D2B" w:rsidRPr="003F3D2B">
        <w:rPr>
          <w:noProof/>
        </w:rPr>
        <w:t> </w:t>
      </w:r>
      <w:r w:rsidRPr="003F3D2B">
        <w:rPr>
          <w:noProof/>
        </w:rPr>
        <w:t>9</w:t>
      </w:r>
      <w:r w:rsidRPr="00624565">
        <w:rPr>
          <w:noProof/>
        </w:rPr>
        <w:t xml:space="preserve"> określono wymogi dotyczące przeglądu oświadczeń środowiskowych przez przedsiębiorców.</w:t>
      </w:r>
    </w:p>
    <w:p w14:paraId="43DDDC08" w14:textId="784C5F95" w:rsidR="00BC1E44" w:rsidRPr="00624565" w:rsidRDefault="00BC1E44" w:rsidP="00BC1E44">
      <w:pPr>
        <w:pStyle w:val="ManualHeading2"/>
        <w:rPr>
          <w:rFonts w:eastAsia="Times New Roman"/>
          <w:b w:val="0"/>
          <w:noProof/>
        </w:rPr>
      </w:pPr>
      <w:r w:rsidRPr="00624565">
        <w:rPr>
          <w:noProof/>
        </w:rPr>
        <w:t xml:space="preserve">6.5. </w:t>
      </w:r>
      <w:r w:rsidRPr="00624565">
        <w:rPr>
          <w:noProof/>
        </w:rPr>
        <w:tab/>
        <w:t xml:space="preserve">Weryfikacja </w:t>
      </w:r>
      <w:r w:rsidRPr="00624565">
        <w:rPr>
          <w:i/>
          <w:iCs/>
          <w:noProof/>
        </w:rPr>
        <w:t>ex ante</w:t>
      </w:r>
      <w:r w:rsidRPr="00624565">
        <w:rPr>
          <w:noProof/>
        </w:rPr>
        <w:t xml:space="preserve"> oświadczeń środowiskowych</w:t>
      </w:r>
      <w:r w:rsidR="003F3D2B" w:rsidRPr="00624565">
        <w:rPr>
          <w:noProof/>
        </w:rPr>
        <w:t xml:space="preserve"> i</w:t>
      </w:r>
      <w:r w:rsidR="003F3D2B">
        <w:rPr>
          <w:noProof/>
        </w:rPr>
        <w:t> </w:t>
      </w:r>
      <w:r w:rsidR="003F3D2B" w:rsidRPr="00624565">
        <w:rPr>
          <w:noProof/>
        </w:rPr>
        <w:t>sys</w:t>
      </w:r>
      <w:r w:rsidRPr="00624565">
        <w:rPr>
          <w:noProof/>
        </w:rPr>
        <w:t xml:space="preserve">temów oznakowania </w:t>
      </w:r>
    </w:p>
    <w:p w14:paraId="314EF1DA" w14:textId="630EC28A" w:rsidR="00BC1E44" w:rsidRPr="00624565" w:rsidRDefault="00BC1E44" w:rsidP="00BC1E44">
      <w:pPr>
        <w:tabs>
          <w:tab w:val="num" w:pos="567"/>
        </w:tabs>
        <w:rPr>
          <w:noProof/>
        </w:rPr>
      </w:pPr>
      <w:r w:rsidRPr="00624565">
        <w:rPr>
          <w:noProof/>
        </w:rPr>
        <w:t xml:space="preserve">W </w:t>
      </w:r>
      <w:r w:rsidRPr="003F3D2B">
        <w:rPr>
          <w:noProof/>
        </w:rPr>
        <w:t>art.</w:t>
      </w:r>
      <w:r w:rsidR="003F3D2B" w:rsidRPr="003F3D2B">
        <w:rPr>
          <w:noProof/>
        </w:rPr>
        <w:t> </w:t>
      </w:r>
      <w:r w:rsidRPr="003F3D2B">
        <w:rPr>
          <w:noProof/>
        </w:rPr>
        <w:t>1</w:t>
      </w:r>
      <w:r w:rsidRPr="00624565">
        <w:rPr>
          <w:noProof/>
        </w:rPr>
        <w:t>0 wskazano,</w:t>
      </w:r>
      <w:r w:rsidR="003F3D2B" w:rsidRPr="00624565">
        <w:rPr>
          <w:noProof/>
        </w:rPr>
        <w:t xml:space="preserve"> w</w:t>
      </w:r>
      <w:r w:rsidR="003F3D2B">
        <w:rPr>
          <w:noProof/>
        </w:rPr>
        <w:t> </w:t>
      </w:r>
      <w:r w:rsidR="003F3D2B" w:rsidRPr="00624565">
        <w:rPr>
          <w:noProof/>
        </w:rPr>
        <w:t>jak</w:t>
      </w:r>
      <w:r w:rsidRPr="00624565">
        <w:rPr>
          <w:noProof/>
        </w:rPr>
        <w:t>i sposób uzasadnienie oświadczeń środowiskowych</w:t>
      </w:r>
      <w:r w:rsidR="003F3D2B" w:rsidRPr="00624565">
        <w:rPr>
          <w:noProof/>
        </w:rPr>
        <w:t xml:space="preserve"> i</w:t>
      </w:r>
      <w:r w:rsidR="003F3D2B">
        <w:rPr>
          <w:noProof/>
        </w:rPr>
        <w:t> </w:t>
      </w:r>
      <w:r w:rsidR="003F3D2B" w:rsidRPr="00624565">
        <w:rPr>
          <w:noProof/>
        </w:rPr>
        <w:t>ozn</w:t>
      </w:r>
      <w:r w:rsidRPr="00624565">
        <w:rPr>
          <w:noProof/>
        </w:rPr>
        <w:t>akowań ekologicznych oraz informowanie</w:t>
      </w:r>
      <w:r w:rsidR="003F3D2B" w:rsidRPr="00624565">
        <w:rPr>
          <w:noProof/>
        </w:rPr>
        <w:t xml:space="preserve"> o</w:t>
      </w:r>
      <w:r w:rsidR="003F3D2B">
        <w:rPr>
          <w:noProof/>
        </w:rPr>
        <w:t> </w:t>
      </w:r>
      <w:r w:rsidR="003F3D2B" w:rsidRPr="00624565">
        <w:rPr>
          <w:noProof/>
        </w:rPr>
        <w:t>nic</w:t>
      </w:r>
      <w:r w:rsidRPr="00624565">
        <w:rPr>
          <w:noProof/>
        </w:rPr>
        <w:t>h będzie musiało zostać zweryfikowane</w:t>
      </w:r>
      <w:r w:rsidR="003F3D2B" w:rsidRPr="00624565">
        <w:rPr>
          <w:noProof/>
        </w:rPr>
        <w:t xml:space="preserve"> i</w:t>
      </w:r>
      <w:r w:rsidR="003F3D2B">
        <w:rPr>
          <w:noProof/>
        </w:rPr>
        <w:t> </w:t>
      </w:r>
      <w:r w:rsidR="003F3D2B" w:rsidRPr="00624565">
        <w:rPr>
          <w:noProof/>
        </w:rPr>
        <w:t>cer</w:t>
      </w:r>
      <w:r w:rsidRPr="00624565">
        <w:rPr>
          <w:noProof/>
        </w:rPr>
        <w:t>tyfikowane przez stronę trzecią</w:t>
      </w:r>
      <w:r w:rsidR="003F3D2B" w:rsidRPr="00624565">
        <w:rPr>
          <w:noProof/>
        </w:rPr>
        <w:t xml:space="preserve"> w</w:t>
      </w:r>
      <w:r w:rsidR="003F3D2B">
        <w:rPr>
          <w:noProof/>
        </w:rPr>
        <w:t> </w:t>
      </w:r>
      <w:r w:rsidR="003F3D2B" w:rsidRPr="00624565">
        <w:rPr>
          <w:noProof/>
        </w:rPr>
        <w:t>cel</w:t>
      </w:r>
      <w:r w:rsidRPr="00624565">
        <w:rPr>
          <w:noProof/>
        </w:rPr>
        <w:t>u zapewnienia zgodności</w:t>
      </w:r>
      <w:r w:rsidR="003F3D2B" w:rsidRPr="00624565">
        <w:rPr>
          <w:noProof/>
        </w:rPr>
        <w:t xml:space="preserve"> z</w:t>
      </w:r>
      <w:r w:rsidR="003F3D2B">
        <w:rPr>
          <w:noProof/>
        </w:rPr>
        <w:t> </w:t>
      </w:r>
      <w:r w:rsidR="003F3D2B" w:rsidRPr="00624565">
        <w:rPr>
          <w:noProof/>
        </w:rPr>
        <w:t>wym</w:t>
      </w:r>
      <w:r w:rsidRPr="00624565">
        <w:rPr>
          <w:noProof/>
        </w:rPr>
        <w:t>ogami niniejszej dyrektywy, zanim oświadczenie zostanie wykorzystane</w:t>
      </w:r>
      <w:r w:rsidR="003F3D2B" w:rsidRPr="00624565">
        <w:rPr>
          <w:noProof/>
        </w:rPr>
        <w:t xml:space="preserve"> w</w:t>
      </w:r>
      <w:r w:rsidR="003F3D2B">
        <w:rPr>
          <w:noProof/>
        </w:rPr>
        <w:t> </w:t>
      </w:r>
      <w:r w:rsidR="003F3D2B" w:rsidRPr="00624565">
        <w:rPr>
          <w:noProof/>
        </w:rPr>
        <w:t>inf</w:t>
      </w:r>
      <w:r w:rsidRPr="00624565">
        <w:rPr>
          <w:noProof/>
        </w:rPr>
        <w:t xml:space="preserve">ormacji handlowej. Oficjalnie akredytowany organ („weryfikator”) przeprowadzi weryfikację </w:t>
      </w:r>
      <w:r w:rsidRPr="00624565">
        <w:rPr>
          <w:i/>
          <w:iCs/>
          <w:noProof/>
        </w:rPr>
        <w:t>ex ante</w:t>
      </w:r>
      <w:r w:rsidRPr="00624565">
        <w:rPr>
          <w:noProof/>
        </w:rPr>
        <w:t xml:space="preserve"> oświadczeń przedłożonych przez przedsiębiorstwo, które chce ich użyć. Środek ten zapewni weryfikację</w:t>
      </w:r>
      <w:r w:rsidR="003F3D2B" w:rsidRPr="00624565">
        <w:rPr>
          <w:noProof/>
        </w:rPr>
        <w:t xml:space="preserve"> i</w:t>
      </w:r>
      <w:r w:rsidR="003F3D2B">
        <w:rPr>
          <w:noProof/>
        </w:rPr>
        <w:t> </w:t>
      </w:r>
      <w:r w:rsidR="003F3D2B" w:rsidRPr="00624565">
        <w:rPr>
          <w:noProof/>
        </w:rPr>
        <w:t>pot</w:t>
      </w:r>
      <w:r w:rsidRPr="00624565">
        <w:rPr>
          <w:noProof/>
        </w:rPr>
        <w:t>wierdzenie rzetelności</w:t>
      </w:r>
      <w:r w:rsidR="003F3D2B" w:rsidRPr="00624565">
        <w:rPr>
          <w:noProof/>
        </w:rPr>
        <w:t xml:space="preserve"> i</w:t>
      </w:r>
      <w:r w:rsidR="003F3D2B">
        <w:rPr>
          <w:noProof/>
        </w:rPr>
        <w:t> </w:t>
      </w:r>
      <w:r w:rsidR="003F3D2B" w:rsidRPr="00624565">
        <w:rPr>
          <w:noProof/>
        </w:rPr>
        <w:t>wia</w:t>
      </w:r>
      <w:r w:rsidRPr="00624565">
        <w:rPr>
          <w:noProof/>
        </w:rPr>
        <w:t>rygodności każdego oświadczenia,</w:t>
      </w:r>
      <w:r w:rsidR="003F3D2B" w:rsidRPr="00624565">
        <w:rPr>
          <w:noProof/>
        </w:rPr>
        <w:t xml:space="preserve"> z</w:t>
      </w:r>
      <w:r w:rsidR="003F3D2B">
        <w:rPr>
          <w:noProof/>
        </w:rPr>
        <w:t> </w:t>
      </w:r>
      <w:r w:rsidR="003F3D2B" w:rsidRPr="00624565">
        <w:rPr>
          <w:noProof/>
        </w:rPr>
        <w:t>któ</w:t>
      </w:r>
      <w:r w:rsidRPr="00624565">
        <w:rPr>
          <w:noProof/>
        </w:rPr>
        <w:t>rym konsument będzie miał do czynienia</w:t>
      </w:r>
      <w:r w:rsidR="003F3D2B" w:rsidRPr="00624565">
        <w:rPr>
          <w:noProof/>
        </w:rPr>
        <w:t>. W</w:t>
      </w:r>
      <w:r w:rsidR="003F3D2B">
        <w:rPr>
          <w:noProof/>
        </w:rPr>
        <w:t> </w:t>
      </w:r>
      <w:r w:rsidR="003F3D2B" w:rsidRPr="00624565">
        <w:rPr>
          <w:noProof/>
        </w:rPr>
        <w:t>prz</w:t>
      </w:r>
      <w:r w:rsidRPr="00624565">
        <w:rPr>
          <w:noProof/>
        </w:rPr>
        <w:t>edmiotowym wniosku zdefiniowano również szczegółowe wymagania, które „weryfikatorzy” muszą spełnić</w:t>
      </w:r>
      <w:r w:rsidR="003F3D2B" w:rsidRPr="00624565">
        <w:rPr>
          <w:noProof/>
        </w:rPr>
        <w:t xml:space="preserve"> w</w:t>
      </w:r>
      <w:r w:rsidR="003F3D2B">
        <w:rPr>
          <w:noProof/>
        </w:rPr>
        <w:t> </w:t>
      </w:r>
      <w:r w:rsidR="003F3D2B" w:rsidRPr="00624565">
        <w:rPr>
          <w:noProof/>
        </w:rPr>
        <w:t>cel</w:t>
      </w:r>
      <w:r w:rsidRPr="00624565">
        <w:rPr>
          <w:noProof/>
        </w:rPr>
        <w:t xml:space="preserve">u akredytowania przez państwa członkowskie. </w:t>
      </w:r>
    </w:p>
    <w:p w14:paraId="3CA114F5" w14:textId="44C14705" w:rsidR="00BC1E44" w:rsidRPr="00624565" w:rsidRDefault="00BC1E44" w:rsidP="00BC1E44">
      <w:pPr>
        <w:tabs>
          <w:tab w:val="num" w:pos="567"/>
        </w:tabs>
        <w:rPr>
          <w:noProof/>
        </w:rPr>
      </w:pPr>
      <w:r w:rsidRPr="00624565">
        <w:rPr>
          <w:noProof/>
        </w:rPr>
        <w:t xml:space="preserve">Po przeprowadzeniu weryfikacji przedłożonego oświadczenia „weryfikator” zdecyduje również, czy wydać (lub nie) </w:t>
      </w:r>
      <w:r w:rsidRPr="00624565">
        <w:rPr>
          <w:i/>
          <w:noProof/>
        </w:rPr>
        <w:t>certyfikat zgodności</w:t>
      </w:r>
      <w:r w:rsidRPr="00624565">
        <w:rPr>
          <w:noProof/>
        </w:rPr>
        <w:t>. Certyfikat ten będzie uznawany</w:t>
      </w:r>
      <w:r w:rsidR="003F3D2B" w:rsidRPr="00624565">
        <w:rPr>
          <w:noProof/>
        </w:rPr>
        <w:t xml:space="preserve"> w</w:t>
      </w:r>
      <w:r w:rsidR="003F3D2B">
        <w:rPr>
          <w:noProof/>
        </w:rPr>
        <w:t> </w:t>
      </w:r>
      <w:r w:rsidR="003F3D2B" w:rsidRPr="00624565">
        <w:rPr>
          <w:noProof/>
        </w:rPr>
        <w:t>cał</w:t>
      </w:r>
      <w:r w:rsidRPr="00624565">
        <w:rPr>
          <w:noProof/>
        </w:rPr>
        <w:t>ej UE</w:t>
      </w:r>
      <w:r w:rsidR="003F3D2B" w:rsidRPr="00624565">
        <w:rPr>
          <w:noProof/>
        </w:rPr>
        <w:t xml:space="preserve"> i</w:t>
      </w:r>
      <w:r w:rsidR="003F3D2B">
        <w:rPr>
          <w:noProof/>
        </w:rPr>
        <w:t> </w:t>
      </w:r>
      <w:r w:rsidR="003F3D2B" w:rsidRPr="00624565">
        <w:rPr>
          <w:noProof/>
        </w:rPr>
        <w:t>udo</w:t>
      </w:r>
      <w:r w:rsidRPr="00624565">
        <w:rPr>
          <w:noProof/>
        </w:rPr>
        <w:t>stępniony państwom członkowskim za pośrednictwem systemu wymiany informacji na rynku wewnętrznym</w:t>
      </w:r>
      <w:r w:rsidRPr="00624565">
        <w:rPr>
          <w:rStyle w:val="FootnoteReference"/>
          <w:noProof/>
        </w:rPr>
        <w:footnoteReference w:id="66"/>
      </w:r>
      <w:r w:rsidRPr="00624565">
        <w:rPr>
          <w:noProof/>
        </w:rPr>
        <w:t xml:space="preserve"> oraz umożliwi przedsiębiorstwom wykorzystywanie oświadczenia</w:t>
      </w:r>
      <w:r w:rsidR="003F3D2B" w:rsidRPr="00624565">
        <w:rPr>
          <w:noProof/>
        </w:rPr>
        <w:t xml:space="preserve"> w</w:t>
      </w:r>
      <w:r w:rsidR="003F3D2B">
        <w:rPr>
          <w:noProof/>
        </w:rPr>
        <w:t> </w:t>
      </w:r>
      <w:r w:rsidR="003F3D2B" w:rsidRPr="00624565">
        <w:rPr>
          <w:noProof/>
        </w:rPr>
        <w:t>inf</w:t>
      </w:r>
      <w:r w:rsidRPr="00624565">
        <w:rPr>
          <w:noProof/>
        </w:rPr>
        <w:t>ormacjach handlowych przekazywanych konsumentom na rynku wewnętrznym. Dzięki certyfikatowi zgodności oświadczeń przedsiębiorstwa będą miały pewność, że ich certyfikowane oświadczenie nie zostanie zakwestionowane przez właściwe organy</w:t>
      </w:r>
      <w:r w:rsidR="003F3D2B" w:rsidRPr="00624565">
        <w:rPr>
          <w:noProof/>
        </w:rPr>
        <w:t xml:space="preserve"> w</w:t>
      </w:r>
      <w:r w:rsidR="003F3D2B">
        <w:rPr>
          <w:noProof/>
        </w:rPr>
        <w:t> </w:t>
      </w:r>
      <w:r w:rsidR="003F3D2B" w:rsidRPr="00624565">
        <w:rPr>
          <w:noProof/>
        </w:rPr>
        <w:t>inn</w:t>
      </w:r>
      <w:r w:rsidRPr="00624565">
        <w:rPr>
          <w:noProof/>
        </w:rPr>
        <w:t>ym państwie członkowskim. Procedura ta będzie miała również zastosowanie do weryfikacji systemów oznakowania pod względem ich zgodności</w:t>
      </w:r>
      <w:r w:rsidR="003F3D2B" w:rsidRPr="00624565">
        <w:rPr>
          <w:noProof/>
        </w:rPr>
        <w:t xml:space="preserve"> z</w:t>
      </w:r>
      <w:r w:rsidR="003F3D2B">
        <w:rPr>
          <w:noProof/>
        </w:rPr>
        <w:t> </w:t>
      </w:r>
      <w:r w:rsidR="003F3D2B" w:rsidRPr="00624565">
        <w:rPr>
          <w:noProof/>
        </w:rPr>
        <w:t>prz</w:t>
      </w:r>
      <w:r w:rsidRPr="00624565">
        <w:rPr>
          <w:noProof/>
        </w:rPr>
        <w:t>episami dotyczącymi zarządzania. Komisja będzie uprawniona do przyjęcia aktu wykonawczego określającego format certyfikatu zgodności oświadczeń.</w:t>
      </w:r>
    </w:p>
    <w:p w14:paraId="0AADCFE7" w14:textId="426A9F45" w:rsidR="00BC1E44" w:rsidRPr="00624565" w:rsidRDefault="00BC1E44" w:rsidP="00BC1E44">
      <w:pPr>
        <w:tabs>
          <w:tab w:val="num" w:pos="567"/>
        </w:tabs>
        <w:rPr>
          <w:noProof/>
        </w:rPr>
      </w:pPr>
      <w:r w:rsidRPr="00624565">
        <w:rPr>
          <w:noProof/>
        </w:rPr>
        <w:t>Art. 11 stanowi, że „weryfikator” musi być oficjalnie akredytowanym</w:t>
      </w:r>
      <w:r w:rsidRPr="00624565">
        <w:rPr>
          <w:rStyle w:val="FootnoteReference"/>
          <w:noProof/>
        </w:rPr>
        <w:footnoteReference w:id="67"/>
      </w:r>
      <w:r w:rsidRPr="00624565">
        <w:rPr>
          <w:noProof/>
        </w:rPr>
        <w:t xml:space="preserve"> niezależnym organem niepozostającym</w:t>
      </w:r>
      <w:r w:rsidR="003F3D2B" w:rsidRPr="00624565">
        <w:rPr>
          <w:noProof/>
        </w:rPr>
        <w:t xml:space="preserve"> w</w:t>
      </w:r>
      <w:r w:rsidR="003F3D2B">
        <w:rPr>
          <w:noProof/>
        </w:rPr>
        <w:t> </w:t>
      </w:r>
      <w:r w:rsidR="003F3D2B" w:rsidRPr="00624565">
        <w:rPr>
          <w:noProof/>
        </w:rPr>
        <w:t>żad</w:t>
      </w:r>
      <w:r w:rsidRPr="00624565">
        <w:rPr>
          <w:noProof/>
        </w:rPr>
        <w:t>nym konflikcie interesów, aby zapewniona została niezależność osądu</w:t>
      </w:r>
      <w:r w:rsidR="003F3D2B" w:rsidRPr="00624565">
        <w:rPr>
          <w:noProof/>
        </w:rPr>
        <w:t xml:space="preserve"> i</w:t>
      </w:r>
      <w:r w:rsidR="003F3D2B">
        <w:rPr>
          <w:noProof/>
        </w:rPr>
        <w:t> </w:t>
      </w:r>
      <w:r w:rsidR="003F3D2B" w:rsidRPr="00624565">
        <w:rPr>
          <w:noProof/>
        </w:rPr>
        <w:t>naj</w:t>
      </w:r>
      <w:r w:rsidRPr="00624565">
        <w:rPr>
          <w:noProof/>
        </w:rPr>
        <w:t xml:space="preserve">wyższy poziom uczciwości zawodowej. „Weryfikator” musi posiadać wymaganą wiedzę specjalistyczną, sprzęt oraz infrastrukturę, które umożliwią mu dokonywanie weryfikacji, jak również musi dysponować odpowiednim personelem, który będzie dochowywać tajemnicy zawodowej. </w:t>
      </w:r>
    </w:p>
    <w:p w14:paraId="490D7CAD" w14:textId="313AEB82" w:rsidR="00BC1E44" w:rsidRPr="00624565" w:rsidRDefault="00BC1E44" w:rsidP="00BC1E44">
      <w:pPr>
        <w:pStyle w:val="ManualHeading2"/>
        <w:rPr>
          <w:rFonts w:eastAsia="Times New Roman"/>
          <w:noProof/>
          <w:color w:val="000000" w:themeColor="text1"/>
        </w:rPr>
      </w:pPr>
      <w:r w:rsidRPr="00624565">
        <w:rPr>
          <w:noProof/>
        </w:rPr>
        <w:t xml:space="preserve">6.6. </w:t>
      </w:r>
      <w:r w:rsidRPr="00624565">
        <w:rPr>
          <w:noProof/>
        </w:rPr>
        <w:tab/>
        <w:t>Małe</w:t>
      </w:r>
      <w:r w:rsidR="003F3D2B" w:rsidRPr="00624565">
        <w:rPr>
          <w:noProof/>
        </w:rPr>
        <w:t xml:space="preserve"> i</w:t>
      </w:r>
      <w:r w:rsidR="003F3D2B">
        <w:rPr>
          <w:noProof/>
        </w:rPr>
        <w:t> </w:t>
      </w:r>
      <w:r w:rsidR="003F3D2B" w:rsidRPr="00624565">
        <w:rPr>
          <w:noProof/>
        </w:rPr>
        <w:t>śre</w:t>
      </w:r>
      <w:r w:rsidRPr="00624565">
        <w:rPr>
          <w:noProof/>
        </w:rPr>
        <w:t>dnie przedsiębiorstwa</w:t>
      </w:r>
    </w:p>
    <w:p w14:paraId="2574D5B0" w14:textId="72E36898" w:rsidR="00BC1E44" w:rsidRPr="00624565" w:rsidRDefault="00BC1E44" w:rsidP="00BC1E44">
      <w:pPr>
        <w:tabs>
          <w:tab w:val="num" w:pos="567"/>
        </w:tabs>
        <w:rPr>
          <w:rFonts w:eastAsia="Times New Roman"/>
          <w:noProof/>
          <w:color w:val="000000" w:themeColor="text1"/>
        </w:rPr>
      </w:pPr>
      <w:r w:rsidRPr="00624565">
        <w:rPr>
          <w:noProof/>
        </w:rPr>
        <w:t>Biorąc pod uwagę kontekst programów,</w:t>
      </w:r>
      <w:r w:rsidR="003F3D2B" w:rsidRPr="00624565">
        <w:rPr>
          <w:noProof/>
        </w:rPr>
        <w:t xml:space="preserve"> z</w:t>
      </w:r>
      <w:r w:rsidR="003F3D2B">
        <w:rPr>
          <w:noProof/>
        </w:rPr>
        <w:t> </w:t>
      </w:r>
      <w:r w:rsidR="003F3D2B" w:rsidRPr="00624565">
        <w:rPr>
          <w:noProof/>
        </w:rPr>
        <w:t>któ</w:t>
      </w:r>
      <w:r w:rsidRPr="00624565">
        <w:rPr>
          <w:noProof/>
        </w:rPr>
        <w:t>rych małe</w:t>
      </w:r>
      <w:r w:rsidR="003F3D2B" w:rsidRPr="00624565">
        <w:rPr>
          <w:noProof/>
        </w:rPr>
        <w:t xml:space="preserve"> i</w:t>
      </w:r>
      <w:r w:rsidR="003F3D2B">
        <w:rPr>
          <w:noProof/>
        </w:rPr>
        <w:t> </w:t>
      </w:r>
      <w:r w:rsidR="003F3D2B" w:rsidRPr="00624565">
        <w:rPr>
          <w:noProof/>
        </w:rPr>
        <w:t>śre</w:t>
      </w:r>
      <w:r w:rsidRPr="00624565">
        <w:rPr>
          <w:noProof/>
        </w:rPr>
        <w:t>dnie przedsiębiorstwa mogą korzystać,</w:t>
      </w:r>
      <w:r w:rsidR="003F3D2B" w:rsidRPr="00624565">
        <w:rPr>
          <w:noProof/>
        </w:rPr>
        <w:t xml:space="preserve"> w</w:t>
      </w:r>
      <w:r w:rsidR="003F3D2B">
        <w:rPr>
          <w:noProof/>
        </w:rPr>
        <w:t> </w:t>
      </w:r>
      <w:r w:rsidR="003F3D2B" w:rsidRPr="003F3D2B">
        <w:rPr>
          <w:noProof/>
        </w:rPr>
        <w:t>art</w:t>
      </w:r>
      <w:r w:rsidRPr="003F3D2B">
        <w:rPr>
          <w:noProof/>
        </w:rPr>
        <w:t>.</w:t>
      </w:r>
      <w:r w:rsidR="003F3D2B" w:rsidRPr="003F3D2B">
        <w:rPr>
          <w:noProof/>
        </w:rPr>
        <w:t> </w:t>
      </w:r>
      <w:r w:rsidRPr="003F3D2B">
        <w:rPr>
          <w:noProof/>
        </w:rPr>
        <w:t>1</w:t>
      </w:r>
      <w:r w:rsidRPr="00624565">
        <w:rPr>
          <w:noProof/>
        </w:rPr>
        <w:t>2 zapewniono uwzględnienie tego rodzaju inicjatyw oraz zastosowanie odpowiednich środków, które zapewnią im pomoc,</w:t>
      </w:r>
      <w:r w:rsidR="003F3D2B" w:rsidRPr="00624565">
        <w:rPr>
          <w:noProof/>
        </w:rPr>
        <w:t xml:space="preserve"> w</w:t>
      </w:r>
      <w:r w:rsidR="003F3D2B">
        <w:rPr>
          <w:noProof/>
        </w:rPr>
        <w:t> </w:t>
      </w:r>
      <w:r w:rsidR="003F3D2B" w:rsidRPr="00624565">
        <w:rPr>
          <w:noProof/>
        </w:rPr>
        <w:t>tym</w:t>
      </w:r>
      <w:r w:rsidRPr="00624565">
        <w:rPr>
          <w:noProof/>
        </w:rPr>
        <w:t xml:space="preserve"> wsparcie finansowe, dostęp do finansowania, specjalistyczne szkolenia dla kadry kierowniczej</w:t>
      </w:r>
      <w:r w:rsidR="003F3D2B" w:rsidRPr="00624565">
        <w:rPr>
          <w:noProof/>
        </w:rPr>
        <w:t xml:space="preserve"> i</w:t>
      </w:r>
      <w:r w:rsidR="003F3D2B">
        <w:rPr>
          <w:noProof/>
        </w:rPr>
        <w:t> </w:t>
      </w:r>
      <w:r w:rsidR="003F3D2B" w:rsidRPr="00624565">
        <w:rPr>
          <w:noProof/>
        </w:rPr>
        <w:t>pra</w:t>
      </w:r>
      <w:r w:rsidRPr="00624565">
        <w:rPr>
          <w:noProof/>
        </w:rPr>
        <w:t>cowników oraz pomoc organizacyjną</w:t>
      </w:r>
      <w:r w:rsidR="003F3D2B" w:rsidRPr="00624565">
        <w:rPr>
          <w:noProof/>
        </w:rPr>
        <w:t xml:space="preserve"> i</w:t>
      </w:r>
      <w:r w:rsidR="003F3D2B">
        <w:rPr>
          <w:noProof/>
        </w:rPr>
        <w:t> </w:t>
      </w:r>
      <w:r w:rsidR="003F3D2B" w:rsidRPr="00624565">
        <w:rPr>
          <w:noProof/>
        </w:rPr>
        <w:t>tec</w:t>
      </w:r>
      <w:r w:rsidRPr="00624565">
        <w:rPr>
          <w:noProof/>
        </w:rPr>
        <w:t>hniczną.</w:t>
      </w:r>
    </w:p>
    <w:p w14:paraId="0E367671" w14:textId="77777777" w:rsidR="00BC1E44" w:rsidRPr="00624565" w:rsidRDefault="00BC1E44" w:rsidP="00BC1E44">
      <w:pPr>
        <w:pStyle w:val="ManualHeading2"/>
        <w:rPr>
          <w:rFonts w:eastAsia="Times New Roman"/>
          <w:b w:val="0"/>
          <w:noProof/>
        </w:rPr>
      </w:pPr>
      <w:r w:rsidRPr="00624565">
        <w:rPr>
          <w:noProof/>
        </w:rPr>
        <w:t>6.7.</w:t>
      </w:r>
      <w:r w:rsidRPr="00624565">
        <w:rPr>
          <w:noProof/>
        </w:rPr>
        <w:tab/>
        <w:t xml:space="preserve">Egzekwowanie przepisów </w:t>
      </w:r>
    </w:p>
    <w:p w14:paraId="5A6A74B0" w14:textId="74F23AB9" w:rsidR="00BC1E44" w:rsidRPr="00624565" w:rsidRDefault="00BC1E44" w:rsidP="00BC1E44">
      <w:pPr>
        <w:tabs>
          <w:tab w:val="num" w:pos="567"/>
        </w:tabs>
        <w:rPr>
          <w:noProof/>
        </w:rPr>
      </w:pPr>
      <w:r w:rsidRPr="00624565">
        <w:rPr>
          <w:noProof/>
        </w:rPr>
        <w:t xml:space="preserve">W </w:t>
      </w:r>
      <w:r w:rsidRPr="003F3D2B">
        <w:rPr>
          <w:noProof/>
        </w:rPr>
        <w:t>art.</w:t>
      </w:r>
      <w:r w:rsidR="003F3D2B" w:rsidRPr="003F3D2B">
        <w:rPr>
          <w:noProof/>
        </w:rPr>
        <w:t> </w:t>
      </w:r>
      <w:r w:rsidRPr="003F3D2B">
        <w:rPr>
          <w:noProof/>
        </w:rPr>
        <w:t>1</w:t>
      </w:r>
      <w:r w:rsidRPr="00624565">
        <w:rPr>
          <w:noProof/>
        </w:rPr>
        <w:t>3 przewidziano, że każde państwo członkowskie wyznaczy jeden lub więcej odpowiednich właściwych organów, które będą odpowiedzialne za egzekwowanie przepisów określonych</w:t>
      </w:r>
      <w:r w:rsidR="003F3D2B" w:rsidRPr="00624565">
        <w:rPr>
          <w:noProof/>
        </w:rPr>
        <w:t xml:space="preserve"> w</w:t>
      </w:r>
      <w:r w:rsidR="003F3D2B">
        <w:rPr>
          <w:noProof/>
        </w:rPr>
        <w:t> </w:t>
      </w:r>
      <w:r w:rsidR="003F3D2B" w:rsidRPr="00624565">
        <w:rPr>
          <w:noProof/>
        </w:rPr>
        <w:t>prz</w:t>
      </w:r>
      <w:r w:rsidRPr="00624565">
        <w:rPr>
          <w:noProof/>
        </w:rPr>
        <w:t>edmiotowym wniosku. Biorąc pod uwagę fakt, że mechanizmy ochrony konsumentów różnią się między państwami członkowskimi, właściwsze jest pozwolenie państwom członkowskim na wyznaczenie najskuteczniejszego właściwego organu, który będzie egzekwował przepisy,</w:t>
      </w:r>
      <w:r w:rsidR="003F3D2B" w:rsidRPr="00624565">
        <w:rPr>
          <w:noProof/>
        </w:rPr>
        <w:t xml:space="preserve"> w</w:t>
      </w:r>
      <w:r w:rsidR="003F3D2B">
        <w:rPr>
          <w:noProof/>
        </w:rPr>
        <w:t> </w:t>
      </w:r>
      <w:r w:rsidR="003F3D2B" w:rsidRPr="00624565">
        <w:rPr>
          <w:noProof/>
        </w:rPr>
        <w:t>tym</w:t>
      </w:r>
      <w:r w:rsidRPr="00624565">
        <w:rPr>
          <w:noProof/>
        </w:rPr>
        <w:t xml:space="preserve"> dokonywał inspekcji, nakładał sankcje</w:t>
      </w:r>
      <w:r w:rsidR="003F3D2B" w:rsidRPr="00624565">
        <w:rPr>
          <w:noProof/>
        </w:rPr>
        <w:t xml:space="preserve"> i</w:t>
      </w:r>
      <w:r w:rsidR="003F3D2B">
        <w:rPr>
          <w:noProof/>
        </w:rPr>
        <w:t> </w:t>
      </w:r>
      <w:r w:rsidR="003F3D2B" w:rsidRPr="00624565">
        <w:rPr>
          <w:noProof/>
        </w:rPr>
        <w:t>ści</w:t>
      </w:r>
      <w:r w:rsidRPr="00624565">
        <w:rPr>
          <w:noProof/>
        </w:rPr>
        <w:t>gał sądownie</w:t>
      </w:r>
      <w:r w:rsidR="003F3D2B" w:rsidRPr="00624565">
        <w:rPr>
          <w:noProof/>
        </w:rPr>
        <w:t>. W</w:t>
      </w:r>
      <w:r w:rsidR="003F3D2B">
        <w:rPr>
          <w:noProof/>
        </w:rPr>
        <w:t> </w:t>
      </w:r>
      <w:r w:rsidR="003F3D2B" w:rsidRPr="00624565">
        <w:rPr>
          <w:noProof/>
        </w:rPr>
        <w:t>ten</w:t>
      </w:r>
      <w:r w:rsidRPr="00624565">
        <w:rPr>
          <w:noProof/>
        </w:rPr>
        <w:t xml:space="preserve"> sposób we wniosku pozostawiono państwom członkowskim możliwość wyboru istniejących mechanizmów zgodnie</w:t>
      </w:r>
      <w:r w:rsidR="003F3D2B" w:rsidRPr="00624565">
        <w:rPr>
          <w:noProof/>
        </w:rPr>
        <w:t xml:space="preserve"> z</w:t>
      </w:r>
      <w:r w:rsidR="003F3D2B">
        <w:rPr>
          <w:noProof/>
        </w:rPr>
        <w:t> </w:t>
      </w:r>
      <w:r w:rsidR="003F3D2B" w:rsidRPr="00624565">
        <w:rPr>
          <w:noProof/>
        </w:rPr>
        <w:t>pra</w:t>
      </w:r>
      <w:r w:rsidRPr="00624565">
        <w:rPr>
          <w:noProof/>
        </w:rPr>
        <w:t>wem ochrony konsumentów.</w:t>
      </w:r>
    </w:p>
    <w:p w14:paraId="410B6126" w14:textId="00DEE16D" w:rsidR="00BC1E44" w:rsidRPr="00624565" w:rsidRDefault="00BC1E44" w:rsidP="00BC1E44">
      <w:pPr>
        <w:tabs>
          <w:tab w:val="num" w:pos="567"/>
        </w:tabs>
        <w:rPr>
          <w:noProof/>
          <w:szCs w:val="24"/>
        </w:rPr>
      </w:pPr>
      <w:r w:rsidRPr="00624565">
        <w:rPr>
          <w:noProof/>
        </w:rPr>
        <w:t>Jeżeli państwa członkowskie wyznaczą więcej właściwych organów niż jeden na swoim terytorium, będą musiały ponownie określić obowiązki każdego</w:t>
      </w:r>
      <w:r w:rsidR="003F3D2B" w:rsidRPr="00624565">
        <w:rPr>
          <w:noProof/>
        </w:rPr>
        <w:t xml:space="preserve"> z</w:t>
      </w:r>
      <w:r w:rsidR="003F3D2B">
        <w:rPr>
          <w:noProof/>
        </w:rPr>
        <w:t> </w:t>
      </w:r>
      <w:r w:rsidR="003F3D2B" w:rsidRPr="00624565">
        <w:rPr>
          <w:noProof/>
        </w:rPr>
        <w:t>nic</w:t>
      </w:r>
      <w:r w:rsidRPr="00624565">
        <w:rPr>
          <w:noProof/>
        </w:rPr>
        <w:t>h</w:t>
      </w:r>
      <w:r w:rsidR="003F3D2B" w:rsidRPr="00624565">
        <w:rPr>
          <w:noProof/>
        </w:rPr>
        <w:t xml:space="preserve"> i</w:t>
      </w:r>
      <w:r w:rsidR="003F3D2B">
        <w:rPr>
          <w:noProof/>
        </w:rPr>
        <w:t> </w:t>
      </w:r>
      <w:r w:rsidR="003F3D2B" w:rsidRPr="00624565">
        <w:rPr>
          <w:noProof/>
        </w:rPr>
        <w:t>ust</w:t>
      </w:r>
      <w:r w:rsidRPr="00624565">
        <w:rPr>
          <w:noProof/>
        </w:rPr>
        <w:t>anowić odpowiednie mechanizmy komunikacji</w:t>
      </w:r>
      <w:r w:rsidR="003F3D2B" w:rsidRPr="00624565">
        <w:rPr>
          <w:noProof/>
        </w:rPr>
        <w:t xml:space="preserve"> i</w:t>
      </w:r>
      <w:r w:rsidR="003F3D2B">
        <w:rPr>
          <w:noProof/>
        </w:rPr>
        <w:t> </w:t>
      </w:r>
      <w:r w:rsidR="003F3D2B" w:rsidRPr="00624565">
        <w:rPr>
          <w:noProof/>
        </w:rPr>
        <w:t>koo</w:t>
      </w:r>
      <w:r w:rsidRPr="00624565">
        <w:rPr>
          <w:noProof/>
        </w:rPr>
        <w:t>rdynacji</w:t>
      </w:r>
      <w:r w:rsidR="003F3D2B" w:rsidRPr="00624565">
        <w:rPr>
          <w:noProof/>
        </w:rPr>
        <w:t xml:space="preserve"> w</w:t>
      </w:r>
      <w:r w:rsidR="003F3D2B">
        <w:rPr>
          <w:noProof/>
        </w:rPr>
        <w:t> </w:t>
      </w:r>
      <w:r w:rsidR="003F3D2B" w:rsidRPr="00624565">
        <w:rPr>
          <w:noProof/>
        </w:rPr>
        <w:t>cel</w:t>
      </w:r>
      <w:r w:rsidRPr="00624565">
        <w:rPr>
          <w:noProof/>
        </w:rPr>
        <w:t xml:space="preserve">u zapewnienia skuteczności. </w:t>
      </w:r>
    </w:p>
    <w:p w14:paraId="6C9AC725" w14:textId="045870E2" w:rsidR="00BC1E44" w:rsidRPr="00624565" w:rsidRDefault="00BC1E44" w:rsidP="00BC1E44">
      <w:pPr>
        <w:tabs>
          <w:tab w:val="num" w:pos="567"/>
        </w:tabs>
        <w:rPr>
          <w:noProof/>
        </w:rPr>
      </w:pPr>
      <w:r w:rsidRPr="00624565">
        <w:rPr>
          <w:noProof/>
        </w:rPr>
        <w:t xml:space="preserve">W </w:t>
      </w:r>
      <w:r w:rsidRPr="003F3D2B">
        <w:rPr>
          <w:noProof/>
        </w:rPr>
        <w:t>art.</w:t>
      </w:r>
      <w:r w:rsidR="003F3D2B" w:rsidRPr="003F3D2B">
        <w:rPr>
          <w:noProof/>
        </w:rPr>
        <w:t> </w:t>
      </w:r>
      <w:r w:rsidRPr="003F3D2B">
        <w:rPr>
          <w:noProof/>
        </w:rPr>
        <w:t>1</w:t>
      </w:r>
      <w:r w:rsidRPr="00624565">
        <w:rPr>
          <w:noProof/>
        </w:rPr>
        <w:t>4 przedstawiono uprawnienia właściwych organów</w:t>
      </w:r>
      <w:r w:rsidR="003F3D2B" w:rsidRPr="00624565">
        <w:rPr>
          <w:noProof/>
        </w:rPr>
        <w:t xml:space="preserve"> w</w:t>
      </w:r>
      <w:r w:rsidR="003F3D2B">
        <w:rPr>
          <w:noProof/>
        </w:rPr>
        <w:t> </w:t>
      </w:r>
      <w:r w:rsidR="003F3D2B" w:rsidRPr="00624565">
        <w:rPr>
          <w:noProof/>
        </w:rPr>
        <w:t>zak</w:t>
      </w:r>
      <w:r w:rsidRPr="00624565">
        <w:rPr>
          <w:noProof/>
        </w:rPr>
        <w:t>resie badania</w:t>
      </w:r>
      <w:r w:rsidR="003F3D2B" w:rsidRPr="00624565">
        <w:rPr>
          <w:noProof/>
        </w:rPr>
        <w:t xml:space="preserve"> i</w:t>
      </w:r>
      <w:r w:rsidR="003F3D2B">
        <w:rPr>
          <w:noProof/>
        </w:rPr>
        <w:t> </w:t>
      </w:r>
      <w:r w:rsidR="003F3D2B" w:rsidRPr="00624565">
        <w:rPr>
          <w:noProof/>
        </w:rPr>
        <w:t>egz</w:t>
      </w:r>
      <w:r w:rsidRPr="00624565">
        <w:rPr>
          <w:noProof/>
        </w:rPr>
        <w:t>ekwowania wymogów. Obejmują one uprawnienie dostępu do istotnych informacji dotyczących naruszenia, uprawnienie do żądania dostępu do istotnych informacji</w:t>
      </w:r>
      <w:r w:rsidR="003F3D2B" w:rsidRPr="00624565">
        <w:rPr>
          <w:noProof/>
        </w:rPr>
        <w:t xml:space="preserve"> w</w:t>
      </w:r>
      <w:r w:rsidR="003F3D2B">
        <w:rPr>
          <w:noProof/>
        </w:rPr>
        <w:t> </w:t>
      </w:r>
      <w:r w:rsidR="003F3D2B" w:rsidRPr="00624565">
        <w:rPr>
          <w:noProof/>
        </w:rPr>
        <w:t>cel</w:t>
      </w:r>
      <w:r w:rsidRPr="00624565">
        <w:rPr>
          <w:noProof/>
        </w:rPr>
        <w:t>u ustalenia, czy doszło do naruszenia, uprawnienie do wszczęcia badania lub postępowania, uprawnienie do żądania od przedsiębiorców przyjęcia środków zaradczych oraz podjęcia działań</w:t>
      </w:r>
      <w:r w:rsidR="003F3D2B" w:rsidRPr="00624565">
        <w:rPr>
          <w:noProof/>
        </w:rPr>
        <w:t xml:space="preserve"> w</w:t>
      </w:r>
      <w:r w:rsidR="003F3D2B">
        <w:rPr>
          <w:noProof/>
        </w:rPr>
        <w:t> </w:t>
      </w:r>
      <w:r w:rsidR="003F3D2B" w:rsidRPr="00624565">
        <w:rPr>
          <w:noProof/>
        </w:rPr>
        <w:t>cel</w:t>
      </w:r>
      <w:r w:rsidRPr="00624565">
        <w:rPr>
          <w:noProof/>
        </w:rPr>
        <w:t>u zaprzestania naruszenia, uprawnienie do przyjęcia,</w:t>
      </w:r>
      <w:r w:rsidR="003F3D2B" w:rsidRPr="00624565">
        <w:rPr>
          <w:noProof/>
        </w:rPr>
        <w:t xml:space="preserve"> w</w:t>
      </w:r>
      <w:r w:rsidR="003F3D2B">
        <w:rPr>
          <w:noProof/>
        </w:rPr>
        <w:t> </w:t>
      </w:r>
      <w:r w:rsidR="003F3D2B" w:rsidRPr="00624565">
        <w:rPr>
          <w:noProof/>
        </w:rPr>
        <w:t>sto</w:t>
      </w:r>
      <w:r w:rsidRPr="00624565">
        <w:rPr>
          <w:noProof/>
        </w:rPr>
        <w:t xml:space="preserve">sownych przypadkach, nakazu sądowego oraz uprawnienie do nałożenia kar. </w:t>
      </w:r>
    </w:p>
    <w:p w14:paraId="08D6B634" w14:textId="66FB6C6C" w:rsidR="00BC1E44" w:rsidRPr="00624565" w:rsidRDefault="00BC1E44" w:rsidP="00BC1E44">
      <w:pPr>
        <w:tabs>
          <w:tab w:val="num" w:pos="567"/>
        </w:tabs>
        <w:rPr>
          <w:noProof/>
        </w:rPr>
      </w:pPr>
      <w:r w:rsidRPr="00624565">
        <w:rPr>
          <w:noProof/>
        </w:rPr>
        <w:t>Art. 15 stanowi, że na właściwe organy nałożono również obowiązek monitorowania zgodności wniosku na rynku wewnętrznym. Oczekuje się, że będą one regularnie kontrolować oświadczenia</w:t>
      </w:r>
      <w:r w:rsidR="003F3D2B" w:rsidRPr="00624565">
        <w:rPr>
          <w:noProof/>
        </w:rPr>
        <w:t xml:space="preserve"> i</w:t>
      </w:r>
      <w:r w:rsidR="003F3D2B">
        <w:rPr>
          <w:noProof/>
        </w:rPr>
        <w:t> </w:t>
      </w:r>
      <w:r w:rsidR="003F3D2B" w:rsidRPr="00624565">
        <w:rPr>
          <w:noProof/>
        </w:rPr>
        <w:t>sys</w:t>
      </w:r>
      <w:r w:rsidRPr="00624565">
        <w:rPr>
          <w:noProof/>
        </w:rPr>
        <w:t>temy oznakowania (na podstawie publicznie dostępnych sprawozdań) oraz oceniać oświadczenia</w:t>
      </w:r>
      <w:r w:rsidR="003F3D2B" w:rsidRPr="00624565">
        <w:rPr>
          <w:noProof/>
        </w:rPr>
        <w:t xml:space="preserve"> i</w:t>
      </w:r>
      <w:r w:rsidR="003F3D2B">
        <w:rPr>
          <w:noProof/>
        </w:rPr>
        <w:t> </w:t>
      </w:r>
      <w:r w:rsidR="003F3D2B" w:rsidRPr="00624565">
        <w:rPr>
          <w:noProof/>
        </w:rPr>
        <w:t>sys</w:t>
      </w:r>
      <w:r w:rsidRPr="00624565">
        <w:rPr>
          <w:noProof/>
        </w:rPr>
        <w:t>temy oznakowania, które stwarzają ryzyko naruszenia</w:t>
      </w:r>
      <w:r w:rsidR="003F3D2B" w:rsidRPr="00624565">
        <w:rPr>
          <w:noProof/>
        </w:rPr>
        <w:t>. W</w:t>
      </w:r>
      <w:r w:rsidR="003F3D2B">
        <w:rPr>
          <w:noProof/>
        </w:rPr>
        <w:t> </w:t>
      </w:r>
      <w:r w:rsidR="003F3D2B" w:rsidRPr="003F3D2B">
        <w:rPr>
          <w:noProof/>
        </w:rPr>
        <w:t>art</w:t>
      </w:r>
      <w:r w:rsidRPr="003F3D2B">
        <w:rPr>
          <w:noProof/>
        </w:rPr>
        <w:t>.</w:t>
      </w:r>
      <w:r w:rsidR="003F3D2B" w:rsidRPr="003F3D2B">
        <w:rPr>
          <w:noProof/>
        </w:rPr>
        <w:t> </w:t>
      </w:r>
      <w:r w:rsidRPr="003F3D2B">
        <w:rPr>
          <w:noProof/>
        </w:rPr>
        <w:t>1</w:t>
      </w:r>
      <w:r w:rsidRPr="00624565">
        <w:rPr>
          <w:noProof/>
        </w:rPr>
        <w:t xml:space="preserve">6 określono szczegółowo mechanizmy rozpatrywania skarg oraz wymogi dostępu do wymiaru sprawiedliwości. </w:t>
      </w:r>
    </w:p>
    <w:p w14:paraId="3018A1C3" w14:textId="63F80CA6" w:rsidR="00BC1E44" w:rsidRPr="00624565" w:rsidRDefault="00BC1E44" w:rsidP="00BC1E44">
      <w:pPr>
        <w:tabs>
          <w:tab w:val="num" w:pos="567"/>
        </w:tabs>
        <w:rPr>
          <w:noProof/>
        </w:rPr>
      </w:pPr>
      <w:r w:rsidRPr="00624565">
        <w:rPr>
          <w:noProof/>
        </w:rPr>
        <w:t>Jeżeli chodzi</w:t>
      </w:r>
      <w:r w:rsidR="003F3D2B" w:rsidRPr="00624565">
        <w:rPr>
          <w:noProof/>
        </w:rPr>
        <w:t xml:space="preserve"> o</w:t>
      </w:r>
      <w:r w:rsidR="003F3D2B">
        <w:rPr>
          <w:noProof/>
        </w:rPr>
        <w:t> </w:t>
      </w:r>
      <w:r w:rsidR="003F3D2B" w:rsidRPr="00624565">
        <w:rPr>
          <w:noProof/>
        </w:rPr>
        <w:t>zar</w:t>
      </w:r>
      <w:r w:rsidRPr="00624565">
        <w:rPr>
          <w:noProof/>
        </w:rPr>
        <w:t>adzanie naruszeniom,</w:t>
      </w:r>
      <w:r w:rsidR="003F3D2B" w:rsidRPr="00624565">
        <w:rPr>
          <w:noProof/>
        </w:rPr>
        <w:t xml:space="preserve"> w</w:t>
      </w:r>
      <w:r w:rsidR="003F3D2B">
        <w:rPr>
          <w:noProof/>
        </w:rPr>
        <w:t> </w:t>
      </w:r>
      <w:r w:rsidR="003F3D2B" w:rsidRPr="003F3D2B">
        <w:rPr>
          <w:noProof/>
        </w:rPr>
        <w:t>art</w:t>
      </w:r>
      <w:r w:rsidRPr="003F3D2B">
        <w:rPr>
          <w:noProof/>
        </w:rPr>
        <w:t>.</w:t>
      </w:r>
      <w:r w:rsidR="003F3D2B" w:rsidRPr="003F3D2B">
        <w:rPr>
          <w:noProof/>
        </w:rPr>
        <w:t> </w:t>
      </w:r>
      <w:r w:rsidRPr="003F3D2B">
        <w:rPr>
          <w:noProof/>
        </w:rPr>
        <w:t>1</w:t>
      </w:r>
      <w:r w:rsidRPr="00624565">
        <w:rPr>
          <w:noProof/>
        </w:rPr>
        <w:t>7 zdefiniowano szereg obowiązków, które państwa członkowskie muszą wypełnić podczas definiowania swojego systemu kar. Kara musi być uzależniona od istoty, wagi, zakresu</w:t>
      </w:r>
      <w:r w:rsidR="003F3D2B" w:rsidRPr="00624565">
        <w:rPr>
          <w:noProof/>
        </w:rPr>
        <w:t xml:space="preserve"> i</w:t>
      </w:r>
      <w:r w:rsidR="003F3D2B">
        <w:rPr>
          <w:noProof/>
        </w:rPr>
        <w:t> </w:t>
      </w:r>
      <w:r w:rsidR="003F3D2B" w:rsidRPr="00624565">
        <w:rPr>
          <w:noProof/>
        </w:rPr>
        <w:t>cza</w:t>
      </w:r>
      <w:r w:rsidRPr="00624565">
        <w:rPr>
          <w:noProof/>
        </w:rPr>
        <w:t>su trwania naruszenia, jego charakteru (tj. umyślnego lub nieumyślnego), kondycji finansowej strony za nie odpowiedzialnej, korzyści ekonomicznych płynących</w:t>
      </w:r>
      <w:r w:rsidR="003F3D2B" w:rsidRPr="00624565">
        <w:rPr>
          <w:noProof/>
        </w:rPr>
        <w:t xml:space="preserve"> z</w:t>
      </w:r>
      <w:r w:rsidR="003F3D2B">
        <w:rPr>
          <w:noProof/>
        </w:rPr>
        <w:t> </w:t>
      </w:r>
      <w:r w:rsidR="003F3D2B" w:rsidRPr="00624565">
        <w:rPr>
          <w:noProof/>
        </w:rPr>
        <w:t>nar</w:t>
      </w:r>
      <w:r w:rsidRPr="00624565">
        <w:rPr>
          <w:noProof/>
        </w:rPr>
        <w:t>uszenia oraz od wszelkich wcześniejszych naruszeń lub innych czynników obciążających. Należy również uwzględnić kary, które zostały już nałożone</w:t>
      </w:r>
      <w:r w:rsidR="003F3D2B" w:rsidRPr="00624565">
        <w:rPr>
          <w:noProof/>
        </w:rPr>
        <w:t xml:space="preserve"> w</w:t>
      </w:r>
      <w:r w:rsidR="003F3D2B">
        <w:rPr>
          <w:noProof/>
        </w:rPr>
        <w:t> </w:t>
      </w:r>
      <w:r w:rsidR="003F3D2B" w:rsidRPr="00624565">
        <w:rPr>
          <w:noProof/>
        </w:rPr>
        <w:t>inn</w:t>
      </w:r>
      <w:r w:rsidRPr="00624565">
        <w:rPr>
          <w:noProof/>
        </w:rPr>
        <w:t>ych państwach członkowskich za takie same naruszenie.</w:t>
      </w:r>
    </w:p>
    <w:p w14:paraId="3C028A82" w14:textId="6B280C3E" w:rsidR="00BC1E44" w:rsidRPr="00624565" w:rsidRDefault="00BC1E44" w:rsidP="00BC1E44">
      <w:pPr>
        <w:tabs>
          <w:tab w:val="num" w:pos="567"/>
        </w:tabs>
        <w:rPr>
          <w:noProof/>
        </w:rPr>
      </w:pPr>
      <w:r w:rsidRPr="00624565">
        <w:rPr>
          <w:noProof/>
        </w:rPr>
        <w:t xml:space="preserve">W </w:t>
      </w:r>
      <w:r w:rsidRPr="003F3D2B">
        <w:rPr>
          <w:noProof/>
        </w:rPr>
        <w:t>art.</w:t>
      </w:r>
      <w:r w:rsidR="003F3D2B" w:rsidRPr="003F3D2B">
        <w:rPr>
          <w:noProof/>
        </w:rPr>
        <w:t> </w:t>
      </w:r>
      <w:r w:rsidRPr="003F3D2B">
        <w:rPr>
          <w:noProof/>
        </w:rPr>
        <w:t>1</w:t>
      </w:r>
      <w:r w:rsidRPr="00624565">
        <w:rPr>
          <w:noProof/>
        </w:rPr>
        <w:t>8 przedstawiono wykonywanie przekazanych uprawnień</w:t>
      </w:r>
      <w:r w:rsidR="003F3D2B" w:rsidRPr="00624565">
        <w:rPr>
          <w:noProof/>
        </w:rPr>
        <w:t>. W</w:t>
      </w:r>
      <w:r w:rsidR="003F3D2B">
        <w:rPr>
          <w:noProof/>
        </w:rPr>
        <w:t> </w:t>
      </w:r>
      <w:r w:rsidR="003F3D2B" w:rsidRPr="003F3D2B">
        <w:rPr>
          <w:noProof/>
        </w:rPr>
        <w:t>art</w:t>
      </w:r>
      <w:r w:rsidRPr="003F3D2B">
        <w:rPr>
          <w:noProof/>
        </w:rPr>
        <w:t>.</w:t>
      </w:r>
      <w:r w:rsidR="003F3D2B" w:rsidRPr="003F3D2B">
        <w:rPr>
          <w:noProof/>
        </w:rPr>
        <w:t> </w:t>
      </w:r>
      <w:r w:rsidRPr="003F3D2B">
        <w:rPr>
          <w:noProof/>
        </w:rPr>
        <w:t>1</w:t>
      </w:r>
      <w:r w:rsidRPr="00624565">
        <w:rPr>
          <w:noProof/>
        </w:rPr>
        <w:t xml:space="preserve">9 określono procedurę komitetową. </w:t>
      </w:r>
    </w:p>
    <w:p w14:paraId="488880CE" w14:textId="77E2172C" w:rsidR="006333CA" w:rsidRPr="00624565" w:rsidRDefault="00BC1E44" w:rsidP="00BC1E44">
      <w:pPr>
        <w:pBdr>
          <w:top w:val="nil"/>
          <w:left w:val="nil"/>
          <w:bottom w:val="nil"/>
          <w:right w:val="nil"/>
          <w:between w:val="nil"/>
          <w:bar w:val="nil"/>
        </w:pBdr>
        <w:spacing w:before="0" w:after="240"/>
        <w:rPr>
          <w:noProof/>
        </w:rPr>
        <w:sectPr w:rsidR="006333CA" w:rsidRPr="00624565" w:rsidSect="006A11C7">
          <w:footerReference w:type="default" r:id="rId13"/>
          <w:footerReference w:type="first" r:id="rId14"/>
          <w:pgSz w:w="11907" w:h="16839"/>
          <w:pgMar w:top="1134" w:right="1417" w:bottom="1134" w:left="1417" w:header="709" w:footer="709" w:gutter="0"/>
          <w:cols w:space="708"/>
          <w:docGrid w:linePitch="360"/>
        </w:sectPr>
      </w:pPr>
      <w:r w:rsidRPr="00624565">
        <w:rPr>
          <w:noProof/>
        </w:rPr>
        <w:t xml:space="preserve">W </w:t>
      </w:r>
      <w:r w:rsidRPr="003F3D2B">
        <w:rPr>
          <w:noProof/>
        </w:rPr>
        <w:t>art.</w:t>
      </w:r>
      <w:r w:rsidR="003F3D2B" w:rsidRPr="003F3D2B">
        <w:rPr>
          <w:noProof/>
        </w:rPr>
        <w:t> </w:t>
      </w:r>
      <w:r w:rsidRPr="003F3D2B">
        <w:rPr>
          <w:noProof/>
        </w:rPr>
        <w:t>2</w:t>
      </w:r>
      <w:r w:rsidRPr="00624565">
        <w:rPr>
          <w:noProof/>
        </w:rPr>
        <w:t>0 określono wymogi dotyczące monitorowania, które opierają się na przeglądzie błędnych oświadczeń środowiskowych</w:t>
      </w:r>
      <w:r w:rsidR="003F3D2B" w:rsidRPr="00624565">
        <w:rPr>
          <w:noProof/>
        </w:rPr>
        <w:t xml:space="preserve"> i</w:t>
      </w:r>
      <w:r w:rsidR="003F3D2B">
        <w:rPr>
          <w:noProof/>
        </w:rPr>
        <w:t> </w:t>
      </w:r>
      <w:r w:rsidR="003F3D2B" w:rsidRPr="00624565">
        <w:rPr>
          <w:noProof/>
        </w:rPr>
        <w:t>ozn</w:t>
      </w:r>
      <w:r w:rsidRPr="00624565">
        <w:rPr>
          <w:noProof/>
        </w:rPr>
        <w:t>akowań ekologicznych dostarczonych przez państwa członkowskie. Europejska Agencja Środowiska co dwa lata publikuje sprawozdanie</w:t>
      </w:r>
      <w:r w:rsidR="003F3D2B" w:rsidRPr="00624565">
        <w:rPr>
          <w:noProof/>
        </w:rPr>
        <w:t xml:space="preserve"> w</w:t>
      </w:r>
      <w:r w:rsidR="003F3D2B">
        <w:rPr>
          <w:noProof/>
        </w:rPr>
        <w:t> </w:t>
      </w:r>
      <w:r w:rsidR="003F3D2B" w:rsidRPr="00624565">
        <w:rPr>
          <w:noProof/>
        </w:rPr>
        <w:t>spr</w:t>
      </w:r>
      <w:r w:rsidRPr="00624565">
        <w:rPr>
          <w:noProof/>
        </w:rPr>
        <w:t>awie oceny zmian</w:t>
      </w:r>
      <w:r w:rsidR="003F3D2B" w:rsidRPr="00624565">
        <w:rPr>
          <w:noProof/>
        </w:rPr>
        <w:t xml:space="preserve"> w</w:t>
      </w:r>
      <w:r w:rsidR="003F3D2B">
        <w:rPr>
          <w:noProof/>
        </w:rPr>
        <w:t> </w:t>
      </w:r>
      <w:r w:rsidR="003F3D2B" w:rsidRPr="00624565">
        <w:rPr>
          <w:noProof/>
        </w:rPr>
        <w:t>zak</w:t>
      </w:r>
      <w:r w:rsidRPr="00624565">
        <w:rPr>
          <w:noProof/>
        </w:rPr>
        <w:t>resie oświadczeń środowiskowych</w:t>
      </w:r>
      <w:r w:rsidR="003F3D2B" w:rsidRPr="00624565">
        <w:rPr>
          <w:noProof/>
        </w:rPr>
        <w:t xml:space="preserve"> w</w:t>
      </w:r>
      <w:r w:rsidR="003F3D2B">
        <w:rPr>
          <w:noProof/>
        </w:rPr>
        <w:t> </w:t>
      </w:r>
      <w:r w:rsidR="003F3D2B" w:rsidRPr="00624565">
        <w:rPr>
          <w:noProof/>
        </w:rPr>
        <w:t>pos</w:t>
      </w:r>
      <w:r w:rsidRPr="00624565">
        <w:rPr>
          <w:noProof/>
        </w:rPr>
        <w:t>zczególnych państwach członkowskich oraz</w:t>
      </w:r>
      <w:r w:rsidR="003F3D2B" w:rsidRPr="00624565">
        <w:rPr>
          <w:noProof/>
        </w:rPr>
        <w:t xml:space="preserve"> w</w:t>
      </w:r>
      <w:r w:rsidR="003F3D2B">
        <w:rPr>
          <w:noProof/>
        </w:rPr>
        <w:t> </w:t>
      </w:r>
      <w:r w:rsidR="003F3D2B" w:rsidRPr="00624565">
        <w:rPr>
          <w:noProof/>
        </w:rPr>
        <w:t>cał</w:t>
      </w:r>
      <w:r w:rsidRPr="00624565">
        <w:rPr>
          <w:noProof/>
        </w:rPr>
        <w:t>ej Unii</w:t>
      </w:r>
      <w:r w:rsidR="003F3D2B" w:rsidRPr="00624565">
        <w:rPr>
          <w:noProof/>
        </w:rPr>
        <w:t>. W</w:t>
      </w:r>
      <w:r w:rsidR="003F3D2B">
        <w:rPr>
          <w:noProof/>
        </w:rPr>
        <w:t> </w:t>
      </w:r>
      <w:r w:rsidR="003F3D2B" w:rsidRPr="00624565">
        <w:rPr>
          <w:noProof/>
        </w:rPr>
        <w:t>prz</w:t>
      </w:r>
      <w:r w:rsidRPr="00624565">
        <w:rPr>
          <w:noProof/>
        </w:rPr>
        <w:t>edmiotowych przepisach przewidziano również ocenę niniejszej dyrektywy.</w:t>
      </w:r>
    </w:p>
    <w:p w14:paraId="22B9FA8C" w14:textId="00008D92" w:rsidR="00E92A30" w:rsidRPr="00624565" w:rsidRDefault="008D61D3" w:rsidP="008D61D3">
      <w:pPr>
        <w:pStyle w:val="Rfrenceinterinstitutionnelle"/>
        <w:rPr>
          <w:noProof/>
        </w:rPr>
      </w:pPr>
      <w:r w:rsidRPr="008D61D3">
        <w:t>2023/0085 (COD)</w:t>
      </w:r>
    </w:p>
    <w:p w14:paraId="37C24809" w14:textId="6E13C733" w:rsidR="009769E5" w:rsidRPr="00624565" w:rsidRDefault="003F3D2B" w:rsidP="003F3D2B">
      <w:pPr>
        <w:pStyle w:val="Statut"/>
        <w:rPr>
          <w:noProof/>
        </w:rPr>
      </w:pPr>
      <w:r w:rsidRPr="003F3D2B">
        <w:rPr>
          <w:noProof/>
        </w:rPr>
        <w:t>Wniosek</w:t>
      </w:r>
    </w:p>
    <w:p w14:paraId="33525C02" w14:textId="02DA2607" w:rsidR="009769E5" w:rsidRPr="00624565" w:rsidRDefault="003F3D2B" w:rsidP="003F3D2B">
      <w:pPr>
        <w:pStyle w:val="Typedudocument"/>
        <w:rPr>
          <w:noProof/>
        </w:rPr>
      </w:pPr>
      <w:r w:rsidRPr="003F3D2B">
        <w:rPr>
          <w:noProof/>
        </w:rPr>
        <w:t>DYREKTYWA PARLAMENTU EUROPEJSKIEGO I RADY</w:t>
      </w:r>
    </w:p>
    <w:p w14:paraId="79A0914A" w14:textId="209FB373" w:rsidR="009769E5" w:rsidRPr="00624565" w:rsidRDefault="003F3D2B" w:rsidP="003F3D2B">
      <w:pPr>
        <w:pStyle w:val="Titreobjet"/>
        <w:rPr>
          <w:noProof/>
        </w:rPr>
      </w:pPr>
      <w:r w:rsidRPr="003F3D2B">
        <w:rPr>
          <w:noProof/>
        </w:rPr>
        <w:t>w sprawie uzasadniania wyraźnych oświadczeń środowiskowych i informowania o nich (dyrektywa w sprawie oświadczeń środowiskowych)</w:t>
      </w:r>
    </w:p>
    <w:p w14:paraId="1FF2B88C" w14:textId="77777777" w:rsidR="009769E5" w:rsidRPr="00624565" w:rsidRDefault="009769E5" w:rsidP="009769E5">
      <w:pPr>
        <w:pStyle w:val="Institutionquiagit"/>
        <w:rPr>
          <w:noProof/>
        </w:rPr>
      </w:pPr>
      <w:r w:rsidRPr="00624565">
        <w:rPr>
          <w:noProof/>
        </w:rPr>
        <w:t>PARLAMENT EUROPEJSKI I RADA UNII EUROPEJSKIEJ,</w:t>
      </w:r>
    </w:p>
    <w:p w14:paraId="3D9EA5A8" w14:textId="12074CD4" w:rsidR="009769E5" w:rsidRPr="00624565" w:rsidRDefault="009769E5" w:rsidP="009769E5">
      <w:pPr>
        <w:rPr>
          <w:noProof/>
        </w:rPr>
      </w:pPr>
      <w:r w:rsidRPr="00624565">
        <w:rPr>
          <w:noProof/>
        </w:rPr>
        <w:t>uwzględniając Traktat</w:t>
      </w:r>
      <w:r w:rsidR="003F3D2B" w:rsidRPr="00624565">
        <w:rPr>
          <w:noProof/>
        </w:rPr>
        <w:t xml:space="preserve"> o</w:t>
      </w:r>
      <w:r w:rsidR="003F3D2B">
        <w:rPr>
          <w:noProof/>
        </w:rPr>
        <w:t> </w:t>
      </w:r>
      <w:r w:rsidR="003F3D2B" w:rsidRPr="00624565">
        <w:rPr>
          <w:noProof/>
        </w:rPr>
        <w:t>fun</w:t>
      </w:r>
      <w:r w:rsidRPr="00624565">
        <w:rPr>
          <w:noProof/>
        </w:rPr>
        <w:t>kcjonowaniu Unii Europejskiej,</w:t>
      </w:r>
      <w:r w:rsidR="003F3D2B" w:rsidRPr="00624565">
        <w:rPr>
          <w:noProof/>
        </w:rPr>
        <w:t xml:space="preserve"> w</w:t>
      </w:r>
      <w:r w:rsidR="003F3D2B">
        <w:rPr>
          <w:noProof/>
        </w:rPr>
        <w:t> </w:t>
      </w:r>
      <w:r w:rsidR="003F3D2B" w:rsidRPr="00624565">
        <w:rPr>
          <w:noProof/>
        </w:rPr>
        <w:t>szc</w:t>
      </w:r>
      <w:r w:rsidRPr="00624565">
        <w:rPr>
          <w:noProof/>
        </w:rPr>
        <w:t xml:space="preserve">zególności jego </w:t>
      </w:r>
      <w:r w:rsidRPr="003F3D2B">
        <w:rPr>
          <w:noProof/>
        </w:rPr>
        <w:t>art.</w:t>
      </w:r>
      <w:r w:rsidR="003F3D2B" w:rsidRPr="003F3D2B">
        <w:rPr>
          <w:noProof/>
        </w:rPr>
        <w:t> </w:t>
      </w:r>
      <w:r w:rsidRPr="003F3D2B">
        <w:rPr>
          <w:noProof/>
        </w:rPr>
        <w:t>1</w:t>
      </w:r>
      <w:r w:rsidRPr="00624565">
        <w:rPr>
          <w:noProof/>
        </w:rPr>
        <w:t>14,</w:t>
      </w:r>
    </w:p>
    <w:p w14:paraId="0A45ECDC" w14:textId="77777777" w:rsidR="009769E5" w:rsidRPr="00624565" w:rsidRDefault="009769E5" w:rsidP="009769E5">
      <w:pPr>
        <w:rPr>
          <w:noProof/>
        </w:rPr>
      </w:pPr>
      <w:r w:rsidRPr="00624565">
        <w:rPr>
          <w:noProof/>
        </w:rPr>
        <w:t>uwzględniając wniosek Komisji Europejskiej,</w:t>
      </w:r>
    </w:p>
    <w:p w14:paraId="379C6AB2" w14:textId="77777777" w:rsidR="009769E5" w:rsidRPr="00624565" w:rsidRDefault="009769E5" w:rsidP="009769E5">
      <w:pPr>
        <w:rPr>
          <w:noProof/>
        </w:rPr>
      </w:pPr>
      <w:r w:rsidRPr="00624565">
        <w:rPr>
          <w:noProof/>
        </w:rPr>
        <w:t>po przekazaniu projektu aktu ustawodawczego parlamentom narodowym,</w:t>
      </w:r>
    </w:p>
    <w:p w14:paraId="06B6000A" w14:textId="77777777" w:rsidR="000464F8" w:rsidRPr="00624565" w:rsidRDefault="000464F8" w:rsidP="000464F8">
      <w:pPr>
        <w:rPr>
          <w:noProof/>
        </w:rPr>
      </w:pPr>
      <w:r w:rsidRPr="00624565">
        <w:rPr>
          <w:noProof/>
        </w:rPr>
        <w:t xml:space="preserve">uwzględniając opinię Europejskiego Komitetu Ekonomiczno-Społecznego, </w:t>
      </w:r>
    </w:p>
    <w:p w14:paraId="0F2C3D27" w14:textId="77777777" w:rsidR="000464F8" w:rsidRPr="00624565" w:rsidRDefault="000464F8" w:rsidP="000464F8">
      <w:pPr>
        <w:rPr>
          <w:noProof/>
        </w:rPr>
      </w:pPr>
      <w:r w:rsidRPr="00624565">
        <w:rPr>
          <w:noProof/>
        </w:rPr>
        <w:t>uwzględniając opinię Komitetu Regionów</w:t>
      </w:r>
      <w:r w:rsidRPr="00624565">
        <w:rPr>
          <w:rStyle w:val="FootnoteReference"/>
          <w:noProof/>
        </w:rPr>
        <w:footnoteReference w:id="68"/>
      </w:r>
      <w:r w:rsidRPr="00624565">
        <w:rPr>
          <w:noProof/>
        </w:rPr>
        <w:t xml:space="preserve">, </w:t>
      </w:r>
    </w:p>
    <w:p w14:paraId="2F32B984" w14:textId="77777777" w:rsidR="000464F8" w:rsidRPr="00624565" w:rsidRDefault="000464F8" w:rsidP="000464F8">
      <w:pPr>
        <w:rPr>
          <w:noProof/>
        </w:rPr>
      </w:pPr>
      <w:r w:rsidRPr="00624565">
        <w:rPr>
          <w:noProof/>
        </w:rPr>
        <w:t>stanowiąc zgodnie ze zwykłą procedurą ustawodawczą,</w:t>
      </w:r>
    </w:p>
    <w:p w14:paraId="4803C735" w14:textId="77777777" w:rsidR="009769E5" w:rsidRPr="00624565" w:rsidRDefault="009769E5" w:rsidP="009769E5">
      <w:pPr>
        <w:rPr>
          <w:noProof/>
        </w:rPr>
      </w:pPr>
      <w:r w:rsidRPr="00624565">
        <w:rPr>
          <w:noProof/>
        </w:rPr>
        <w:t>a także mając na uwadze, co następuje:</w:t>
      </w:r>
    </w:p>
    <w:p w14:paraId="53FE1651" w14:textId="5DC2B291" w:rsidR="000464F8" w:rsidRPr="00624565" w:rsidRDefault="004D161E" w:rsidP="004D161E">
      <w:pPr>
        <w:pStyle w:val="ManualConsidrant"/>
        <w:rPr>
          <w:noProof/>
        </w:rPr>
      </w:pPr>
      <w:r w:rsidRPr="00624565">
        <w:rPr>
          <w:noProof/>
        </w:rPr>
        <w:t>(1)</w:t>
      </w:r>
      <w:r w:rsidRPr="00624565">
        <w:rPr>
          <w:noProof/>
        </w:rPr>
        <w:tab/>
        <w:t>Ekologiczność</w:t>
      </w:r>
      <w:r w:rsidR="003F3D2B" w:rsidRPr="00624565">
        <w:rPr>
          <w:noProof/>
        </w:rPr>
        <w:t xml:space="preserve"> i</w:t>
      </w:r>
      <w:r w:rsidR="003F3D2B">
        <w:rPr>
          <w:noProof/>
        </w:rPr>
        <w:t> </w:t>
      </w:r>
      <w:r w:rsidR="003F3D2B" w:rsidRPr="00624565">
        <w:rPr>
          <w:noProof/>
        </w:rPr>
        <w:t>zró</w:t>
      </w:r>
      <w:r w:rsidRPr="00624565">
        <w:rPr>
          <w:noProof/>
        </w:rPr>
        <w:t>wnoważoność stały się czynnikami decydującymi</w:t>
      </w:r>
      <w:r w:rsidR="003F3D2B" w:rsidRPr="00624565">
        <w:rPr>
          <w:noProof/>
        </w:rPr>
        <w:t xml:space="preserve"> o</w:t>
      </w:r>
      <w:r w:rsidR="003F3D2B">
        <w:rPr>
          <w:noProof/>
        </w:rPr>
        <w:t> </w:t>
      </w:r>
      <w:r w:rsidR="003F3D2B" w:rsidRPr="00624565">
        <w:rPr>
          <w:noProof/>
        </w:rPr>
        <w:t>kon</w:t>
      </w:r>
      <w:r w:rsidRPr="00624565">
        <w:rPr>
          <w:noProof/>
        </w:rPr>
        <w:t>kurencyjności, przy czym wzrost udziału ekologicznych produktów</w:t>
      </w:r>
      <w:r w:rsidR="003F3D2B" w:rsidRPr="00624565">
        <w:rPr>
          <w:noProof/>
        </w:rPr>
        <w:t xml:space="preserve"> w</w:t>
      </w:r>
      <w:r w:rsidR="003F3D2B">
        <w:rPr>
          <w:noProof/>
        </w:rPr>
        <w:t> </w:t>
      </w:r>
      <w:r w:rsidR="003F3D2B" w:rsidRPr="00624565">
        <w:rPr>
          <w:noProof/>
        </w:rPr>
        <w:t>ryn</w:t>
      </w:r>
      <w:r w:rsidRPr="00624565">
        <w:rPr>
          <w:noProof/>
        </w:rPr>
        <w:t>ku jest większy od wzrostu udziału standardowych produktów. Jeżeli towary</w:t>
      </w:r>
      <w:r w:rsidR="003F3D2B" w:rsidRPr="00624565">
        <w:rPr>
          <w:noProof/>
        </w:rPr>
        <w:t xml:space="preserve"> i</w:t>
      </w:r>
      <w:r w:rsidR="003F3D2B">
        <w:rPr>
          <w:noProof/>
        </w:rPr>
        <w:t> </w:t>
      </w:r>
      <w:r w:rsidR="003F3D2B" w:rsidRPr="00624565">
        <w:rPr>
          <w:noProof/>
        </w:rPr>
        <w:t>usł</w:t>
      </w:r>
      <w:r w:rsidRPr="00624565">
        <w:rPr>
          <w:noProof/>
        </w:rPr>
        <w:t>ugi oferowane</w:t>
      </w:r>
      <w:r w:rsidR="003F3D2B" w:rsidRPr="00624565">
        <w:rPr>
          <w:noProof/>
        </w:rPr>
        <w:t xml:space="preserve"> i</w:t>
      </w:r>
      <w:r w:rsidR="003F3D2B">
        <w:rPr>
          <w:noProof/>
        </w:rPr>
        <w:t> </w:t>
      </w:r>
      <w:r w:rsidR="003F3D2B" w:rsidRPr="00624565">
        <w:rPr>
          <w:noProof/>
        </w:rPr>
        <w:t>nab</w:t>
      </w:r>
      <w:r w:rsidRPr="00624565">
        <w:rPr>
          <w:noProof/>
        </w:rPr>
        <w:t>ywane na rynku wewnętrznym nie są tak przyjazne dla środowiska, jak zostało to przedstawione, może to wprowadzać konsumentów</w:t>
      </w:r>
      <w:r w:rsidR="003F3D2B" w:rsidRPr="00624565">
        <w:rPr>
          <w:noProof/>
        </w:rPr>
        <w:t xml:space="preserve"> w</w:t>
      </w:r>
      <w:r w:rsidR="003F3D2B">
        <w:rPr>
          <w:noProof/>
        </w:rPr>
        <w:t> </w:t>
      </w:r>
      <w:r w:rsidR="003F3D2B" w:rsidRPr="00624565">
        <w:rPr>
          <w:noProof/>
        </w:rPr>
        <w:t>błą</w:t>
      </w:r>
      <w:r w:rsidRPr="00624565">
        <w:rPr>
          <w:noProof/>
        </w:rPr>
        <w:t>d</w:t>
      </w:r>
      <w:r w:rsidR="003F3D2B" w:rsidRPr="00624565">
        <w:rPr>
          <w:noProof/>
        </w:rPr>
        <w:t xml:space="preserve"> i</w:t>
      </w:r>
      <w:r w:rsidR="003F3D2B">
        <w:rPr>
          <w:noProof/>
        </w:rPr>
        <w:t> </w:t>
      </w:r>
      <w:r w:rsidR="003F3D2B" w:rsidRPr="00624565">
        <w:rPr>
          <w:noProof/>
        </w:rPr>
        <w:t>utr</w:t>
      </w:r>
      <w:r w:rsidRPr="00624565">
        <w:rPr>
          <w:noProof/>
        </w:rPr>
        <w:t>udniać zieloną transformację oraz może uniemożliwić ograniczenie negatywnego wpływu na środowisko. Potencjał rynków ekologicznych nie jest</w:t>
      </w:r>
      <w:r w:rsidR="003F3D2B" w:rsidRPr="00624565">
        <w:rPr>
          <w:noProof/>
        </w:rPr>
        <w:t xml:space="preserve"> w</w:t>
      </w:r>
      <w:r w:rsidR="003F3D2B">
        <w:rPr>
          <w:noProof/>
        </w:rPr>
        <w:t> </w:t>
      </w:r>
      <w:r w:rsidR="003F3D2B" w:rsidRPr="00624565">
        <w:rPr>
          <w:noProof/>
        </w:rPr>
        <w:t>peł</w:t>
      </w:r>
      <w:r w:rsidRPr="00624565">
        <w:rPr>
          <w:noProof/>
        </w:rPr>
        <w:t>ni wykorzystywany. Różne wymagania nakładane</w:t>
      </w:r>
      <w:r w:rsidR="003F3D2B" w:rsidRPr="00624565">
        <w:rPr>
          <w:noProof/>
        </w:rPr>
        <w:t xml:space="preserve"> w</w:t>
      </w:r>
      <w:r w:rsidR="003F3D2B">
        <w:rPr>
          <w:noProof/>
        </w:rPr>
        <w:t> </w:t>
      </w:r>
      <w:r w:rsidR="003F3D2B" w:rsidRPr="00624565">
        <w:rPr>
          <w:noProof/>
        </w:rPr>
        <w:t>ram</w:t>
      </w:r>
      <w:r w:rsidRPr="00624565">
        <w:rPr>
          <w:noProof/>
        </w:rPr>
        <w:t>ach krajowego prawodawstwa lub prywatnych inicjatyw</w:t>
      </w:r>
      <w:r w:rsidR="003F3D2B" w:rsidRPr="00624565">
        <w:rPr>
          <w:noProof/>
        </w:rPr>
        <w:t xml:space="preserve"> w</w:t>
      </w:r>
      <w:r w:rsidR="003F3D2B">
        <w:rPr>
          <w:noProof/>
        </w:rPr>
        <w:t> </w:t>
      </w:r>
      <w:r w:rsidR="003F3D2B" w:rsidRPr="00624565">
        <w:rPr>
          <w:noProof/>
        </w:rPr>
        <w:t>zak</w:t>
      </w:r>
      <w:r w:rsidRPr="00624565">
        <w:rPr>
          <w:noProof/>
        </w:rPr>
        <w:t>resie regulowania oświadczeń środowiskowych zwiększają koszty przedsiębiorstw, które prowadzą handel transgraniczny, ponieważ muszą one zapewnić zgodność</w:t>
      </w:r>
      <w:r w:rsidR="003F3D2B" w:rsidRPr="00624565">
        <w:rPr>
          <w:noProof/>
        </w:rPr>
        <w:t xml:space="preserve"> z</w:t>
      </w:r>
      <w:r w:rsidR="003F3D2B">
        <w:rPr>
          <w:noProof/>
        </w:rPr>
        <w:t> </w:t>
      </w:r>
      <w:r w:rsidR="003F3D2B" w:rsidRPr="00624565">
        <w:rPr>
          <w:noProof/>
        </w:rPr>
        <w:t>róż</w:t>
      </w:r>
      <w:r w:rsidRPr="00624565">
        <w:rPr>
          <w:noProof/>
        </w:rPr>
        <w:t>nymi wymogami obowiązującymi</w:t>
      </w:r>
      <w:r w:rsidR="003F3D2B" w:rsidRPr="00624565">
        <w:rPr>
          <w:noProof/>
        </w:rPr>
        <w:t xml:space="preserve"> w</w:t>
      </w:r>
      <w:r w:rsidR="003F3D2B">
        <w:rPr>
          <w:noProof/>
        </w:rPr>
        <w:t> </w:t>
      </w:r>
      <w:r w:rsidR="003F3D2B" w:rsidRPr="00624565">
        <w:rPr>
          <w:noProof/>
        </w:rPr>
        <w:t>każ</w:t>
      </w:r>
      <w:r w:rsidRPr="00624565">
        <w:rPr>
          <w:noProof/>
        </w:rPr>
        <w:t>dym</w:t>
      </w:r>
      <w:r w:rsidR="003F3D2B" w:rsidRPr="00624565">
        <w:rPr>
          <w:noProof/>
        </w:rPr>
        <w:t xml:space="preserve"> z</w:t>
      </w:r>
      <w:r w:rsidR="003F3D2B">
        <w:rPr>
          <w:noProof/>
        </w:rPr>
        <w:t> </w:t>
      </w:r>
      <w:r w:rsidR="003F3D2B" w:rsidRPr="00624565">
        <w:rPr>
          <w:noProof/>
        </w:rPr>
        <w:t>pań</w:t>
      </w:r>
      <w:r w:rsidRPr="00624565">
        <w:rPr>
          <w:noProof/>
        </w:rPr>
        <w:t>stw członkowskich. Wpływa to na ich zdolność do prowadzenia działalności na rynku wewnętrznym oraz do korzystania</w:t>
      </w:r>
      <w:r w:rsidR="003F3D2B" w:rsidRPr="00624565">
        <w:rPr>
          <w:noProof/>
        </w:rPr>
        <w:t xml:space="preserve"> z</w:t>
      </w:r>
      <w:r w:rsidR="003F3D2B">
        <w:rPr>
          <w:noProof/>
        </w:rPr>
        <w:t> </w:t>
      </w:r>
      <w:r w:rsidR="003F3D2B" w:rsidRPr="00624565">
        <w:rPr>
          <w:noProof/>
        </w:rPr>
        <w:t>ryn</w:t>
      </w:r>
      <w:r w:rsidRPr="00624565">
        <w:rPr>
          <w:noProof/>
        </w:rPr>
        <w:t>ku wewnętrznego. Jednocześnie uczestnicy rynku mają trudności</w:t>
      </w:r>
      <w:r w:rsidR="003F3D2B" w:rsidRPr="00624565">
        <w:rPr>
          <w:noProof/>
        </w:rPr>
        <w:t xml:space="preserve"> z</w:t>
      </w:r>
      <w:r w:rsidR="003F3D2B">
        <w:rPr>
          <w:noProof/>
        </w:rPr>
        <w:t> </w:t>
      </w:r>
      <w:r w:rsidR="003F3D2B" w:rsidRPr="00624565">
        <w:rPr>
          <w:noProof/>
        </w:rPr>
        <w:t>ide</w:t>
      </w:r>
      <w:r w:rsidRPr="00624565">
        <w:rPr>
          <w:noProof/>
        </w:rPr>
        <w:t>ntyfikacją wiarygodnych oświadczeń środowiskowych oraz</w:t>
      </w:r>
      <w:r w:rsidR="003F3D2B" w:rsidRPr="00624565">
        <w:rPr>
          <w:noProof/>
        </w:rPr>
        <w:t xml:space="preserve"> z</w:t>
      </w:r>
      <w:r w:rsidR="003F3D2B">
        <w:rPr>
          <w:noProof/>
        </w:rPr>
        <w:t> </w:t>
      </w:r>
      <w:r w:rsidR="003F3D2B" w:rsidRPr="00624565">
        <w:rPr>
          <w:noProof/>
        </w:rPr>
        <w:t>pod</w:t>
      </w:r>
      <w:r w:rsidRPr="00624565">
        <w:rPr>
          <w:noProof/>
        </w:rPr>
        <w:t>ejmowaniem optymalnych decyzji</w:t>
      </w:r>
      <w:r w:rsidR="003F3D2B" w:rsidRPr="00624565">
        <w:rPr>
          <w:noProof/>
        </w:rPr>
        <w:t xml:space="preserve"> o</w:t>
      </w:r>
      <w:r w:rsidR="003F3D2B">
        <w:rPr>
          <w:noProof/>
        </w:rPr>
        <w:t> </w:t>
      </w:r>
      <w:r w:rsidR="003F3D2B" w:rsidRPr="00624565">
        <w:rPr>
          <w:noProof/>
        </w:rPr>
        <w:t>zak</w:t>
      </w:r>
      <w:r w:rsidRPr="00624565">
        <w:rPr>
          <w:noProof/>
        </w:rPr>
        <w:t>upie na rynku wewnętrznym. Biorąc pod uwagę mnożenie różnych oznakowań</w:t>
      </w:r>
      <w:r w:rsidR="003F3D2B" w:rsidRPr="00624565">
        <w:rPr>
          <w:noProof/>
        </w:rPr>
        <w:t xml:space="preserve"> i</w:t>
      </w:r>
      <w:r w:rsidR="003F3D2B">
        <w:rPr>
          <w:noProof/>
        </w:rPr>
        <w:t> </w:t>
      </w:r>
      <w:r w:rsidR="003F3D2B" w:rsidRPr="00624565">
        <w:rPr>
          <w:noProof/>
        </w:rPr>
        <w:t>met</w:t>
      </w:r>
      <w:r w:rsidRPr="00624565">
        <w:rPr>
          <w:noProof/>
        </w:rPr>
        <w:t>od obliczania na rynku, trudno jest ustalić konsumentom, przedsiębiorstwom, inwestorom</w:t>
      </w:r>
      <w:r w:rsidR="003F3D2B" w:rsidRPr="00624565">
        <w:rPr>
          <w:noProof/>
        </w:rPr>
        <w:t xml:space="preserve"> i</w:t>
      </w:r>
      <w:r w:rsidR="003F3D2B">
        <w:rPr>
          <w:noProof/>
        </w:rPr>
        <w:t> </w:t>
      </w:r>
      <w:r w:rsidR="003F3D2B" w:rsidRPr="00624565">
        <w:rPr>
          <w:noProof/>
        </w:rPr>
        <w:t>zai</w:t>
      </w:r>
      <w:r w:rsidRPr="00624565">
        <w:rPr>
          <w:noProof/>
        </w:rPr>
        <w:t>nteresowanym stronom, czy oświadczenia są godne zaufania.</w:t>
      </w:r>
    </w:p>
    <w:p w14:paraId="55AB0800" w14:textId="03FC95A6" w:rsidR="000464F8" w:rsidRPr="00624565" w:rsidRDefault="004D161E" w:rsidP="004D161E">
      <w:pPr>
        <w:pStyle w:val="ManualConsidrant"/>
        <w:rPr>
          <w:noProof/>
        </w:rPr>
      </w:pPr>
      <w:r w:rsidRPr="00624565">
        <w:rPr>
          <w:noProof/>
        </w:rPr>
        <w:t>(2)</w:t>
      </w:r>
      <w:r w:rsidRPr="00624565">
        <w:rPr>
          <w:noProof/>
        </w:rPr>
        <w:tab/>
        <w:t>Jeżeli oświadczenia środowiskowe nie są wiarygodne, porównywalne</w:t>
      </w:r>
      <w:r w:rsidR="003F3D2B" w:rsidRPr="00624565">
        <w:rPr>
          <w:noProof/>
        </w:rPr>
        <w:t xml:space="preserve"> i</w:t>
      </w:r>
      <w:r w:rsidR="003F3D2B">
        <w:rPr>
          <w:noProof/>
        </w:rPr>
        <w:t> </w:t>
      </w:r>
      <w:r w:rsidR="003F3D2B" w:rsidRPr="00624565">
        <w:rPr>
          <w:noProof/>
        </w:rPr>
        <w:t>wer</w:t>
      </w:r>
      <w:r w:rsidRPr="00624565">
        <w:rPr>
          <w:noProof/>
        </w:rPr>
        <w:t>yfikowalne, konsumenci</w:t>
      </w:r>
      <w:r w:rsidR="003F3D2B" w:rsidRPr="00624565">
        <w:rPr>
          <w:noProof/>
        </w:rPr>
        <w:t xml:space="preserve"> i</w:t>
      </w:r>
      <w:r w:rsidR="003F3D2B">
        <w:rPr>
          <w:noProof/>
        </w:rPr>
        <w:t> </w:t>
      </w:r>
      <w:r w:rsidR="003F3D2B" w:rsidRPr="00624565">
        <w:rPr>
          <w:noProof/>
        </w:rPr>
        <w:t>inn</w:t>
      </w:r>
      <w:r w:rsidRPr="00624565">
        <w:rPr>
          <w:noProof/>
        </w:rPr>
        <w:t>i uczestnicy rynku nie mogą</w:t>
      </w:r>
      <w:r w:rsidR="003F3D2B" w:rsidRPr="00624565">
        <w:rPr>
          <w:noProof/>
        </w:rPr>
        <w:t xml:space="preserve"> w</w:t>
      </w:r>
      <w:r w:rsidR="003F3D2B">
        <w:rPr>
          <w:noProof/>
        </w:rPr>
        <w:t> </w:t>
      </w:r>
      <w:r w:rsidR="003F3D2B" w:rsidRPr="00624565">
        <w:rPr>
          <w:noProof/>
        </w:rPr>
        <w:t>peł</w:t>
      </w:r>
      <w:r w:rsidRPr="00624565">
        <w:rPr>
          <w:noProof/>
        </w:rPr>
        <w:t>ni wykorzystać swoich decyzji</w:t>
      </w:r>
      <w:r w:rsidR="003F3D2B" w:rsidRPr="00624565">
        <w:rPr>
          <w:noProof/>
        </w:rPr>
        <w:t xml:space="preserve"> o</w:t>
      </w:r>
      <w:r w:rsidR="003F3D2B">
        <w:rPr>
          <w:noProof/>
        </w:rPr>
        <w:t> </w:t>
      </w:r>
      <w:r w:rsidR="003F3D2B" w:rsidRPr="00624565">
        <w:rPr>
          <w:noProof/>
        </w:rPr>
        <w:t>zak</w:t>
      </w:r>
      <w:r w:rsidRPr="00624565">
        <w:rPr>
          <w:noProof/>
        </w:rPr>
        <w:t>upie do celów zwiększenia efektywności środowiskowej. Brak wiarygodnych, porównywalnych</w:t>
      </w:r>
      <w:r w:rsidR="003F3D2B" w:rsidRPr="00624565">
        <w:rPr>
          <w:noProof/>
        </w:rPr>
        <w:t xml:space="preserve"> i</w:t>
      </w:r>
      <w:r w:rsidR="003F3D2B">
        <w:rPr>
          <w:noProof/>
        </w:rPr>
        <w:t> </w:t>
      </w:r>
      <w:r w:rsidR="003F3D2B" w:rsidRPr="00624565">
        <w:rPr>
          <w:noProof/>
        </w:rPr>
        <w:t>wer</w:t>
      </w:r>
      <w:r w:rsidRPr="00624565">
        <w:rPr>
          <w:noProof/>
        </w:rPr>
        <w:t>yfikowalnych informacji utrudnia również stosowanie zachęt do optymalizacji efektywności środowiskowej, co normalnie szło by</w:t>
      </w:r>
      <w:r w:rsidR="003F3D2B" w:rsidRPr="00624565">
        <w:rPr>
          <w:noProof/>
        </w:rPr>
        <w:t xml:space="preserve"> w</w:t>
      </w:r>
      <w:r w:rsidR="003F3D2B">
        <w:rPr>
          <w:noProof/>
        </w:rPr>
        <w:t> </w:t>
      </w:r>
      <w:r w:rsidR="003F3D2B" w:rsidRPr="00624565">
        <w:rPr>
          <w:noProof/>
        </w:rPr>
        <w:t>par</w:t>
      </w:r>
      <w:r w:rsidRPr="00624565">
        <w:rPr>
          <w:noProof/>
        </w:rPr>
        <w:t>ze ze zwiększeniem wydajności</w:t>
      </w:r>
      <w:r w:rsidR="003F3D2B" w:rsidRPr="00624565">
        <w:rPr>
          <w:noProof/>
        </w:rPr>
        <w:t xml:space="preserve"> i</w:t>
      </w:r>
      <w:r w:rsidR="003F3D2B">
        <w:rPr>
          <w:noProof/>
        </w:rPr>
        <w:t> </w:t>
      </w:r>
      <w:r w:rsidR="003F3D2B" w:rsidRPr="00624565">
        <w:rPr>
          <w:noProof/>
        </w:rPr>
        <w:t>osz</w:t>
      </w:r>
      <w:r w:rsidRPr="00624565">
        <w:rPr>
          <w:noProof/>
        </w:rPr>
        <w:t>czędności kosztów</w:t>
      </w:r>
      <w:r w:rsidR="003F3D2B" w:rsidRPr="00624565">
        <w:rPr>
          <w:noProof/>
        </w:rPr>
        <w:t xml:space="preserve"> w</w:t>
      </w:r>
      <w:r w:rsidR="003F3D2B">
        <w:rPr>
          <w:noProof/>
        </w:rPr>
        <w:t> </w:t>
      </w:r>
      <w:r w:rsidR="003F3D2B" w:rsidRPr="00624565">
        <w:rPr>
          <w:noProof/>
        </w:rPr>
        <w:t>odn</w:t>
      </w:r>
      <w:r w:rsidRPr="00624565">
        <w:rPr>
          <w:noProof/>
        </w:rPr>
        <w:t>iesieniu do przedsiębiorstw</w:t>
      </w:r>
      <w:r w:rsidR="003F3D2B" w:rsidRPr="00624565">
        <w:rPr>
          <w:noProof/>
        </w:rPr>
        <w:t xml:space="preserve"> w</w:t>
      </w:r>
      <w:r w:rsidR="003F3D2B">
        <w:rPr>
          <w:noProof/>
        </w:rPr>
        <w:t> </w:t>
      </w:r>
      <w:r w:rsidR="003F3D2B" w:rsidRPr="00624565">
        <w:rPr>
          <w:noProof/>
        </w:rPr>
        <w:t>cał</w:t>
      </w:r>
      <w:r w:rsidRPr="00624565">
        <w:rPr>
          <w:noProof/>
        </w:rPr>
        <w:t xml:space="preserve">ym łańcuchu dostaw. Konsekwencje te są pogłębiane przez brak wspólnego punktu odniesienia na rynku wewnętrznym oraz dezorientację. </w:t>
      </w:r>
    </w:p>
    <w:p w14:paraId="1D5EDB64" w14:textId="557A8E7C" w:rsidR="000464F8" w:rsidRPr="00624565" w:rsidRDefault="004D161E" w:rsidP="004D161E">
      <w:pPr>
        <w:pStyle w:val="ManualConsidrant"/>
        <w:rPr>
          <w:noProof/>
        </w:rPr>
      </w:pPr>
      <w:r w:rsidRPr="00624565">
        <w:rPr>
          <w:noProof/>
        </w:rPr>
        <w:t>(3)</w:t>
      </w:r>
      <w:r w:rsidRPr="00624565">
        <w:rPr>
          <w:noProof/>
        </w:rPr>
        <w:tab/>
        <w:t>Brak wiarygodności, porównywalności</w:t>
      </w:r>
      <w:r w:rsidR="003F3D2B" w:rsidRPr="00624565">
        <w:rPr>
          <w:noProof/>
        </w:rPr>
        <w:t xml:space="preserve"> i</w:t>
      </w:r>
      <w:r w:rsidR="003F3D2B">
        <w:rPr>
          <w:noProof/>
        </w:rPr>
        <w:t> </w:t>
      </w:r>
      <w:r w:rsidR="003F3D2B" w:rsidRPr="00624565">
        <w:rPr>
          <w:noProof/>
        </w:rPr>
        <w:t>wer</w:t>
      </w:r>
      <w:r w:rsidRPr="00624565">
        <w:rPr>
          <w:noProof/>
        </w:rPr>
        <w:t>yfikowalności obniża zaufanie użytkowników (konsumentów, przedsiębiorstw, inwestorów, administracji publicznych, organizacji pozarządowych) zawartych</w:t>
      </w:r>
      <w:r w:rsidR="003F3D2B" w:rsidRPr="00624565">
        <w:rPr>
          <w:noProof/>
        </w:rPr>
        <w:t xml:space="preserve"> w</w:t>
      </w:r>
      <w:r w:rsidR="003F3D2B">
        <w:rPr>
          <w:noProof/>
        </w:rPr>
        <w:t> </w:t>
      </w:r>
      <w:r w:rsidR="003F3D2B" w:rsidRPr="00624565">
        <w:rPr>
          <w:noProof/>
        </w:rPr>
        <w:t>ośw</w:t>
      </w:r>
      <w:r w:rsidRPr="00624565">
        <w:rPr>
          <w:noProof/>
        </w:rPr>
        <w:t>iadczeniach środowiskowych informacji</w:t>
      </w:r>
      <w:r w:rsidR="003F3D2B" w:rsidRPr="00624565">
        <w:rPr>
          <w:noProof/>
        </w:rPr>
        <w:t xml:space="preserve"> o</w:t>
      </w:r>
      <w:r w:rsidR="003F3D2B">
        <w:rPr>
          <w:noProof/>
        </w:rPr>
        <w:t> </w:t>
      </w:r>
      <w:r w:rsidR="003F3D2B" w:rsidRPr="00624565">
        <w:rPr>
          <w:noProof/>
        </w:rPr>
        <w:t>śro</w:t>
      </w:r>
      <w:r w:rsidRPr="00624565">
        <w:rPr>
          <w:noProof/>
        </w:rPr>
        <w:t>dowisku do tych informacji</w:t>
      </w:r>
      <w:r w:rsidR="003F3D2B" w:rsidRPr="00624565">
        <w:rPr>
          <w:noProof/>
        </w:rPr>
        <w:t xml:space="preserve"> o</w:t>
      </w:r>
      <w:r w:rsidR="003F3D2B">
        <w:rPr>
          <w:noProof/>
        </w:rPr>
        <w:t> </w:t>
      </w:r>
      <w:r w:rsidR="003F3D2B" w:rsidRPr="00624565">
        <w:rPr>
          <w:noProof/>
        </w:rPr>
        <w:t>śro</w:t>
      </w:r>
      <w:r w:rsidRPr="00624565">
        <w:rPr>
          <w:noProof/>
        </w:rPr>
        <w:t>dowisku</w:t>
      </w:r>
      <w:r w:rsidR="003F3D2B" w:rsidRPr="00624565">
        <w:rPr>
          <w:noProof/>
        </w:rPr>
        <w:t xml:space="preserve"> i</w:t>
      </w:r>
      <w:r w:rsidR="003F3D2B">
        <w:rPr>
          <w:noProof/>
        </w:rPr>
        <w:t> </w:t>
      </w:r>
      <w:r w:rsidR="003F3D2B" w:rsidRPr="00624565">
        <w:rPr>
          <w:noProof/>
        </w:rPr>
        <w:t>pow</w:t>
      </w:r>
      <w:r w:rsidRPr="00624565">
        <w:rPr>
          <w:noProof/>
        </w:rPr>
        <w:t>oduje dezorientację</w:t>
      </w:r>
      <w:r w:rsidR="003F3D2B" w:rsidRPr="00624565">
        <w:rPr>
          <w:noProof/>
        </w:rPr>
        <w:t xml:space="preserve"> w</w:t>
      </w:r>
      <w:r w:rsidR="003F3D2B">
        <w:rPr>
          <w:noProof/>
        </w:rPr>
        <w:t> </w:t>
      </w:r>
      <w:r w:rsidR="003F3D2B" w:rsidRPr="00624565">
        <w:rPr>
          <w:noProof/>
        </w:rPr>
        <w:t>int</w:t>
      </w:r>
      <w:r w:rsidRPr="00624565">
        <w:rPr>
          <w:noProof/>
        </w:rPr>
        <w:t>erpretowaniu niejednolitych, sprzecznych komunikatów. Wywiera to negatywny wpływ na konsumentów</w:t>
      </w:r>
      <w:r w:rsidR="003F3D2B" w:rsidRPr="00624565">
        <w:rPr>
          <w:noProof/>
        </w:rPr>
        <w:t xml:space="preserve"> i</w:t>
      </w:r>
      <w:r w:rsidR="003F3D2B">
        <w:rPr>
          <w:noProof/>
        </w:rPr>
        <w:t> </w:t>
      </w:r>
      <w:r w:rsidR="003F3D2B" w:rsidRPr="00624565">
        <w:rPr>
          <w:noProof/>
        </w:rPr>
        <w:t>inn</w:t>
      </w:r>
      <w:r w:rsidRPr="00624565">
        <w:rPr>
          <w:noProof/>
        </w:rPr>
        <w:t>ych uczestników rynku, ponieważ wybierają oni produkt lub transakcję handlową spośród innych ofert alternatywnych na podstawie informacji wprowadzających</w:t>
      </w:r>
      <w:r w:rsidR="003F3D2B" w:rsidRPr="00624565">
        <w:rPr>
          <w:noProof/>
        </w:rPr>
        <w:t xml:space="preserve"> w</w:t>
      </w:r>
      <w:r w:rsidR="003F3D2B">
        <w:rPr>
          <w:noProof/>
        </w:rPr>
        <w:t> </w:t>
      </w:r>
      <w:r w:rsidR="003F3D2B" w:rsidRPr="00624565">
        <w:rPr>
          <w:noProof/>
        </w:rPr>
        <w:t>błą</w:t>
      </w:r>
      <w:r w:rsidRPr="00624565">
        <w:rPr>
          <w:noProof/>
        </w:rPr>
        <w:t>d.</w:t>
      </w:r>
    </w:p>
    <w:p w14:paraId="5B135AAD" w14:textId="2CA5CB99" w:rsidR="000464F8" w:rsidRPr="00624565" w:rsidRDefault="004D161E" w:rsidP="004D161E">
      <w:pPr>
        <w:pStyle w:val="ManualConsidrant"/>
        <w:rPr>
          <w:noProof/>
        </w:rPr>
      </w:pPr>
      <w:r w:rsidRPr="00624565">
        <w:rPr>
          <w:noProof/>
        </w:rPr>
        <w:t>(4)</w:t>
      </w:r>
      <w:r w:rsidRPr="00624565">
        <w:rPr>
          <w:noProof/>
        </w:rPr>
        <w:tab/>
        <w:t>W związku</w:t>
      </w:r>
      <w:r w:rsidR="003F3D2B" w:rsidRPr="00624565">
        <w:rPr>
          <w:noProof/>
        </w:rPr>
        <w:t xml:space="preserve"> z</w:t>
      </w:r>
      <w:r w:rsidR="003F3D2B">
        <w:rPr>
          <w:noProof/>
        </w:rPr>
        <w:t> </w:t>
      </w:r>
      <w:r w:rsidR="003F3D2B" w:rsidRPr="00624565">
        <w:rPr>
          <w:noProof/>
        </w:rPr>
        <w:t>tym</w:t>
      </w:r>
      <w:r w:rsidRPr="00624565">
        <w:rPr>
          <w:noProof/>
        </w:rPr>
        <w:t xml:space="preserve"> należy</w:t>
      </w:r>
      <w:r w:rsidR="003F3D2B" w:rsidRPr="00624565">
        <w:rPr>
          <w:noProof/>
        </w:rPr>
        <w:t xml:space="preserve"> w</w:t>
      </w:r>
      <w:r w:rsidR="003F3D2B">
        <w:rPr>
          <w:noProof/>
        </w:rPr>
        <w:t> </w:t>
      </w:r>
      <w:r w:rsidR="003F3D2B" w:rsidRPr="00624565">
        <w:rPr>
          <w:noProof/>
        </w:rPr>
        <w:t>jes</w:t>
      </w:r>
      <w:r w:rsidRPr="00624565">
        <w:rPr>
          <w:noProof/>
        </w:rPr>
        <w:t>zcze większym stopniu zharmonizować regulację oświadczeń środowiskowych. Taka harmonizacja przyczyni się do umocnienia rynku na rzecz bardziej zrównoważonych produktów</w:t>
      </w:r>
      <w:r w:rsidR="003F3D2B" w:rsidRPr="00624565">
        <w:rPr>
          <w:noProof/>
        </w:rPr>
        <w:t xml:space="preserve"> i</w:t>
      </w:r>
      <w:r w:rsidR="003F3D2B">
        <w:rPr>
          <w:noProof/>
        </w:rPr>
        <w:t> </w:t>
      </w:r>
      <w:r w:rsidR="003F3D2B" w:rsidRPr="00624565">
        <w:rPr>
          <w:noProof/>
        </w:rPr>
        <w:t>prz</w:t>
      </w:r>
      <w:r w:rsidRPr="00624565">
        <w:rPr>
          <w:noProof/>
        </w:rPr>
        <w:t>edsiębiorców dzięki uniknięciu fragmentacji rynku ze względu na rozbieżne podejścia krajowe. Ponadto pozwoli ona wyznaczyć punkt odniesienia, który może stanowić bodziec do globalnego przejścia na sprawiedliwą, neutralną dla klimatu</w:t>
      </w:r>
      <w:r w:rsidR="003F3D2B" w:rsidRPr="00624565">
        <w:rPr>
          <w:noProof/>
        </w:rPr>
        <w:t xml:space="preserve"> i</w:t>
      </w:r>
      <w:r w:rsidR="003F3D2B">
        <w:rPr>
          <w:noProof/>
        </w:rPr>
        <w:t> </w:t>
      </w:r>
      <w:r w:rsidR="003F3D2B" w:rsidRPr="00624565">
        <w:rPr>
          <w:noProof/>
        </w:rPr>
        <w:t>zas</w:t>
      </w:r>
      <w:r w:rsidRPr="00624565">
        <w:rPr>
          <w:noProof/>
        </w:rPr>
        <w:t>obooszczędną gospodarkę</w:t>
      </w:r>
      <w:r w:rsidR="003F3D2B" w:rsidRPr="00624565">
        <w:rPr>
          <w:noProof/>
        </w:rPr>
        <w:t xml:space="preserve"> o</w:t>
      </w:r>
      <w:r w:rsidR="003F3D2B">
        <w:rPr>
          <w:noProof/>
        </w:rPr>
        <w:t> </w:t>
      </w:r>
      <w:r w:rsidR="003F3D2B" w:rsidRPr="00624565">
        <w:rPr>
          <w:noProof/>
        </w:rPr>
        <w:t>obi</w:t>
      </w:r>
      <w:r w:rsidRPr="00624565">
        <w:rPr>
          <w:noProof/>
        </w:rPr>
        <w:t>egu zamkniętym</w:t>
      </w:r>
      <w:r w:rsidRPr="00624565">
        <w:rPr>
          <w:rStyle w:val="FootnoteReference"/>
          <w:noProof/>
        </w:rPr>
        <w:footnoteReference w:id="69"/>
      </w:r>
      <w:r w:rsidRPr="00624565">
        <w:rPr>
          <w:noProof/>
        </w:rPr>
        <w:t>.</w:t>
      </w:r>
    </w:p>
    <w:p w14:paraId="108A8667" w14:textId="30C74D98" w:rsidR="000464F8" w:rsidRPr="00624565" w:rsidRDefault="004D161E" w:rsidP="004D161E">
      <w:pPr>
        <w:pStyle w:val="ManualConsidrant"/>
        <w:rPr>
          <w:noProof/>
        </w:rPr>
      </w:pPr>
      <w:r w:rsidRPr="00624565">
        <w:rPr>
          <w:noProof/>
        </w:rPr>
        <w:t>(5)</w:t>
      </w:r>
      <w:r w:rsidRPr="00624565">
        <w:rPr>
          <w:noProof/>
        </w:rPr>
        <w:tab/>
        <w:t>Szczegółowe przepisy Unii dotyczące uzasadniania wyraźnych oświadczeń środowiskowych, mające zastosowanie do przedsiębiorstw działających na rynku unijnym</w:t>
      </w:r>
      <w:r w:rsidR="003F3D2B" w:rsidRPr="00624565">
        <w:rPr>
          <w:noProof/>
        </w:rPr>
        <w:t xml:space="preserve"> w</w:t>
      </w:r>
      <w:r w:rsidR="003F3D2B">
        <w:rPr>
          <w:noProof/>
        </w:rPr>
        <w:t> </w:t>
      </w:r>
      <w:r w:rsidR="003F3D2B" w:rsidRPr="00624565">
        <w:rPr>
          <w:noProof/>
        </w:rPr>
        <w:t>kom</w:t>
      </w:r>
      <w:r w:rsidRPr="00624565">
        <w:rPr>
          <w:noProof/>
        </w:rPr>
        <w:t>unikacji między przedsiębiorstwami</w:t>
      </w:r>
      <w:r w:rsidR="003F3D2B" w:rsidRPr="00624565">
        <w:rPr>
          <w:noProof/>
        </w:rPr>
        <w:t xml:space="preserve"> a</w:t>
      </w:r>
      <w:r w:rsidR="003F3D2B">
        <w:rPr>
          <w:noProof/>
        </w:rPr>
        <w:t> </w:t>
      </w:r>
      <w:r w:rsidR="003F3D2B" w:rsidRPr="00624565">
        <w:rPr>
          <w:noProof/>
        </w:rPr>
        <w:t>kon</w:t>
      </w:r>
      <w:r w:rsidRPr="00624565">
        <w:rPr>
          <w:noProof/>
        </w:rPr>
        <w:t>sumentami, będą stanowiły wkład</w:t>
      </w:r>
      <w:r w:rsidR="003F3D2B" w:rsidRPr="00624565">
        <w:rPr>
          <w:noProof/>
        </w:rPr>
        <w:t xml:space="preserve"> w</w:t>
      </w:r>
      <w:r w:rsidR="003F3D2B">
        <w:rPr>
          <w:noProof/>
        </w:rPr>
        <w:t> </w:t>
      </w:r>
      <w:r w:rsidR="003F3D2B" w:rsidRPr="00624565">
        <w:rPr>
          <w:noProof/>
        </w:rPr>
        <w:t>zie</w:t>
      </w:r>
      <w:r w:rsidRPr="00624565">
        <w:rPr>
          <w:noProof/>
        </w:rPr>
        <w:t>loną transformację</w:t>
      </w:r>
      <w:r w:rsidR="003F3D2B" w:rsidRPr="00624565">
        <w:rPr>
          <w:noProof/>
        </w:rPr>
        <w:t xml:space="preserve"> w</w:t>
      </w:r>
      <w:r w:rsidR="003F3D2B">
        <w:rPr>
          <w:noProof/>
        </w:rPr>
        <w:t> </w:t>
      </w:r>
      <w:r w:rsidR="003F3D2B" w:rsidRPr="00624565">
        <w:rPr>
          <w:noProof/>
        </w:rPr>
        <w:t>kie</w:t>
      </w:r>
      <w:r w:rsidRPr="00624565">
        <w:rPr>
          <w:noProof/>
        </w:rPr>
        <w:t>runku gospodarki</w:t>
      </w:r>
      <w:r w:rsidR="003F3D2B" w:rsidRPr="00624565">
        <w:rPr>
          <w:noProof/>
        </w:rPr>
        <w:t xml:space="preserve"> o</w:t>
      </w:r>
      <w:r w:rsidR="003F3D2B">
        <w:rPr>
          <w:noProof/>
        </w:rPr>
        <w:t> </w:t>
      </w:r>
      <w:r w:rsidR="003F3D2B" w:rsidRPr="00624565">
        <w:rPr>
          <w:noProof/>
        </w:rPr>
        <w:t>obi</w:t>
      </w:r>
      <w:r w:rsidRPr="00624565">
        <w:rPr>
          <w:noProof/>
        </w:rPr>
        <w:t>egu zamkniętym, neutralnej dla klimatu</w:t>
      </w:r>
      <w:r w:rsidR="003F3D2B" w:rsidRPr="00624565">
        <w:rPr>
          <w:noProof/>
        </w:rPr>
        <w:t xml:space="preserve"> i</w:t>
      </w:r>
      <w:r w:rsidR="003F3D2B">
        <w:rPr>
          <w:noProof/>
        </w:rPr>
        <w:t> </w:t>
      </w:r>
      <w:r w:rsidR="003F3D2B" w:rsidRPr="00624565">
        <w:rPr>
          <w:noProof/>
        </w:rPr>
        <w:t>eko</w:t>
      </w:r>
      <w:r w:rsidRPr="00624565">
        <w:rPr>
          <w:noProof/>
        </w:rPr>
        <w:t>logicznej</w:t>
      </w:r>
      <w:r w:rsidR="003F3D2B" w:rsidRPr="00624565">
        <w:rPr>
          <w:noProof/>
        </w:rPr>
        <w:t xml:space="preserve"> w</w:t>
      </w:r>
      <w:r w:rsidR="003F3D2B">
        <w:rPr>
          <w:noProof/>
        </w:rPr>
        <w:t> </w:t>
      </w:r>
      <w:r w:rsidR="003F3D2B" w:rsidRPr="00624565">
        <w:rPr>
          <w:noProof/>
        </w:rPr>
        <w:t>Uni</w:t>
      </w:r>
      <w:r w:rsidRPr="00624565">
        <w:rPr>
          <w:noProof/>
        </w:rPr>
        <w:t>i, umożliwiając konsumentom podejmowanie świadomych decyzji</w:t>
      </w:r>
      <w:r w:rsidR="003F3D2B" w:rsidRPr="00624565">
        <w:rPr>
          <w:noProof/>
        </w:rPr>
        <w:t xml:space="preserve"> o</w:t>
      </w:r>
      <w:r w:rsidR="003F3D2B">
        <w:rPr>
          <w:noProof/>
        </w:rPr>
        <w:t> </w:t>
      </w:r>
      <w:r w:rsidR="003F3D2B" w:rsidRPr="00624565">
        <w:rPr>
          <w:noProof/>
        </w:rPr>
        <w:t>zak</w:t>
      </w:r>
      <w:r w:rsidRPr="00624565">
        <w:rPr>
          <w:noProof/>
        </w:rPr>
        <w:t>upie, oraz pomogą stworzyć równe szanse dla podmiotów gospodarczych formułujących takie oświadczenia.</w:t>
      </w:r>
    </w:p>
    <w:p w14:paraId="2D52D1F2" w14:textId="1DFFCE07" w:rsidR="000464F8" w:rsidRPr="00624565" w:rsidRDefault="004D161E" w:rsidP="004D161E">
      <w:pPr>
        <w:pStyle w:val="ManualConsidrant"/>
        <w:rPr>
          <w:noProof/>
        </w:rPr>
      </w:pPr>
      <w:r w:rsidRPr="00624565">
        <w:rPr>
          <w:noProof/>
        </w:rPr>
        <w:t>(6)</w:t>
      </w:r>
      <w:r w:rsidRPr="00624565">
        <w:rPr>
          <w:noProof/>
        </w:rPr>
        <w:tab/>
        <w:t>Stworzenie ram prawnych dotyczących oświadczeń środowiskowych jest jednym</w:t>
      </w:r>
      <w:r w:rsidR="003F3D2B" w:rsidRPr="00624565">
        <w:rPr>
          <w:noProof/>
        </w:rPr>
        <w:t xml:space="preserve"> z</w:t>
      </w:r>
      <w:r w:rsidR="003F3D2B">
        <w:rPr>
          <w:noProof/>
        </w:rPr>
        <w:t> </w:t>
      </w:r>
      <w:r w:rsidR="003F3D2B" w:rsidRPr="00624565">
        <w:rPr>
          <w:noProof/>
        </w:rPr>
        <w:t>dzi</w:t>
      </w:r>
      <w:r w:rsidRPr="00624565">
        <w:rPr>
          <w:noProof/>
        </w:rPr>
        <w:t>ałań zaproponowanych przez Komisję służących wdrożeniu Europejskiego Zielonego Ładu</w:t>
      </w:r>
      <w:r w:rsidRPr="00624565">
        <w:rPr>
          <w:rStyle w:val="FootnoteReference"/>
          <w:noProof/>
        </w:rPr>
        <w:footnoteReference w:id="70"/>
      </w:r>
      <w:r w:rsidRPr="00624565">
        <w:rPr>
          <w:noProof/>
        </w:rPr>
        <w:t>,</w:t>
      </w:r>
      <w:r w:rsidR="003F3D2B" w:rsidRPr="00624565">
        <w:rPr>
          <w:noProof/>
        </w:rPr>
        <w:t xml:space="preserve"> w</w:t>
      </w:r>
      <w:r w:rsidR="003F3D2B">
        <w:rPr>
          <w:noProof/>
        </w:rPr>
        <w:t> </w:t>
      </w:r>
      <w:r w:rsidR="003F3D2B" w:rsidRPr="00624565">
        <w:rPr>
          <w:noProof/>
        </w:rPr>
        <w:t>któ</w:t>
      </w:r>
      <w:r w:rsidRPr="00624565">
        <w:rPr>
          <w:noProof/>
        </w:rPr>
        <w:t>rym uznano, że rzetelne, porównywalne</w:t>
      </w:r>
      <w:r w:rsidR="003F3D2B" w:rsidRPr="00624565">
        <w:rPr>
          <w:noProof/>
        </w:rPr>
        <w:t xml:space="preserve"> i</w:t>
      </w:r>
      <w:r w:rsidR="003F3D2B">
        <w:rPr>
          <w:noProof/>
        </w:rPr>
        <w:t> </w:t>
      </w:r>
      <w:r w:rsidR="003F3D2B" w:rsidRPr="00624565">
        <w:rPr>
          <w:noProof/>
        </w:rPr>
        <w:t>wer</w:t>
      </w:r>
      <w:r w:rsidRPr="00624565">
        <w:rPr>
          <w:noProof/>
        </w:rPr>
        <w:t>yfikowalne informacje są również ważnym czynnikiem umożliwiającym klientom podejmowanie bardziej zrównoważonych decyzji oraz ograniczają ryzyko stosowania nieuczciwego zielonego PR,</w:t>
      </w:r>
      <w:r w:rsidR="003F3D2B" w:rsidRPr="00624565">
        <w:rPr>
          <w:noProof/>
        </w:rPr>
        <w:t xml:space="preserve"> a</w:t>
      </w:r>
      <w:r w:rsidR="003F3D2B">
        <w:rPr>
          <w:noProof/>
        </w:rPr>
        <w:t> </w:t>
      </w:r>
      <w:r w:rsidR="003F3D2B" w:rsidRPr="00624565">
        <w:rPr>
          <w:noProof/>
        </w:rPr>
        <w:t>tak</w:t>
      </w:r>
      <w:r w:rsidRPr="00624565">
        <w:rPr>
          <w:noProof/>
        </w:rPr>
        <w:t>że zawarto zobowiązania do zintensyfikowania działań regulacyjnych</w:t>
      </w:r>
      <w:r w:rsidR="003F3D2B" w:rsidRPr="00624565">
        <w:rPr>
          <w:noProof/>
        </w:rPr>
        <w:t xml:space="preserve"> i</w:t>
      </w:r>
      <w:r w:rsidR="003F3D2B">
        <w:rPr>
          <w:noProof/>
        </w:rPr>
        <w:t> </w:t>
      </w:r>
      <w:r w:rsidR="003F3D2B" w:rsidRPr="00624565">
        <w:rPr>
          <w:noProof/>
        </w:rPr>
        <w:t>poz</w:t>
      </w:r>
      <w:r w:rsidRPr="00624565">
        <w:rPr>
          <w:noProof/>
        </w:rPr>
        <w:t>aregulacyjnych</w:t>
      </w:r>
      <w:r w:rsidR="003F3D2B" w:rsidRPr="00624565">
        <w:rPr>
          <w:noProof/>
        </w:rPr>
        <w:t xml:space="preserve"> w</w:t>
      </w:r>
      <w:r w:rsidR="003F3D2B">
        <w:rPr>
          <w:noProof/>
        </w:rPr>
        <w:t> </w:t>
      </w:r>
      <w:r w:rsidR="003F3D2B" w:rsidRPr="00624565">
        <w:rPr>
          <w:noProof/>
        </w:rPr>
        <w:t>cel</w:t>
      </w:r>
      <w:r w:rsidRPr="00624565">
        <w:rPr>
          <w:noProof/>
        </w:rPr>
        <w:t>u rozwiązania problemu fałszywych oświadczeń środowiskowych. Wraz</w:t>
      </w:r>
      <w:r w:rsidR="003F3D2B" w:rsidRPr="00624565">
        <w:rPr>
          <w:noProof/>
        </w:rPr>
        <w:t xml:space="preserve"> z</w:t>
      </w:r>
      <w:r w:rsidR="003F3D2B">
        <w:rPr>
          <w:noProof/>
        </w:rPr>
        <w:t> </w:t>
      </w:r>
      <w:r w:rsidR="003F3D2B" w:rsidRPr="00624565">
        <w:rPr>
          <w:noProof/>
        </w:rPr>
        <w:t>inn</w:t>
      </w:r>
      <w:r w:rsidRPr="00624565">
        <w:rPr>
          <w:noProof/>
        </w:rPr>
        <w:t>ymi obowiązującymi ramami regulacyjnymi Unii,</w:t>
      </w:r>
      <w:r w:rsidR="003F3D2B" w:rsidRPr="00624565">
        <w:rPr>
          <w:noProof/>
        </w:rPr>
        <w:t xml:space="preserve"> w</w:t>
      </w:r>
      <w:r w:rsidR="003F3D2B">
        <w:rPr>
          <w:noProof/>
        </w:rPr>
        <w:t> </w:t>
      </w:r>
      <w:r w:rsidR="003F3D2B" w:rsidRPr="00624565">
        <w:rPr>
          <w:noProof/>
        </w:rPr>
        <w:t>tym</w:t>
      </w:r>
      <w:r w:rsidRPr="00624565">
        <w:rPr>
          <w:noProof/>
        </w:rPr>
        <w:t xml:space="preserve"> wnioskiem dotyczącym dyrektywy</w:t>
      </w:r>
      <w:r w:rsidR="003F3D2B" w:rsidRPr="00624565">
        <w:rPr>
          <w:noProof/>
        </w:rPr>
        <w:t xml:space="preserve"> w</w:t>
      </w:r>
      <w:r w:rsidR="003F3D2B">
        <w:rPr>
          <w:noProof/>
        </w:rPr>
        <w:t> </w:t>
      </w:r>
      <w:r w:rsidR="003F3D2B" w:rsidRPr="00624565">
        <w:rPr>
          <w:noProof/>
        </w:rPr>
        <w:t>spr</w:t>
      </w:r>
      <w:r w:rsidRPr="00624565">
        <w:rPr>
          <w:noProof/>
        </w:rPr>
        <w:t>awie wzmocnienia pozycji konsumentów</w:t>
      </w:r>
      <w:r w:rsidR="003F3D2B" w:rsidRPr="00624565">
        <w:rPr>
          <w:noProof/>
        </w:rPr>
        <w:t xml:space="preserve"> w</w:t>
      </w:r>
      <w:r w:rsidR="003F3D2B">
        <w:rPr>
          <w:noProof/>
        </w:rPr>
        <w:t> </w:t>
      </w:r>
      <w:r w:rsidR="003F3D2B" w:rsidRPr="00624565">
        <w:rPr>
          <w:noProof/>
        </w:rPr>
        <w:t>pro</w:t>
      </w:r>
      <w:r w:rsidRPr="00624565">
        <w:rPr>
          <w:noProof/>
        </w:rPr>
        <w:t>cesie transformacji ekologicznej</w:t>
      </w:r>
      <w:r w:rsidRPr="00624565">
        <w:rPr>
          <w:rStyle w:val="FootnoteReference"/>
          <w:noProof/>
        </w:rPr>
        <w:footnoteReference w:id="71"/>
      </w:r>
      <w:r w:rsidRPr="00624565">
        <w:rPr>
          <w:noProof/>
        </w:rPr>
        <w:t>, zmieniającej dyrektywę 2005/29/WE Parlamentu Europejskiego</w:t>
      </w:r>
      <w:r w:rsidR="003F3D2B" w:rsidRPr="00624565">
        <w:rPr>
          <w:noProof/>
        </w:rPr>
        <w:t xml:space="preserve"> i</w:t>
      </w:r>
      <w:r w:rsidR="003F3D2B">
        <w:rPr>
          <w:noProof/>
        </w:rPr>
        <w:t> </w:t>
      </w:r>
      <w:r w:rsidR="003F3D2B" w:rsidRPr="00624565">
        <w:rPr>
          <w:noProof/>
        </w:rPr>
        <w:t>Rad</w:t>
      </w:r>
      <w:r w:rsidRPr="00624565">
        <w:rPr>
          <w:noProof/>
        </w:rPr>
        <w:t>y</w:t>
      </w:r>
      <w:r w:rsidRPr="00624565">
        <w:rPr>
          <w:rStyle w:val="FootnoteReference"/>
          <w:noProof/>
        </w:rPr>
        <w:footnoteReference w:id="72"/>
      </w:r>
      <w:r w:rsidRPr="00624565">
        <w:rPr>
          <w:noProof/>
        </w:rPr>
        <w:t>, którego uzupełnienie stanowi niniejszy wniosek, tworzą one jasny system oświadczeń środowiskowych,</w:t>
      </w:r>
      <w:r w:rsidR="003F3D2B" w:rsidRPr="00624565">
        <w:rPr>
          <w:noProof/>
        </w:rPr>
        <w:t xml:space="preserve"> w</w:t>
      </w:r>
      <w:r w:rsidR="003F3D2B">
        <w:rPr>
          <w:noProof/>
        </w:rPr>
        <w:t> </w:t>
      </w:r>
      <w:r w:rsidR="003F3D2B" w:rsidRPr="00624565">
        <w:rPr>
          <w:noProof/>
        </w:rPr>
        <w:t>tym</w:t>
      </w:r>
      <w:r w:rsidRPr="00624565">
        <w:rPr>
          <w:noProof/>
        </w:rPr>
        <w:t xml:space="preserve"> oznakowań ekologicznych. </w:t>
      </w:r>
    </w:p>
    <w:p w14:paraId="5D4CF10D" w14:textId="602B54E6" w:rsidR="000464F8" w:rsidRPr="00624565" w:rsidRDefault="004D161E" w:rsidP="004D161E">
      <w:pPr>
        <w:pStyle w:val="ManualConsidrant"/>
        <w:rPr>
          <w:noProof/>
        </w:rPr>
      </w:pPr>
      <w:r w:rsidRPr="00624565">
        <w:rPr>
          <w:noProof/>
        </w:rPr>
        <w:t>(7)</w:t>
      </w:r>
      <w:r w:rsidRPr="00624565">
        <w:rPr>
          <w:noProof/>
        </w:rPr>
        <w:tab/>
        <w:t>Niniejsza dyrektywa jest częścią szeregu powiązanych ze sobą inicjatyw mających na celu ustanowienie solidnych</w:t>
      </w:r>
      <w:r w:rsidR="003F3D2B" w:rsidRPr="00624565">
        <w:rPr>
          <w:noProof/>
        </w:rPr>
        <w:t xml:space="preserve"> i</w:t>
      </w:r>
      <w:r w:rsidR="003F3D2B">
        <w:rPr>
          <w:noProof/>
        </w:rPr>
        <w:t> </w:t>
      </w:r>
      <w:r w:rsidR="003F3D2B" w:rsidRPr="00624565">
        <w:rPr>
          <w:noProof/>
        </w:rPr>
        <w:t>spó</w:t>
      </w:r>
      <w:r w:rsidRPr="00624565">
        <w:rPr>
          <w:noProof/>
        </w:rPr>
        <w:t>jnych ram polityki produktowej, które sprawią, że zrównoważone produkty, usługi</w:t>
      </w:r>
      <w:r w:rsidR="003F3D2B" w:rsidRPr="00624565">
        <w:rPr>
          <w:noProof/>
        </w:rPr>
        <w:t xml:space="preserve"> i</w:t>
      </w:r>
      <w:r w:rsidR="003F3D2B">
        <w:rPr>
          <w:noProof/>
        </w:rPr>
        <w:t> </w:t>
      </w:r>
      <w:r w:rsidR="003F3D2B" w:rsidRPr="00624565">
        <w:rPr>
          <w:noProof/>
        </w:rPr>
        <w:t>mod</w:t>
      </w:r>
      <w:r w:rsidRPr="00624565">
        <w:rPr>
          <w:noProof/>
        </w:rPr>
        <w:t>ele biznesowe będą normą</w:t>
      </w:r>
      <w:r w:rsidR="003F3D2B" w:rsidRPr="00624565">
        <w:rPr>
          <w:noProof/>
        </w:rPr>
        <w:t xml:space="preserve"> i</w:t>
      </w:r>
      <w:r w:rsidR="003F3D2B">
        <w:rPr>
          <w:noProof/>
        </w:rPr>
        <w:t> </w:t>
      </w:r>
      <w:r w:rsidR="003F3D2B" w:rsidRPr="00624565">
        <w:rPr>
          <w:noProof/>
        </w:rPr>
        <w:t>prz</w:t>
      </w:r>
      <w:r w:rsidRPr="00624565">
        <w:rPr>
          <w:noProof/>
        </w:rPr>
        <w:t>ekształcą wzorce konsumpcji, tak aby przede wszystkim zapobiegać powstawaniu odpadów. Dyrektywę uzupełniają m.in. interwencje</w:t>
      </w:r>
      <w:r w:rsidR="003F3D2B" w:rsidRPr="00624565">
        <w:rPr>
          <w:noProof/>
        </w:rPr>
        <w:t xml:space="preserve"> w</w:t>
      </w:r>
      <w:r w:rsidR="003F3D2B">
        <w:rPr>
          <w:noProof/>
        </w:rPr>
        <w:t> </w:t>
      </w:r>
      <w:r w:rsidR="003F3D2B" w:rsidRPr="00624565">
        <w:rPr>
          <w:noProof/>
        </w:rPr>
        <w:t>zak</w:t>
      </w:r>
      <w:r w:rsidRPr="00624565">
        <w:rPr>
          <w:noProof/>
        </w:rPr>
        <w:t>resie projektowania produktów pod kątem obiegu zamkniętego, wspierania nowych modeli biznesowych</w:t>
      </w:r>
      <w:r w:rsidR="003F3D2B" w:rsidRPr="00624565">
        <w:rPr>
          <w:noProof/>
        </w:rPr>
        <w:t xml:space="preserve"> i</w:t>
      </w:r>
      <w:r w:rsidR="003F3D2B">
        <w:rPr>
          <w:noProof/>
        </w:rPr>
        <w:t> </w:t>
      </w:r>
      <w:r w:rsidR="003F3D2B" w:rsidRPr="00624565">
        <w:rPr>
          <w:noProof/>
        </w:rPr>
        <w:t>ust</w:t>
      </w:r>
      <w:r w:rsidRPr="00624565">
        <w:rPr>
          <w:noProof/>
        </w:rPr>
        <w:t>anawiania minimalnych wymogów zapobiegających wprowadzaniu do obrotu w UE produktów szkodliwych dla środowiska za pośrednictwem wniosku dotyczącego rozporządzenia</w:t>
      </w:r>
      <w:r w:rsidR="003F3D2B" w:rsidRPr="00624565">
        <w:rPr>
          <w:noProof/>
        </w:rPr>
        <w:t xml:space="preserve"> w</w:t>
      </w:r>
      <w:r w:rsidR="003F3D2B">
        <w:rPr>
          <w:noProof/>
        </w:rPr>
        <w:t> </w:t>
      </w:r>
      <w:r w:rsidR="003F3D2B" w:rsidRPr="00624565">
        <w:rPr>
          <w:noProof/>
        </w:rPr>
        <w:t>spr</w:t>
      </w:r>
      <w:r w:rsidRPr="00624565">
        <w:rPr>
          <w:noProof/>
        </w:rPr>
        <w:t>awie ekoprojektu</w:t>
      </w:r>
      <w:r w:rsidR="003F3D2B" w:rsidRPr="00624565">
        <w:rPr>
          <w:noProof/>
        </w:rPr>
        <w:t xml:space="preserve"> w</w:t>
      </w:r>
      <w:r w:rsidR="003F3D2B">
        <w:rPr>
          <w:noProof/>
        </w:rPr>
        <w:t> </w:t>
      </w:r>
      <w:r w:rsidR="003F3D2B" w:rsidRPr="00624565">
        <w:rPr>
          <w:noProof/>
        </w:rPr>
        <w:t>odn</w:t>
      </w:r>
      <w:r w:rsidRPr="00624565">
        <w:rPr>
          <w:noProof/>
        </w:rPr>
        <w:t>iesieniu do zrównoważonych produktów</w:t>
      </w:r>
      <w:r w:rsidRPr="00624565">
        <w:rPr>
          <w:rStyle w:val="FootnoteReference"/>
          <w:noProof/>
        </w:rPr>
        <w:footnoteReference w:id="73"/>
      </w:r>
      <w:r w:rsidRPr="00624565">
        <w:rPr>
          <w:noProof/>
        </w:rPr>
        <w:t>.</w:t>
      </w:r>
    </w:p>
    <w:p w14:paraId="6BC86C24" w14:textId="648EF9AC" w:rsidR="000464F8" w:rsidRPr="00624565" w:rsidRDefault="004D161E" w:rsidP="004D161E">
      <w:pPr>
        <w:pStyle w:val="ManualConsidrant"/>
        <w:rPr>
          <w:noProof/>
        </w:rPr>
      </w:pPr>
      <w:r w:rsidRPr="00624565">
        <w:rPr>
          <w:noProof/>
        </w:rPr>
        <w:t>(8)</w:t>
      </w:r>
      <w:r w:rsidRPr="00624565">
        <w:rPr>
          <w:noProof/>
        </w:rPr>
        <w:tab/>
        <w:t>Należy uznać specyficzne potrzeby poszczególnych sektorów gospodarki</w:t>
      </w:r>
      <w:r w:rsidR="003F3D2B" w:rsidRPr="00624565">
        <w:rPr>
          <w:noProof/>
        </w:rPr>
        <w:t xml:space="preserve"> i</w:t>
      </w:r>
      <w:r w:rsidR="003F3D2B">
        <w:rPr>
          <w:noProof/>
        </w:rPr>
        <w:t> </w:t>
      </w:r>
      <w:r w:rsidR="003F3D2B" w:rsidRPr="00624565">
        <w:rPr>
          <w:noProof/>
        </w:rPr>
        <w:t>w</w:t>
      </w:r>
      <w:r w:rsidR="003F3D2B">
        <w:rPr>
          <w:noProof/>
        </w:rPr>
        <w:t> </w:t>
      </w:r>
      <w:r w:rsidR="003F3D2B" w:rsidRPr="00624565">
        <w:rPr>
          <w:noProof/>
        </w:rPr>
        <w:t>zwi</w:t>
      </w:r>
      <w:r w:rsidRPr="00624565">
        <w:rPr>
          <w:noProof/>
        </w:rPr>
        <w:t>ązku</w:t>
      </w:r>
      <w:r w:rsidR="003F3D2B" w:rsidRPr="00624565">
        <w:rPr>
          <w:noProof/>
        </w:rPr>
        <w:t xml:space="preserve"> z</w:t>
      </w:r>
      <w:r w:rsidR="003F3D2B">
        <w:rPr>
          <w:noProof/>
        </w:rPr>
        <w:t> </w:t>
      </w:r>
      <w:r w:rsidR="003F3D2B" w:rsidRPr="00624565">
        <w:rPr>
          <w:noProof/>
        </w:rPr>
        <w:t>tym</w:t>
      </w:r>
      <w:r w:rsidRPr="00624565">
        <w:rPr>
          <w:noProof/>
        </w:rPr>
        <w:t xml:space="preserve"> niniejsza dyrektywa powinna mieć zastosowanie do dobrowolnych wyraźnych oświadczeń środowiskowych</w:t>
      </w:r>
      <w:r w:rsidR="003F3D2B" w:rsidRPr="00624565">
        <w:rPr>
          <w:noProof/>
        </w:rPr>
        <w:t xml:space="preserve"> i</w:t>
      </w:r>
      <w:r w:rsidR="003F3D2B">
        <w:rPr>
          <w:noProof/>
        </w:rPr>
        <w:t> </w:t>
      </w:r>
      <w:r w:rsidR="003F3D2B" w:rsidRPr="00624565">
        <w:rPr>
          <w:noProof/>
        </w:rPr>
        <w:t>sys</w:t>
      </w:r>
      <w:r w:rsidRPr="00624565">
        <w:rPr>
          <w:noProof/>
        </w:rPr>
        <w:t>temów oznakowania ekologicznego, które nie są regulowane żadnym innym aktem Unii</w:t>
      </w:r>
      <w:r w:rsidR="003F3D2B" w:rsidRPr="00624565">
        <w:rPr>
          <w:noProof/>
        </w:rPr>
        <w:t xml:space="preserve"> w</w:t>
      </w:r>
      <w:r w:rsidR="003F3D2B">
        <w:rPr>
          <w:noProof/>
        </w:rPr>
        <w:t> </w:t>
      </w:r>
      <w:r w:rsidR="003F3D2B" w:rsidRPr="00624565">
        <w:rPr>
          <w:noProof/>
        </w:rPr>
        <w:t>zak</w:t>
      </w:r>
      <w:r w:rsidRPr="00624565">
        <w:rPr>
          <w:noProof/>
        </w:rPr>
        <w:t>resie ich uzasadniania, przekazywania</w:t>
      </w:r>
      <w:r w:rsidR="003F3D2B" w:rsidRPr="00624565">
        <w:rPr>
          <w:noProof/>
        </w:rPr>
        <w:t xml:space="preserve"> i</w:t>
      </w:r>
      <w:r w:rsidR="003F3D2B">
        <w:rPr>
          <w:noProof/>
        </w:rPr>
        <w:t> </w:t>
      </w:r>
      <w:r w:rsidR="003F3D2B" w:rsidRPr="00624565">
        <w:rPr>
          <w:noProof/>
        </w:rPr>
        <w:t>wer</w:t>
      </w:r>
      <w:r w:rsidRPr="00624565">
        <w:rPr>
          <w:noProof/>
        </w:rPr>
        <w:t>yfikacji. Niniejsza dyrektywa nie powinna zatem mieć zastosowania do wyraźnych oświadczeń środowiskowych,</w:t>
      </w:r>
      <w:r w:rsidR="003F3D2B" w:rsidRPr="00624565">
        <w:rPr>
          <w:noProof/>
        </w:rPr>
        <w:t xml:space="preserve"> w</w:t>
      </w:r>
      <w:r w:rsidR="003F3D2B">
        <w:rPr>
          <w:noProof/>
        </w:rPr>
        <w:t> </w:t>
      </w:r>
      <w:r w:rsidR="003F3D2B" w:rsidRPr="00624565">
        <w:rPr>
          <w:noProof/>
        </w:rPr>
        <w:t>odn</w:t>
      </w:r>
      <w:r w:rsidRPr="00624565">
        <w:rPr>
          <w:noProof/>
        </w:rPr>
        <w:t>iesieniu do których</w:t>
      </w:r>
      <w:r w:rsidR="003F3D2B" w:rsidRPr="00624565">
        <w:rPr>
          <w:noProof/>
        </w:rPr>
        <w:t xml:space="preserve"> w</w:t>
      </w:r>
      <w:r w:rsidR="003F3D2B">
        <w:rPr>
          <w:noProof/>
        </w:rPr>
        <w:t> </w:t>
      </w:r>
      <w:r w:rsidR="003F3D2B" w:rsidRPr="00624565">
        <w:rPr>
          <w:noProof/>
        </w:rPr>
        <w:t>prz</w:t>
      </w:r>
      <w:r w:rsidRPr="00624565">
        <w:rPr>
          <w:noProof/>
        </w:rPr>
        <w:t>episach Unii określono przepisy szczegółowe,</w:t>
      </w:r>
      <w:r w:rsidR="003F3D2B" w:rsidRPr="00624565">
        <w:rPr>
          <w:noProof/>
        </w:rPr>
        <w:t xml:space="preserve"> w</w:t>
      </w:r>
      <w:r w:rsidR="003F3D2B">
        <w:rPr>
          <w:noProof/>
        </w:rPr>
        <w:t> </w:t>
      </w:r>
      <w:r w:rsidR="003F3D2B" w:rsidRPr="00624565">
        <w:rPr>
          <w:noProof/>
        </w:rPr>
        <w:t>tym</w:t>
      </w:r>
      <w:r w:rsidRPr="00624565">
        <w:rPr>
          <w:noProof/>
        </w:rPr>
        <w:t xml:space="preserve"> dotyczące ram metodycznych, zasad oceny lub rozliczania związanych</w:t>
      </w:r>
      <w:r w:rsidR="003F3D2B" w:rsidRPr="00624565">
        <w:rPr>
          <w:noProof/>
        </w:rPr>
        <w:t xml:space="preserve"> z</w:t>
      </w:r>
      <w:r w:rsidR="003F3D2B">
        <w:rPr>
          <w:noProof/>
        </w:rPr>
        <w:t> </w:t>
      </w:r>
      <w:r w:rsidR="003F3D2B" w:rsidRPr="00624565">
        <w:rPr>
          <w:noProof/>
        </w:rPr>
        <w:t>pom</w:t>
      </w:r>
      <w:r w:rsidRPr="00624565">
        <w:rPr>
          <w:noProof/>
        </w:rPr>
        <w:t>iarem</w:t>
      </w:r>
      <w:r w:rsidR="003F3D2B" w:rsidRPr="00624565">
        <w:rPr>
          <w:noProof/>
        </w:rPr>
        <w:t xml:space="preserve"> i</w:t>
      </w:r>
      <w:r w:rsidR="003F3D2B">
        <w:rPr>
          <w:noProof/>
        </w:rPr>
        <w:t> </w:t>
      </w:r>
      <w:r w:rsidR="003F3D2B" w:rsidRPr="00624565">
        <w:rPr>
          <w:noProof/>
        </w:rPr>
        <w:t>obl</w:t>
      </w:r>
      <w:r w:rsidRPr="00624565">
        <w:rPr>
          <w:noProof/>
        </w:rPr>
        <w:t>iczaniem wpływu na środowisko, aspektów środowiskowych lub efektywności środowiskowej produktów lub przedsiębiorców, lub dostarczaniem konsumentom obowiązkowych</w:t>
      </w:r>
      <w:r w:rsidR="003F3D2B" w:rsidRPr="00624565">
        <w:rPr>
          <w:noProof/>
        </w:rPr>
        <w:t xml:space="preserve"> i</w:t>
      </w:r>
      <w:r w:rsidR="003F3D2B">
        <w:rPr>
          <w:noProof/>
        </w:rPr>
        <w:t> </w:t>
      </w:r>
      <w:r w:rsidR="003F3D2B" w:rsidRPr="00624565">
        <w:rPr>
          <w:noProof/>
        </w:rPr>
        <w:t>nie</w:t>
      </w:r>
      <w:r w:rsidRPr="00624565">
        <w:rPr>
          <w:noProof/>
        </w:rPr>
        <w:t>obowiązkowych informacji na temat efektywności środowiskowej produktów</w:t>
      </w:r>
      <w:r w:rsidR="003F3D2B" w:rsidRPr="00624565">
        <w:rPr>
          <w:noProof/>
        </w:rPr>
        <w:t xml:space="preserve"> i</w:t>
      </w:r>
      <w:r w:rsidR="003F3D2B">
        <w:rPr>
          <w:noProof/>
        </w:rPr>
        <w:t> </w:t>
      </w:r>
      <w:r w:rsidR="003F3D2B" w:rsidRPr="00624565">
        <w:rPr>
          <w:noProof/>
        </w:rPr>
        <w:t>prz</w:t>
      </w:r>
      <w:r w:rsidRPr="00624565">
        <w:rPr>
          <w:noProof/>
        </w:rPr>
        <w:t>edsiębiorców lub informacji dotyczących zrównoważonego rozwoju obejmujących komunikaty lub oświadczenia, które mogą być obowiązkowe lub dobrowolne zgodnie</w:t>
      </w:r>
      <w:r w:rsidR="003F3D2B" w:rsidRPr="00624565">
        <w:rPr>
          <w:noProof/>
        </w:rPr>
        <w:t xml:space="preserve"> z</w:t>
      </w:r>
      <w:r w:rsidR="003F3D2B">
        <w:rPr>
          <w:noProof/>
        </w:rPr>
        <w:t> </w:t>
      </w:r>
      <w:r w:rsidR="003F3D2B" w:rsidRPr="00624565">
        <w:rPr>
          <w:noProof/>
        </w:rPr>
        <w:t>prz</w:t>
      </w:r>
      <w:r w:rsidRPr="00624565">
        <w:rPr>
          <w:noProof/>
        </w:rPr>
        <w:t>episami Unii.</w:t>
      </w:r>
    </w:p>
    <w:p w14:paraId="02E99AEA" w14:textId="3D43D96F" w:rsidR="000464F8" w:rsidRPr="00624565" w:rsidRDefault="004D161E" w:rsidP="004D161E">
      <w:pPr>
        <w:pStyle w:val="ManualConsidrant"/>
        <w:rPr>
          <w:noProof/>
        </w:rPr>
      </w:pPr>
      <w:r w:rsidRPr="00624565">
        <w:rPr>
          <w:noProof/>
        </w:rPr>
        <w:t>(9)</w:t>
      </w:r>
      <w:r w:rsidRPr="00624565">
        <w:rPr>
          <w:noProof/>
        </w:rPr>
        <w:tab/>
        <w:t>W kontekście Europejskiego Zielonego Ładu, strategii „Od pola do stołu”</w:t>
      </w:r>
      <w:r w:rsidR="003F3D2B" w:rsidRPr="00624565">
        <w:rPr>
          <w:noProof/>
        </w:rPr>
        <w:t xml:space="preserve"> i</w:t>
      </w:r>
      <w:r w:rsidR="003F3D2B">
        <w:rPr>
          <w:noProof/>
        </w:rPr>
        <w:t> </w:t>
      </w:r>
      <w:r w:rsidR="003F3D2B" w:rsidRPr="00624565">
        <w:rPr>
          <w:noProof/>
        </w:rPr>
        <w:t>uni</w:t>
      </w:r>
      <w:r w:rsidRPr="00624565">
        <w:rPr>
          <w:noProof/>
        </w:rPr>
        <w:t>jnej strategii na rzecz bioróżnorodności 2030,</w:t>
      </w:r>
      <w:r w:rsidR="003F3D2B" w:rsidRPr="00624565">
        <w:rPr>
          <w:noProof/>
        </w:rPr>
        <w:t xml:space="preserve"> a</w:t>
      </w:r>
      <w:r w:rsidR="003F3D2B">
        <w:rPr>
          <w:noProof/>
        </w:rPr>
        <w:t> </w:t>
      </w:r>
      <w:r w:rsidR="003F3D2B" w:rsidRPr="00624565">
        <w:rPr>
          <w:noProof/>
        </w:rPr>
        <w:t>tak</w:t>
      </w:r>
      <w:r w:rsidRPr="00624565">
        <w:rPr>
          <w:noProof/>
        </w:rPr>
        <w:t>że zgodnie</w:t>
      </w:r>
      <w:r w:rsidR="003F3D2B" w:rsidRPr="00624565">
        <w:rPr>
          <w:noProof/>
        </w:rPr>
        <w:t xml:space="preserve"> z</w:t>
      </w:r>
      <w:r w:rsidR="003F3D2B">
        <w:rPr>
          <w:noProof/>
        </w:rPr>
        <w:t> </w:t>
      </w:r>
      <w:r w:rsidR="003F3D2B" w:rsidRPr="00624565">
        <w:rPr>
          <w:noProof/>
        </w:rPr>
        <w:t>cel</w:t>
      </w:r>
      <w:r w:rsidRPr="00624565">
        <w:rPr>
          <w:noProof/>
        </w:rPr>
        <w:t xml:space="preserve">em objęcia </w:t>
      </w:r>
      <w:r w:rsidRPr="003F3D2B">
        <w:rPr>
          <w:noProof/>
        </w:rPr>
        <w:t>do</w:t>
      </w:r>
      <w:r w:rsidR="003F3D2B" w:rsidRPr="003F3D2B">
        <w:rPr>
          <w:noProof/>
        </w:rPr>
        <w:t> </w:t>
      </w:r>
      <w:r w:rsidRPr="003F3D2B">
        <w:rPr>
          <w:noProof/>
        </w:rPr>
        <w:t>2</w:t>
      </w:r>
      <w:r w:rsidRPr="00624565">
        <w:rPr>
          <w:noProof/>
        </w:rPr>
        <w:t>0</w:t>
      </w:r>
      <w:r w:rsidRPr="003F3D2B">
        <w:rPr>
          <w:noProof/>
        </w:rPr>
        <w:t>30</w:t>
      </w:r>
      <w:r w:rsidR="003F3D2B" w:rsidRPr="003F3D2B">
        <w:rPr>
          <w:noProof/>
        </w:rPr>
        <w:t> </w:t>
      </w:r>
      <w:r w:rsidRPr="003F3D2B">
        <w:rPr>
          <w:noProof/>
        </w:rPr>
        <w:t>r.</w:t>
      </w:r>
      <w:r w:rsidRPr="00624565">
        <w:rPr>
          <w:noProof/>
        </w:rPr>
        <w:t xml:space="preserve"> co najmniej 2</w:t>
      </w:r>
      <w:r w:rsidRPr="003F3D2B">
        <w:rPr>
          <w:noProof/>
        </w:rPr>
        <w:t>5</w:t>
      </w:r>
      <w:r w:rsidR="003F3D2B" w:rsidRPr="003F3D2B">
        <w:rPr>
          <w:noProof/>
        </w:rPr>
        <w:t> </w:t>
      </w:r>
      <w:r w:rsidRPr="003F3D2B">
        <w:rPr>
          <w:noProof/>
        </w:rPr>
        <w:t>%</w:t>
      </w:r>
      <w:r w:rsidRPr="00624565">
        <w:rPr>
          <w:noProof/>
        </w:rPr>
        <w:t xml:space="preserve"> gruntów rolnych w UE rolnictwem ekologicznym</w:t>
      </w:r>
      <w:r w:rsidR="003F3D2B" w:rsidRPr="00624565">
        <w:rPr>
          <w:noProof/>
        </w:rPr>
        <w:t xml:space="preserve"> i</w:t>
      </w:r>
      <w:r w:rsidR="003F3D2B">
        <w:rPr>
          <w:noProof/>
        </w:rPr>
        <w:t> </w:t>
      </w:r>
      <w:r w:rsidR="003F3D2B" w:rsidRPr="00624565">
        <w:rPr>
          <w:noProof/>
        </w:rPr>
        <w:t>zna</w:t>
      </w:r>
      <w:r w:rsidRPr="00624565">
        <w:rPr>
          <w:noProof/>
        </w:rPr>
        <w:t>cznego wzrostu akwakultury ekologicznej oraz</w:t>
      </w:r>
      <w:r w:rsidR="003F3D2B" w:rsidRPr="00624565">
        <w:rPr>
          <w:noProof/>
        </w:rPr>
        <w:t xml:space="preserve"> z</w:t>
      </w:r>
      <w:r w:rsidR="003F3D2B">
        <w:rPr>
          <w:noProof/>
        </w:rPr>
        <w:t> </w:t>
      </w:r>
      <w:r w:rsidR="003F3D2B" w:rsidRPr="00624565">
        <w:rPr>
          <w:noProof/>
        </w:rPr>
        <w:t>pla</w:t>
      </w:r>
      <w:r w:rsidRPr="00624565">
        <w:rPr>
          <w:noProof/>
        </w:rPr>
        <w:t>nem działania dotyczącym rozwoju produkcji ekologicznej (COM(2021) 141), należy dalej rozwijać rolnictwo ekologiczne</w:t>
      </w:r>
      <w:r w:rsidR="003F3D2B" w:rsidRPr="00624565">
        <w:rPr>
          <w:noProof/>
        </w:rPr>
        <w:t xml:space="preserve"> i</w:t>
      </w:r>
      <w:r w:rsidR="003F3D2B">
        <w:rPr>
          <w:noProof/>
        </w:rPr>
        <w:t> </w:t>
      </w:r>
      <w:r w:rsidR="003F3D2B" w:rsidRPr="00624565">
        <w:rPr>
          <w:noProof/>
        </w:rPr>
        <w:t>pro</w:t>
      </w:r>
      <w:r w:rsidRPr="00624565">
        <w:rPr>
          <w:noProof/>
        </w:rPr>
        <w:t>dukcję ekologiczną</w:t>
      </w:r>
      <w:r w:rsidR="003F3D2B" w:rsidRPr="00624565">
        <w:rPr>
          <w:noProof/>
        </w:rPr>
        <w:t>. W</w:t>
      </w:r>
      <w:r w:rsidR="003F3D2B">
        <w:rPr>
          <w:noProof/>
        </w:rPr>
        <w:t> </w:t>
      </w:r>
      <w:r w:rsidR="003F3D2B" w:rsidRPr="00624565">
        <w:rPr>
          <w:noProof/>
        </w:rPr>
        <w:t>odn</w:t>
      </w:r>
      <w:r w:rsidRPr="00624565">
        <w:rPr>
          <w:noProof/>
        </w:rPr>
        <w:t>iesieniu do rozporządzenia Parlamentu Europejskiego</w:t>
      </w:r>
      <w:r w:rsidR="003F3D2B" w:rsidRPr="00624565">
        <w:rPr>
          <w:noProof/>
        </w:rPr>
        <w:t xml:space="preserve"> i</w:t>
      </w:r>
      <w:r w:rsidR="003F3D2B">
        <w:rPr>
          <w:noProof/>
        </w:rPr>
        <w:t> </w:t>
      </w:r>
      <w:r w:rsidR="003F3D2B" w:rsidRPr="00624565">
        <w:rPr>
          <w:noProof/>
        </w:rPr>
        <w:t>Rad</w:t>
      </w:r>
      <w:r w:rsidRPr="00624565">
        <w:rPr>
          <w:noProof/>
        </w:rPr>
        <w:t>y (UE) 2018/848</w:t>
      </w:r>
      <w:r w:rsidRPr="00624565">
        <w:rPr>
          <w:rStyle w:val="FootnoteReference"/>
          <w:noProof/>
        </w:rPr>
        <w:footnoteReference w:id="74"/>
      </w:r>
      <w:r w:rsidRPr="00624565">
        <w:rPr>
          <w:noProof/>
        </w:rPr>
        <w:t xml:space="preserve"> niniejsza dyrektywa nie powinna mieć zastosowania do oświadczeń środowiskowych dotyczących produktów certyfikowanych jako ekologiczne na podstawie tego rozporządzenia, związanych na przykład ze stosowaniem pestycydów, nawozów</w:t>
      </w:r>
      <w:r w:rsidR="003F3D2B" w:rsidRPr="00624565">
        <w:rPr>
          <w:noProof/>
        </w:rPr>
        <w:t xml:space="preserve"> i</w:t>
      </w:r>
      <w:r w:rsidR="003F3D2B">
        <w:rPr>
          <w:noProof/>
        </w:rPr>
        <w:t> </w:t>
      </w:r>
      <w:r w:rsidR="003F3D2B" w:rsidRPr="00624565">
        <w:rPr>
          <w:noProof/>
        </w:rPr>
        <w:t>śro</w:t>
      </w:r>
      <w:r w:rsidRPr="00624565">
        <w:rPr>
          <w:noProof/>
        </w:rPr>
        <w:t>dków przeciwdrobnoustrojowych lub na przykład</w:t>
      </w:r>
      <w:r w:rsidR="003F3D2B" w:rsidRPr="00624565">
        <w:rPr>
          <w:noProof/>
        </w:rPr>
        <w:t xml:space="preserve"> z</w:t>
      </w:r>
      <w:r w:rsidR="003F3D2B">
        <w:rPr>
          <w:noProof/>
        </w:rPr>
        <w:t> </w:t>
      </w:r>
      <w:r w:rsidR="003F3D2B" w:rsidRPr="00624565">
        <w:rPr>
          <w:noProof/>
        </w:rPr>
        <w:t>poz</w:t>
      </w:r>
      <w:r w:rsidRPr="00624565">
        <w:rPr>
          <w:noProof/>
        </w:rPr>
        <w:t>ytywnym wpływem rolnictwa ekologicznego na różnorodność biologiczną, glebę lub wodę</w:t>
      </w:r>
      <w:r w:rsidRPr="00624565">
        <w:rPr>
          <w:rStyle w:val="FootnoteReference"/>
          <w:rFonts w:eastAsiaTheme="minorEastAsia"/>
          <w:noProof/>
          <w:szCs w:val="24"/>
        </w:rPr>
        <w:footnoteReference w:id="75"/>
      </w:r>
      <w:r w:rsidRPr="00624565">
        <w:rPr>
          <w:noProof/>
        </w:rPr>
        <w:t>. Ma ono również pozytywny wpływ na różnorodność biologiczną, prowadzi do tworzenia miejsca pracy</w:t>
      </w:r>
      <w:r w:rsidR="003F3D2B" w:rsidRPr="00624565">
        <w:rPr>
          <w:noProof/>
        </w:rPr>
        <w:t xml:space="preserve"> i</w:t>
      </w:r>
      <w:r w:rsidR="003F3D2B">
        <w:rPr>
          <w:noProof/>
        </w:rPr>
        <w:t> </w:t>
      </w:r>
      <w:r w:rsidR="003F3D2B" w:rsidRPr="00624565">
        <w:rPr>
          <w:noProof/>
        </w:rPr>
        <w:t>prz</w:t>
      </w:r>
      <w:r w:rsidRPr="00624565">
        <w:rPr>
          <w:noProof/>
        </w:rPr>
        <w:t>yciągnięcia młodych rolników. Konsumenci doceniają jego wartość. Zgodnie</w:t>
      </w:r>
      <w:r w:rsidR="003F3D2B" w:rsidRPr="00624565">
        <w:rPr>
          <w:noProof/>
        </w:rPr>
        <w:t xml:space="preserve"> z</w:t>
      </w:r>
      <w:r w:rsidR="003F3D2B">
        <w:rPr>
          <w:noProof/>
        </w:rPr>
        <w:t> </w:t>
      </w:r>
      <w:r w:rsidR="003F3D2B" w:rsidRPr="00624565">
        <w:rPr>
          <w:noProof/>
        </w:rPr>
        <w:t>roz</w:t>
      </w:r>
      <w:r w:rsidRPr="00624565">
        <w:rPr>
          <w:noProof/>
        </w:rPr>
        <w:t>porządzeniem (UE) 2018/848 terminy „bio” i „eko” oraz ich pochodne, używane samodzielnie lub łącznie, mogą być stosowane na terytorium Unii wyłącznie</w:t>
      </w:r>
      <w:r w:rsidR="003F3D2B" w:rsidRPr="00624565">
        <w:rPr>
          <w:noProof/>
        </w:rPr>
        <w:t xml:space="preserve"> w</w:t>
      </w:r>
      <w:r w:rsidR="003F3D2B">
        <w:rPr>
          <w:noProof/>
        </w:rPr>
        <w:t> </w:t>
      </w:r>
      <w:r w:rsidR="003F3D2B" w:rsidRPr="00624565">
        <w:rPr>
          <w:noProof/>
        </w:rPr>
        <w:t>odn</w:t>
      </w:r>
      <w:r w:rsidRPr="00624565">
        <w:rPr>
          <w:noProof/>
        </w:rPr>
        <w:t>iesieniu do produktów, ich składników lub materiałów paszowych objętych zakresem tego rozporządzenia, jeżeli zostały wyprodukowane zgodnie</w:t>
      </w:r>
      <w:r w:rsidR="003F3D2B" w:rsidRPr="00624565">
        <w:rPr>
          <w:noProof/>
        </w:rPr>
        <w:t xml:space="preserve"> z</w:t>
      </w:r>
      <w:r w:rsidR="003F3D2B">
        <w:rPr>
          <w:noProof/>
        </w:rPr>
        <w:t> </w:t>
      </w:r>
      <w:r w:rsidR="003F3D2B" w:rsidRPr="00624565">
        <w:rPr>
          <w:noProof/>
        </w:rPr>
        <w:t>roz</w:t>
      </w:r>
      <w:r w:rsidRPr="00624565">
        <w:rPr>
          <w:noProof/>
        </w:rPr>
        <w:t>porządzeniem (UE) 2018/848. Przykładowo, aby bawełna mogła nosić nazwę „eko”, musi być certyfikowana jako ekologiczna, ponieważ wchodzi</w:t>
      </w:r>
      <w:r w:rsidR="003F3D2B" w:rsidRPr="00624565">
        <w:rPr>
          <w:noProof/>
        </w:rPr>
        <w:t xml:space="preserve"> w</w:t>
      </w:r>
      <w:r w:rsidR="003F3D2B">
        <w:rPr>
          <w:noProof/>
        </w:rPr>
        <w:t> </w:t>
      </w:r>
      <w:r w:rsidR="003F3D2B" w:rsidRPr="00624565">
        <w:rPr>
          <w:noProof/>
        </w:rPr>
        <w:t>zak</w:t>
      </w:r>
      <w:r w:rsidRPr="00624565">
        <w:rPr>
          <w:noProof/>
        </w:rPr>
        <w:t>res rozporządzenia (UE) 2018/848. Natomiast jeśli detergent do zmywarki nosi nazwę „eko”, to nie wchodzi</w:t>
      </w:r>
      <w:r w:rsidR="003F3D2B" w:rsidRPr="00624565">
        <w:rPr>
          <w:noProof/>
        </w:rPr>
        <w:t xml:space="preserve"> w</w:t>
      </w:r>
      <w:r w:rsidR="003F3D2B">
        <w:rPr>
          <w:noProof/>
        </w:rPr>
        <w:t> </w:t>
      </w:r>
      <w:r w:rsidR="003F3D2B" w:rsidRPr="00624565">
        <w:rPr>
          <w:noProof/>
        </w:rPr>
        <w:t>zak</w:t>
      </w:r>
      <w:r w:rsidRPr="00624565">
        <w:rPr>
          <w:noProof/>
        </w:rPr>
        <w:t>res rozporządzenia (UE) 2018/848</w:t>
      </w:r>
      <w:r w:rsidR="003F3D2B" w:rsidRPr="00624565">
        <w:rPr>
          <w:noProof/>
        </w:rPr>
        <w:t xml:space="preserve"> i</w:t>
      </w:r>
      <w:r w:rsidR="003F3D2B">
        <w:rPr>
          <w:noProof/>
        </w:rPr>
        <w:t> </w:t>
      </w:r>
      <w:r w:rsidR="003F3D2B" w:rsidRPr="00624565">
        <w:rPr>
          <w:noProof/>
        </w:rPr>
        <w:t>jes</w:t>
      </w:r>
      <w:r w:rsidRPr="00624565">
        <w:rPr>
          <w:noProof/>
        </w:rPr>
        <w:t>t regulowany przepisami dyrektywy 2005/29/WE.</w:t>
      </w:r>
    </w:p>
    <w:p w14:paraId="56E8C3F8" w14:textId="27AB4C9E" w:rsidR="000464F8" w:rsidRPr="00624565" w:rsidRDefault="004D161E" w:rsidP="004D161E">
      <w:pPr>
        <w:pStyle w:val="ManualConsidrant"/>
        <w:rPr>
          <w:noProof/>
        </w:rPr>
      </w:pPr>
      <w:r w:rsidRPr="00624565">
        <w:rPr>
          <w:noProof/>
        </w:rPr>
        <w:t>(10)</w:t>
      </w:r>
      <w:r w:rsidRPr="00624565">
        <w:rPr>
          <w:noProof/>
        </w:rPr>
        <w:tab/>
        <w:t>Ponadto niniejsza dyrektywa nie ma zastosowania do informacji na temat zrównoważonego rozwoju obejmujących komunikaty lub oświadczenia, które mogą być obowiązkowe lub dobrowolne zgodnie</w:t>
      </w:r>
      <w:r w:rsidR="003F3D2B" w:rsidRPr="00624565">
        <w:rPr>
          <w:noProof/>
        </w:rPr>
        <w:t xml:space="preserve"> z</w:t>
      </w:r>
      <w:r w:rsidR="003F3D2B">
        <w:rPr>
          <w:noProof/>
        </w:rPr>
        <w:t> </w:t>
      </w:r>
      <w:r w:rsidR="003F3D2B" w:rsidRPr="00624565">
        <w:rPr>
          <w:noProof/>
        </w:rPr>
        <w:t>prz</w:t>
      </w:r>
      <w:r w:rsidRPr="00624565">
        <w:rPr>
          <w:noProof/>
        </w:rPr>
        <w:t>episami Unii lub przepisami krajowymi dotyczącymi usług finansowych, takimi jak przepisy dotyczące bankowości, kredytów, ubezpieczeń</w:t>
      </w:r>
      <w:r w:rsidR="003F3D2B" w:rsidRPr="00624565">
        <w:rPr>
          <w:noProof/>
        </w:rPr>
        <w:t xml:space="preserve"> i</w:t>
      </w:r>
      <w:r w:rsidR="003F3D2B">
        <w:rPr>
          <w:noProof/>
        </w:rPr>
        <w:t> </w:t>
      </w:r>
      <w:r w:rsidR="003F3D2B" w:rsidRPr="00624565">
        <w:rPr>
          <w:noProof/>
        </w:rPr>
        <w:t>rea</w:t>
      </w:r>
      <w:r w:rsidRPr="00624565">
        <w:rPr>
          <w:noProof/>
        </w:rPr>
        <w:t>sekuracji, emerytur pracowniczych lub indywidualnych, papierów wartościowych, funduszy inwestycyjnych, firm inwestycyjnych, płatności, zarządzania portfelem</w:t>
      </w:r>
      <w:r w:rsidR="003F3D2B" w:rsidRPr="00624565">
        <w:rPr>
          <w:noProof/>
        </w:rPr>
        <w:t xml:space="preserve"> i</w:t>
      </w:r>
      <w:r w:rsidR="003F3D2B">
        <w:rPr>
          <w:noProof/>
        </w:rPr>
        <w:t> </w:t>
      </w:r>
      <w:r w:rsidR="003F3D2B" w:rsidRPr="00624565">
        <w:rPr>
          <w:noProof/>
        </w:rPr>
        <w:t>dor</w:t>
      </w:r>
      <w:r w:rsidRPr="00624565">
        <w:rPr>
          <w:noProof/>
        </w:rPr>
        <w:t>adztwa inwestycyjnego,</w:t>
      </w:r>
      <w:r w:rsidR="003F3D2B" w:rsidRPr="00624565">
        <w:rPr>
          <w:noProof/>
        </w:rPr>
        <w:t xml:space="preserve"> w</w:t>
      </w:r>
      <w:r w:rsidR="003F3D2B">
        <w:rPr>
          <w:noProof/>
        </w:rPr>
        <w:t> </w:t>
      </w:r>
      <w:r w:rsidR="003F3D2B" w:rsidRPr="00624565">
        <w:rPr>
          <w:noProof/>
        </w:rPr>
        <w:t>tym</w:t>
      </w:r>
      <w:r w:rsidRPr="00624565">
        <w:rPr>
          <w:noProof/>
        </w:rPr>
        <w:t xml:space="preserve"> usług wymienionych</w:t>
      </w:r>
      <w:r w:rsidR="003F3D2B" w:rsidRPr="00624565">
        <w:rPr>
          <w:noProof/>
        </w:rPr>
        <w:t xml:space="preserve"> w</w:t>
      </w:r>
      <w:r w:rsidR="003F3D2B">
        <w:rPr>
          <w:noProof/>
        </w:rPr>
        <w:t> </w:t>
      </w:r>
      <w:r w:rsidR="003F3D2B" w:rsidRPr="00624565">
        <w:rPr>
          <w:noProof/>
        </w:rPr>
        <w:t>zał</w:t>
      </w:r>
      <w:r w:rsidRPr="00624565">
        <w:rPr>
          <w:noProof/>
        </w:rPr>
        <w:t>ączniku I do dyrektywy Parlamentu Europejskiego</w:t>
      </w:r>
      <w:r w:rsidR="003F3D2B" w:rsidRPr="00624565">
        <w:rPr>
          <w:noProof/>
        </w:rPr>
        <w:t xml:space="preserve"> i</w:t>
      </w:r>
      <w:r w:rsidR="003F3D2B">
        <w:rPr>
          <w:noProof/>
        </w:rPr>
        <w:t> </w:t>
      </w:r>
      <w:r w:rsidR="003F3D2B" w:rsidRPr="00624565">
        <w:rPr>
          <w:noProof/>
        </w:rPr>
        <w:t>Rad</w:t>
      </w:r>
      <w:r w:rsidRPr="00624565">
        <w:rPr>
          <w:noProof/>
        </w:rPr>
        <w:t>y 2013/36/UE</w:t>
      </w:r>
      <w:r w:rsidRPr="00624565">
        <w:rPr>
          <w:rStyle w:val="FootnoteReference"/>
          <w:noProof/>
        </w:rPr>
        <w:footnoteReference w:id="76"/>
      </w:r>
      <w:r w:rsidRPr="00624565">
        <w:rPr>
          <w:noProof/>
        </w:rPr>
        <w:t>,</w:t>
      </w:r>
      <w:r w:rsidR="003F3D2B" w:rsidRPr="00624565">
        <w:rPr>
          <w:noProof/>
        </w:rPr>
        <w:t xml:space="preserve"> a</w:t>
      </w:r>
      <w:r w:rsidR="003F3D2B">
        <w:rPr>
          <w:noProof/>
        </w:rPr>
        <w:t> </w:t>
      </w:r>
      <w:r w:rsidR="003F3D2B" w:rsidRPr="00624565">
        <w:rPr>
          <w:noProof/>
        </w:rPr>
        <w:t>tak</w:t>
      </w:r>
      <w:r w:rsidRPr="00624565">
        <w:rPr>
          <w:noProof/>
        </w:rPr>
        <w:t>że działalności rozrachunkowej</w:t>
      </w:r>
      <w:r w:rsidR="003F3D2B" w:rsidRPr="00624565">
        <w:rPr>
          <w:noProof/>
        </w:rPr>
        <w:t xml:space="preserve"> i</w:t>
      </w:r>
      <w:r w:rsidR="003F3D2B">
        <w:rPr>
          <w:noProof/>
        </w:rPr>
        <w:t> </w:t>
      </w:r>
      <w:r w:rsidR="003F3D2B" w:rsidRPr="00624565">
        <w:rPr>
          <w:noProof/>
        </w:rPr>
        <w:t>roz</w:t>
      </w:r>
      <w:r w:rsidRPr="00624565">
        <w:rPr>
          <w:noProof/>
        </w:rPr>
        <w:t>liczeniowej oraz doradztwa, pośrednictwa</w:t>
      </w:r>
      <w:r w:rsidR="003F3D2B" w:rsidRPr="00624565">
        <w:rPr>
          <w:noProof/>
        </w:rPr>
        <w:t xml:space="preserve"> i</w:t>
      </w:r>
      <w:r w:rsidR="003F3D2B">
        <w:rPr>
          <w:noProof/>
        </w:rPr>
        <w:t> </w:t>
      </w:r>
      <w:r w:rsidR="003F3D2B" w:rsidRPr="00624565">
        <w:rPr>
          <w:noProof/>
        </w:rPr>
        <w:t>inn</w:t>
      </w:r>
      <w:r w:rsidRPr="00624565">
        <w:rPr>
          <w:noProof/>
        </w:rPr>
        <w:t>ych pomocniczych usług finansowych,</w:t>
      </w:r>
      <w:r w:rsidR="003F3D2B" w:rsidRPr="00624565">
        <w:rPr>
          <w:noProof/>
        </w:rPr>
        <w:t xml:space="preserve"> w</w:t>
      </w:r>
      <w:r w:rsidR="003F3D2B">
        <w:rPr>
          <w:noProof/>
        </w:rPr>
        <w:t> </w:t>
      </w:r>
      <w:r w:rsidR="003F3D2B" w:rsidRPr="00624565">
        <w:rPr>
          <w:noProof/>
        </w:rPr>
        <w:t>tym</w:t>
      </w:r>
      <w:r w:rsidRPr="00624565">
        <w:rPr>
          <w:noProof/>
        </w:rPr>
        <w:t xml:space="preserve"> norm lub systemów certyfikacji dotyczących takich usług finansowych.</w:t>
      </w:r>
    </w:p>
    <w:p w14:paraId="3AB2ED71" w14:textId="6C148F2C" w:rsidR="000464F8" w:rsidRPr="00624565" w:rsidRDefault="004D161E" w:rsidP="004D161E">
      <w:pPr>
        <w:pStyle w:val="ManualConsidrant"/>
        <w:rPr>
          <w:noProof/>
        </w:rPr>
      </w:pPr>
      <w:r w:rsidRPr="00624565">
        <w:rPr>
          <w:noProof/>
        </w:rPr>
        <w:t>(11)</w:t>
      </w:r>
      <w:r w:rsidRPr="00624565">
        <w:rPr>
          <w:noProof/>
        </w:rPr>
        <w:tab/>
        <w:t>Ponadto niniejsza dyrektywa nie powinna mieć zastosowania do informacji dotyczących środowiska zgłaszanych przez przedsiębiorstwa stosujące obowiązkowo lub dobrowolnie europejskie standardy sprawozdawczości</w:t>
      </w:r>
      <w:r w:rsidR="003F3D2B" w:rsidRPr="00624565">
        <w:rPr>
          <w:noProof/>
        </w:rPr>
        <w:t xml:space="preserve"> w</w:t>
      </w:r>
      <w:r w:rsidR="003F3D2B">
        <w:rPr>
          <w:noProof/>
        </w:rPr>
        <w:t> </w:t>
      </w:r>
      <w:r w:rsidR="003F3D2B" w:rsidRPr="00624565">
        <w:rPr>
          <w:noProof/>
        </w:rPr>
        <w:t>zak</w:t>
      </w:r>
      <w:r w:rsidRPr="00624565">
        <w:rPr>
          <w:noProof/>
        </w:rPr>
        <w:t>resie zrównoważonego rozwoju zgodnie</w:t>
      </w:r>
      <w:r w:rsidR="003F3D2B" w:rsidRPr="00624565">
        <w:rPr>
          <w:noProof/>
        </w:rPr>
        <w:t xml:space="preserve"> z</w:t>
      </w:r>
      <w:r w:rsidR="003F3D2B">
        <w:rPr>
          <w:noProof/>
        </w:rPr>
        <w:t> </w:t>
      </w:r>
      <w:r w:rsidR="003F3D2B" w:rsidRPr="00624565">
        <w:rPr>
          <w:noProof/>
        </w:rPr>
        <w:t>dyr</w:t>
      </w:r>
      <w:r w:rsidRPr="00624565">
        <w:rPr>
          <w:noProof/>
        </w:rPr>
        <w:t>ektywą 2013/34/UE</w:t>
      </w:r>
      <w:r w:rsidRPr="00624565">
        <w:rPr>
          <w:rStyle w:val="FootnoteReference"/>
          <w:noProof/>
        </w:rPr>
        <w:footnoteReference w:id="77"/>
      </w:r>
      <w:r w:rsidRPr="00624565">
        <w:rPr>
          <w:noProof/>
        </w:rPr>
        <w:t xml:space="preserve"> oraz informacji na temat zrównoważonego rozwoju zgłaszanych dobrowolnie przez </w:t>
      </w:r>
      <w:r w:rsidRPr="00624565">
        <w:rPr>
          <w:noProof/>
          <w:sz w:val="22"/>
        </w:rPr>
        <w:t>przedsiębiorstwa określone</w:t>
      </w:r>
      <w:r w:rsidR="003F3D2B" w:rsidRPr="00624565">
        <w:rPr>
          <w:noProof/>
          <w:sz w:val="22"/>
        </w:rPr>
        <w:t xml:space="preserve"> w</w:t>
      </w:r>
      <w:r w:rsidR="003F3D2B">
        <w:rPr>
          <w:noProof/>
          <w:sz w:val="22"/>
        </w:rPr>
        <w:t> </w:t>
      </w:r>
      <w:r w:rsidR="003F3D2B" w:rsidRPr="003F3D2B">
        <w:rPr>
          <w:noProof/>
          <w:sz w:val="22"/>
        </w:rPr>
        <w:t>art</w:t>
      </w:r>
      <w:r w:rsidRPr="003F3D2B">
        <w:rPr>
          <w:noProof/>
          <w:sz w:val="22"/>
        </w:rPr>
        <w:t>.</w:t>
      </w:r>
      <w:r w:rsidR="003F3D2B" w:rsidRPr="003F3D2B">
        <w:rPr>
          <w:noProof/>
          <w:sz w:val="22"/>
        </w:rPr>
        <w:t> </w:t>
      </w:r>
      <w:r w:rsidRPr="003F3D2B">
        <w:rPr>
          <w:noProof/>
          <w:sz w:val="22"/>
        </w:rPr>
        <w:t>3</w:t>
      </w:r>
      <w:r w:rsidRPr="00624565">
        <w:rPr>
          <w:noProof/>
          <w:sz w:val="22"/>
        </w:rPr>
        <w:t xml:space="preserve"> </w:t>
      </w:r>
      <w:r w:rsidRPr="003F3D2B">
        <w:rPr>
          <w:noProof/>
          <w:sz w:val="22"/>
        </w:rPr>
        <w:t>ust.</w:t>
      </w:r>
      <w:r w:rsidR="003F3D2B" w:rsidRPr="003F3D2B">
        <w:rPr>
          <w:noProof/>
          <w:sz w:val="22"/>
        </w:rPr>
        <w:t> </w:t>
      </w:r>
      <w:r w:rsidRPr="003F3D2B">
        <w:rPr>
          <w:noProof/>
          <w:sz w:val="22"/>
        </w:rPr>
        <w:t>1</w:t>
      </w:r>
      <w:r w:rsidRPr="00624565">
        <w:rPr>
          <w:noProof/>
          <w:sz w:val="22"/>
        </w:rPr>
        <w:t xml:space="preserve">, 2 </w:t>
      </w:r>
      <w:r w:rsidRPr="003F3D2B">
        <w:rPr>
          <w:noProof/>
          <w:sz w:val="22"/>
        </w:rPr>
        <w:t>lub</w:t>
      </w:r>
      <w:r w:rsidR="003F3D2B" w:rsidRPr="003F3D2B">
        <w:rPr>
          <w:noProof/>
          <w:sz w:val="22"/>
        </w:rPr>
        <w:t> </w:t>
      </w:r>
      <w:r w:rsidRPr="003F3D2B">
        <w:rPr>
          <w:noProof/>
          <w:sz w:val="22"/>
        </w:rPr>
        <w:t>3</w:t>
      </w:r>
      <w:r w:rsidRPr="00624565">
        <w:rPr>
          <w:noProof/>
          <w:sz w:val="22"/>
        </w:rPr>
        <w:t xml:space="preserve"> niniejszej dyrektywy</w:t>
      </w:r>
      <w:r w:rsidRPr="00624565">
        <w:rPr>
          <w:noProof/>
        </w:rPr>
        <w:t>, jeżeli informacje te są zgłaszane zgodnie ze standardami,</w:t>
      </w:r>
      <w:r w:rsidR="003F3D2B" w:rsidRPr="00624565">
        <w:rPr>
          <w:noProof/>
        </w:rPr>
        <w:t xml:space="preserve"> o</w:t>
      </w:r>
      <w:r w:rsidR="003F3D2B">
        <w:rPr>
          <w:noProof/>
        </w:rPr>
        <w:t> </w:t>
      </w:r>
      <w:r w:rsidR="003F3D2B" w:rsidRPr="00624565">
        <w:rPr>
          <w:noProof/>
        </w:rPr>
        <w:t>któ</w:t>
      </w:r>
      <w:r w:rsidRPr="00624565">
        <w:rPr>
          <w:noProof/>
        </w:rPr>
        <w:t>rych mowa</w:t>
      </w:r>
      <w:r w:rsidR="003F3D2B" w:rsidRPr="00624565">
        <w:rPr>
          <w:noProof/>
        </w:rPr>
        <w:t xml:space="preserve"> w</w:t>
      </w:r>
      <w:r w:rsidR="003F3D2B">
        <w:rPr>
          <w:noProof/>
        </w:rPr>
        <w:t> </w:t>
      </w:r>
      <w:r w:rsidR="003F3D2B" w:rsidRPr="003F3D2B">
        <w:rPr>
          <w:noProof/>
        </w:rPr>
        <w:t>art</w:t>
      </w:r>
      <w:r w:rsidRPr="003F3D2B">
        <w:rPr>
          <w:noProof/>
        </w:rPr>
        <w:t>.</w:t>
      </w:r>
      <w:r w:rsidR="003F3D2B" w:rsidRPr="003F3D2B">
        <w:rPr>
          <w:noProof/>
        </w:rPr>
        <w:t> </w:t>
      </w:r>
      <w:r w:rsidRPr="003F3D2B">
        <w:rPr>
          <w:noProof/>
        </w:rPr>
        <w:t>2</w:t>
      </w:r>
      <w:r w:rsidRPr="00624565">
        <w:rPr>
          <w:noProof/>
        </w:rPr>
        <w:t xml:space="preserve">9b </w:t>
      </w:r>
      <w:r w:rsidRPr="003F3D2B">
        <w:rPr>
          <w:noProof/>
        </w:rPr>
        <w:t>lub</w:t>
      </w:r>
      <w:r w:rsidR="003F3D2B" w:rsidRPr="003F3D2B">
        <w:rPr>
          <w:noProof/>
        </w:rPr>
        <w:t> </w:t>
      </w:r>
      <w:r w:rsidRPr="003F3D2B">
        <w:rPr>
          <w:noProof/>
        </w:rPr>
        <w:t>2</w:t>
      </w:r>
      <w:r w:rsidRPr="00624565">
        <w:rPr>
          <w:noProof/>
        </w:rPr>
        <w:t>9c dyrektywy 2013/34/UE, lub zgodnie</w:t>
      </w:r>
      <w:r w:rsidR="003F3D2B" w:rsidRPr="00624565">
        <w:rPr>
          <w:noProof/>
        </w:rPr>
        <w:t xml:space="preserve"> z</w:t>
      </w:r>
      <w:r w:rsidR="003F3D2B">
        <w:rPr>
          <w:noProof/>
        </w:rPr>
        <w:t> </w:t>
      </w:r>
      <w:r w:rsidR="003F3D2B" w:rsidRPr="00624565">
        <w:rPr>
          <w:noProof/>
        </w:rPr>
        <w:t>inn</w:t>
      </w:r>
      <w:r w:rsidRPr="00624565">
        <w:rPr>
          <w:noProof/>
        </w:rPr>
        <w:t>ymi międzynarodowymi, europejskimi lub krajowymi standardami lub wytycznymi dotyczącymi sprawozdawczości</w:t>
      </w:r>
      <w:r w:rsidR="003F3D2B" w:rsidRPr="00624565">
        <w:rPr>
          <w:noProof/>
        </w:rPr>
        <w:t xml:space="preserve"> w</w:t>
      </w:r>
      <w:r w:rsidR="003F3D2B">
        <w:rPr>
          <w:noProof/>
        </w:rPr>
        <w:t> </w:t>
      </w:r>
      <w:r w:rsidR="003F3D2B" w:rsidRPr="00624565">
        <w:rPr>
          <w:noProof/>
        </w:rPr>
        <w:t>zak</w:t>
      </w:r>
      <w:r w:rsidRPr="00624565">
        <w:rPr>
          <w:noProof/>
        </w:rPr>
        <w:t>resie zrównoważonego rozwoju.</w:t>
      </w:r>
    </w:p>
    <w:p w14:paraId="7D4BEB8D" w14:textId="41F9EA86" w:rsidR="000464F8" w:rsidRPr="00624565" w:rsidRDefault="004D161E" w:rsidP="004D161E">
      <w:pPr>
        <w:pStyle w:val="ManualConsidrant"/>
        <w:rPr>
          <w:noProof/>
        </w:rPr>
      </w:pPr>
      <w:r w:rsidRPr="00624565">
        <w:rPr>
          <w:noProof/>
        </w:rPr>
        <w:t>(12)</w:t>
      </w:r>
      <w:r w:rsidRPr="00624565">
        <w:rPr>
          <w:noProof/>
        </w:rPr>
        <w:tab/>
        <w:t>Oferty dotyczące zakupu towarów lub korzystania</w:t>
      </w:r>
      <w:r w:rsidR="003F3D2B" w:rsidRPr="00624565">
        <w:rPr>
          <w:noProof/>
        </w:rPr>
        <w:t xml:space="preserve"> z</w:t>
      </w:r>
      <w:r w:rsidR="003F3D2B">
        <w:rPr>
          <w:noProof/>
        </w:rPr>
        <w:t> </w:t>
      </w:r>
      <w:r w:rsidR="003F3D2B" w:rsidRPr="00624565">
        <w:rPr>
          <w:noProof/>
        </w:rPr>
        <w:t>usł</w:t>
      </w:r>
      <w:r w:rsidRPr="00624565">
        <w:rPr>
          <w:noProof/>
        </w:rPr>
        <w:t>ug uzależnione od spełnienia kryteriów środowiskowych określonych przez sprzedawcę lub usługodawcę lub oferty,</w:t>
      </w:r>
      <w:r w:rsidR="003F3D2B" w:rsidRPr="00624565">
        <w:rPr>
          <w:noProof/>
        </w:rPr>
        <w:t xml:space="preserve"> w</w:t>
      </w:r>
      <w:r w:rsidR="003F3D2B">
        <w:rPr>
          <w:noProof/>
        </w:rPr>
        <w:t> </w:t>
      </w:r>
      <w:r w:rsidR="003F3D2B" w:rsidRPr="00624565">
        <w:rPr>
          <w:noProof/>
        </w:rPr>
        <w:t>ram</w:t>
      </w:r>
      <w:r w:rsidRPr="00624565">
        <w:rPr>
          <w:noProof/>
        </w:rPr>
        <w:t>ach których konsumenci otrzymują korzystniejsze warunki umowne lub ceny po spełnieniu takich kryteriów, na przykład tak zwane kredyty ekologiczne, ekologiczne ubezpieczenia mieszkań lub produkty usług finansowych</w:t>
      </w:r>
      <w:r w:rsidR="003F3D2B" w:rsidRPr="00624565">
        <w:rPr>
          <w:noProof/>
        </w:rPr>
        <w:t xml:space="preserve"> z</w:t>
      </w:r>
      <w:r w:rsidR="003F3D2B">
        <w:rPr>
          <w:noProof/>
        </w:rPr>
        <w:t> </w:t>
      </w:r>
      <w:r w:rsidR="003F3D2B" w:rsidRPr="00624565">
        <w:rPr>
          <w:noProof/>
        </w:rPr>
        <w:t>pod</w:t>
      </w:r>
      <w:r w:rsidRPr="00624565">
        <w:rPr>
          <w:noProof/>
        </w:rPr>
        <w:t xml:space="preserve">obnymi premiami za działania lub zachowania na rzecz środowiska, nie powinny podlegać przepisom niniejszej dyrektywy. </w:t>
      </w:r>
    </w:p>
    <w:p w14:paraId="649888D1" w14:textId="6D49EF5C" w:rsidR="000464F8" w:rsidRPr="00624565" w:rsidRDefault="004D161E" w:rsidP="004D161E">
      <w:pPr>
        <w:pStyle w:val="ManualConsidrant"/>
        <w:rPr>
          <w:noProof/>
        </w:rPr>
      </w:pPr>
      <w:r w:rsidRPr="00624565">
        <w:rPr>
          <w:noProof/>
        </w:rPr>
        <w:t>(13)</w:t>
      </w:r>
      <w:r w:rsidRPr="00624565">
        <w:rPr>
          <w:noProof/>
        </w:rPr>
        <w:tab/>
        <w:t>W przypadku gdy</w:t>
      </w:r>
      <w:r w:rsidR="003F3D2B" w:rsidRPr="00624565">
        <w:rPr>
          <w:noProof/>
        </w:rPr>
        <w:t xml:space="preserve"> w</w:t>
      </w:r>
      <w:r w:rsidR="003F3D2B">
        <w:rPr>
          <w:noProof/>
        </w:rPr>
        <w:t> </w:t>
      </w:r>
      <w:r w:rsidR="003F3D2B" w:rsidRPr="00624565">
        <w:rPr>
          <w:noProof/>
        </w:rPr>
        <w:t>prz</w:t>
      </w:r>
      <w:r w:rsidRPr="00624565">
        <w:rPr>
          <w:noProof/>
        </w:rPr>
        <w:t>yszłych przepisach Unii określone zostaną zasady dotyczące oświadczeń środowiskowych, oznakowań ekologicznych lub oceny wpływu na środowisko, aspektów środowiskowych lub efektywności środowiskowej niektórych produktów lub przedsiębiorców</w:t>
      </w:r>
      <w:r w:rsidR="003F3D2B" w:rsidRPr="00624565">
        <w:rPr>
          <w:noProof/>
        </w:rPr>
        <w:t xml:space="preserve"> w</w:t>
      </w:r>
      <w:r w:rsidR="003F3D2B">
        <w:rPr>
          <w:noProof/>
        </w:rPr>
        <w:t> </w:t>
      </w:r>
      <w:r w:rsidR="003F3D2B" w:rsidRPr="00624565">
        <w:rPr>
          <w:noProof/>
        </w:rPr>
        <w:t>okr</w:t>
      </w:r>
      <w:r w:rsidRPr="00624565">
        <w:rPr>
          <w:noProof/>
        </w:rPr>
        <w:t>eślonych sektorach lub informowania</w:t>
      </w:r>
      <w:r w:rsidR="003F3D2B" w:rsidRPr="00624565">
        <w:rPr>
          <w:noProof/>
        </w:rPr>
        <w:t xml:space="preserve"> o</w:t>
      </w:r>
      <w:r w:rsidR="003F3D2B">
        <w:rPr>
          <w:noProof/>
        </w:rPr>
        <w:t> </w:t>
      </w:r>
      <w:r w:rsidR="003F3D2B" w:rsidRPr="00624565">
        <w:rPr>
          <w:noProof/>
        </w:rPr>
        <w:t>nic</w:t>
      </w:r>
      <w:r w:rsidRPr="00624565">
        <w:rPr>
          <w:noProof/>
        </w:rPr>
        <w:t>h, np.</w:t>
      </w:r>
      <w:r w:rsidR="003F3D2B" w:rsidRPr="00624565">
        <w:rPr>
          <w:noProof/>
        </w:rPr>
        <w:t xml:space="preserve"> w</w:t>
      </w:r>
      <w:r w:rsidR="003F3D2B">
        <w:rPr>
          <w:noProof/>
        </w:rPr>
        <w:t> </w:t>
      </w:r>
      <w:r w:rsidR="003F3D2B" w:rsidRPr="00624565">
        <w:rPr>
          <w:noProof/>
        </w:rPr>
        <w:t>zap</w:t>
      </w:r>
      <w:r w:rsidRPr="00624565">
        <w:rPr>
          <w:noProof/>
        </w:rPr>
        <w:t>owiedzianej inicjatywie „CountEmissions EU”, przygotowywanym wniosku Komisji</w:t>
      </w:r>
      <w:r w:rsidR="003F3D2B" w:rsidRPr="00624565">
        <w:rPr>
          <w:noProof/>
        </w:rPr>
        <w:t xml:space="preserve"> w</w:t>
      </w:r>
      <w:r w:rsidR="003F3D2B">
        <w:rPr>
          <w:noProof/>
        </w:rPr>
        <w:t> </w:t>
      </w:r>
      <w:r w:rsidR="003F3D2B" w:rsidRPr="00624565">
        <w:rPr>
          <w:noProof/>
        </w:rPr>
        <w:t>spr</w:t>
      </w:r>
      <w:r w:rsidRPr="00624565">
        <w:rPr>
          <w:noProof/>
        </w:rPr>
        <w:t>awie ram legislacyjnych dotyczących unijnego zrównoważonego systemu żywnościowego, rozporządzeniu</w:t>
      </w:r>
      <w:r w:rsidR="003F3D2B" w:rsidRPr="00624565">
        <w:rPr>
          <w:noProof/>
        </w:rPr>
        <w:t xml:space="preserve"> w</w:t>
      </w:r>
      <w:r w:rsidR="003F3D2B">
        <w:rPr>
          <w:noProof/>
        </w:rPr>
        <w:t> </w:t>
      </w:r>
      <w:r w:rsidR="003F3D2B" w:rsidRPr="00624565">
        <w:rPr>
          <w:noProof/>
        </w:rPr>
        <w:t>spr</w:t>
      </w:r>
      <w:r w:rsidRPr="00624565">
        <w:rPr>
          <w:noProof/>
        </w:rPr>
        <w:t>awie ekoprojektu dla zrównoważonych produktów</w:t>
      </w:r>
      <w:r w:rsidRPr="00624565">
        <w:rPr>
          <w:rStyle w:val="FootnoteReference"/>
          <w:noProof/>
        </w:rPr>
        <w:footnoteReference w:id="78"/>
      </w:r>
      <w:r w:rsidRPr="00624565">
        <w:rPr>
          <w:noProof/>
        </w:rPr>
        <w:t xml:space="preserve"> lub rozporządzeniu Parlamentu Europejskiego</w:t>
      </w:r>
      <w:r w:rsidR="003F3D2B" w:rsidRPr="00624565">
        <w:rPr>
          <w:noProof/>
        </w:rPr>
        <w:t xml:space="preserve"> i</w:t>
      </w:r>
      <w:r w:rsidR="003F3D2B">
        <w:rPr>
          <w:noProof/>
        </w:rPr>
        <w:t> </w:t>
      </w:r>
      <w:r w:rsidR="003F3D2B" w:rsidRPr="00624565">
        <w:rPr>
          <w:noProof/>
        </w:rPr>
        <w:t>Rad</w:t>
      </w:r>
      <w:r w:rsidRPr="00624565">
        <w:rPr>
          <w:noProof/>
        </w:rPr>
        <w:t xml:space="preserve">y (UE) </w:t>
      </w:r>
      <w:r w:rsidRPr="003F3D2B">
        <w:rPr>
          <w:noProof/>
        </w:rPr>
        <w:t>nr</w:t>
      </w:r>
      <w:r w:rsidR="003F3D2B" w:rsidRPr="003F3D2B">
        <w:rPr>
          <w:noProof/>
        </w:rPr>
        <w:t> </w:t>
      </w:r>
      <w:r w:rsidRPr="003F3D2B">
        <w:rPr>
          <w:noProof/>
        </w:rPr>
        <w:t>1</w:t>
      </w:r>
      <w:r w:rsidRPr="00624565">
        <w:rPr>
          <w:noProof/>
        </w:rPr>
        <w:t>007/2011</w:t>
      </w:r>
      <w:r w:rsidRPr="00624565">
        <w:rPr>
          <w:rStyle w:val="FootnoteReference"/>
          <w:noProof/>
        </w:rPr>
        <w:footnoteReference w:id="79"/>
      </w:r>
      <w:r w:rsidRPr="00624565">
        <w:rPr>
          <w:noProof/>
        </w:rPr>
        <w:t>, to właśnie te zasady,</w:t>
      </w:r>
      <w:r w:rsidR="003F3D2B" w:rsidRPr="00624565">
        <w:rPr>
          <w:noProof/>
        </w:rPr>
        <w:t xml:space="preserve"> a</w:t>
      </w:r>
      <w:r w:rsidR="003F3D2B">
        <w:rPr>
          <w:noProof/>
        </w:rPr>
        <w:t> </w:t>
      </w:r>
      <w:r w:rsidR="003F3D2B" w:rsidRPr="00624565">
        <w:rPr>
          <w:noProof/>
        </w:rPr>
        <w:t>nie</w:t>
      </w:r>
      <w:r w:rsidRPr="00624565">
        <w:rPr>
          <w:noProof/>
        </w:rPr>
        <w:t xml:space="preserve"> zasady określone</w:t>
      </w:r>
      <w:r w:rsidR="003F3D2B" w:rsidRPr="00624565">
        <w:rPr>
          <w:noProof/>
        </w:rPr>
        <w:t xml:space="preserve"> w</w:t>
      </w:r>
      <w:r w:rsidR="003F3D2B">
        <w:rPr>
          <w:noProof/>
        </w:rPr>
        <w:t> </w:t>
      </w:r>
      <w:r w:rsidR="003F3D2B" w:rsidRPr="00624565">
        <w:rPr>
          <w:noProof/>
        </w:rPr>
        <w:t>nin</w:t>
      </w:r>
      <w:r w:rsidRPr="00624565">
        <w:rPr>
          <w:noProof/>
        </w:rPr>
        <w:t xml:space="preserve">iejszej dyrektywie, powinny mieć zastosowanie do przedmiotowych wyraźnych oświadczeń środowiskowych. </w:t>
      </w:r>
    </w:p>
    <w:p w14:paraId="4AC598DC" w14:textId="4693A565" w:rsidR="000464F8" w:rsidRPr="00624565" w:rsidRDefault="004D161E" w:rsidP="004D161E">
      <w:pPr>
        <w:pStyle w:val="ManualConsidrant"/>
        <w:rPr>
          <w:noProof/>
        </w:rPr>
      </w:pPr>
      <w:r w:rsidRPr="00624565">
        <w:rPr>
          <w:noProof/>
        </w:rPr>
        <w:t>(14)</w:t>
      </w:r>
      <w:r w:rsidRPr="00624565">
        <w:rPr>
          <w:noProof/>
        </w:rPr>
        <w:tab/>
        <w:t>We wniosku dotyczącym dyrektywy</w:t>
      </w:r>
      <w:r w:rsidR="003F3D2B" w:rsidRPr="00624565">
        <w:rPr>
          <w:noProof/>
        </w:rPr>
        <w:t xml:space="preserve"> w</w:t>
      </w:r>
      <w:r w:rsidR="003F3D2B">
        <w:rPr>
          <w:noProof/>
        </w:rPr>
        <w:t> </w:t>
      </w:r>
      <w:r w:rsidR="003F3D2B" w:rsidRPr="00624565">
        <w:rPr>
          <w:noProof/>
        </w:rPr>
        <w:t>spr</w:t>
      </w:r>
      <w:r w:rsidRPr="00624565">
        <w:rPr>
          <w:noProof/>
        </w:rPr>
        <w:t>awie wzmocnienia pozycji konsumentów</w:t>
      </w:r>
      <w:r w:rsidR="003F3D2B" w:rsidRPr="00624565">
        <w:rPr>
          <w:noProof/>
        </w:rPr>
        <w:t xml:space="preserve"> w</w:t>
      </w:r>
      <w:r w:rsidR="003F3D2B">
        <w:rPr>
          <w:noProof/>
        </w:rPr>
        <w:t> </w:t>
      </w:r>
      <w:r w:rsidR="003F3D2B" w:rsidRPr="00624565">
        <w:rPr>
          <w:noProof/>
        </w:rPr>
        <w:t>pro</w:t>
      </w:r>
      <w:r w:rsidRPr="00624565">
        <w:rPr>
          <w:noProof/>
        </w:rPr>
        <w:t>cesie transformacji ekologicznej, która zmienia dyrektywę 2005/29/WE, określono szereg szczegółowych wymogów dotyczących oświadczeń środowiskowych</w:t>
      </w:r>
      <w:r w:rsidR="003F3D2B" w:rsidRPr="00624565">
        <w:rPr>
          <w:noProof/>
        </w:rPr>
        <w:t xml:space="preserve"> i</w:t>
      </w:r>
      <w:r w:rsidR="003F3D2B">
        <w:rPr>
          <w:noProof/>
        </w:rPr>
        <w:t> </w:t>
      </w:r>
      <w:r w:rsidR="003F3D2B" w:rsidRPr="00624565">
        <w:rPr>
          <w:noProof/>
        </w:rPr>
        <w:t>zak</w:t>
      </w:r>
      <w:r w:rsidRPr="00624565">
        <w:rPr>
          <w:noProof/>
        </w:rPr>
        <w:t>azano stosowania ogólnych oświadczeń środowiskowych,</w:t>
      </w:r>
      <w:r w:rsidR="003F3D2B" w:rsidRPr="00624565">
        <w:rPr>
          <w:noProof/>
        </w:rPr>
        <w:t xml:space="preserve"> w</w:t>
      </w:r>
      <w:r w:rsidR="003F3D2B">
        <w:rPr>
          <w:noProof/>
        </w:rPr>
        <w:t> </w:t>
      </w:r>
      <w:r w:rsidR="003F3D2B" w:rsidRPr="00624565">
        <w:rPr>
          <w:noProof/>
        </w:rPr>
        <w:t>prz</w:t>
      </w:r>
      <w:r w:rsidRPr="00624565">
        <w:rPr>
          <w:noProof/>
        </w:rPr>
        <w:t>ypadku gdy nie można wykazać wysokiej efektywności środowiskowej istotnej dla danego oświadczenia. Przykładami takich ogólnych oświadczeń środowiskowych są: „eko-przyjazne”, „eko”, „zielone”, „przyjazne dla natury”, „ekologiczne” i „poprawne środowiskowo”. Niniejsza dyrektywa powinna uzupełniać wymogi określone</w:t>
      </w:r>
      <w:r w:rsidR="003F3D2B" w:rsidRPr="00624565">
        <w:rPr>
          <w:noProof/>
        </w:rPr>
        <w:t xml:space="preserve"> w</w:t>
      </w:r>
      <w:r w:rsidR="003F3D2B">
        <w:rPr>
          <w:noProof/>
        </w:rPr>
        <w:t> </w:t>
      </w:r>
      <w:r w:rsidR="003F3D2B" w:rsidRPr="00624565">
        <w:rPr>
          <w:noProof/>
        </w:rPr>
        <w:t>tym</w:t>
      </w:r>
      <w:r w:rsidRPr="00624565">
        <w:rPr>
          <w:noProof/>
        </w:rPr>
        <w:t xml:space="preserve"> wniosku, odnosząc się do konkretnych aspektów</w:t>
      </w:r>
      <w:r w:rsidR="003F3D2B" w:rsidRPr="00624565">
        <w:rPr>
          <w:noProof/>
        </w:rPr>
        <w:t xml:space="preserve"> i</w:t>
      </w:r>
      <w:r w:rsidR="003F3D2B">
        <w:rPr>
          <w:noProof/>
        </w:rPr>
        <w:t> </w:t>
      </w:r>
      <w:r w:rsidR="003F3D2B" w:rsidRPr="00624565">
        <w:rPr>
          <w:noProof/>
        </w:rPr>
        <w:t>wym</w:t>
      </w:r>
      <w:r w:rsidRPr="00624565">
        <w:rPr>
          <w:noProof/>
        </w:rPr>
        <w:t>ogów dotyczących wyraźnych oświadczeń środowiskowych</w:t>
      </w:r>
      <w:r w:rsidR="003F3D2B" w:rsidRPr="00624565">
        <w:rPr>
          <w:noProof/>
        </w:rPr>
        <w:t xml:space="preserve"> w</w:t>
      </w:r>
      <w:r w:rsidR="003F3D2B">
        <w:rPr>
          <w:noProof/>
        </w:rPr>
        <w:t> </w:t>
      </w:r>
      <w:r w:rsidR="003F3D2B" w:rsidRPr="00624565">
        <w:rPr>
          <w:noProof/>
        </w:rPr>
        <w:t>zak</w:t>
      </w:r>
      <w:r w:rsidRPr="00624565">
        <w:rPr>
          <w:noProof/>
        </w:rPr>
        <w:t>resie ich uzasadnienia, przekazywania</w:t>
      </w:r>
      <w:r w:rsidR="003F3D2B" w:rsidRPr="00624565">
        <w:rPr>
          <w:noProof/>
        </w:rPr>
        <w:t xml:space="preserve"> i</w:t>
      </w:r>
      <w:r w:rsidR="003F3D2B">
        <w:rPr>
          <w:noProof/>
        </w:rPr>
        <w:t> </w:t>
      </w:r>
      <w:r w:rsidR="003F3D2B" w:rsidRPr="00624565">
        <w:rPr>
          <w:noProof/>
        </w:rPr>
        <w:t>wer</w:t>
      </w:r>
      <w:r w:rsidRPr="00624565">
        <w:rPr>
          <w:noProof/>
        </w:rPr>
        <w:t>yfikacji. Wymogi określone</w:t>
      </w:r>
      <w:r w:rsidR="003F3D2B" w:rsidRPr="00624565">
        <w:rPr>
          <w:noProof/>
        </w:rPr>
        <w:t xml:space="preserve"> w</w:t>
      </w:r>
      <w:r w:rsidR="003F3D2B">
        <w:rPr>
          <w:noProof/>
        </w:rPr>
        <w:t> </w:t>
      </w:r>
      <w:r w:rsidR="003F3D2B" w:rsidRPr="00624565">
        <w:rPr>
          <w:noProof/>
        </w:rPr>
        <w:t>nin</w:t>
      </w:r>
      <w:r w:rsidRPr="00624565">
        <w:rPr>
          <w:noProof/>
        </w:rPr>
        <w:t>iejszej dyrektywie powinny mieć zastosowanie do konkretnych aspektów wyraźnych oświadczeń środowiskowych</w:t>
      </w:r>
      <w:r w:rsidR="003F3D2B" w:rsidRPr="00624565">
        <w:rPr>
          <w:noProof/>
        </w:rPr>
        <w:t xml:space="preserve"> i</w:t>
      </w:r>
      <w:r w:rsidR="003F3D2B">
        <w:rPr>
          <w:noProof/>
        </w:rPr>
        <w:t> </w:t>
      </w:r>
      <w:r w:rsidR="003F3D2B" w:rsidRPr="00624565">
        <w:rPr>
          <w:noProof/>
        </w:rPr>
        <w:t>będ</w:t>
      </w:r>
      <w:r w:rsidRPr="00624565">
        <w:rPr>
          <w:noProof/>
        </w:rPr>
        <w:t>ą miały pierwszeństwo przed wymogami określonymi</w:t>
      </w:r>
      <w:r w:rsidR="003F3D2B" w:rsidRPr="00624565">
        <w:rPr>
          <w:noProof/>
        </w:rPr>
        <w:t xml:space="preserve"> w</w:t>
      </w:r>
      <w:r w:rsidR="003F3D2B">
        <w:rPr>
          <w:noProof/>
        </w:rPr>
        <w:t> </w:t>
      </w:r>
      <w:r w:rsidR="003F3D2B" w:rsidRPr="00624565">
        <w:rPr>
          <w:noProof/>
        </w:rPr>
        <w:t>dyr</w:t>
      </w:r>
      <w:r w:rsidRPr="00624565">
        <w:rPr>
          <w:noProof/>
        </w:rPr>
        <w:t>ektywie 2005/29/WE</w:t>
      </w:r>
      <w:r w:rsidR="003F3D2B" w:rsidRPr="00624565">
        <w:rPr>
          <w:noProof/>
        </w:rPr>
        <w:t xml:space="preserve"> w</w:t>
      </w:r>
      <w:r w:rsidR="003F3D2B">
        <w:rPr>
          <w:noProof/>
        </w:rPr>
        <w:t> </w:t>
      </w:r>
      <w:r w:rsidR="003F3D2B" w:rsidRPr="00624565">
        <w:rPr>
          <w:noProof/>
        </w:rPr>
        <w:t>odn</w:t>
      </w:r>
      <w:r w:rsidRPr="00624565">
        <w:rPr>
          <w:noProof/>
        </w:rPr>
        <w:t>iesieniu do tych aspektów</w:t>
      </w:r>
      <w:r w:rsidR="003F3D2B" w:rsidRPr="00624565">
        <w:rPr>
          <w:noProof/>
        </w:rPr>
        <w:t xml:space="preserve"> w</w:t>
      </w:r>
      <w:r w:rsidR="003F3D2B">
        <w:rPr>
          <w:noProof/>
        </w:rPr>
        <w:t> </w:t>
      </w:r>
      <w:r w:rsidR="003F3D2B" w:rsidRPr="00624565">
        <w:rPr>
          <w:noProof/>
        </w:rPr>
        <w:t>prz</w:t>
      </w:r>
      <w:r w:rsidRPr="00624565">
        <w:rPr>
          <w:noProof/>
        </w:rPr>
        <w:t>ypadku kolizji, zgodnie</w:t>
      </w:r>
      <w:r w:rsidR="003F3D2B" w:rsidRPr="00624565">
        <w:rPr>
          <w:noProof/>
        </w:rPr>
        <w:t xml:space="preserve"> z</w:t>
      </w:r>
      <w:r w:rsidR="003F3D2B">
        <w:rPr>
          <w:noProof/>
        </w:rPr>
        <w:t> </w:t>
      </w:r>
      <w:r w:rsidR="003F3D2B" w:rsidRPr="003F3D2B">
        <w:rPr>
          <w:noProof/>
        </w:rPr>
        <w:t>art</w:t>
      </w:r>
      <w:r w:rsidRPr="003F3D2B">
        <w:rPr>
          <w:noProof/>
        </w:rPr>
        <w:t>.</w:t>
      </w:r>
      <w:r w:rsidR="003F3D2B" w:rsidRPr="003F3D2B">
        <w:rPr>
          <w:noProof/>
        </w:rPr>
        <w:t> </w:t>
      </w:r>
      <w:r w:rsidRPr="003F3D2B">
        <w:rPr>
          <w:noProof/>
        </w:rPr>
        <w:t>3</w:t>
      </w:r>
      <w:r w:rsidRPr="00624565">
        <w:rPr>
          <w:noProof/>
        </w:rPr>
        <w:t xml:space="preserve"> </w:t>
      </w:r>
      <w:r w:rsidRPr="003F3D2B">
        <w:rPr>
          <w:noProof/>
        </w:rPr>
        <w:t>ust.</w:t>
      </w:r>
      <w:r w:rsidR="003F3D2B" w:rsidRPr="003F3D2B">
        <w:rPr>
          <w:noProof/>
        </w:rPr>
        <w:t> </w:t>
      </w:r>
      <w:r w:rsidRPr="003F3D2B">
        <w:rPr>
          <w:noProof/>
        </w:rPr>
        <w:t>4</w:t>
      </w:r>
      <w:r w:rsidRPr="00624565">
        <w:rPr>
          <w:noProof/>
        </w:rPr>
        <w:t xml:space="preserve"> tej dyrektywy.</w:t>
      </w:r>
    </w:p>
    <w:p w14:paraId="19860F15" w14:textId="7DD6823F" w:rsidR="000464F8" w:rsidRPr="00624565" w:rsidRDefault="004D161E" w:rsidP="004D161E">
      <w:pPr>
        <w:pStyle w:val="ManualConsidrant"/>
        <w:rPr>
          <w:noProof/>
        </w:rPr>
      </w:pPr>
      <w:r w:rsidRPr="00624565">
        <w:rPr>
          <w:noProof/>
        </w:rPr>
        <w:t>(15)</w:t>
      </w:r>
      <w:r w:rsidRPr="00624565">
        <w:rPr>
          <w:noProof/>
        </w:rPr>
        <w:tab/>
        <w:t>W celu zapewnienia, aby konsumenci otrzymywali rzetelne, porównywalne</w:t>
      </w:r>
      <w:r w:rsidR="003F3D2B" w:rsidRPr="00624565">
        <w:rPr>
          <w:noProof/>
        </w:rPr>
        <w:t xml:space="preserve"> i</w:t>
      </w:r>
      <w:r w:rsidR="003F3D2B">
        <w:rPr>
          <w:noProof/>
        </w:rPr>
        <w:t> </w:t>
      </w:r>
      <w:r w:rsidR="003F3D2B" w:rsidRPr="00624565">
        <w:rPr>
          <w:noProof/>
        </w:rPr>
        <w:t>moż</w:t>
      </w:r>
      <w:r w:rsidRPr="00624565">
        <w:rPr>
          <w:noProof/>
        </w:rPr>
        <w:t>liwe do zweryfikowania informacje, które umożliwiają im podejmowanie decyzji bardziej zrównoważonych środowiskowo, oraz</w:t>
      </w:r>
      <w:r w:rsidR="003F3D2B" w:rsidRPr="00624565">
        <w:rPr>
          <w:noProof/>
        </w:rPr>
        <w:t xml:space="preserve"> w</w:t>
      </w:r>
      <w:r w:rsidR="003F3D2B">
        <w:rPr>
          <w:noProof/>
        </w:rPr>
        <w:t> </w:t>
      </w:r>
      <w:r w:rsidR="003F3D2B" w:rsidRPr="00624565">
        <w:rPr>
          <w:noProof/>
        </w:rPr>
        <w:t>cel</w:t>
      </w:r>
      <w:r w:rsidRPr="00624565">
        <w:rPr>
          <w:noProof/>
        </w:rPr>
        <w:t>u zmniejszenia ryzyka nieuczciwego zielonego PR, konieczne jest ustanowienie wymogów dotyczących uzasadnienia wyraźnych oświadczeń środowiskowych. Uzasadnienie takie powinno uwzględniać uznane międzynarodowo naukowe podejście do identyfikacji</w:t>
      </w:r>
      <w:r w:rsidR="003F3D2B" w:rsidRPr="00624565">
        <w:rPr>
          <w:noProof/>
        </w:rPr>
        <w:t xml:space="preserve"> i</w:t>
      </w:r>
      <w:r w:rsidR="003F3D2B">
        <w:rPr>
          <w:noProof/>
        </w:rPr>
        <w:t> </w:t>
      </w:r>
      <w:r w:rsidR="003F3D2B" w:rsidRPr="00624565">
        <w:rPr>
          <w:noProof/>
        </w:rPr>
        <w:t>pom</w:t>
      </w:r>
      <w:r w:rsidRPr="00624565">
        <w:rPr>
          <w:noProof/>
        </w:rPr>
        <w:t>iaru wpływu na środowisko, aspektów środowiskowych</w:t>
      </w:r>
      <w:r w:rsidR="003F3D2B" w:rsidRPr="00624565">
        <w:rPr>
          <w:noProof/>
        </w:rPr>
        <w:t xml:space="preserve"> i</w:t>
      </w:r>
      <w:r w:rsidR="003F3D2B">
        <w:rPr>
          <w:noProof/>
        </w:rPr>
        <w:t> </w:t>
      </w:r>
      <w:r w:rsidR="003F3D2B" w:rsidRPr="00624565">
        <w:rPr>
          <w:noProof/>
        </w:rPr>
        <w:t>efe</w:t>
      </w:r>
      <w:r w:rsidRPr="00624565">
        <w:rPr>
          <w:noProof/>
        </w:rPr>
        <w:t>ktywności środowiskowej produktów lub przedsiębiorców,</w:t>
      </w:r>
      <w:r w:rsidR="003F3D2B" w:rsidRPr="00624565">
        <w:rPr>
          <w:noProof/>
        </w:rPr>
        <w:t xml:space="preserve"> a</w:t>
      </w:r>
      <w:r w:rsidR="003F3D2B">
        <w:rPr>
          <w:noProof/>
        </w:rPr>
        <w:t> </w:t>
      </w:r>
      <w:r w:rsidR="003F3D2B" w:rsidRPr="00624565">
        <w:rPr>
          <w:noProof/>
        </w:rPr>
        <w:t>dzi</w:t>
      </w:r>
      <w:r w:rsidRPr="00624565">
        <w:rPr>
          <w:noProof/>
        </w:rPr>
        <w:t>ęki niemu konsument powinien uzyskać rzetelne, przejrzyste, porównywalne</w:t>
      </w:r>
      <w:r w:rsidR="003F3D2B" w:rsidRPr="00624565">
        <w:rPr>
          <w:noProof/>
        </w:rPr>
        <w:t xml:space="preserve"> i</w:t>
      </w:r>
      <w:r w:rsidR="003F3D2B">
        <w:rPr>
          <w:noProof/>
        </w:rPr>
        <w:t> </w:t>
      </w:r>
      <w:r w:rsidR="003F3D2B" w:rsidRPr="00624565">
        <w:rPr>
          <w:noProof/>
        </w:rPr>
        <w:t>moż</w:t>
      </w:r>
      <w:r w:rsidRPr="00624565">
        <w:rPr>
          <w:noProof/>
        </w:rPr>
        <w:t>liwe do zweryfikowania informacje.</w:t>
      </w:r>
    </w:p>
    <w:p w14:paraId="46FD6654" w14:textId="5EB6261B" w:rsidR="000464F8" w:rsidRPr="00624565" w:rsidRDefault="004D161E" w:rsidP="004D161E">
      <w:pPr>
        <w:pStyle w:val="ManualConsidrant"/>
        <w:rPr>
          <w:noProof/>
        </w:rPr>
      </w:pPr>
      <w:r w:rsidRPr="00624565">
        <w:rPr>
          <w:noProof/>
        </w:rPr>
        <w:t>(16)</w:t>
      </w:r>
      <w:r w:rsidRPr="00624565">
        <w:rPr>
          <w:noProof/>
        </w:rPr>
        <w:tab/>
        <w:t>Przeprowadzając ocenę</w:t>
      </w:r>
      <w:r w:rsidR="003F3D2B" w:rsidRPr="00624565">
        <w:rPr>
          <w:noProof/>
        </w:rPr>
        <w:t xml:space="preserve"> w</w:t>
      </w:r>
      <w:r w:rsidR="003F3D2B">
        <w:rPr>
          <w:noProof/>
        </w:rPr>
        <w:t> </w:t>
      </w:r>
      <w:r w:rsidR="003F3D2B" w:rsidRPr="00624565">
        <w:rPr>
          <w:noProof/>
        </w:rPr>
        <w:t>cel</w:t>
      </w:r>
      <w:r w:rsidRPr="00624565">
        <w:rPr>
          <w:noProof/>
        </w:rPr>
        <w:t>u uzasadnienia wyraźnych oświadczeń środowiskowych, należy uwzględnić cykl życia produktu lub całą działalność przedsiębiorcy</w:t>
      </w:r>
      <w:r w:rsidR="003F3D2B" w:rsidRPr="00624565">
        <w:rPr>
          <w:noProof/>
        </w:rPr>
        <w:t xml:space="preserve"> i</w:t>
      </w:r>
      <w:r w:rsidR="003F3D2B">
        <w:rPr>
          <w:noProof/>
        </w:rPr>
        <w:t> </w:t>
      </w:r>
      <w:r w:rsidR="003F3D2B" w:rsidRPr="00624565">
        <w:rPr>
          <w:noProof/>
        </w:rPr>
        <w:t>nie</w:t>
      </w:r>
      <w:r w:rsidRPr="00624565">
        <w:rPr>
          <w:noProof/>
        </w:rPr>
        <w:t xml:space="preserve"> należy pomijać żadnych istotnych aspektów środowiskowych ani wpływu na środowisko</w:t>
      </w:r>
      <w:r w:rsidRPr="003F3D2B">
        <w:rPr>
          <w:noProof/>
        </w:rPr>
        <w:t>.</w:t>
      </w:r>
      <w:r w:rsidR="003F3D2B" w:rsidRPr="003F3D2B">
        <w:rPr>
          <w:noProof/>
        </w:rPr>
        <w:t xml:space="preserve"> </w:t>
      </w:r>
      <w:r w:rsidRPr="003F3D2B">
        <w:rPr>
          <w:noProof/>
        </w:rPr>
        <w:t>P</w:t>
      </w:r>
      <w:r w:rsidRPr="00624565">
        <w:rPr>
          <w:noProof/>
        </w:rPr>
        <w:t>rzedstawione</w:t>
      </w:r>
      <w:r w:rsidR="003F3D2B" w:rsidRPr="00624565">
        <w:rPr>
          <w:noProof/>
        </w:rPr>
        <w:t xml:space="preserve"> w</w:t>
      </w:r>
      <w:r w:rsidR="003F3D2B">
        <w:rPr>
          <w:noProof/>
        </w:rPr>
        <w:t> </w:t>
      </w:r>
      <w:r w:rsidR="003F3D2B" w:rsidRPr="00624565">
        <w:rPr>
          <w:noProof/>
        </w:rPr>
        <w:t>ośw</w:t>
      </w:r>
      <w:r w:rsidRPr="00624565">
        <w:rPr>
          <w:noProof/>
        </w:rPr>
        <w:t>iadczeniu korzyści nie powinny skutkować nieuzasadnionym przeniesieniem negatywnego wpływu na inne etapy cyklu życia produktu lub przedsiębiorcy lub na istotne zwiększenie innego negatywnego wpływu na środowisko.</w:t>
      </w:r>
    </w:p>
    <w:p w14:paraId="024B8C38" w14:textId="769D8DA3" w:rsidR="000464F8" w:rsidRPr="00624565" w:rsidRDefault="004D161E" w:rsidP="004D161E">
      <w:pPr>
        <w:pStyle w:val="ManualConsidrant"/>
        <w:rPr>
          <w:noProof/>
        </w:rPr>
      </w:pPr>
      <w:r w:rsidRPr="00624565">
        <w:rPr>
          <w:noProof/>
        </w:rPr>
        <w:t>(17)</w:t>
      </w:r>
      <w:r w:rsidRPr="00624565">
        <w:rPr>
          <w:noProof/>
        </w:rPr>
        <w:tab/>
        <w:t>Ocena uzasadniająca wyraźne oświadczenie środowiskowe powinna umożliwiać identyfikację wpływu na środowisko</w:t>
      </w:r>
      <w:r w:rsidR="003F3D2B" w:rsidRPr="00624565">
        <w:rPr>
          <w:noProof/>
        </w:rPr>
        <w:t xml:space="preserve"> i</w:t>
      </w:r>
      <w:r w:rsidR="003F3D2B">
        <w:rPr>
          <w:noProof/>
        </w:rPr>
        <w:t> </w:t>
      </w:r>
      <w:r w:rsidR="003F3D2B" w:rsidRPr="00624565">
        <w:rPr>
          <w:noProof/>
        </w:rPr>
        <w:t>asp</w:t>
      </w:r>
      <w:r w:rsidRPr="00624565">
        <w:rPr>
          <w:noProof/>
        </w:rPr>
        <w:t>ektów środowiskowych produktu lub przedsiębiorcy, które łącznie</w:t>
      </w:r>
      <w:r w:rsidR="003F3D2B" w:rsidRPr="00624565">
        <w:rPr>
          <w:noProof/>
        </w:rPr>
        <w:t xml:space="preserve"> w</w:t>
      </w:r>
      <w:r w:rsidR="003F3D2B">
        <w:rPr>
          <w:noProof/>
        </w:rPr>
        <w:t> </w:t>
      </w:r>
      <w:r w:rsidR="003F3D2B" w:rsidRPr="00624565">
        <w:rPr>
          <w:noProof/>
        </w:rPr>
        <w:t>zna</w:t>
      </w:r>
      <w:r w:rsidRPr="00624565">
        <w:rPr>
          <w:noProof/>
        </w:rPr>
        <w:t>czący sposób przyczyniają się do ogólnej efektywności środowiskowej produktu lub przedsiębiorcy („istotny wpływ na środowisko” i „istotne aspekty środowiskowe”). Wskazania dotyczące istotności wpływu na środowisko</w:t>
      </w:r>
      <w:r w:rsidR="003F3D2B" w:rsidRPr="00624565">
        <w:rPr>
          <w:noProof/>
        </w:rPr>
        <w:t xml:space="preserve"> i</w:t>
      </w:r>
      <w:r w:rsidR="003F3D2B">
        <w:rPr>
          <w:noProof/>
        </w:rPr>
        <w:t> </w:t>
      </w:r>
      <w:r w:rsidR="003F3D2B" w:rsidRPr="00624565">
        <w:rPr>
          <w:noProof/>
        </w:rPr>
        <w:t>asp</w:t>
      </w:r>
      <w:r w:rsidRPr="00624565">
        <w:rPr>
          <w:noProof/>
        </w:rPr>
        <w:t>ektów środowiskowych mogą wynikać</w:t>
      </w:r>
      <w:r w:rsidR="003F3D2B" w:rsidRPr="00624565">
        <w:rPr>
          <w:noProof/>
        </w:rPr>
        <w:t xml:space="preserve"> z</w:t>
      </w:r>
      <w:r w:rsidR="003F3D2B">
        <w:rPr>
          <w:noProof/>
        </w:rPr>
        <w:t> </w:t>
      </w:r>
      <w:r w:rsidR="003F3D2B" w:rsidRPr="00624565">
        <w:rPr>
          <w:noProof/>
        </w:rPr>
        <w:t>oce</w:t>
      </w:r>
      <w:r w:rsidRPr="00624565">
        <w:rPr>
          <w:noProof/>
        </w:rPr>
        <w:t>n uwzględniających cykl życia,</w:t>
      </w:r>
      <w:r w:rsidR="003F3D2B" w:rsidRPr="00624565">
        <w:rPr>
          <w:noProof/>
        </w:rPr>
        <w:t xml:space="preserve"> w</w:t>
      </w:r>
      <w:r w:rsidR="003F3D2B">
        <w:rPr>
          <w:noProof/>
        </w:rPr>
        <w:t> </w:t>
      </w:r>
      <w:r w:rsidR="003F3D2B" w:rsidRPr="00624565">
        <w:rPr>
          <w:noProof/>
        </w:rPr>
        <w:t>tym z</w:t>
      </w:r>
      <w:r w:rsidR="003F3D2B">
        <w:rPr>
          <w:noProof/>
        </w:rPr>
        <w:t> </w:t>
      </w:r>
      <w:r w:rsidR="003F3D2B" w:rsidRPr="00624565">
        <w:rPr>
          <w:noProof/>
        </w:rPr>
        <w:t>bad</w:t>
      </w:r>
      <w:r w:rsidRPr="00624565">
        <w:rPr>
          <w:noProof/>
        </w:rPr>
        <w:t>ań opartych na metodach oznaczaniu śladu środowiskowego, pod warunkiem że obejmują one</w:t>
      </w:r>
      <w:r w:rsidR="003F3D2B" w:rsidRPr="00624565">
        <w:rPr>
          <w:noProof/>
        </w:rPr>
        <w:t xml:space="preserve"> w</w:t>
      </w:r>
      <w:r w:rsidR="003F3D2B">
        <w:rPr>
          <w:noProof/>
        </w:rPr>
        <w:t> </w:t>
      </w:r>
      <w:r w:rsidR="003F3D2B" w:rsidRPr="00624565">
        <w:rPr>
          <w:noProof/>
        </w:rPr>
        <w:t>peł</w:t>
      </w:r>
      <w:r w:rsidRPr="00624565">
        <w:rPr>
          <w:noProof/>
        </w:rPr>
        <w:t>ni wpływ istotny dla danej kategorii produktu</w:t>
      </w:r>
      <w:r w:rsidR="003F3D2B" w:rsidRPr="00624565">
        <w:rPr>
          <w:noProof/>
        </w:rPr>
        <w:t xml:space="preserve"> i</w:t>
      </w:r>
      <w:r w:rsidR="003F3D2B">
        <w:rPr>
          <w:noProof/>
        </w:rPr>
        <w:t> </w:t>
      </w:r>
      <w:r w:rsidR="003F3D2B" w:rsidRPr="00624565">
        <w:rPr>
          <w:noProof/>
        </w:rPr>
        <w:t>nie</w:t>
      </w:r>
      <w:r w:rsidRPr="00624565">
        <w:rPr>
          <w:noProof/>
        </w:rPr>
        <w:t xml:space="preserve"> pomijają żadnego istotnego wpływu na środowisko. Na przykład</w:t>
      </w:r>
      <w:r w:rsidR="003F3D2B" w:rsidRPr="00624565">
        <w:rPr>
          <w:noProof/>
        </w:rPr>
        <w:t xml:space="preserve"> w</w:t>
      </w:r>
      <w:r w:rsidR="003F3D2B">
        <w:rPr>
          <w:noProof/>
        </w:rPr>
        <w:t> </w:t>
      </w:r>
      <w:r w:rsidR="003F3D2B" w:rsidRPr="00624565">
        <w:rPr>
          <w:noProof/>
        </w:rPr>
        <w:t>zal</w:t>
      </w:r>
      <w:r w:rsidRPr="00624565">
        <w:rPr>
          <w:noProof/>
        </w:rPr>
        <w:t>eceniu Komisji</w:t>
      </w:r>
      <w:r w:rsidR="003F3D2B" w:rsidRPr="00624565">
        <w:rPr>
          <w:noProof/>
        </w:rPr>
        <w:t xml:space="preserve"> w</w:t>
      </w:r>
      <w:r w:rsidR="003F3D2B">
        <w:rPr>
          <w:noProof/>
        </w:rPr>
        <w:t> </w:t>
      </w:r>
      <w:r w:rsidR="003F3D2B" w:rsidRPr="00624565">
        <w:rPr>
          <w:noProof/>
        </w:rPr>
        <w:t>spr</w:t>
      </w:r>
      <w:r w:rsidRPr="00624565">
        <w:rPr>
          <w:noProof/>
        </w:rPr>
        <w:t>awie stosowania metod</w:t>
      </w:r>
      <w:r w:rsidRPr="00624565">
        <w:rPr>
          <w:rStyle w:val="FootnoteReference"/>
          <w:noProof/>
        </w:rPr>
        <w:footnoteReference w:id="80"/>
      </w:r>
      <w:r w:rsidRPr="00624565">
        <w:rPr>
          <w:noProof/>
        </w:rPr>
        <w:t xml:space="preserve"> oznaczania śladu środowiskowego najistotniejsze zidentyfikowane kategorie wpływu powinny łącznie stanowić co najmniej 8</w:t>
      </w:r>
      <w:r w:rsidRPr="003F3D2B">
        <w:rPr>
          <w:noProof/>
        </w:rPr>
        <w:t>0</w:t>
      </w:r>
      <w:r w:rsidR="003F3D2B" w:rsidRPr="003F3D2B">
        <w:rPr>
          <w:noProof/>
        </w:rPr>
        <w:t> </w:t>
      </w:r>
      <w:r w:rsidRPr="003F3D2B">
        <w:rPr>
          <w:noProof/>
        </w:rPr>
        <w:t>%</w:t>
      </w:r>
      <w:r w:rsidRPr="00624565">
        <w:rPr>
          <w:noProof/>
        </w:rPr>
        <w:t xml:space="preserve"> pojedynczego wyniku ogólnego. Te wskazania dotyczące istotności wpływu na środowisko lub aspektów środowiskowych mogą również wynikać</w:t>
      </w:r>
      <w:r w:rsidR="003F3D2B" w:rsidRPr="00624565">
        <w:rPr>
          <w:noProof/>
        </w:rPr>
        <w:t xml:space="preserve"> z</w:t>
      </w:r>
      <w:r w:rsidR="003F3D2B">
        <w:rPr>
          <w:noProof/>
        </w:rPr>
        <w:t> </w:t>
      </w:r>
      <w:r w:rsidR="003F3D2B" w:rsidRPr="00624565">
        <w:rPr>
          <w:noProof/>
        </w:rPr>
        <w:t>kry</w:t>
      </w:r>
      <w:r w:rsidRPr="00624565">
        <w:rPr>
          <w:noProof/>
        </w:rPr>
        <w:t>teriów określonych</w:t>
      </w:r>
      <w:r w:rsidR="003F3D2B" w:rsidRPr="00624565">
        <w:rPr>
          <w:noProof/>
        </w:rPr>
        <w:t xml:space="preserve"> w</w:t>
      </w:r>
      <w:r w:rsidR="003F3D2B">
        <w:rPr>
          <w:noProof/>
        </w:rPr>
        <w:t> </w:t>
      </w:r>
      <w:r w:rsidR="003F3D2B" w:rsidRPr="00624565">
        <w:rPr>
          <w:noProof/>
        </w:rPr>
        <w:t>róż</w:t>
      </w:r>
      <w:r w:rsidRPr="00624565">
        <w:rPr>
          <w:noProof/>
        </w:rPr>
        <w:t>nych oznakowaniach ekologicznych typu I, takich jak na przykład oznakowanie ekologiczne UE, lub</w:t>
      </w:r>
      <w:r w:rsidR="003F3D2B" w:rsidRPr="00624565">
        <w:rPr>
          <w:noProof/>
        </w:rPr>
        <w:t xml:space="preserve"> w</w:t>
      </w:r>
      <w:r w:rsidR="003F3D2B">
        <w:rPr>
          <w:noProof/>
        </w:rPr>
        <w:t> </w:t>
      </w:r>
      <w:r w:rsidR="003F3D2B" w:rsidRPr="00624565">
        <w:rPr>
          <w:noProof/>
        </w:rPr>
        <w:t>uni</w:t>
      </w:r>
      <w:r w:rsidRPr="00624565">
        <w:rPr>
          <w:noProof/>
        </w:rPr>
        <w:t>jnych kryteriach dotyczących zielonych zamówień publicznych,</w:t>
      </w:r>
      <w:r w:rsidR="003F3D2B" w:rsidRPr="00624565">
        <w:rPr>
          <w:noProof/>
        </w:rPr>
        <w:t xml:space="preserve"> z</w:t>
      </w:r>
      <w:r w:rsidR="003F3D2B">
        <w:rPr>
          <w:noProof/>
        </w:rPr>
        <w:t> </w:t>
      </w:r>
      <w:r w:rsidR="003F3D2B" w:rsidRPr="00624565">
        <w:rPr>
          <w:noProof/>
        </w:rPr>
        <w:t>wym</w:t>
      </w:r>
      <w:r w:rsidRPr="00624565">
        <w:rPr>
          <w:noProof/>
        </w:rPr>
        <w:t>ogów określonych</w:t>
      </w:r>
      <w:r w:rsidR="003F3D2B" w:rsidRPr="00624565">
        <w:rPr>
          <w:noProof/>
        </w:rPr>
        <w:t xml:space="preserve"> w</w:t>
      </w:r>
      <w:r w:rsidR="003F3D2B">
        <w:rPr>
          <w:noProof/>
        </w:rPr>
        <w:t> </w:t>
      </w:r>
      <w:r w:rsidR="003F3D2B" w:rsidRPr="00624565">
        <w:rPr>
          <w:noProof/>
        </w:rPr>
        <w:t>roz</w:t>
      </w:r>
      <w:r w:rsidRPr="00624565">
        <w:rPr>
          <w:noProof/>
        </w:rPr>
        <w:t>porządzeniu</w:t>
      </w:r>
      <w:r w:rsidR="003F3D2B" w:rsidRPr="00624565">
        <w:rPr>
          <w:noProof/>
        </w:rPr>
        <w:t xml:space="preserve"> w</w:t>
      </w:r>
      <w:r w:rsidR="003F3D2B">
        <w:rPr>
          <w:noProof/>
        </w:rPr>
        <w:t> </w:t>
      </w:r>
      <w:r w:rsidR="003F3D2B" w:rsidRPr="00624565">
        <w:rPr>
          <w:noProof/>
        </w:rPr>
        <w:t>spr</w:t>
      </w:r>
      <w:r w:rsidRPr="00624565">
        <w:rPr>
          <w:noProof/>
        </w:rPr>
        <w:t>awie systematyki</w:t>
      </w:r>
      <w:r w:rsidRPr="00624565">
        <w:rPr>
          <w:rStyle w:val="FootnoteReference"/>
          <w:noProof/>
        </w:rPr>
        <w:footnoteReference w:id="81"/>
      </w:r>
      <w:r w:rsidRPr="00624565">
        <w:rPr>
          <w:noProof/>
        </w:rPr>
        <w:t>,</w:t>
      </w:r>
      <w:r w:rsidR="003F3D2B" w:rsidRPr="00624565">
        <w:rPr>
          <w:noProof/>
        </w:rPr>
        <w:t xml:space="preserve"> z</w:t>
      </w:r>
      <w:r w:rsidR="003F3D2B">
        <w:rPr>
          <w:noProof/>
        </w:rPr>
        <w:t> </w:t>
      </w:r>
      <w:r w:rsidR="003F3D2B" w:rsidRPr="00624565">
        <w:rPr>
          <w:noProof/>
        </w:rPr>
        <w:t>prz</w:t>
      </w:r>
      <w:r w:rsidRPr="00624565">
        <w:rPr>
          <w:noProof/>
        </w:rPr>
        <w:t>episów dotyczących poszczególnych produktów przyjętych na mocy rozporządzenia..../.... Parlamentu Europejskiego</w:t>
      </w:r>
      <w:r w:rsidR="003F3D2B" w:rsidRPr="00624565">
        <w:rPr>
          <w:noProof/>
        </w:rPr>
        <w:t xml:space="preserve"> i</w:t>
      </w:r>
      <w:r w:rsidR="003F3D2B">
        <w:rPr>
          <w:noProof/>
        </w:rPr>
        <w:t> </w:t>
      </w:r>
      <w:r w:rsidR="003F3D2B" w:rsidRPr="00624565">
        <w:rPr>
          <w:noProof/>
        </w:rPr>
        <w:t>Rad</w:t>
      </w:r>
      <w:r w:rsidRPr="00624565">
        <w:rPr>
          <w:noProof/>
        </w:rPr>
        <w:t>y ustanawiającego ramy ustalania wymogów dotyczących ekoprojektu dla zrównoważonych produktów</w:t>
      </w:r>
      <w:r w:rsidRPr="00624565">
        <w:rPr>
          <w:rStyle w:val="FootnoteReference"/>
          <w:noProof/>
        </w:rPr>
        <w:footnoteReference w:id="82"/>
      </w:r>
      <w:r w:rsidRPr="00624565">
        <w:rPr>
          <w:noProof/>
        </w:rPr>
        <w:t xml:space="preserve"> lub</w:t>
      </w:r>
      <w:r w:rsidR="003F3D2B" w:rsidRPr="00624565">
        <w:rPr>
          <w:noProof/>
        </w:rPr>
        <w:t xml:space="preserve"> z</w:t>
      </w:r>
      <w:r w:rsidR="003F3D2B">
        <w:rPr>
          <w:noProof/>
        </w:rPr>
        <w:t> </w:t>
      </w:r>
      <w:r w:rsidR="003F3D2B" w:rsidRPr="00624565">
        <w:rPr>
          <w:noProof/>
        </w:rPr>
        <w:t>inn</w:t>
      </w:r>
      <w:r w:rsidRPr="00624565">
        <w:rPr>
          <w:noProof/>
        </w:rPr>
        <w:t>ych odpowiednich przepisów Unii.</w:t>
      </w:r>
    </w:p>
    <w:p w14:paraId="274F02CF" w14:textId="1D0EBF27" w:rsidR="000464F8" w:rsidRPr="00624565" w:rsidRDefault="004D161E" w:rsidP="004D161E">
      <w:pPr>
        <w:pStyle w:val="ManualConsidrant"/>
        <w:rPr>
          <w:noProof/>
        </w:rPr>
      </w:pPr>
      <w:r w:rsidRPr="00624565">
        <w:rPr>
          <w:noProof/>
        </w:rPr>
        <w:t>(18)</w:t>
      </w:r>
      <w:r w:rsidRPr="00624565">
        <w:rPr>
          <w:noProof/>
        </w:rPr>
        <w:tab/>
        <w:t>Zgodnie</w:t>
      </w:r>
      <w:r w:rsidR="003F3D2B" w:rsidRPr="00624565">
        <w:rPr>
          <w:noProof/>
        </w:rPr>
        <w:t xml:space="preserve"> z</w:t>
      </w:r>
      <w:r w:rsidR="003F3D2B">
        <w:rPr>
          <w:noProof/>
        </w:rPr>
        <w:t> </w:t>
      </w:r>
      <w:r w:rsidR="003F3D2B" w:rsidRPr="00624565">
        <w:rPr>
          <w:noProof/>
        </w:rPr>
        <w:t>dyr</w:t>
      </w:r>
      <w:r w:rsidRPr="00624565">
        <w:rPr>
          <w:noProof/>
        </w:rPr>
        <w:t>ektywą 2005/29/WE zmienioną wnioskiem dotyczącym dyrektywy</w:t>
      </w:r>
      <w:r w:rsidR="003F3D2B" w:rsidRPr="00624565">
        <w:rPr>
          <w:noProof/>
        </w:rPr>
        <w:t xml:space="preserve"> w</w:t>
      </w:r>
      <w:r w:rsidR="003F3D2B">
        <w:rPr>
          <w:noProof/>
        </w:rPr>
        <w:t> </w:t>
      </w:r>
      <w:r w:rsidR="003F3D2B" w:rsidRPr="00624565">
        <w:rPr>
          <w:noProof/>
        </w:rPr>
        <w:t>spr</w:t>
      </w:r>
      <w:r w:rsidRPr="00624565">
        <w:rPr>
          <w:noProof/>
        </w:rPr>
        <w:t>awie wzmocnienia pozycji konsumentów</w:t>
      </w:r>
      <w:r w:rsidR="003F3D2B" w:rsidRPr="00624565">
        <w:rPr>
          <w:noProof/>
        </w:rPr>
        <w:t xml:space="preserve"> w</w:t>
      </w:r>
      <w:r w:rsidR="003F3D2B">
        <w:rPr>
          <w:noProof/>
        </w:rPr>
        <w:t> </w:t>
      </w:r>
      <w:r w:rsidR="003F3D2B" w:rsidRPr="00624565">
        <w:rPr>
          <w:noProof/>
        </w:rPr>
        <w:t>pro</w:t>
      </w:r>
      <w:r w:rsidRPr="00624565">
        <w:rPr>
          <w:noProof/>
        </w:rPr>
        <w:t>cesie transformacji ekologicznej, przedsiębiorca nie powinien przedstawiać wymogów nałożonych przepisami prawa</w:t>
      </w:r>
      <w:r w:rsidR="003F3D2B" w:rsidRPr="00624565">
        <w:rPr>
          <w:noProof/>
        </w:rPr>
        <w:t xml:space="preserve"> w</w:t>
      </w:r>
      <w:r w:rsidR="003F3D2B">
        <w:rPr>
          <w:noProof/>
        </w:rPr>
        <w:t> </w:t>
      </w:r>
      <w:r w:rsidR="003F3D2B" w:rsidRPr="00624565">
        <w:rPr>
          <w:noProof/>
        </w:rPr>
        <w:t>ram</w:t>
      </w:r>
      <w:r w:rsidRPr="00624565">
        <w:rPr>
          <w:noProof/>
        </w:rPr>
        <w:t>ach danej kategorii produktów na rynku unijnym jako wyróżniającej cechy oferty przedsiębiorcy ani reklamować korzyści dla konsumentów, które są uznawane za powszechną praktykę na rynku właściwym. Informacje wykorzystywane do celów uzasadnienia wyraźnych oświadczeń środowiskowych powinny zatem umożliwiać identyfikację efektywności środowiskowej produktu lub przedsiębiorcy</w:t>
      </w:r>
      <w:r w:rsidR="003F3D2B" w:rsidRPr="00624565">
        <w:rPr>
          <w:noProof/>
        </w:rPr>
        <w:t xml:space="preserve"> w</w:t>
      </w:r>
      <w:r w:rsidR="003F3D2B">
        <w:rPr>
          <w:noProof/>
        </w:rPr>
        <w:t> </w:t>
      </w:r>
      <w:r w:rsidR="003F3D2B" w:rsidRPr="00624565">
        <w:rPr>
          <w:noProof/>
        </w:rPr>
        <w:t>por</w:t>
      </w:r>
      <w:r w:rsidRPr="00624565">
        <w:rPr>
          <w:noProof/>
        </w:rPr>
        <w:t>ównaniu</w:t>
      </w:r>
      <w:r w:rsidR="003F3D2B" w:rsidRPr="00624565">
        <w:rPr>
          <w:noProof/>
        </w:rPr>
        <w:t xml:space="preserve"> z</w:t>
      </w:r>
      <w:r w:rsidR="003F3D2B">
        <w:rPr>
          <w:noProof/>
        </w:rPr>
        <w:t> </w:t>
      </w:r>
      <w:r w:rsidR="003F3D2B" w:rsidRPr="00624565">
        <w:rPr>
          <w:noProof/>
        </w:rPr>
        <w:t>pow</w:t>
      </w:r>
      <w:r w:rsidRPr="00624565">
        <w:rPr>
          <w:noProof/>
        </w:rPr>
        <w:t>szechną praktyką stosowaną</w:t>
      </w:r>
      <w:r w:rsidR="003F3D2B" w:rsidRPr="00624565">
        <w:rPr>
          <w:noProof/>
        </w:rPr>
        <w:t xml:space="preserve"> w</w:t>
      </w:r>
      <w:r w:rsidR="003F3D2B">
        <w:rPr>
          <w:noProof/>
        </w:rPr>
        <w:t> </w:t>
      </w:r>
      <w:r w:rsidR="003F3D2B" w:rsidRPr="00624565">
        <w:rPr>
          <w:noProof/>
        </w:rPr>
        <w:t>odn</w:t>
      </w:r>
      <w:r w:rsidRPr="00624565">
        <w:rPr>
          <w:noProof/>
        </w:rPr>
        <w:t>iesieniu do produktów</w:t>
      </w:r>
      <w:r w:rsidR="003F3D2B" w:rsidRPr="00624565">
        <w:rPr>
          <w:noProof/>
        </w:rPr>
        <w:t xml:space="preserve"> w</w:t>
      </w:r>
      <w:r w:rsidR="003F3D2B">
        <w:rPr>
          <w:noProof/>
        </w:rPr>
        <w:t> </w:t>
      </w:r>
      <w:r w:rsidR="003F3D2B" w:rsidRPr="00624565">
        <w:rPr>
          <w:noProof/>
        </w:rPr>
        <w:t>odp</w:t>
      </w:r>
      <w:r w:rsidRPr="00624565">
        <w:rPr>
          <w:noProof/>
        </w:rPr>
        <w:t>owiedniej grupie produktów, takiej jak żywność, lub</w:t>
      </w:r>
      <w:r w:rsidR="003F3D2B" w:rsidRPr="00624565">
        <w:rPr>
          <w:noProof/>
        </w:rPr>
        <w:t xml:space="preserve"> w</w:t>
      </w:r>
      <w:r w:rsidR="003F3D2B">
        <w:rPr>
          <w:noProof/>
        </w:rPr>
        <w:t> </w:t>
      </w:r>
      <w:r w:rsidR="003F3D2B" w:rsidRPr="00624565">
        <w:rPr>
          <w:noProof/>
        </w:rPr>
        <w:t>odp</w:t>
      </w:r>
      <w:r w:rsidRPr="00624565">
        <w:rPr>
          <w:noProof/>
        </w:rPr>
        <w:t>owiednim sektorze. Konieczne jest oparcie oceny na tym, czy</w:t>
      </w:r>
      <w:r w:rsidR="003F3D2B" w:rsidRPr="00624565">
        <w:rPr>
          <w:noProof/>
        </w:rPr>
        <w:t xml:space="preserve"> w</w:t>
      </w:r>
      <w:r w:rsidR="003F3D2B">
        <w:rPr>
          <w:noProof/>
        </w:rPr>
        <w:t> </w:t>
      </w:r>
      <w:r w:rsidR="003F3D2B" w:rsidRPr="00624565">
        <w:rPr>
          <w:noProof/>
        </w:rPr>
        <w:t>odn</w:t>
      </w:r>
      <w:r w:rsidRPr="00624565">
        <w:rPr>
          <w:noProof/>
        </w:rPr>
        <w:t>iesieniu do danego produktu lub przedsiębiorcy można sformułować wyraźne oświadczenia środowiskowe zgodnie</w:t>
      </w:r>
      <w:r w:rsidR="003F3D2B" w:rsidRPr="00624565">
        <w:rPr>
          <w:noProof/>
        </w:rPr>
        <w:t xml:space="preserve"> z</w:t>
      </w:r>
      <w:r w:rsidR="003F3D2B">
        <w:rPr>
          <w:noProof/>
        </w:rPr>
        <w:t> </w:t>
      </w:r>
      <w:r w:rsidR="003F3D2B" w:rsidRPr="00624565">
        <w:rPr>
          <w:noProof/>
        </w:rPr>
        <w:t>fun</w:t>
      </w:r>
      <w:r w:rsidRPr="00624565">
        <w:rPr>
          <w:noProof/>
        </w:rPr>
        <w:t>kcją oświadczenia środowiskowego, która polega na wykazaniu, że produkt lub przedsiębiorca ma pozytywny wpływ na środowisko lub nie ma żadnego wpływu na środowisko lub że produkt lub przedsiębiorca jest mniej szkodliwy dla środowiska niż inne produkty lub przedsiębiorcy. Powszechna praktyka może być równoważna minimalnym wymogom prawnym, które mają zastosowanie do konkretnego aspektu środowiskowego lub efektywności środowiskowej, na przykład dotyczącym składu produktu, obowiązkowej zawartości materiałów</w:t>
      </w:r>
      <w:r w:rsidR="003F3D2B" w:rsidRPr="00624565">
        <w:rPr>
          <w:noProof/>
        </w:rPr>
        <w:t xml:space="preserve"> z</w:t>
      </w:r>
      <w:r w:rsidR="003F3D2B">
        <w:rPr>
          <w:noProof/>
        </w:rPr>
        <w:t> </w:t>
      </w:r>
      <w:r w:rsidR="003F3D2B" w:rsidRPr="00624565">
        <w:rPr>
          <w:noProof/>
        </w:rPr>
        <w:t>rec</w:t>
      </w:r>
      <w:r w:rsidRPr="00624565">
        <w:rPr>
          <w:noProof/>
        </w:rPr>
        <w:t>yklingu lub przetwarzania po wycofaniu</w:t>
      </w:r>
      <w:r w:rsidR="003F3D2B" w:rsidRPr="00624565">
        <w:rPr>
          <w:noProof/>
        </w:rPr>
        <w:t xml:space="preserve"> z</w:t>
      </w:r>
      <w:r w:rsidR="003F3D2B">
        <w:rPr>
          <w:noProof/>
        </w:rPr>
        <w:t> </w:t>
      </w:r>
      <w:r w:rsidR="003F3D2B" w:rsidRPr="00624565">
        <w:rPr>
          <w:noProof/>
        </w:rPr>
        <w:t>eks</w:t>
      </w:r>
      <w:r w:rsidRPr="00624565">
        <w:rPr>
          <w:noProof/>
        </w:rPr>
        <w:t>ploatacji</w:t>
      </w:r>
      <w:r w:rsidR="003F3D2B" w:rsidRPr="00624565">
        <w:rPr>
          <w:noProof/>
        </w:rPr>
        <w:t>. W</w:t>
      </w:r>
      <w:r w:rsidR="003F3D2B">
        <w:rPr>
          <w:noProof/>
        </w:rPr>
        <w:t> </w:t>
      </w:r>
      <w:r w:rsidR="003F3D2B" w:rsidRPr="00624565">
        <w:rPr>
          <w:noProof/>
        </w:rPr>
        <w:t>prz</w:t>
      </w:r>
      <w:r w:rsidRPr="00624565">
        <w:rPr>
          <w:noProof/>
        </w:rPr>
        <w:t>ypadku gdy większość produktów</w:t>
      </w:r>
      <w:r w:rsidR="003F3D2B" w:rsidRPr="00624565">
        <w:rPr>
          <w:noProof/>
        </w:rPr>
        <w:t xml:space="preserve"> w</w:t>
      </w:r>
      <w:r w:rsidR="003F3D2B">
        <w:rPr>
          <w:noProof/>
        </w:rPr>
        <w:t> </w:t>
      </w:r>
      <w:r w:rsidR="003F3D2B" w:rsidRPr="00624565">
        <w:rPr>
          <w:noProof/>
        </w:rPr>
        <w:t>ram</w:t>
      </w:r>
      <w:r w:rsidRPr="00624565">
        <w:rPr>
          <w:noProof/>
        </w:rPr>
        <w:t>ach grupy produktów lub większość przedsiębiorców</w:t>
      </w:r>
      <w:r w:rsidR="003F3D2B" w:rsidRPr="00624565">
        <w:rPr>
          <w:noProof/>
        </w:rPr>
        <w:t xml:space="preserve"> w</w:t>
      </w:r>
      <w:r w:rsidR="003F3D2B">
        <w:rPr>
          <w:noProof/>
        </w:rPr>
        <w:t> </w:t>
      </w:r>
      <w:r w:rsidR="003F3D2B" w:rsidRPr="00624565">
        <w:rPr>
          <w:noProof/>
        </w:rPr>
        <w:t>ram</w:t>
      </w:r>
      <w:r w:rsidRPr="00624565">
        <w:rPr>
          <w:noProof/>
        </w:rPr>
        <w:t>ach sektora osiąga wyniki lepsze niż określono</w:t>
      </w:r>
      <w:r w:rsidR="003F3D2B" w:rsidRPr="00624565">
        <w:rPr>
          <w:noProof/>
        </w:rPr>
        <w:t xml:space="preserve"> w</w:t>
      </w:r>
      <w:r w:rsidR="003F3D2B">
        <w:rPr>
          <w:noProof/>
        </w:rPr>
        <w:t> </w:t>
      </w:r>
      <w:r w:rsidR="003F3D2B" w:rsidRPr="00624565">
        <w:rPr>
          <w:noProof/>
        </w:rPr>
        <w:t>tyc</w:t>
      </w:r>
      <w:r w:rsidRPr="00624565">
        <w:rPr>
          <w:noProof/>
        </w:rPr>
        <w:t>h wymogach prawnych, minimalne wymogi prawne nie powinny być jednak uznawane za powszechną praktykę.</w:t>
      </w:r>
    </w:p>
    <w:p w14:paraId="1D2B771A" w14:textId="310BB155" w:rsidR="000464F8" w:rsidRPr="00624565" w:rsidRDefault="004D161E" w:rsidP="004D161E">
      <w:pPr>
        <w:pStyle w:val="ManualConsidrant"/>
        <w:rPr>
          <w:noProof/>
        </w:rPr>
      </w:pPr>
      <w:r w:rsidRPr="00624565">
        <w:rPr>
          <w:noProof/>
        </w:rPr>
        <w:t>(19)</w:t>
      </w:r>
      <w:r w:rsidRPr="00624565">
        <w:rPr>
          <w:noProof/>
        </w:rPr>
        <w:tab/>
        <w:t>Gdyby</w:t>
      </w:r>
      <w:r w:rsidR="003F3D2B" w:rsidRPr="00624565">
        <w:rPr>
          <w:noProof/>
        </w:rPr>
        <w:t xml:space="preserve"> w</w:t>
      </w:r>
      <w:r w:rsidR="003F3D2B">
        <w:rPr>
          <w:noProof/>
        </w:rPr>
        <w:t> </w:t>
      </w:r>
      <w:r w:rsidR="003F3D2B" w:rsidRPr="00624565">
        <w:rPr>
          <w:noProof/>
        </w:rPr>
        <w:t>wyr</w:t>
      </w:r>
      <w:r w:rsidRPr="00624565">
        <w:rPr>
          <w:noProof/>
        </w:rPr>
        <w:t>aźnym oświadczeniu środowiskowym wskazano na korzyści pod względem wpływu na środowisko lub aspektów środowiskowych</w:t>
      </w:r>
      <w:r w:rsidR="003F3D2B" w:rsidRPr="00624565">
        <w:rPr>
          <w:noProof/>
        </w:rPr>
        <w:t xml:space="preserve"> z</w:t>
      </w:r>
      <w:r w:rsidR="003F3D2B">
        <w:rPr>
          <w:noProof/>
        </w:rPr>
        <w:t> </w:t>
      </w:r>
      <w:r w:rsidR="003F3D2B" w:rsidRPr="00624565">
        <w:rPr>
          <w:noProof/>
        </w:rPr>
        <w:t>pom</w:t>
      </w:r>
      <w:r w:rsidRPr="00624565">
        <w:rPr>
          <w:noProof/>
        </w:rPr>
        <w:t>inięciem faktu, że osiągnięcie tych korzyści prowadzi do negatywnych kompromisów</w:t>
      </w:r>
      <w:r w:rsidR="003F3D2B" w:rsidRPr="00624565">
        <w:rPr>
          <w:noProof/>
        </w:rPr>
        <w:t xml:space="preserve"> w</w:t>
      </w:r>
      <w:r w:rsidR="003F3D2B">
        <w:rPr>
          <w:noProof/>
        </w:rPr>
        <w:t> </w:t>
      </w:r>
      <w:r w:rsidR="003F3D2B" w:rsidRPr="00624565">
        <w:rPr>
          <w:noProof/>
        </w:rPr>
        <w:t>zak</w:t>
      </w:r>
      <w:r w:rsidRPr="00624565">
        <w:rPr>
          <w:noProof/>
        </w:rPr>
        <w:t>resie innych rodzajów wpływu na środowisko lub aspektów środowiskowych, wprowadzałoby to konsumentów</w:t>
      </w:r>
      <w:r w:rsidR="003F3D2B" w:rsidRPr="00624565">
        <w:rPr>
          <w:noProof/>
        </w:rPr>
        <w:t xml:space="preserve"> w</w:t>
      </w:r>
      <w:r w:rsidR="003F3D2B">
        <w:rPr>
          <w:noProof/>
        </w:rPr>
        <w:t> </w:t>
      </w:r>
      <w:r w:rsidR="003F3D2B" w:rsidRPr="00624565">
        <w:rPr>
          <w:noProof/>
        </w:rPr>
        <w:t>błą</w:t>
      </w:r>
      <w:r w:rsidRPr="00624565">
        <w:rPr>
          <w:noProof/>
        </w:rPr>
        <w:t>d</w:t>
      </w:r>
      <w:r w:rsidR="003F3D2B" w:rsidRPr="00624565">
        <w:rPr>
          <w:noProof/>
        </w:rPr>
        <w:t>. W</w:t>
      </w:r>
      <w:r w:rsidR="003F3D2B">
        <w:rPr>
          <w:noProof/>
        </w:rPr>
        <w:t> </w:t>
      </w:r>
      <w:r w:rsidR="003F3D2B" w:rsidRPr="00624565">
        <w:rPr>
          <w:noProof/>
        </w:rPr>
        <w:t>tym</w:t>
      </w:r>
      <w:r w:rsidRPr="00624565">
        <w:rPr>
          <w:noProof/>
        </w:rPr>
        <w:t xml:space="preserve"> kontekście informacje wykorzystywane do uzasadnienia wyraźnych oświadczeń środowiskowych powinny zapewniać możliwość określenia wzajemnych powiązań między odpowiednim wpływami na środowisko oraz między aspektami środowiskowymi</w:t>
      </w:r>
      <w:r w:rsidR="003F3D2B" w:rsidRPr="00624565">
        <w:rPr>
          <w:noProof/>
        </w:rPr>
        <w:t xml:space="preserve"> i</w:t>
      </w:r>
      <w:r w:rsidR="003F3D2B">
        <w:rPr>
          <w:noProof/>
        </w:rPr>
        <w:t> </w:t>
      </w:r>
      <w:r w:rsidR="003F3D2B" w:rsidRPr="00624565">
        <w:rPr>
          <w:noProof/>
        </w:rPr>
        <w:t>wpł</w:t>
      </w:r>
      <w:r w:rsidRPr="00624565">
        <w:rPr>
          <w:noProof/>
        </w:rPr>
        <w:t>ywami na środowisko,</w:t>
      </w:r>
      <w:r w:rsidR="003F3D2B" w:rsidRPr="00624565">
        <w:rPr>
          <w:noProof/>
        </w:rPr>
        <w:t xml:space="preserve"> a</w:t>
      </w:r>
      <w:r w:rsidR="003F3D2B">
        <w:rPr>
          <w:noProof/>
        </w:rPr>
        <w:t> </w:t>
      </w:r>
      <w:r w:rsidR="003F3D2B" w:rsidRPr="00624565">
        <w:rPr>
          <w:noProof/>
        </w:rPr>
        <w:t>tak</w:t>
      </w:r>
      <w:r w:rsidRPr="00624565">
        <w:rPr>
          <w:noProof/>
        </w:rPr>
        <w:t>że potencjalnych kompromisów</w:t>
      </w:r>
      <w:r w:rsidR="003F3D2B" w:rsidRPr="00624565">
        <w:rPr>
          <w:noProof/>
        </w:rPr>
        <w:t>. W</w:t>
      </w:r>
      <w:r w:rsidR="003F3D2B">
        <w:rPr>
          <w:noProof/>
        </w:rPr>
        <w:t> </w:t>
      </w:r>
      <w:r w:rsidR="003F3D2B" w:rsidRPr="00624565">
        <w:rPr>
          <w:noProof/>
        </w:rPr>
        <w:t>oce</w:t>
      </w:r>
      <w:r w:rsidRPr="00624565">
        <w:rPr>
          <w:noProof/>
        </w:rPr>
        <w:t>nie wykorzystywanej do uzasadnienia wyraźnych oświadczeń środowiskowych należy określić, czy poprawa</w:t>
      </w:r>
      <w:r w:rsidR="003F3D2B" w:rsidRPr="00624565">
        <w:rPr>
          <w:noProof/>
        </w:rPr>
        <w:t xml:space="preserve"> w</w:t>
      </w:r>
      <w:r w:rsidR="003F3D2B">
        <w:rPr>
          <w:noProof/>
        </w:rPr>
        <w:t> </w:t>
      </w:r>
      <w:r w:rsidR="003F3D2B" w:rsidRPr="00624565">
        <w:rPr>
          <w:noProof/>
        </w:rPr>
        <w:t>zak</w:t>
      </w:r>
      <w:r w:rsidRPr="00624565">
        <w:rPr>
          <w:noProof/>
        </w:rPr>
        <w:t>resie wpływu na środowisko lub aspektów środowiskowych prowadzi do tego rodzaju kompromisów, które znacznie pogarszają wyniki</w:t>
      </w:r>
      <w:r w:rsidR="003F3D2B" w:rsidRPr="00624565">
        <w:rPr>
          <w:noProof/>
        </w:rPr>
        <w:t xml:space="preserve"> w</w:t>
      </w:r>
      <w:r w:rsidR="003F3D2B">
        <w:rPr>
          <w:noProof/>
        </w:rPr>
        <w:t> </w:t>
      </w:r>
      <w:r w:rsidR="003F3D2B" w:rsidRPr="00624565">
        <w:rPr>
          <w:noProof/>
        </w:rPr>
        <w:t>odn</w:t>
      </w:r>
      <w:r w:rsidRPr="00624565">
        <w:rPr>
          <w:noProof/>
        </w:rPr>
        <w:t>iesieniu do innych rodzajów wpływu na środowisko lub aspektów środowiskowych, np. jeśli oszczędności</w:t>
      </w:r>
      <w:r w:rsidR="003F3D2B" w:rsidRPr="00624565">
        <w:rPr>
          <w:noProof/>
        </w:rPr>
        <w:t xml:space="preserve"> w</w:t>
      </w:r>
      <w:r w:rsidR="003F3D2B">
        <w:rPr>
          <w:noProof/>
        </w:rPr>
        <w:t> </w:t>
      </w:r>
      <w:r w:rsidR="003F3D2B" w:rsidRPr="00624565">
        <w:rPr>
          <w:noProof/>
        </w:rPr>
        <w:t>zuż</w:t>
      </w:r>
      <w:r w:rsidRPr="00624565">
        <w:rPr>
          <w:noProof/>
        </w:rPr>
        <w:t>yciu wody prowadzą do znacznego wzrostu emisji gazów cieplarnianych, lub tego samego wpływu na środowisko na innym etapie cyklu życia produktu, np. ograniczenie emisji CO</w:t>
      </w:r>
      <w:r w:rsidRPr="00624565">
        <w:rPr>
          <w:noProof/>
          <w:vertAlign w:val="subscript"/>
        </w:rPr>
        <w:t>2</w:t>
      </w:r>
      <w:r w:rsidRPr="00624565">
        <w:rPr>
          <w:noProof/>
        </w:rPr>
        <w:t xml:space="preserve"> na etapie produkcji prowadzące do znacznego wzrostu emisji CO</w:t>
      </w:r>
      <w:r w:rsidRPr="00624565">
        <w:rPr>
          <w:noProof/>
          <w:vertAlign w:val="subscript"/>
        </w:rPr>
        <w:t>2</w:t>
      </w:r>
      <w:r w:rsidRPr="00624565">
        <w:rPr>
          <w:noProof/>
        </w:rPr>
        <w:t xml:space="preserve"> na etapie użytkowania. Przykładowo oświadczenie</w:t>
      </w:r>
      <w:r w:rsidR="003F3D2B" w:rsidRPr="00624565">
        <w:rPr>
          <w:noProof/>
        </w:rPr>
        <w:t xml:space="preserve"> o</w:t>
      </w:r>
      <w:r w:rsidR="003F3D2B">
        <w:rPr>
          <w:noProof/>
        </w:rPr>
        <w:t> </w:t>
      </w:r>
      <w:r w:rsidR="003F3D2B" w:rsidRPr="00624565">
        <w:rPr>
          <w:noProof/>
        </w:rPr>
        <w:t>poz</w:t>
      </w:r>
      <w:r w:rsidRPr="00624565">
        <w:rPr>
          <w:noProof/>
        </w:rPr>
        <w:t>ytywnym wpływie efektywnego wykorzystania zasobów</w:t>
      </w:r>
      <w:r w:rsidR="003F3D2B" w:rsidRPr="00624565">
        <w:rPr>
          <w:noProof/>
        </w:rPr>
        <w:t xml:space="preserve"> w</w:t>
      </w:r>
      <w:r w:rsidR="003F3D2B">
        <w:rPr>
          <w:noProof/>
        </w:rPr>
        <w:t> </w:t>
      </w:r>
      <w:r w:rsidR="003F3D2B" w:rsidRPr="00624565">
        <w:rPr>
          <w:noProof/>
        </w:rPr>
        <w:t>pra</w:t>
      </w:r>
      <w:r w:rsidRPr="00624565">
        <w:rPr>
          <w:noProof/>
        </w:rPr>
        <w:t>ktykach rolnictwa intensywnego może wprowadzać konsumentów</w:t>
      </w:r>
      <w:r w:rsidR="003F3D2B" w:rsidRPr="00624565">
        <w:rPr>
          <w:noProof/>
        </w:rPr>
        <w:t xml:space="preserve"> w</w:t>
      </w:r>
      <w:r w:rsidR="003F3D2B">
        <w:rPr>
          <w:noProof/>
        </w:rPr>
        <w:t> </w:t>
      </w:r>
      <w:r w:rsidR="003F3D2B" w:rsidRPr="00624565">
        <w:rPr>
          <w:noProof/>
        </w:rPr>
        <w:t>błą</w:t>
      </w:r>
      <w:r w:rsidRPr="00624565">
        <w:rPr>
          <w:noProof/>
        </w:rPr>
        <w:t>d ze względu na kompromisy związane</w:t>
      </w:r>
      <w:r w:rsidR="003F3D2B" w:rsidRPr="00624565">
        <w:rPr>
          <w:noProof/>
        </w:rPr>
        <w:t xml:space="preserve"> z</w:t>
      </w:r>
      <w:r w:rsidR="003F3D2B">
        <w:rPr>
          <w:noProof/>
        </w:rPr>
        <w:t> </w:t>
      </w:r>
      <w:r w:rsidR="003F3D2B" w:rsidRPr="00624565">
        <w:rPr>
          <w:noProof/>
        </w:rPr>
        <w:t>wpł</w:t>
      </w:r>
      <w:r w:rsidRPr="00624565">
        <w:rPr>
          <w:noProof/>
        </w:rPr>
        <w:t>ywem na różnorodność biologiczną, ekosystemy lub dobrostan zwierząt. Oświadczenie środowiskowe dotyczące wyrobów włókienniczych zawierających tworzywo sztuczne pochodzące</w:t>
      </w:r>
      <w:r w:rsidR="003F3D2B" w:rsidRPr="00624565">
        <w:rPr>
          <w:noProof/>
        </w:rPr>
        <w:t xml:space="preserve"> z</w:t>
      </w:r>
      <w:r w:rsidR="003F3D2B">
        <w:rPr>
          <w:noProof/>
        </w:rPr>
        <w:t> </w:t>
      </w:r>
      <w:r w:rsidR="003F3D2B" w:rsidRPr="00624565">
        <w:rPr>
          <w:noProof/>
        </w:rPr>
        <w:t>rec</w:t>
      </w:r>
      <w:r w:rsidRPr="00624565">
        <w:rPr>
          <w:noProof/>
        </w:rPr>
        <w:t>yklingu butelek PET może również wprowadzać konsumentów</w:t>
      </w:r>
      <w:r w:rsidR="003F3D2B" w:rsidRPr="00624565">
        <w:rPr>
          <w:noProof/>
        </w:rPr>
        <w:t xml:space="preserve"> w</w:t>
      </w:r>
      <w:r w:rsidR="003F3D2B">
        <w:rPr>
          <w:noProof/>
        </w:rPr>
        <w:t> </w:t>
      </w:r>
      <w:r w:rsidR="003F3D2B" w:rsidRPr="00624565">
        <w:rPr>
          <w:noProof/>
        </w:rPr>
        <w:t>błą</w:t>
      </w:r>
      <w:r w:rsidRPr="00624565">
        <w:rPr>
          <w:noProof/>
        </w:rPr>
        <w:t>d pod względem korzyści środowiskowych wynikających</w:t>
      </w:r>
      <w:r w:rsidR="003F3D2B" w:rsidRPr="00624565">
        <w:rPr>
          <w:noProof/>
        </w:rPr>
        <w:t xml:space="preserve"> z</w:t>
      </w:r>
      <w:r w:rsidR="003F3D2B">
        <w:rPr>
          <w:noProof/>
        </w:rPr>
        <w:t> </w:t>
      </w:r>
      <w:r w:rsidR="003F3D2B" w:rsidRPr="00624565">
        <w:rPr>
          <w:noProof/>
        </w:rPr>
        <w:t>teg</w:t>
      </w:r>
      <w:r w:rsidRPr="00624565">
        <w:rPr>
          <w:noProof/>
        </w:rPr>
        <w:t>o aspektu, jeżeli wykorzystanie tego tworzywa sztucznego pochodzącego</w:t>
      </w:r>
      <w:r w:rsidR="003F3D2B" w:rsidRPr="00624565">
        <w:rPr>
          <w:noProof/>
        </w:rPr>
        <w:t xml:space="preserve"> z</w:t>
      </w:r>
      <w:r w:rsidR="003F3D2B">
        <w:rPr>
          <w:noProof/>
        </w:rPr>
        <w:t> </w:t>
      </w:r>
      <w:r w:rsidR="003F3D2B" w:rsidRPr="00624565">
        <w:rPr>
          <w:noProof/>
        </w:rPr>
        <w:t>rec</w:t>
      </w:r>
      <w:r w:rsidRPr="00624565">
        <w:rPr>
          <w:noProof/>
        </w:rPr>
        <w:t>yklingu konkuruje</w:t>
      </w:r>
      <w:r w:rsidR="003F3D2B" w:rsidRPr="00624565">
        <w:rPr>
          <w:noProof/>
        </w:rPr>
        <w:t xml:space="preserve"> z</w:t>
      </w:r>
      <w:r w:rsidR="003F3D2B">
        <w:rPr>
          <w:noProof/>
        </w:rPr>
        <w:t> </w:t>
      </w:r>
      <w:r w:rsidR="003F3D2B" w:rsidRPr="00624565">
        <w:rPr>
          <w:noProof/>
        </w:rPr>
        <w:t>zam</w:t>
      </w:r>
      <w:r w:rsidRPr="00624565">
        <w:rPr>
          <w:noProof/>
        </w:rPr>
        <w:t>kniętym systemem recyklingu materiałów przeznaczonych do kontaktu</w:t>
      </w:r>
      <w:r w:rsidR="003F3D2B" w:rsidRPr="00624565">
        <w:rPr>
          <w:noProof/>
        </w:rPr>
        <w:t xml:space="preserve"> z</w:t>
      </w:r>
      <w:r w:rsidR="003F3D2B">
        <w:rPr>
          <w:noProof/>
        </w:rPr>
        <w:t> </w:t>
      </w:r>
      <w:r w:rsidR="003F3D2B" w:rsidRPr="00624565">
        <w:rPr>
          <w:noProof/>
        </w:rPr>
        <w:t>żyw</w:t>
      </w:r>
      <w:r w:rsidRPr="00624565">
        <w:rPr>
          <w:noProof/>
        </w:rPr>
        <w:t>nością, który uważa się za bardziej korzystny</w:t>
      </w:r>
      <w:r w:rsidR="003F3D2B" w:rsidRPr="00624565">
        <w:rPr>
          <w:noProof/>
        </w:rPr>
        <w:t xml:space="preserve"> z</w:t>
      </w:r>
      <w:r w:rsidR="003F3D2B">
        <w:rPr>
          <w:noProof/>
        </w:rPr>
        <w:t> </w:t>
      </w:r>
      <w:r w:rsidR="003F3D2B" w:rsidRPr="00624565">
        <w:rPr>
          <w:noProof/>
        </w:rPr>
        <w:t>per</w:t>
      </w:r>
      <w:r w:rsidRPr="00624565">
        <w:rPr>
          <w:noProof/>
        </w:rPr>
        <w:t>spektywy obiegu zamkniętego.</w:t>
      </w:r>
    </w:p>
    <w:p w14:paraId="2784D7E5" w14:textId="34B84634" w:rsidR="000464F8" w:rsidRPr="00624565" w:rsidRDefault="004D161E" w:rsidP="004D161E">
      <w:pPr>
        <w:pStyle w:val="ManualConsidrant"/>
        <w:rPr>
          <w:noProof/>
        </w:rPr>
      </w:pPr>
      <w:r w:rsidRPr="00624565">
        <w:rPr>
          <w:noProof/>
        </w:rPr>
        <w:t>(20)</w:t>
      </w:r>
      <w:r w:rsidRPr="00624565">
        <w:rPr>
          <w:noProof/>
        </w:rPr>
        <w:tab/>
        <w:t>Aby oświadczenie środowiskowe można było uznać za rzetelne, powinno ono jak najdokładniej odzwierciedlać efektywność środowiskową konkretnego produktu lub przedsiębiorcy. Informacje wykorzystywane do uzasadnienia wyraźnych oświadczeń środowiskowych muszą zatem zawierać dane pierwotne dotyczące przedsiębiorstwa odnoszące się do istotnych aspektów przyczyniających się</w:t>
      </w:r>
      <w:r w:rsidR="003F3D2B" w:rsidRPr="00624565">
        <w:rPr>
          <w:noProof/>
        </w:rPr>
        <w:t xml:space="preserve"> w</w:t>
      </w:r>
      <w:r w:rsidR="003F3D2B">
        <w:rPr>
          <w:noProof/>
        </w:rPr>
        <w:t> </w:t>
      </w:r>
      <w:r w:rsidR="003F3D2B" w:rsidRPr="00624565">
        <w:rPr>
          <w:noProof/>
        </w:rPr>
        <w:t>zna</w:t>
      </w:r>
      <w:r w:rsidRPr="00624565">
        <w:rPr>
          <w:noProof/>
        </w:rPr>
        <w:t>czącym stopniu do efektywności środowiskowej produktu lub przedsiębiorcy,</w:t>
      </w:r>
      <w:r w:rsidR="003F3D2B" w:rsidRPr="00624565">
        <w:rPr>
          <w:noProof/>
        </w:rPr>
        <w:t xml:space="preserve"> o</w:t>
      </w:r>
      <w:r w:rsidR="003F3D2B">
        <w:rPr>
          <w:noProof/>
        </w:rPr>
        <w:t> </w:t>
      </w:r>
      <w:r w:rsidR="003F3D2B" w:rsidRPr="00624565">
        <w:rPr>
          <w:noProof/>
        </w:rPr>
        <w:t>któ</w:t>
      </w:r>
      <w:r w:rsidRPr="00624565">
        <w:rPr>
          <w:noProof/>
        </w:rPr>
        <w:t>rych mowa</w:t>
      </w:r>
      <w:r w:rsidR="003F3D2B" w:rsidRPr="00624565">
        <w:rPr>
          <w:noProof/>
        </w:rPr>
        <w:t xml:space="preserve"> w</w:t>
      </w:r>
      <w:r w:rsidR="003F3D2B">
        <w:rPr>
          <w:noProof/>
        </w:rPr>
        <w:t> </w:t>
      </w:r>
      <w:r w:rsidR="003F3D2B" w:rsidRPr="00624565">
        <w:rPr>
          <w:noProof/>
        </w:rPr>
        <w:t>ośw</w:t>
      </w:r>
      <w:r w:rsidRPr="00624565">
        <w:rPr>
          <w:noProof/>
        </w:rPr>
        <w:t>iadczeniu. Konieczne jest znalezienie właściwej równowagi między zapewnieniem odpowiednich</w:t>
      </w:r>
      <w:r w:rsidR="003F3D2B" w:rsidRPr="00624565">
        <w:rPr>
          <w:noProof/>
        </w:rPr>
        <w:t xml:space="preserve"> i</w:t>
      </w:r>
      <w:r w:rsidR="003F3D2B">
        <w:rPr>
          <w:noProof/>
        </w:rPr>
        <w:t> </w:t>
      </w:r>
      <w:r w:rsidR="003F3D2B" w:rsidRPr="00624565">
        <w:rPr>
          <w:noProof/>
        </w:rPr>
        <w:t>rze</w:t>
      </w:r>
      <w:r w:rsidRPr="00624565">
        <w:rPr>
          <w:noProof/>
        </w:rPr>
        <w:t>telnych informacji służących uzasadnieniu oświadczeń środowiskowych</w:t>
      </w:r>
      <w:r w:rsidR="003F3D2B" w:rsidRPr="00624565">
        <w:rPr>
          <w:noProof/>
        </w:rPr>
        <w:t xml:space="preserve"> a</w:t>
      </w:r>
      <w:r w:rsidR="003F3D2B">
        <w:rPr>
          <w:noProof/>
        </w:rPr>
        <w:t> </w:t>
      </w:r>
      <w:r w:rsidR="003F3D2B" w:rsidRPr="00624565">
        <w:rPr>
          <w:noProof/>
        </w:rPr>
        <w:t>dzi</w:t>
      </w:r>
      <w:r w:rsidRPr="00624565">
        <w:rPr>
          <w:noProof/>
        </w:rPr>
        <w:t>ałaniami potrzebnymi do zgromadzenia informacji pierwotnych. Wymóg wykorzystania danych pierwotnych należy rozpatrywać</w:t>
      </w:r>
      <w:r w:rsidR="003F3D2B" w:rsidRPr="00624565">
        <w:rPr>
          <w:noProof/>
        </w:rPr>
        <w:t xml:space="preserve"> w</w:t>
      </w:r>
      <w:r w:rsidR="003F3D2B">
        <w:rPr>
          <w:noProof/>
        </w:rPr>
        <w:t> </w:t>
      </w:r>
      <w:r w:rsidR="003F3D2B" w:rsidRPr="00624565">
        <w:rPr>
          <w:noProof/>
        </w:rPr>
        <w:t>świ</w:t>
      </w:r>
      <w:r w:rsidRPr="00624565">
        <w:rPr>
          <w:noProof/>
        </w:rPr>
        <w:t>etle wpływu, jaki przedsiębiorca formułujący oświadczenie ma na dany proces oraz dostępności informacji pierwotnych. Jeżeli procesem nie zarządza przedsiębiorca formułujący oświadczenie,</w:t>
      </w:r>
      <w:r w:rsidR="003F3D2B" w:rsidRPr="00624565">
        <w:rPr>
          <w:noProof/>
        </w:rPr>
        <w:t xml:space="preserve"> a</w:t>
      </w:r>
      <w:r w:rsidR="003F3D2B">
        <w:rPr>
          <w:noProof/>
        </w:rPr>
        <w:t> </w:t>
      </w:r>
      <w:r w:rsidR="003F3D2B" w:rsidRPr="00624565">
        <w:rPr>
          <w:noProof/>
        </w:rPr>
        <w:t>inf</w:t>
      </w:r>
      <w:r w:rsidRPr="00624565">
        <w:rPr>
          <w:noProof/>
        </w:rPr>
        <w:t>ormacje pierwotne są niedostępne, należy umożliwić wykorzystanie dokładnych informacji wtórnych, nawet</w:t>
      </w:r>
      <w:r w:rsidR="003F3D2B" w:rsidRPr="00624565">
        <w:rPr>
          <w:noProof/>
        </w:rPr>
        <w:t xml:space="preserve"> w</w:t>
      </w:r>
      <w:r w:rsidR="003F3D2B">
        <w:rPr>
          <w:noProof/>
        </w:rPr>
        <w:t> </w:t>
      </w:r>
      <w:r w:rsidR="003F3D2B" w:rsidRPr="00624565">
        <w:rPr>
          <w:noProof/>
        </w:rPr>
        <w:t>odn</w:t>
      </w:r>
      <w:r w:rsidRPr="00624565">
        <w:rPr>
          <w:noProof/>
        </w:rPr>
        <w:t>iesieniu do procesów, które</w:t>
      </w:r>
      <w:r w:rsidR="003F3D2B" w:rsidRPr="00624565">
        <w:rPr>
          <w:noProof/>
        </w:rPr>
        <w:t xml:space="preserve"> w</w:t>
      </w:r>
      <w:r w:rsidR="003F3D2B">
        <w:rPr>
          <w:noProof/>
        </w:rPr>
        <w:t> </w:t>
      </w:r>
      <w:r w:rsidR="003F3D2B" w:rsidRPr="00624565">
        <w:rPr>
          <w:noProof/>
        </w:rPr>
        <w:t>zna</w:t>
      </w:r>
      <w:r w:rsidRPr="00624565">
        <w:rPr>
          <w:noProof/>
        </w:rPr>
        <w:t>czący sposób przyczyniają się do efektywności środowiskowej produktu lub przedsiębiorcy. Szczególnie istotne jest, aby nie stawiać MŚP</w:t>
      </w:r>
      <w:r w:rsidR="003F3D2B" w:rsidRPr="00624565">
        <w:rPr>
          <w:noProof/>
        </w:rPr>
        <w:t xml:space="preserve"> w</w:t>
      </w:r>
      <w:r w:rsidR="003F3D2B">
        <w:rPr>
          <w:noProof/>
        </w:rPr>
        <w:t> </w:t>
      </w:r>
      <w:r w:rsidR="003F3D2B" w:rsidRPr="00624565">
        <w:rPr>
          <w:noProof/>
        </w:rPr>
        <w:t>nie</w:t>
      </w:r>
      <w:r w:rsidRPr="00624565">
        <w:rPr>
          <w:noProof/>
        </w:rPr>
        <w:t>korzystnej sytuacji</w:t>
      </w:r>
      <w:r w:rsidR="003F3D2B" w:rsidRPr="00624565">
        <w:rPr>
          <w:noProof/>
        </w:rPr>
        <w:t xml:space="preserve"> i</w:t>
      </w:r>
      <w:r w:rsidR="003F3D2B">
        <w:rPr>
          <w:noProof/>
        </w:rPr>
        <w:t> </w:t>
      </w:r>
      <w:r w:rsidR="003F3D2B" w:rsidRPr="00624565">
        <w:rPr>
          <w:noProof/>
        </w:rPr>
        <w:t>kon</w:t>
      </w:r>
      <w:r w:rsidRPr="00624565">
        <w:rPr>
          <w:noProof/>
        </w:rPr>
        <w:t>tynuować działania potrzebne do pozyskania danych pierwotnych na proporcjonalnym poziomie. Ponadto odpowiednie aspekty środowiskowe różnią się</w:t>
      </w:r>
      <w:r w:rsidR="003F3D2B" w:rsidRPr="00624565">
        <w:rPr>
          <w:noProof/>
        </w:rPr>
        <w:t xml:space="preserve"> w</w:t>
      </w:r>
      <w:r w:rsidR="003F3D2B">
        <w:rPr>
          <w:noProof/>
        </w:rPr>
        <w:t> </w:t>
      </w:r>
      <w:r w:rsidR="003F3D2B" w:rsidRPr="00624565">
        <w:rPr>
          <w:noProof/>
        </w:rPr>
        <w:t>zal</w:t>
      </w:r>
      <w:r w:rsidRPr="00624565">
        <w:rPr>
          <w:noProof/>
        </w:rPr>
        <w:t>eżności od rodzaju oświadczenia środowiskowego. Przykładowo</w:t>
      </w:r>
      <w:r w:rsidR="003F3D2B" w:rsidRPr="00624565">
        <w:rPr>
          <w:noProof/>
        </w:rPr>
        <w:t xml:space="preserve"> w</w:t>
      </w:r>
      <w:r w:rsidR="003F3D2B">
        <w:rPr>
          <w:noProof/>
        </w:rPr>
        <w:t> </w:t>
      </w:r>
      <w:r w:rsidR="003F3D2B" w:rsidRPr="00624565">
        <w:rPr>
          <w:noProof/>
        </w:rPr>
        <w:t>prz</w:t>
      </w:r>
      <w:r w:rsidRPr="00624565">
        <w:rPr>
          <w:noProof/>
        </w:rPr>
        <w:t>ypadku oświadczeń dotyczących zawartości materiałów pochodzących</w:t>
      </w:r>
      <w:r w:rsidR="003F3D2B" w:rsidRPr="00624565">
        <w:rPr>
          <w:noProof/>
        </w:rPr>
        <w:t xml:space="preserve"> z</w:t>
      </w:r>
      <w:r w:rsidR="003F3D2B">
        <w:rPr>
          <w:noProof/>
        </w:rPr>
        <w:t> </w:t>
      </w:r>
      <w:r w:rsidR="003F3D2B" w:rsidRPr="00624565">
        <w:rPr>
          <w:noProof/>
        </w:rPr>
        <w:t>rec</w:t>
      </w:r>
      <w:r w:rsidRPr="00624565">
        <w:rPr>
          <w:noProof/>
        </w:rPr>
        <w:t>yklingu lub pochodzenia biologicznego skład produktu powinien wchodzić</w:t>
      </w:r>
      <w:r w:rsidR="003F3D2B" w:rsidRPr="00624565">
        <w:rPr>
          <w:noProof/>
        </w:rPr>
        <w:t xml:space="preserve"> w</w:t>
      </w:r>
      <w:r w:rsidR="003F3D2B">
        <w:rPr>
          <w:noProof/>
        </w:rPr>
        <w:t> </w:t>
      </w:r>
      <w:r w:rsidR="003F3D2B" w:rsidRPr="00624565">
        <w:rPr>
          <w:noProof/>
        </w:rPr>
        <w:t>zak</w:t>
      </w:r>
      <w:r w:rsidRPr="00624565">
        <w:rPr>
          <w:noProof/>
        </w:rPr>
        <w:t>res danych pierwotnych</w:t>
      </w:r>
      <w:r w:rsidR="003F3D2B" w:rsidRPr="00624565">
        <w:rPr>
          <w:noProof/>
        </w:rPr>
        <w:t>. W</w:t>
      </w:r>
      <w:r w:rsidR="003F3D2B">
        <w:rPr>
          <w:noProof/>
        </w:rPr>
        <w:t> </w:t>
      </w:r>
      <w:r w:rsidR="003F3D2B" w:rsidRPr="00624565">
        <w:rPr>
          <w:noProof/>
        </w:rPr>
        <w:t>prz</w:t>
      </w:r>
      <w:r w:rsidRPr="00624565">
        <w:rPr>
          <w:noProof/>
        </w:rPr>
        <w:t>ypadku oświadczeń dotyczących mniejszego zanieczyszczenia środowiska na pewnym etapie cyklu życia informacje dotyczące emisji</w:t>
      </w:r>
      <w:r w:rsidR="003F3D2B" w:rsidRPr="00624565">
        <w:rPr>
          <w:noProof/>
        </w:rPr>
        <w:t xml:space="preserve"> i</w:t>
      </w:r>
      <w:r w:rsidR="003F3D2B">
        <w:rPr>
          <w:noProof/>
        </w:rPr>
        <w:t> </w:t>
      </w:r>
      <w:r w:rsidR="003F3D2B" w:rsidRPr="00624565">
        <w:rPr>
          <w:noProof/>
        </w:rPr>
        <w:t>wpł</w:t>
      </w:r>
      <w:r w:rsidRPr="00624565">
        <w:rPr>
          <w:noProof/>
        </w:rPr>
        <w:t>ywu na środowisko związane</w:t>
      </w:r>
      <w:r w:rsidR="003F3D2B" w:rsidRPr="00624565">
        <w:rPr>
          <w:noProof/>
        </w:rPr>
        <w:t xml:space="preserve"> z</w:t>
      </w:r>
      <w:r w:rsidR="003F3D2B">
        <w:rPr>
          <w:noProof/>
        </w:rPr>
        <w:t> </w:t>
      </w:r>
      <w:r w:rsidR="003F3D2B" w:rsidRPr="00624565">
        <w:rPr>
          <w:noProof/>
        </w:rPr>
        <w:t>tym</w:t>
      </w:r>
      <w:r w:rsidRPr="00624565">
        <w:rPr>
          <w:noProof/>
        </w:rPr>
        <w:t xml:space="preserve"> etapem cyklu życia powinny również obejmować dane pierwotne. Zarówno</w:t>
      </w:r>
      <w:r w:rsidR="003F3D2B" w:rsidRPr="00624565">
        <w:rPr>
          <w:noProof/>
        </w:rPr>
        <w:t xml:space="preserve"> w</w:t>
      </w:r>
      <w:r w:rsidR="003F3D2B">
        <w:rPr>
          <w:noProof/>
        </w:rPr>
        <w:t> </w:t>
      </w:r>
      <w:r w:rsidR="003F3D2B" w:rsidRPr="00624565">
        <w:rPr>
          <w:noProof/>
        </w:rPr>
        <w:t>prz</w:t>
      </w:r>
      <w:r w:rsidRPr="00624565">
        <w:rPr>
          <w:noProof/>
        </w:rPr>
        <w:t>ypadku danych pierwotnych, jak</w:t>
      </w:r>
      <w:r w:rsidR="003F3D2B" w:rsidRPr="00624565">
        <w:rPr>
          <w:noProof/>
        </w:rPr>
        <w:t xml:space="preserve"> i</w:t>
      </w:r>
      <w:r w:rsidR="003F3D2B">
        <w:rPr>
          <w:noProof/>
        </w:rPr>
        <w:t> </w:t>
      </w:r>
      <w:r w:rsidR="003F3D2B" w:rsidRPr="00624565">
        <w:rPr>
          <w:noProof/>
        </w:rPr>
        <w:t>wtó</w:t>
      </w:r>
      <w:r w:rsidRPr="00624565">
        <w:rPr>
          <w:noProof/>
        </w:rPr>
        <w:t>rnych, tj. danych uśrednionych, poziom jakości</w:t>
      </w:r>
      <w:r w:rsidR="003F3D2B" w:rsidRPr="00624565">
        <w:rPr>
          <w:noProof/>
        </w:rPr>
        <w:t xml:space="preserve"> i</w:t>
      </w:r>
      <w:r w:rsidR="003F3D2B">
        <w:rPr>
          <w:noProof/>
        </w:rPr>
        <w:t> </w:t>
      </w:r>
      <w:r w:rsidR="003F3D2B" w:rsidRPr="00624565">
        <w:rPr>
          <w:noProof/>
        </w:rPr>
        <w:t>dok</w:t>
      </w:r>
      <w:r w:rsidRPr="00624565">
        <w:rPr>
          <w:noProof/>
        </w:rPr>
        <w:t xml:space="preserve">ładności powinien być wysoki. </w:t>
      </w:r>
    </w:p>
    <w:p w14:paraId="2E5B2F8E" w14:textId="54A71D65" w:rsidR="000464F8" w:rsidRPr="00624565" w:rsidRDefault="004D161E" w:rsidP="004D161E">
      <w:pPr>
        <w:pStyle w:val="ManualConsidrant"/>
        <w:rPr>
          <w:noProof/>
        </w:rPr>
      </w:pPr>
      <w:r w:rsidRPr="00624565">
        <w:rPr>
          <w:noProof/>
        </w:rPr>
        <w:t>(21)</w:t>
      </w:r>
      <w:r w:rsidRPr="00624565">
        <w:rPr>
          <w:noProof/>
        </w:rPr>
        <w:tab/>
        <w:t>Wykazano, że oświadczenia dotyczące klimatu mogą być szczególnie niejasne</w:t>
      </w:r>
      <w:r w:rsidR="003F3D2B" w:rsidRPr="00624565">
        <w:rPr>
          <w:noProof/>
        </w:rPr>
        <w:t xml:space="preserve"> i</w:t>
      </w:r>
      <w:r w:rsidR="003F3D2B">
        <w:rPr>
          <w:noProof/>
        </w:rPr>
        <w:t> </w:t>
      </w:r>
      <w:r w:rsidR="003F3D2B" w:rsidRPr="00624565">
        <w:rPr>
          <w:noProof/>
        </w:rPr>
        <w:t>dwu</w:t>
      </w:r>
      <w:r w:rsidRPr="00624565">
        <w:rPr>
          <w:noProof/>
        </w:rPr>
        <w:t>znaczne oraz wprowadzać konsumentów</w:t>
      </w:r>
      <w:r w:rsidR="003F3D2B" w:rsidRPr="00624565">
        <w:rPr>
          <w:noProof/>
        </w:rPr>
        <w:t xml:space="preserve"> w</w:t>
      </w:r>
      <w:r w:rsidR="003F3D2B">
        <w:rPr>
          <w:noProof/>
        </w:rPr>
        <w:t> </w:t>
      </w:r>
      <w:r w:rsidR="003F3D2B" w:rsidRPr="00624565">
        <w:rPr>
          <w:noProof/>
        </w:rPr>
        <w:t>błą</w:t>
      </w:r>
      <w:r w:rsidRPr="00624565">
        <w:rPr>
          <w:noProof/>
        </w:rPr>
        <w:t>d. Dotyczy to</w:t>
      </w:r>
      <w:r w:rsidR="003F3D2B" w:rsidRPr="00624565">
        <w:rPr>
          <w:noProof/>
        </w:rPr>
        <w:t xml:space="preserve"> w</w:t>
      </w:r>
      <w:r w:rsidR="003F3D2B">
        <w:rPr>
          <w:noProof/>
        </w:rPr>
        <w:t> </w:t>
      </w:r>
      <w:r w:rsidR="003F3D2B" w:rsidRPr="00624565">
        <w:rPr>
          <w:noProof/>
        </w:rPr>
        <w:t>szc</w:t>
      </w:r>
      <w:r w:rsidRPr="00624565">
        <w:rPr>
          <w:noProof/>
        </w:rPr>
        <w:t>zególności oświadczeń środowiskowych, że produkty lub podmioty są „neutralne dla klimatu”, „neutralne pod względem emisji dwutlenku węgla”, „w 10</w:t>
      </w:r>
      <w:r w:rsidRPr="003F3D2B">
        <w:rPr>
          <w:noProof/>
        </w:rPr>
        <w:t>0</w:t>
      </w:r>
      <w:r w:rsidR="003F3D2B" w:rsidRPr="003F3D2B">
        <w:rPr>
          <w:noProof/>
        </w:rPr>
        <w:t> </w:t>
      </w:r>
      <w:r w:rsidRPr="003F3D2B">
        <w:rPr>
          <w:noProof/>
        </w:rPr>
        <w:t>%</w:t>
      </w:r>
      <w:r w:rsidRPr="00624565">
        <w:rPr>
          <w:noProof/>
        </w:rPr>
        <w:t xml:space="preserve"> skompensowane pod kątem emisji dwutlenku węgla”, że będą „neutralne klimatycznie” do określonego roku, lub podobnych oświadczeń. Takie oświadczenia często opierają się na „kompensacji” emisji gazów cieplarnianych za pośrednictwem „jednostek emisji” generowanych poza łańcuchem wartości przedsiębiorstwa, np.</w:t>
      </w:r>
      <w:r w:rsidR="003F3D2B" w:rsidRPr="00624565">
        <w:rPr>
          <w:noProof/>
        </w:rPr>
        <w:t xml:space="preserve"> z</w:t>
      </w:r>
      <w:r w:rsidR="003F3D2B">
        <w:rPr>
          <w:noProof/>
        </w:rPr>
        <w:t> </w:t>
      </w:r>
      <w:r w:rsidR="003F3D2B" w:rsidRPr="00624565">
        <w:rPr>
          <w:noProof/>
        </w:rPr>
        <w:t>inw</w:t>
      </w:r>
      <w:r w:rsidRPr="00624565">
        <w:rPr>
          <w:noProof/>
        </w:rPr>
        <w:t>estycji dotyczących leśnictwa lub energii odnawialnej. Występują znaczne różnice między metodami stanowiącymi podstawę kompensacji</w:t>
      </w:r>
      <w:r w:rsidR="003F3D2B" w:rsidRPr="00624565">
        <w:rPr>
          <w:noProof/>
        </w:rPr>
        <w:t xml:space="preserve"> i</w:t>
      </w:r>
      <w:r w:rsidR="003F3D2B">
        <w:rPr>
          <w:noProof/>
        </w:rPr>
        <w:t> </w:t>
      </w:r>
      <w:r w:rsidR="003F3D2B" w:rsidRPr="00624565">
        <w:rPr>
          <w:noProof/>
        </w:rPr>
        <w:t>nie</w:t>
      </w:r>
      <w:r w:rsidRPr="00624565">
        <w:rPr>
          <w:noProof/>
        </w:rPr>
        <w:t xml:space="preserve"> zawsze są one przejrzyste, dokładne lub spójne. Prowadzi to do znacznego ryzyka przeszacowania</w:t>
      </w:r>
      <w:r w:rsidR="003F3D2B" w:rsidRPr="00624565">
        <w:rPr>
          <w:noProof/>
        </w:rPr>
        <w:t xml:space="preserve"> i</w:t>
      </w:r>
      <w:r w:rsidR="003F3D2B">
        <w:rPr>
          <w:noProof/>
        </w:rPr>
        <w:t> </w:t>
      </w:r>
      <w:r w:rsidR="003F3D2B" w:rsidRPr="00624565">
        <w:rPr>
          <w:noProof/>
        </w:rPr>
        <w:t>pod</w:t>
      </w:r>
      <w:r w:rsidRPr="00624565">
        <w:rPr>
          <w:noProof/>
        </w:rPr>
        <w:t>wójnego liczenia emisji, których uniknięto lub które zredukowano, ze względu na brak dodatkowości, trwałości, ambitnych</w:t>
      </w:r>
      <w:r w:rsidR="003F3D2B" w:rsidRPr="00624565">
        <w:rPr>
          <w:noProof/>
        </w:rPr>
        <w:t xml:space="preserve"> i</w:t>
      </w:r>
      <w:r w:rsidR="003F3D2B">
        <w:rPr>
          <w:noProof/>
        </w:rPr>
        <w:t> </w:t>
      </w:r>
      <w:r w:rsidR="003F3D2B" w:rsidRPr="00624565">
        <w:rPr>
          <w:noProof/>
        </w:rPr>
        <w:t>dyn</w:t>
      </w:r>
      <w:r w:rsidRPr="00624565">
        <w:rPr>
          <w:noProof/>
        </w:rPr>
        <w:t>amicznych podstaw przydzielania jednostek</w:t>
      </w:r>
      <w:r w:rsidR="003F3D2B" w:rsidRPr="00624565">
        <w:rPr>
          <w:noProof/>
        </w:rPr>
        <w:t xml:space="preserve"> z</w:t>
      </w:r>
      <w:r w:rsidR="003F3D2B">
        <w:rPr>
          <w:noProof/>
        </w:rPr>
        <w:t> </w:t>
      </w:r>
      <w:r w:rsidR="003F3D2B" w:rsidRPr="00624565">
        <w:rPr>
          <w:noProof/>
        </w:rPr>
        <w:t>tyt</w:t>
      </w:r>
      <w:r w:rsidRPr="00624565">
        <w:rPr>
          <w:noProof/>
        </w:rPr>
        <w:t>ułu kompensacji emisji, które odbiegałyby od dotychczasowego scenariusza postępowania, oraz dokładnego rozliczania. Czynniki te powodują, że jednostki emisji mają niską integralność środowiskową</w:t>
      </w:r>
      <w:r w:rsidR="003F3D2B" w:rsidRPr="00624565">
        <w:rPr>
          <w:noProof/>
        </w:rPr>
        <w:t xml:space="preserve"> i</w:t>
      </w:r>
      <w:r w:rsidR="003F3D2B">
        <w:rPr>
          <w:noProof/>
        </w:rPr>
        <w:t> </w:t>
      </w:r>
      <w:r w:rsidR="003F3D2B" w:rsidRPr="00624565">
        <w:rPr>
          <w:noProof/>
        </w:rPr>
        <w:t>wia</w:t>
      </w:r>
      <w:r w:rsidRPr="00624565">
        <w:rPr>
          <w:noProof/>
        </w:rPr>
        <w:t>rygodność, przez co konsumenci są wprowadzani</w:t>
      </w:r>
      <w:r w:rsidR="003F3D2B" w:rsidRPr="00624565">
        <w:rPr>
          <w:noProof/>
        </w:rPr>
        <w:t xml:space="preserve"> w</w:t>
      </w:r>
      <w:r w:rsidR="003F3D2B">
        <w:rPr>
          <w:noProof/>
        </w:rPr>
        <w:t> </w:t>
      </w:r>
      <w:r w:rsidR="003F3D2B" w:rsidRPr="00624565">
        <w:rPr>
          <w:noProof/>
        </w:rPr>
        <w:t>błą</w:t>
      </w:r>
      <w:r w:rsidRPr="00624565">
        <w:rPr>
          <w:noProof/>
        </w:rPr>
        <w:t>d, gdy opiera się na nich wyraźne oświadczenia środowiskowe. Kompensacja może również zniechęcać przedsiębiorców do ograniczania emisji</w:t>
      </w:r>
      <w:r w:rsidR="003F3D2B" w:rsidRPr="00624565">
        <w:rPr>
          <w:noProof/>
        </w:rPr>
        <w:t xml:space="preserve"> w</w:t>
      </w:r>
      <w:r w:rsidR="003F3D2B">
        <w:rPr>
          <w:noProof/>
        </w:rPr>
        <w:t> </w:t>
      </w:r>
      <w:r w:rsidR="003F3D2B" w:rsidRPr="00624565">
        <w:rPr>
          <w:noProof/>
        </w:rPr>
        <w:t>ich</w:t>
      </w:r>
      <w:r w:rsidRPr="00624565">
        <w:rPr>
          <w:noProof/>
        </w:rPr>
        <w:t xml:space="preserve"> własnej działalności</w:t>
      </w:r>
      <w:r w:rsidR="003F3D2B" w:rsidRPr="00624565">
        <w:rPr>
          <w:noProof/>
        </w:rPr>
        <w:t xml:space="preserve"> i</w:t>
      </w:r>
      <w:r w:rsidR="003F3D2B">
        <w:rPr>
          <w:noProof/>
        </w:rPr>
        <w:t> </w:t>
      </w:r>
      <w:r w:rsidR="003F3D2B" w:rsidRPr="00624565">
        <w:rPr>
          <w:noProof/>
        </w:rPr>
        <w:t>łań</w:t>
      </w:r>
      <w:r w:rsidRPr="00624565">
        <w:rPr>
          <w:noProof/>
        </w:rPr>
        <w:t>cuchach wartości. Aby przyczynić się</w:t>
      </w:r>
      <w:r w:rsidR="003F3D2B" w:rsidRPr="00624565">
        <w:rPr>
          <w:noProof/>
        </w:rPr>
        <w:t xml:space="preserve"> w</w:t>
      </w:r>
      <w:r w:rsidR="003F3D2B">
        <w:rPr>
          <w:noProof/>
        </w:rPr>
        <w:t> </w:t>
      </w:r>
      <w:r w:rsidR="003F3D2B" w:rsidRPr="00624565">
        <w:rPr>
          <w:noProof/>
        </w:rPr>
        <w:t>odp</w:t>
      </w:r>
      <w:r w:rsidRPr="00624565">
        <w:rPr>
          <w:noProof/>
        </w:rPr>
        <w:t>owiednim stopniu do osiągnięcia globalnych celów</w:t>
      </w:r>
      <w:r w:rsidR="003F3D2B" w:rsidRPr="00624565">
        <w:rPr>
          <w:noProof/>
        </w:rPr>
        <w:t xml:space="preserve"> w</w:t>
      </w:r>
      <w:r w:rsidR="003F3D2B">
        <w:rPr>
          <w:noProof/>
        </w:rPr>
        <w:t> </w:t>
      </w:r>
      <w:r w:rsidR="003F3D2B" w:rsidRPr="00624565">
        <w:rPr>
          <w:noProof/>
        </w:rPr>
        <w:t>zak</w:t>
      </w:r>
      <w:r w:rsidRPr="00624565">
        <w:rPr>
          <w:noProof/>
        </w:rPr>
        <w:t>resie łagodzenia zmiany klimatu, przedsiębiorstwa powinny</w:t>
      </w:r>
      <w:r w:rsidR="003F3D2B" w:rsidRPr="00624565">
        <w:rPr>
          <w:noProof/>
        </w:rPr>
        <w:t xml:space="preserve"> w</w:t>
      </w:r>
      <w:r w:rsidR="003F3D2B">
        <w:rPr>
          <w:noProof/>
        </w:rPr>
        <w:t> </w:t>
      </w:r>
      <w:r w:rsidR="003F3D2B" w:rsidRPr="00624565">
        <w:rPr>
          <w:noProof/>
        </w:rPr>
        <w:t>pie</w:t>
      </w:r>
      <w:r w:rsidRPr="00624565">
        <w:rPr>
          <w:noProof/>
        </w:rPr>
        <w:t>rwszej kolejności dokonać skutecznych redukcji emisji</w:t>
      </w:r>
      <w:r w:rsidR="003F3D2B" w:rsidRPr="00624565">
        <w:rPr>
          <w:noProof/>
        </w:rPr>
        <w:t xml:space="preserve"> w</w:t>
      </w:r>
      <w:r w:rsidR="003F3D2B">
        <w:rPr>
          <w:noProof/>
        </w:rPr>
        <w:t> </w:t>
      </w:r>
      <w:r w:rsidR="003F3D2B" w:rsidRPr="00624565">
        <w:rPr>
          <w:noProof/>
        </w:rPr>
        <w:t>ram</w:t>
      </w:r>
      <w:r w:rsidRPr="00624565">
        <w:rPr>
          <w:noProof/>
        </w:rPr>
        <w:t>ach własnej działalności</w:t>
      </w:r>
      <w:r w:rsidR="003F3D2B" w:rsidRPr="00624565">
        <w:rPr>
          <w:noProof/>
        </w:rPr>
        <w:t xml:space="preserve"> i</w:t>
      </w:r>
      <w:r w:rsidR="003F3D2B">
        <w:rPr>
          <w:noProof/>
        </w:rPr>
        <w:t> </w:t>
      </w:r>
      <w:r w:rsidR="003F3D2B" w:rsidRPr="00624565">
        <w:rPr>
          <w:noProof/>
        </w:rPr>
        <w:t>łań</w:t>
      </w:r>
      <w:r w:rsidRPr="00624565">
        <w:rPr>
          <w:noProof/>
        </w:rPr>
        <w:t>cuchów wartości, zamiast polegać na kompensacji. Wszelkie wynikające</w:t>
      </w:r>
      <w:r w:rsidR="003F3D2B" w:rsidRPr="00624565">
        <w:rPr>
          <w:noProof/>
        </w:rPr>
        <w:t xml:space="preserve"> z</w:t>
      </w:r>
      <w:r w:rsidR="003F3D2B">
        <w:rPr>
          <w:noProof/>
        </w:rPr>
        <w:t> </w:t>
      </w:r>
      <w:r w:rsidR="003F3D2B" w:rsidRPr="00624565">
        <w:rPr>
          <w:noProof/>
        </w:rPr>
        <w:t>teg</w:t>
      </w:r>
      <w:r w:rsidRPr="00624565">
        <w:rPr>
          <w:noProof/>
        </w:rPr>
        <w:t>o emisje resztkowe będą się różnić</w:t>
      </w:r>
      <w:r w:rsidR="003F3D2B" w:rsidRPr="00624565">
        <w:rPr>
          <w:noProof/>
        </w:rPr>
        <w:t xml:space="preserve"> w</w:t>
      </w:r>
      <w:r w:rsidR="003F3D2B">
        <w:rPr>
          <w:noProof/>
        </w:rPr>
        <w:t> </w:t>
      </w:r>
      <w:r w:rsidR="003F3D2B" w:rsidRPr="00624565">
        <w:rPr>
          <w:noProof/>
        </w:rPr>
        <w:t>zal</w:t>
      </w:r>
      <w:r w:rsidRPr="00624565">
        <w:rPr>
          <w:noProof/>
        </w:rPr>
        <w:t>eżności od ścieżki danego sektora zgodnej</w:t>
      </w:r>
      <w:r w:rsidR="003F3D2B" w:rsidRPr="00624565">
        <w:rPr>
          <w:noProof/>
        </w:rPr>
        <w:t xml:space="preserve"> z</w:t>
      </w:r>
      <w:r w:rsidR="003F3D2B">
        <w:rPr>
          <w:noProof/>
        </w:rPr>
        <w:t> </w:t>
      </w:r>
      <w:r w:rsidR="003F3D2B" w:rsidRPr="00624565">
        <w:rPr>
          <w:noProof/>
        </w:rPr>
        <w:t>glo</w:t>
      </w:r>
      <w:r w:rsidRPr="00624565">
        <w:rPr>
          <w:noProof/>
        </w:rPr>
        <w:t>balnymi celami klimatycznymi</w:t>
      </w:r>
      <w:r w:rsidR="003F3D2B" w:rsidRPr="00624565">
        <w:rPr>
          <w:noProof/>
        </w:rPr>
        <w:t xml:space="preserve"> i</w:t>
      </w:r>
      <w:r w:rsidR="003F3D2B">
        <w:rPr>
          <w:noProof/>
        </w:rPr>
        <w:t> </w:t>
      </w:r>
      <w:r w:rsidR="003F3D2B" w:rsidRPr="00624565">
        <w:rPr>
          <w:noProof/>
        </w:rPr>
        <w:t>będ</w:t>
      </w:r>
      <w:r w:rsidRPr="00624565">
        <w:rPr>
          <w:noProof/>
        </w:rPr>
        <w:t>ą musiały zostać rozwiązane poprzez zwiększenie pochłaniania. Jeżeli jednak stosowane są kompensacje, uznaje się, że należy</w:t>
      </w:r>
      <w:r w:rsidR="003F3D2B" w:rsidRPr="00624565">
        <w:rPr>
          <w:noProof/>
        </w:rPr>
        <w:t xml:space="preserve"> w</w:t>
      </w:r>
      <w:r w:rsidR="003F3D2B">
        <w:rPr>
          <w:noProof/>
        </w:rPr>
        <w:t> </w:t>
      </w:r>
      <w:r w:rsidR="003F3D2B" w:rsidRPr="00624565">
        <w:rPr>
          <w:noProof/>
        </w:rPr>
        <w:t>bar</w:t>
      </w:r>
      <w:r w:rsidRPr="00624565">
        <w:rPr>
          <w:noProof/>
        </w:rPr>
        <w:t>dziej przejrzysty sposób formułować oświadczenia dotyczące klimatu,</w:t>
      </w:r>
      <w:r w:rsidR="003F3D2B" w:rsidRPr="00624565">
        <w:rPr>
          <w:noProof/>
        </w:rPr>
        <w:t xml:space="preserve"> w</w:t>
      </w:r>
      <w:r w:rsidR="003F3D2B">
        <w:rPr>
          <w:noProof/>
        </w:rPr>
        <w:t> </w:t>
      </w:r>
      <w:r w:rsidR="003F3D2B" w:rsidRPr="00624565">
        <w:rPr>
          <w:noProof/>
        </w:rPr>
        <w:t>tym</w:t>
      </w:r>
      <w:r w:rsidRPr="00624565">
        <w:rPr>
          <w:noProof/>
        </w:rPr>
        <w:t xml:space="preserve"> oświadczenia dotyczące przyszłej efektywności środowiskowej, bazujące na kompensacji</w:t>
      </w:r>
      <w:r w:rsidR="003F3D2B" w:rsidRPr="00624565">
        <w:rPr>
          <w:noProof/>
        </w:rPr>
        <w:t>. W</w:t>
      </w:r>
      <w:r w:rsidR="003F3D2B">
        <w:rPr>
          <w:noProof/>
        </w:rPr>
        <w:t> </w:t>
      </w:r>
      <w:r w:rsidR="003F3D2B" w:rsidRPr="00624565">
        <w:rPr>
          <w:noProof/>
        </w:rPr>
        <w:t>zwi</w:t>
      </w:r>
      <w:r w:rsidRPr="00624565">
        <w:rPr>
          <w:noProof/>
        </w:rPr>
        <w:t>ązku</w:t>
      </w:r>
      <w:r w:rsidR="003F3D2B" w:rsidRPr="00624565">
        <w:rPr>
          <w:noProof/>
        </w:rPr>
        <w:t xml:space="preserve"> z</w:t>
      </w:r>
      <w:r w:rsidR="003F3D2B">
        <w:rPr>
          <w:noProof/>
        </w:rPr>
        <w:t> </w:t>
      </w:r>
      <w:r w:rsidR="003F3D2B" w:rsidRPr="00624565">
        <w:rPr>
          <w:noProof/>
        </w:rPr>
        <w:t>tym w</w:t>
      </w:r>
      <w:r w:rsidR="003F3D2B">
        <w:rPr>
          <w:noProof/>
        </w:rPr>
        <w:t> </w:t>
      </w:r>
      <w:r w:rsidR="003F3D2B" w:rsidRPr="00624565">
        <w:rPr>
          <w:noProof/>
        </w:rPr>
        <w:t>uza</w:t>
      </w:r>
      <w:r w:rsidRPr="00624565">
        <w:rPr>
          <w:noProof/>
        </w:rPr>
        <w:t>sadnieniu oświadczeń dotyczących klimatu należy uwzględniać wszelkie kompensacje emisji gazów cieplarnianych stosowane przez przedsiębiorców niezależnie od emisji gazów cieplarnianych związanych</w:t>
      </w:r>
      <w:r w:rsidR="003F3D2B" w:rsidRPr="00624565">
        <w:rPr>
          <w:noProof/>
        </w:rPr>
        <w:t xml:space="preserve"> z</w:t>
      </w:r>
      <w:r w:rsidR="003F3D2B">
        <w:rPr>
          <w:noProof/>
        </w:rPr>
        <w:t> </w:t>
      </w:r>
      <w:r w:rsidR="003F3D2B" w:rsidRPr="00624565">
        <w:rPr>
          <w:noProof/>
        </w:rPr>
        <w:t>prz</w:t>
      </w:r>
      <w:r w:rsidRPr="00624565">
        <w:rPr>
          <w:noProof/>
        </w:rPr>
        <w:t>edsiębiorcą lub produktem. Ponadto</w:t>
      </w:r>
      <w:r w:rsidR="003F3D2B" w:rsidRPr="00624565">
        <w:rPr>
          <w:noProof/>
        </w:rPr>
        <w:t xml:space="preserve"> w</w:t>
      </w:r>
      <w:r w:rsidR="003F3D2B">
        <w:rPr>
          <w:noProof/>
        </w:rPr>
        <w:t> </w:t>
      </w:r>
      <w:r w:rsidR="003F3D2B" w:rsidRPr="00624565">
        <w:rPr>
          <w:noProof/>
        </w:rPr>
        <w:t>ram</w:t>
      </w:r>
      <w:r w:rsidRPr="00624565">
        <w:rPr>
          <w:noProof/>
        </w:rPr>
        <w:t>ach tych informacji należy określić udział całkowitych emisji, które są objęte kompensacją, czy kompensacje te odnoszą się do zwiększenia redukcji emisji lub pochłaniania,</w:t>
      </w:r>
      <w:r w:rsidR="003F3D2B" w:rsidRPr="00624565">
        <w:rPr>
          <w:noProof/>
        </w:rPr>
        <w:t xml:space="preserve"> a</w:t>
      </w:r>
      <w:r w:rsidR="003F3D2B">
        <w:rPr>
          <w:noProof/>
        </w:rPr>
        <w:t> </w:t>
      </w:r>
      <w:r w:rsidR="003F3D2B" w:rsidRPr="00624565">
        <w:rPr>
          <w:noProof/>
        </w:rPr>
        <w:t>tak</w:t>
      </w:r>
      <w:r w:rsidRPr="00624565">
        <w:rPr>
          <w:noProof/>
        </w:rPr>
        <w:t>że jaką metodę zastosowano. Oświadczenia dotyczące klimatu, które obejmują wykorzystanie kompensacji, muszą być uzasadnione za pośrednictwem metod zapewniających integralność</w:t>
      </w:r>
      <w:r w:rsidR="003F3D2B" w:rsidRPr="00624565">
        <w:rPr>
          <w:noProof/>
        </w:rPr>
        <w:t xml:space="preserve"> i</w:t>
      </w:r>
      <w:r w:rsidR="003F3D2B">
        <w:rPr>
          <w:noProof/>
        </w:rPr>
        <w:t> </w:t>
      </w:r>
      <w:r w:rsidR="003F3D2B" w:rsidRPr="00624565">
        <w:rPr>
          <w:noProof/>
        </w:rPr>
        <w:t>pra</w:t>
      </w:r>
      <w:r w:rsidRPr="00624565">
        <w:rPr>
          <w:noProof/>
        </w:rPr>
        <w:t>widłowe rozliczanie tych kompensacji,</w:t>
      </w:r>
      <w:r w:rsidR="003F3D2B" w:rsidRPr="00624565">
        <w:rPr>
          <w:noProof/>
        </w:rPr>
        <w:t xml:space="preserve"> a</w:t>
      </w:r>
      <w:r w:rsidR="003F3D2B">
        <w:rPr>
          <w:noProof/>
        </w:rPr>
        <w:t> </w:t>
      </w:r>
      <w:r w:rsidR="003F3D2B" w:rsidRPr="00624565">
        <w:rPr>
          <w:noProof/>
        </w:rPr>
        <w:t>zat</w:t>
      </w:r>
      <w:r w:rsidRPr="00624565">
        <w:rPr>
          <w:noProof/>
        </w:rPr>
        <w:t>em odzwierciedlających</w:t>
      </w:r>
      <w:r w:rsidR="003F3D2B" w:rsidRPr="00624565">
        <w:rPr>
          <w:noProof/>
        </w:rPr>
        <w:t xml:space="preserve"> w</w:t>
      </w:r>
      <w:r w:rsidR="003F3D2B">
        <w:rPr>
          <w:noProof/>
        </w:rPr>
        <w:t> </w:t>
      </w:r>
      <w:r w:rsidR="003F3D2B" w:rsidRPr="00624565">
        <w:rPr>
          <w:noProof/>
        </w:rPr>
        <w:t>spó</w:t>
      </w:r>
      <w:r w:rsidRPr="00624565">
        <w:rPr>
          <w:noProof/>
        </w:rPr>
        <w:t>jny</w:t>
      </w:r>
      <w:r w:rsidR="003F3D2B" w:rsidRPr="00624565">
        <w:rPr>
          <w:noProof/>
        </w:rPr>
        <w:t xml:space="preserve"> i</w:t>
      </w:r>
      <w:r w:rsidR="003F3D2B">
        <w:rPr>
          <w:noProof/>
        </w:rPr>
        <w:t> </w:t>
      </w:r>
      <w:r w:rsidR="003F3D2B" w:rsidRPr="00624565">
        <w:rPr>
          <w:noProof/>
        </w:rPr>
        <w:t>prz</w:t>
      </w:r>
      <w:r w:rsidRPr="00624565">
        <w:rPr>
          <w:noProof/>
        </w:rPr>
        <w:t>ejrzysty sposób wynikający</w:t>
      </w:r>
      <w:r w:rsidR="003F3D2B" w:rsidRPr="00624565">
        <w:rPr>
          <w:noProof/>
        </w:rPr>
        <w:t xml:space="preserve"> z</w:t>
      </w:r>
      <w:r w:rsidR="003F3D2B">
        <w:rPr>
          <w:noProof/>
        </w:rPr>
        <w:t> </w:t>
      </w:r>
      <w:r w:rsidR="003F3D2B" w:rsidRPr="00624565">
        <w:rPr>
          <w:noProof/>
        </w:rPr>
        <w:t>nic</w:t>
      </w:r>
      <w:r w:rsidRPr="00624565">
        <w:rPr>
          <w:noProof/>
        </w:rPr>
        <w:t>h wpływ na klimat.</w:t>
      </w:r>
    </w:p>
    <w:p w14:paraId="7B3C195F" w14:textId="68AF163E" w:rsidR="000464F8" w:rsidRPr="00624565" w:rsidDel="00C21358" w:rsidRDefault="004D161E" w:rsidP="004D161E">
      <w:pPr>
        <w:pStyle w:val="ManualConsidrant"/>
        <w:rPr>
          <w:noProof/>
        </w:rPr>
      </w:pPr>
      <w:r w:rsidRPr="00624565">
        <w:rPr>
          <w:noProof/>
        </w:rPr>
        <w:t>(22)</w:t>
      </w:r>
      <w:r w:rsidRPr="00624565">
        <w:rPr>
          <w:noProof/>
        </w:rPr>
        <w:tab/>
        <w:t>Przedsiębiorcy są coraz bardziej zainteresowani formułowaniem oświadczeń środowiskowych związanych</w:t>
      </w:r>
      <w:r w:rsidR="003F3D2B" w:rsidRPr="00624565">
        <w:rPr>
          <w:noProof/>
        </w:rPr>
        <w:t xml:space="preserve"> z</w:t>
      </w:r>
      <w:r w:rsidR="003F3D2B">
        <w:rPr>
          <w:noProof/>
        </w:rPr>
        <w:t> </w:t>
      </w:r>
      <w:r w:rsidR="003F3D2B" w:rsidRPr="00624565">
        <w:rPr>
          <w:noProof/>
        </w:rPr>
        <w:t>prz</w:t>
      </w:r>
      <w:r w:rsidRPr="00624565">
        <w:rPr>
          <w:noProof/>
        </w:rPr>
        <w:t>yszłą efektywnością środowiskową produktu lub przedsiębiorcy, również poprzez dołączanie do inicjatyw, które propagują praktyki mogące sprzyjać zmniejszeniu wpływu na środowisko lub rozszerzeniu obiegu zamkniętego. Oświadczenia te powinny być uzasadnione zgodnie</w:t>
      </w:r>
      <w:r w:rsidR="003F3D2B" w:rsidRPr="00624565">
        <w:rPr>
          <w:noProof/>
        </w:rPr>
        <w:t xml:space="preserve"> z</w:t>
      </w:r>
      <w:r w:rsidR="003F3D2B">
        <w:rPr>
          <w:noProof/>
        </w:rPr>
        <w:t> </w:t>
      </w:r>
      <w:r w:rsidR="003F3D2B" w:rsidRPr="00624565">
        <w:rPr>
          <w:noProof/>
        </w:rPr>
        <w:t>zas</w:t>
      </w:r>
      <w:r w:rsidRPr="00624565">
        <w:rPr>
          <w:noProof/>
        </w:rPr>
        <w:t>adami mającymi zastosowanie do wszystkich wyraźnych oświadczeń środowiskowych.</w:t>
      </w:r>
    </w:p>
    <w:p w14:paraId="4BA659F5" w14:textId="1F2079BD" w:rsidR="000464F8" w:rsidRPr="00624565" w:rsidRDefault="004D161E" w:rsidP="004D161E">
      <w:pPr>
        <w:pStyle w:val="ManualConsidrant"/>
        <w:rPr>
          <w:noProof/>
        </w:rPr>
      </w:pPr>
      <w:r w:rsidRPr="00624565">
        <w:rPr>
          <w:noProof/>
        </w:rPr>
        <w:t>(23)</w:t>
      </w:r>
      <w:r w:rsidRPr="00624565">
        <w:rPr>
          <w:noProof/>
        </w:rPr>
        <w:tab/>
        <w:t>Informacje wykorzystywane do celów uzasadnienia wyraźnych oświadczeń środowiskowych powinny opierać się na podstawach naukowych,</w:t>
      </w:r>
      <w:r w:rsidR="003F3D2B" w:rsidRPr="00624565">
        <w:rPr>
          <w:noProof/>
        </w:rPr>
        <w:t xml:space="preserve"> a</w:t>
      </w:r>
      <w:r w:rsidR="003F3D2B">
        <w:rPr>
          <w:noProof/>
        </w:rPr>
        <w:t> </w:t>
      </w:r>
      <w:r w:rsidR="003F3D2B" w:rsidRPr="00624565">
        <w:rPr>
          <w:noProof/>
        </w:rPr>
        <w:t>każ</w:t>
      </w:r>
      <w:r w:rsidRPr="00624565">
        <w:rPr>
          <w:noProof/>
        </w:rPr>
        <w:t>dy brak uwzględnienia określonych rodzajów wpływu na środowisko lub aspektów środowiskowych powinien zostać dokładnie rozważony.</w:t>
      </w:r>
    </w:p>
    <w:p w14:paraId="47D5DD00" w14:textId="7EF0C93F" w:rsidR="000464F8" w:rsidRPr="00624565" w:rsidRDefault="004D161E" w:rsidP="004D161E">
      <w:pPr>
        <w:pStyle w:val="ManualConsidrant"/>
        <w:rPr>
          <w:noProof/>
        </w:rPr>
      </w:pPr>
      <w:r w:rsidRPr="00624565">
        <w:rPr>
          <w:noProof/>
        </w:rPr>
        <w:t>(24)</w:t>
      </w:r>
      <w:r w:rsidRPr="00624565">
        <w:rPr>
          <w:noProof/>
        </w:rPr>
        <w:tab/>
        <w:t>Metody oznaczania śladu środowiskowego mogą być pomocne do celów uzasadniania wyraźnych oświadczeń środowiskowych dotyczących konkretnych rodzajów wpływu na środowisko związanych</w:t>
      </w:r>
      <w:r w:rsidR="003F3D2B" w:rsidRPr="00624565">
        <w:rPr>
          <w:noProof/>
        </w:rPr>
        <w:t xml:space="preserve"> z</w:t>
      </w:r>
      <w:r w:rsidR="003F3D2B">
        <w:rPr>
          <w:noProof/>
        </w:rPr>
        <w:t> </w:t>
      </w:r>
      <w:r w:rsidR="003F3D2B" w:rsidRPr="00624565">
        <w:rPr>
          <w:noProof/>
        </w:rPr>
        <w:t>cyk</w:t>
      </w:r>
      <w:r w:rsidRPr="00624565">
        <w:rPr>
          <w:noProof/>
        </w:rPr>
        <w:t>lem życia, które metody te obejmują, pod warunkiem że obejmują one</w:t>
      </w:r>
      <w:r w:rsidR="003F3D2B" w:rsidRPr="00624565">
        <w:rPr>
          <w:noProof/>
        </w:rPr>
        <w:t xml:space="preserve"> w</w:t>
      </w:r>
      <w:r w:rsidR="003F3D2B">
        <w:rPr>
          <w:noProof/>
        </w:rPr>
        <w:t> </w:t>
      </w:r>
      <w:r w:rsidR="003F3D2B" w:rsidRPr="00624565">
        <w:rPr>
          <w:noProof/>
        </w:rPr>
        <w:t>peł</w:t>
      </w:r>
      <w:r w:rsidRPr="00624565">
        <w:rPr>
          <w:noProof/>
        </w:rPr>
        <w:t>ni wpływy istotne dla danej kategorii produktu</w:t>
      </w:r>
      <w:r w:rsidR="003F3D2B" w:rsidRPr="00624565">
        <w:rPr>
          <w:noProof/>
        </w:rPr>
        <w:t xml:space="preserve"> i</w:t>
      </w:r>
      <w:r w:rsidR="003F3D2B">
        <w:rPr>
          <w:noProof/>
        </w:rPr>
        <w:t> </w:t>
      </w:r>
      <w:r w:rsidR="003F3D2B" w:rsidRPr="00624565">
        <w:rPr>
          <w:noProof/>
        </w:rPr>
        <w:t>nie</w:t>
      </w:r>
      <w:r w:rsidRPr="00624565">
        <w:rPr>
          <w:noProof/>
        </w:rPr>
        <w:t xml:space="preserve"> pomijają żadnych istotnych wpływów na środowisko. Metody te obejmują 16 kategorii wpływu na środowisko,</w:t>
      </w:r>
      <w:r w:rsidR="003F3D2B" w:rsidRPr="00624565">
        <w:rPr>
          <w:noProof/>
        </w:rPr>
        <w:t xml:space="preserve"> w</w:t>
      </w:r>
      <w:r w:rsidR="003F3D2B">
        <w:rPr>
          <w:noProof/>
        </w:rPr>
        <w:t> </w:t>
      </w:r>
      <w:r w:rsidR="003F3D2B" w:rsidRPr="00624565">
        <w:rPr>
          <w:noProof/>
        </w:rPr>
        <w:t>tym</w:t>
      </w:r>
      <w:r w:rsidRPr="00624565">
        <w:rPr>
          <w:noProof/>
        </w:rPr>
        <w:t xml:space="preserve"> zmianę klimatu, oraz rodzaje wpływu związane</w:t>
      </w:r>
      <w:r w:rsidR="003F3D2B" w:rsidRPr="00624565">
        <w:rPr>
          <w:noProof/>
        </w:rPr>
        <w:t xml:space="preserve"> z</w:t>
      </w:r>
      <w:r w:rsidR="003F3D2B">
        <w:rPr>
          <w:noProof/>
        </w:rPr>
        <w:t> </w:t>
      </w:r>
      <w:r w:rsidR="003F3D2B" w:rsidRPr="00624565">
        <w:rPr>
          <w:noProof/>
        </w:rPr>
        <w:t>wod</w:t>
      </w:r>
      <w:r w:rsidRPr="00624565">
        <w:rPr>
          <w:noProof/>
        </w:rPr>
        <w:t>ą, powietrzem, glebą, zasobami, użytkowaniem terenu</w:t>
      </w:r>
      <w:r w:rsidR="003F3D2B" w:rsidRPr="00624565">
        <w:rPr>
          <w:noProof/>
        </w:rPr>
        <w:t xml:space="preserve"> i</w:t>
      </w:r>
      <w:r w:rsidR="003F3D2B">
        <w:rPr>
          <w:noProof/>
        </w:rPr>
        <w:t> </w:t>
      </w:r>
      <w:r w:rsidR="003F3D2B" w:rsidRPr="00624565">
        <w:rPr>
          <w:noProof/>
        </w:rPr>
        <w:t>tok</w:t>
      </w:r>
      <w:r w:rsidRPr="00624565">
        <w:rPr>
          <w:noProof/>
        </w:rPr>
        <w:t xml:space="preserve">sycznością. </w:t>
      </w:r>
    </w:p>
    <w:p w14:paraId="728C3066" w14:textId="09316895" w:rsidR="000464F8" w:rsidRPr="00624565" w:rsidRDefault="004D161E" w:rsidP="004D161E">
      <w:pPr>
        <w:pStyle w:val="ManualConsidrant"/>
        <w:rPr>
          <w:noProof/>
        </w:rPr>
      </w:pPr>
      <w:r w:rsidRPr="00624565">
        <w:rPr>
          <w:noProof/>
        </w:rPr>
        <w:t>(25)</w:t>
      </w:r>
      <w:r w:rsidRPr="00624565">
        <w:rPr>
          <w:noProof/>
        </w:rPr>
        <w:tab/>
        <w:t>Fakt, że istotny wpływ produktu na środowisko nie jest objęty żadną</w:t>
      </w:r>
      <w:r w:rsidR="003F3D2B" w:rsidRPr="00624565">
        <w:rPr>
          <w:noProof/>
        </w:rPr>
        <w:t xml:space="preserve"> z</w:t>
      </w:r>
      <w:r w:rsidR="003F3D2B">
        <w:rPr>
          <w:noProof/>
        </w:rPr>
        <w:t> </w:t>
      </w:r>
      <w:r w:rsidR="003F3D2B" w:rsidRPr="00624565">
        <w:rPr>
          <w:noProof/>
        </w:rPr>
        <w:t>1</w:t>
      </w:r>
      <w:r w:rsidRPr="00624565">
        <w:rPr>
          <w:noProof/>
        </w:rPr>
        <w:t>6 kategorii wpływu</w:t>
      </w:r>
      <w:r w:rsidR="003F3D2B" w:rsidRPr="00624565">
        <w:rPr>
          <w:noProof/>
        </w:rPr>
        <w:t xml:space="preserve"> w</w:t>
      </w:r>
      <w:r w:rsidR="003F3D2B">
        <w:rPr>
          <w:noProof/>
        </w:rPr>
        <w:t> </w:t>
      </w:r>
      <w:r w:rsidR="003F3D2B" w:rsidRPr="00624565">
        <w:rPr>
          <w:noProof/>
        </w:rPr>
        <w:t>ram</w:t>
      </w:r>
      <w:r w:rsidRPr="00624565">
        <w:rPr>
          <w:noProof/>
        </w:rPr>
        <w:t>ach metod oznaczania śladu środowiskowego, nie powinien stanowić uzasadnienia dla braku uwzględnienia takiego wpływu. Podmiot gospodarczy formułujący wyraźne oświadczenie środowiskowe dotyczące takiej grupy produktów powinien być zobowiązany do zachowania należytej staranności</w:t>
      </w:r>
      <w:r w:rsidR="003F3D2B" w:rsidRPr="00624565">
        <w:rPr>
          <w:noProof/>
        </w:rPr>
        <w:t xml:space="preserve"> w</w:t>
      </w:r>
      <w:r w:rsidR="003F3D2B">
        <w:rPr>
          <w:noProof/>
        </w:rPr>
        <w:t> </w:t>
      </w:r>
      <w:r w:rsidR="003F3D2B" w:rsidRPr="00624565">
        <w:rPr>
          <w:noProof/>
        </w:rPr>
        <w:t>cel</w:t>
      </w:r>
      <w:r w:rsidRPr="00624565">
        <w:rPr>
          <w:noProof/>
        </w:rPr>
        <w:t>u znalezienia dowodów uzasadniających takie oświadczenie. Przykładowo podmiot gospodarczy formułujący wyraźne oświadczenie środowiskowe dotyczące produktu rybołówstwa</w:t>
      </w:r>
      <w:r w:rsidR="003F3D2B" w:rsidRPr="00624565">
        <w:rPr>
          <w:noProof/>
        </w:rPr>
        <w:t xml:space="preserve"> w</w:t>
      </w:r>
      <w:r w:rsidR="003F3D2B">
        <w:rPr>
          <w:noProof/>
        </w:rPr>
        <w:t> </w:t>
      </w:r>
      <w:r w:rsidR="003F3D2B" w:rsidRPr="00624565">
        <w:rPr>
          <w:noProof/>
        </w:rPr>
        <w:t>roz</w:t>
      </w:r>
      <w:r w:rsidRPr="00624565">
        <w:rPr>
          <w:noProof/>
        </w:rPr>
        <w:t xml:space="preserve">umieniu </w:t>
      </w:r>
      <w:r w:rsidRPr="003F3D2B">
        <w:rPr>
          <w:noProof/>
        </w:rPr>
        <w:t>art.</w:t>
      </w:r>
      <w:r w:rsidR="003F3D2B" w:rsidRPr="003F3D2B">
        <w:rPr>
          <w:noProof/>
        </w:rPr>
        <w:t> </w:t>
      </w:r>
      <w:r w:rsidRPr="003F3D2B">
        <w:rPr>
          <w:noProof/>
        </w:rPr>
        <w:t>5</w:t>
      </w:r>
      <w:r w:rsidRPr="00624565">
        <w:rPr>
          <w:noProof/>
        </w:rPr>
        <w:t xml:space="preserve"> rozporządzenia Parlamentu Europejskiego</w:t>
      </w:r>
      <w:r w:rsidR="003F3D2B" w:rsidRPr="00624565">
        <w:rPr>
          <w:noProof/>
        </w:rPr>
        <w:t xml:space="preserve"> i</w:t>
      </w:r>
      <w:r w:rsidR="003F3D2B">
        <w:rPr>
          <w:noProof/>
        </w:rPr>
        <w:t> </w:t>
      </w:r>
      <w:r w:rsidR="003F3D2B" w:rsidRPr="00624565">
        <w:rPr>
          <w:noProof/>
        </w:rPr>
        <w:t>Rad</w:t>
      </w:r>
      <w:r w:rsidRPr="00624565">
        <w:rPr>
          <w:noProof/>
        </w:rPr>
        <w:t xml:space="preserve">y (UE) </w:t>
      </w:r>
      <w:r w:rsidRPr="003F3D2B">
        <w:rPr>
          <w:noProof/>
        </w:rPr>
        <w:t>nr</w:t>
      </w:r>
      <w:r w:rsidR="003F3D2B" w:rsidRPr="003F3D2B">
        <w:rPr>
          <w:noProof/>
        </w:rPr>
        <w:t> </w:t>
      </w:r>
      <w:r w:rsidRPr="003F3D2B">
        <w:rPr>
          <w:noProof/>
        </w:rPr>
        <w:t>1</w:t>
      </w:r>
      <w:r w:rsidRPr="00624565">
        <w:rPr>
          <w:noProof/>
        </w:rPr>
        <w:t>379/2013</w:t>
      </w:r>
      <w:r w:rsidRPr="00624565">
        <w:rPr>
          <w:rStyle w:val="FootnoteReference"/>
          <w:noProof/>
        </w:rPr>
        <w:footnoteReference w:id="83"/>
      </w:r>
      <w:r w:rsidRPr="00624565">
        <w:rPr>
          <w:noProof/>
        </w:rPr>
        <w:t xml:space="preserve"> powinien mieć obowiązek zachowania należytej staranności</w:t>
      </w:r>
      <w:r w:rsidR="003F3D2B" w:rsidRPr="00624565">
        <w:rPr>
          <w:noProof/>
        </w:rPr>
        <w:t xml:space="preserve"> w</w:t>
      </w:r>
      <w:r w:rsidR="003F3D2B">
        <w:rPr>
          <w:noProof/>
        </w:rPr>
        <w:t> </w:t>
      </w:r>
      <w:r w:rsidR="003F3D2B" w:rsidRPr="00624565">
        <w:rPr>
          <w:noProof/>
        </w:rPr>
        <w:t>cel</w:t>
      </w:r>
      <w:r w:rsidRPr="00624565">
        <w:rPr>
          <w:noProof/>
        </w:rPr>
        <w:t>u znalezienia dowodów potwierdzających zrównoważony charakter docelowego stada ryb</w:t>
      </w:r>
      <w:r w:rsidR="003F3D2B" w:rsidRPr="00624565">
        <w:rPr>
          <w:noProof/>
        </w:rPr>
        <w:t>. W</w:t>
      </w:r>
      <w:r w:rsidR="003F3D2B">
        <w:rPr>
          <w:noProof/>
        </w:rPr>
        <w:t> </w:t>
      </w:r>
      <w:r w:rsidR="003F3D2B" w:rsidRPr="00624565">
        <w:rPr>
          <w:noProof/>
        </w:rPr>
        <w:t>tym</w:t>
      </w:r>
      <w:r w:rsidRPr="00624565">
        <w:rPr>
          <w:noProof/>
        </w:rPr>
        <w:t xml:space="preserve"> celu można wykorzystać oceny stad przeprowadzane przez Międzynarodową Radę Badań Morza</w:t>
      </w:r>
      <w:r w:rsidR="003F3D2B" w:rsidRPr="00624565">
        <w:rPr>
          <w:noProof/>
        </w:rPr>
        <w:t xml:space="preserve"> i</w:t>
      </w:r>
      <w:r w:rsidR="003F3D2B">
        <w:rPr>
          <w:noProof/>
        </w:rPr>
        <w:t> </w:t>
      </w:r>
      <w:r w:rsidR="003F3D2B" w:rsidRPr="00624565">
        <w:rPr>
          <w:noProof/>
        </w:rPr>
        <w:t>pod</w:t>
      </w:r>
      <w:r w:rsidRPr="00624565">
        <w:rPr>
          <w:noProof/>
        </w:rPr>
        <w:t>obne organy zajmujące się oceną stad.</w:t>
      </w:r>
    </w:p>
    <w:p w14:paraId="0729AC60" w14:textId="0630A86F" w:rsidR="000464F8" w:rsidRPr="00624565" w:rsidRDefault="004D161E" w:rsidP="004D161E">
      <w:pPr>
        <w:pStyle w:val="ManualConsidrant"/>
        <w:rPr>
          <w:noProof/>
        </w:rPr>
      </w:pPr>
      <w:r w:rsidRPr="00624565">
        <w:rPr>
          <w:noProof/>
        </w:rPr>
        <w:t>(26)</w:t>
      </w:r>
      <w:r w:rsidRPr="00624565">
        <w:rPr>
          <w:noProof/>
        </w:rPr>
        <w:tab/>
        <w:t>Nie istnieje ponadto jeszcze wiarygodna metoda oceny wpływu na środowisko</w:t>
      </w:r>
      <w:r w:rsidR="003F3D2B" w:rsidRPr="00624565">
        <w:rPr>
          <w:noProof/>
        </w:rPr>
        <w:t xml:space="preserve"> w</w:t>
      </w:r>
      <w:r w:rsidR="003F3D2B">
        <w:rPr>
          <w:noProof/>
        </w:rPr>
        <w:t> </w:t>
      </w:r>
      <w:r w:rsidR="003F3D2B" w:rsidRPr="00624565">
        <w:rPr>
          <w:noProof/>
        </w:rPr>
        <w:t>cyk</w:t>
      </w:r>
      <w:r w:rsidRPr="00624565">
        <w:rPr>
          <w:noProof/>
        </w:rPr>
        <w:t>lu życia związanego</w:t>
      </w:r>
      <w:r w:rsidR="003F3D2B" w:rsidRPr="00624565">
        <w:rPr>
          <w:noProof/>
        </w:rPr>
        <w:t xml:space="preserve"> z</w:t>
      </w:r>
      <w:r w:rsidR="003F3D2B">
        <w:rPr>
          <w:noProof/>
        </w:rPr>
        <w:t> </w:t>
      </w:r>
      <w:r w:rsidR="003F3D2B" w:rsidRPr="00624565">
        <w:rPr>
          <w:noProof/>
        </w:rPr>
        <w:t>uwa</w:t>
      </w:r>
      <w:r w:rsidRPr="00624565">
        <w:rPr>
          <w:noProof/>
        </w:rPr>
        <w:t>lnianiem mikrodrobin plastiku</w:t>
      </w:r>
      <w:r w:rsidR="003F3D2B" w:rsidRPr="00624565">
        <w:rPr>
          <w:noProof/>
        </w:rPr>
        <w:t>. W</w:t>
      </w:r>
      <w:r w:rsidR="003F3D2B">
        <w:rPr>
          <w:noProof/>
        </w:rPr>
        <w:t> </w:t>
      </w:r>
      <w:r w:rsidR="003F3D2B" w:rsidRPr="00624565">
        <w:rPr>
          <w:noProof/>
        </w:rPr>
        <w:t>prz</w:t>
      </w:r>
      <w:r w:rsidRPr="00624565">
        <w:rPr>
          <w:noProof/>
        </w:rPr>
        <w:t>ypadku, gdy takie uwolnienie przyczynia się do znaczącego wpływu na środowisko, który nie jest przedmiotem oświadczenia, przedsiębiorca formułujący oświadczenie dotyczące innego aspektu nie powinien mieć jednak możliwości, by je zignorować,</w:t>
      </w:r>
      <w:r w:rsidR="003F3D2B" w:rsidRPr="00624565">
        <w:rPr>
          <w:noProof/>
        </w:rPr>
        <w:t xml:space="preserve"> i</w:t>
      </w:r>
      <w:r w:rsidR="003F3D2B">
        <w:rPr>
          <w:noProof/>
        </w:rPr>
        <w:t> </w:t>
      </w:r>
      <w:r w:rsidR="003F3D2B" w:rsidRPr="00624565">
        <w:rPr>
          <w:noProof/>
        </w:rPr>
        <w:t>pow</w:t>
      </w:r>
      <w:r w:rsidRPr="00624565">
        <w:rPr>
          <w:noProof/>
        </w:rPr>
        <w:t>inien uwzględnić dostępne informacje</w:t>
      </w:r>
      <w:r w:rsidR="003F3D2B" w:rsidRPr="00624565">
        <w:rPr>
          <w:noProof/>
        </w:rPr>
        <w:t xml:space="preserve"> i</w:t>
      </w:r>
      <w:r w:rsidR="003F3D2B">
        <w:rPr>
          <w:noProof/>
        </w:rPr>
        <w:t> </w:t>
      </w:r>
      <w:r w:rsidR="003F3D2B" w:rsidRPr="00624565">
        <w:rPr>
          <w:noProof/>
        </w:rPr>
        <w:t>zak</w:t>
      </w:r>
      <w:r w:rsidRPr="00624565">
        <w:rPr>
          <w:noProof/>
        </w:rPr>
        <w:t xml:space="preserve">tualizować ocenę, gdy tylko udostępnione zostaną powszechnie uznane dowody naukowe. </w:t>
      </w:r>
    </w:p>
    <w:p w14:paraId="64C680F7" w14:textId="47E80146" w:rsidR="000464F8" w:rsidRPr="00624565" w:rsidRDefault="004D161E" w:rsidP="004D161E">
      <w:pPr>
        <w:pStyle w:val="ManualConsidrant"/>
        <w:rPr>
          <w:noProof/>
        </w:rPr>
      </w:pPr>
      <w:r w:rsidRPr="00624565">
        <w:rPr>
          <w:noProof/>
        </w:rPr>
        <w:t>(27)</w:t>
      </w:r>
      <w:r w:rsidRPr="00624565">
        <w:rPr>
          <w:noProof/>
        </w:rPr>
        <w:tab/>
        <w:t>Konsumenci mogą również zostać wprowadzeni</w:t>
      </w:r>
      <w:r w:rsidR="003F3D2B" w:rsidRPr="00624565">
        <w:rPr>
          <w:noProof/>
        </w:rPr>
        <w:t xml:space="preserve"> w</w:t>
      </w:r>
      <w:r w:rsidR="003F3D2B">
        <w:rPr>
          <w:noProof/>
        </w:rPr>
        <w:t> </w:t>
      </w:r>
      <w:r w:rsidR="003F3D2B" w:rsidRPr="00624565">
        <w:rPr>
          <w:noProof/>
        </w:rPr>
        <w:t>błą</w:t>
      </w:r>
      <w:r w:rsidRPr="00624565">
        <w:rPr>
          <w:noProof/>
        </w:rPr>
        <w:t>d przez wyraźne oświadczenia środowiskowe,</w:t>
      </w:r>
      <w:r w:rsidR="003F3D2B" w:rsidRPr="00624565">
        <w:rPr>
          <w:noProof/>
        </w:rPr>
        <w:t xml:space="preserve"> w</w:t>
      </w:r>
      <w:r w:rsidR="003F3D2B">
        <w:rPr>
          <w:noProof/>
        </w:rPr>
        <w:t> </w:t>
      </w:r>
      <w:r w:rsidR="003F3D2B" w:rsidRPr="00624565">
        <w:rPr>
          <w:noProof/>
        </w:rPr>
        <w:t>któ</w:t>
      </w:r>
      <w:r w:rsidRPr="00624565">
        <w:rPr>
          <w:noProof/>
        </w:rPr>
        <w:t>rych stwierdza się lub sugeruje, że dany produkt lub przedsiębiorca wywiera mniejszy lub większy wpływ na środowisko lub wykazuje większą lub mniejszą efektywność środowiskową niż inne produkty lub inni przedsiębiorcy („oświadczenia środowiskowe</w:t>
      </w:r>
      <w:r w:rsidR="003F3D2B" w:rsidRPr="00624565">
        <w:rPr>
          <w:noProof/>
        </w:rPr>
        <w:t xml:space="preserve"> o</w:t>
      </w:r>
      <w:r w:rsidR="003F3D2B">
        <w:rPr>
          <w:noProof/>
        </w:rPr>
        <w:t> </w:t>
      </w:r>
      <w:r w:rsidR="003F3D2B" w:rsidRPr="00624565">
        <w:rPr>
          <w:noProof/>
        </w:rPr>
        <w:t>cha</w:t>
      </w:r>
      <w:r w:rsidRPr="00624565">
        <w:rPr>
          <w:noProof/>
        </w:rPr>
        <w:t>rakterze porównawczym”). Bez uszczerbku dla stosowania,</w:t>
      </w:r>
      <w:r w:rsidR="003F3D2B" w:rsidRPr="00624565">
        <w:rPr>
          <w:noProof/>
        </w:rPr>
        <w:t xml:space="preserve"> w</w:t>
      </w:r>
      <w:r w:rsidR="003F3D2B">
        <w:rPr>
          <w:noProof/>
        </w:rPr>
        <w:t> </w:t>
      </w:r>
      <w:r w:rsidR="003F3D2B" w:rsidRPr="00624565">
        <w:rPr>
          <w:noProof/>
        </w:rPr>
        <w:t>sto</w:t>
      </w:r>
      <w:r w:rsidRPr="00624565">
        <w:rPr>
          <w:noProof/>
        </w:rPr>
        <w:t>sownych przypadkach, dyrektywy 2006/114/WE Parlamentu Europejskiego</w:t>
      </w:r>
      <w:r w:rsidR="003F3D2B" w:rsidRPr="00624565">
        <w:rPr>
          <w:noProof/>
        </w:rPr>
        <w:t xml:space="preserve"> i</w:t>
      </w:r>
      <w:r w:rsidR="003F3D2B">
        <w:rPr>
          <w:noProof/>
        </w:rPr>
        <w:t> </w:t>
      </w:r>
      <w:r w:rsidR="003F3D2B" w:rsidRPr="00624565">
        <w:rPr>
          <w:noProof/>
        </w:rPr>
        <w:t>Rad</w:t>
      </w:r>
      <w:r w:rsidRPr="00624565">
        <w:rPr>
          <w:noProof/>
        </w:rPr>
        <w:t>y</w:t>
      </w:r>
      <w:r w:rsidRPr="00624565">
        <w:rPr>
          <w:rStyle w:val="FootnoteReference"/>
          <w:noProof/>
        </w:rPr>
        <w:footnoteReference w:id="84"/>
      </w:r>
      <w:r w:rsidRPr="00624565">
        <w:rPr>
          <w:noProof/>
        </w:rPr>
        <w:t>,</w:t>
      </w:r>
      <w:r w:rsidR="003F3D2B" w:rsidRPr="00624565">
        <w:rPr>
          <w:noProof/>
        </w:rPr>
        <w:t xml:space="preserve"> w</w:t>
      </w:r>
      <w:r w:rsidR="003F3D2B">
        <w:rPr>
          <w:noProof/>
        </w:rPr>
        <w:t> </w:t>
      </w:r>
      <w:r w:rsidR="003F3D2B" w:rsidRPr="00624565">
        <w:rPr>
          <w:noProof/>
        </w:rPr>
        <w:t>cel</w:t>
      </w:r>
      <w:r w:rsidRPr="00624565">
        <w:rPr>
          <w:noProof/>
        </w:rPr>
        <w:t>u umożliwienia konsumentom dostępu do wiarygodnych informacji należy zapewnić możliwość porównania</w:t>
      </w:r>
      <w:r w:rsidR="003F3D2B" w:rsidRPr="00624565">
        <w:rPr>
          <w:noProof/>
        </w:rPr>
        <w:t xml:space="preserve"> w</w:t>
      </w:r>
      <w:r w:rsidR="003F3D2B">
        <w:rPr>
          <w:noProof/>
        </w:rPr>
        <w:t> </w:t>
      </w:r>
      <w:r w:rsidR="003F3D2B" w:rsidRPr="00624565">
        <w:rPr>
          <w:noProof/>
        </w:rPr>
        <w:t>odp</w:t>
      </w:r>
      <w:r w:rsidRPr="00624565">
        <w:rPr>
          <w:noProof/>
        </w:rPr>
        <w:t>owiedni sposób oświadczeń środowiskowych</w:t>
      </w:r>
      <w:r w:rsidR="003F3D2B" w:rsidRPr="00624565">
        <w:rPr>
          <w:noProof/>
        </w:rPr>
        <w:t xml:space="preserve"> o</w:t>
      </w:r>
      <w:r w:rsidR="003F3D2B">
        <w:rPr>
          <w:noProof/>
        </w:rPr>
        <w:t> </w:t>
      </w:r>
      <w:r w:rsidR="003F3D2B" w:rsidRPr="00624565">
        <w:rPr>
          <w:noProof/>
        </w:rPr>
        <w:t>cha</w:t>
      </w:r>
      <w:r w:rsidRPr="00624565">
        <w:rPr>
          <w:noProof/>
        </w:rPr>
        <w:t>rakterze porównawczym. Przykładowo wybór wskaźników dotyczących tych samych aspektów środowiskowych, ale zastosowanie innej formuły ich ilościowego określania, uniemożliwia dokonanie porównań,</w:t>
      </w:r>
      <w:r w:rsidR="003F3D2B" w:rsidRPr="00624565">
        <w:rPr>
          <w:noProof/>
        </w:rPr>
        <w:t xml:space="preserve"> a</w:t>
      </w:r>
      <w:r w:rsidR="003F3D2B">
        <w:rPr>
          <w:noProof/>
        </w:rPr>
        <w:t> </w:t>
      </w:r>
      <w:r w:rsidR="003F3D2B" w:rsidRPr="00624565">
        <w:rPr>
          <w:noProof/>
        </w:rPr>
        <w:t>zat</w:t>
      </w:r>
      <w:r w:rsidRPr="00624565">
        <w:rPr>
          <w:noProof/>
        </w:rPr>
        <w:t>em występuje ryzyko wprowadzenia konsumentów</w:t>
      </w:r>
      <w:r w:rsidR="003F3D2B" w:rsidRPr="00624565">
        <w:rPr>
          <w:noProof/>
        </w:rPr>
        <w:t xml:space="preserve"> w</w:t>
      </w:r>
      <w:r w:rsidR="003F3D2B">
        <w:rPr>
          <w:noProof/>
        </w:rPr>
        <w:t> </w:t>
      </w:r>
      <w:r w:rsidR="003F3D2B" w:rsidRPr="00624565">
        <w:rPr>
          <w:noProof/>
        </w:rPr>
        <w:t>błą</w:t>
      </w:r>
      <w:r w:rsidRPr="00624565">
        <w:rPr>
          <w:noProof/>
        </w:rPr>
        <w:t>d</w:t>
      </w:r>
      <w:r w:rsidR="003F3D2B" w:rsidRPr="003F3D2B">
        <w:rPr>
          <w:noProof/>
        </w:rPr>
        <w:t>. W</w:t>
      </w:r>
      <w:r w:rsidR="003F3D2B">
        <w:rPr>
          <w:noProof/>
        </w:rPr>
        <w:t> </w:t>
      </w:r>
      <w:r w:rsidR="003F3D2B" w:rsidRPr="00624565">
        <w:rPr>
          <w:noProof/>
        </w:rPr>
        <w:t>prz</w:t>
      </w:r>
      <w:r w:rsidRPr="00624565">
        <w:rPr>
          <w:noProof/>
        </w:rPr>
        <w:t>ypadku gdy dwaj przedsiębiorcy formułują oświadczenie środowiskowe dotyczące zmiany klimatu,</w:t>
      </w:r>
      <w:r w:rsidR="003F3D2B" w:rsidRPr="00624565">
        <w:rPr>
          <w:noProof/>
        </w:rPr>
        <w:t xml:space="preserve"> a</w:t>
      </w:r>
      <w:r w:rsidR="003F3D2B">
        <w:rPr>
          <w:noProof/>
        </w:rPr>
        <w:t> </w:t>
      </w:r>
      <w:r w:rsidR="003F3D2B" w:rsidRPr="00624565">
        <w:rPr>
          <w:noProof/>
        </w:rPr>
        <w:t>jed</w:t>
      </w:r>
      <w:r w:rsidRPr="00624565">
        <w:rPr>
          <w:noProof/>
        </w:rPr>
        <w:t>en</w:t>
      </w:r>
      <w:r w:rsidR="003F3D2B" w:rsidRPr="00624565">
        <w:rPr>
          <w:noProof/>
        </w:rPr>
        <w:t xml:space="preserve"> z</w:t>
      </w:r>
      <w:r w:rsidR="003F3D2B">
        <w:rPr>
          <w:noProof/>
        </w:rPr>
        <w:t> </w:t>
      </w:r>
      <w:r w:rsidR="003F3D2B" w:rsidRPr="00624565">
        <w:rPr>
          <w:noProof/>
        </w:rPr>
        <w:t>nic</w:t>
      </w:r>
      <w:r w:rsidRPr="00624565">
        <w:rPr>
          <w:noProof/>
        </w:rPr>
        <w:t>h uwzględnia tylko bezpośredni wpływ na środowisko, natomiast drugi uwzględnia zarówno bezpośredni, jak</w:t>
      </w:r>
      <w:r w:rsidR="003F3D2B" w:rsidRPr="00624565">
        <w:rPr>
          <w:noProof/>
        </w:rPr>
        <w:t xml:space="preserve"> i</w:t>
      </w:r>
      <w:r w:rsidR="003F3D2B">
        <w:rPr>
          <w:noProof/>
        </w:rPr>
        <w:t> </w:t>
      </w:r>
      <w:r w:rsidR="003F3D2B" w:rsidRPr="00624565">
        <w:rPr>
          <w:noProof/>
        </w:rPr>
        <w:t>poś</w:t>
      </w:r>
      <w:r w:rsidRPr="00624565">
        <w:rPr>
          <w:noProof/>
        </w:rPr>
        <w:t>redni wpływ na środowisko, to wyniki te nie są porównywalne. Również decyzja</w:t>
      </w:r>
      <w:r w:rsidR="003F3D2B" w:rsidRPr="00624565">
        <w:rPr>
          <w:noProof/>
        </w:rPr>
        <w:t xml:space="preserve"> o</w:t>
      </w:r>
      <w:r w:rsidR="003F3D2B">
        <w:rPr>
          <w:noProof/>
        </w:rPr>
        <w:t> </w:t>
      </w:r>
      <w:r w:rsidR="003F3D2B" w:rsidRPr="00624565">
        <w:rPr>
          <w:noProof/>
        </w:rPr>
        <w:t>dok</w:t>
      </w:r>
      <w:r w:rsidRPr="00624565">
        <w:rPr>
          <w:noProof/>
        </w:rPr>
        <w:t>onaniu porównania tylko na niektórych etapach cyklu życia produktu – jeśli nie jest przejrzysta – może prowadzić do oświadczeń wprowadzających</w:t>
      </w:r>
      <w:r w:rsidR="003F3D2B" w:rsidRPr="00624565">
        <w:rPr>
          <w:noProof/>
        </w:rPr>
        <w:t xml:space="preserve"> w</w:t>
      </w:r>
      <w:r w:rsidR="003F3D2B">
        <w:rPr>
          <w:noProof/>
        </w:rPr>
        <w:t> </w:t>
      </w:r>
      <w:r w:rsidR="003F3D2B" w:rsidRPr="00624565">
        <w:rPr>
          <w:noProof/>
        </w:rPr>
        <w:t>błą</w:t>
      </w:r>
      <w:r w:rsidRPr="00624565">
        <w:rPr>
          <w:noProof/>
        </w:rPr>
        <w:t>d. Należy zapewnić, aby</w:t>
      </w:r>
      <w:r w:rsidR="003F3D2B" w:rsidRPr="00624565">
        <w:rPr>
          <w:noProof/>
        </w:rPr>
        <w:t xml:space="preserve"> w</w:t>
      </w:r>
      <w:r w:rsidR="003F3D2B">
        <w:rPr>
          <w:noProof/>
        </w:rPr>
        <w:t> </w:t>
      </w:r>
      <w:r w:rsidR="003F3D2B" w:rsidRPr="00624565">
        <w:rPr>
          <w:noProof/>
        </w:rPr>
        <w:t>ram</w:t>
      </w:r>
      <w:r w:rsidRPr="00624565">
        <w:rPr>
          <w:noProof/>
        </w:rPr>
        <w:t>ach oświadczeń środowiskowych</w:t>
      </w:r>
      <w:r w:rsidR="003F3D2B" w:rsidRPr="00624565">
        <w:rPr>
          <w:noProof/>
        </w:rPr>
        <w:t xml:space="preserve"> o</w:t>
      </w:r>
      <w:r w:rsidR="003F3D2B">
        <w:rPr>
          <w:noProof/>
        </w:rPr>
        <w:t> </w:t>
      </w:r>
      <w:r w:rsidR="003F3D2B" w:rsidRPr="00624565">
        <w:rPr>
          <w:noProof/>
        </w:rPr>
        <w:t>cha</w:t>
      </w:r>
      <w:r w:rsidRPr="00624565">
        <w:rPr>
          <w:noProof/>
        </w:rPr>
        <w:t>rakterze porównawczym</w:t>
      </w:r>
      <w:r w:rsidR="003F3D2B" w:rsidRPr="00624565">
        <w:rPr>
          <w:noProof/>
        </w:rPr>
        <w:t xml:space="preserve"> w</w:t>
      </w:r>
      <w:r w:rsidR="003F3D2B">
        <w:rPr>
          <w:noProof/>
        </w:rPr>
        <w:t> </w:t>
      </w:r>
      <w:r w:rsidR="003F3D2B" w:rsidRPr="00624565">
        <w:rPr>
          <w:noProof/>
        </w:rPr>
        <w:t>prz</w:t>
      </w:r>
      <w:r w:rsidRPr="00624565">
        <w:rPr>
          <w:noProof/>
        </w:rPr>
        <w:t>ypadku wszystkich produktów, również produktów zawierających bardzo zróżnicowane surowce</w:t>
      </w:r>
      <w:r w:rsidR="003F3D2B" w:rsidRPr="00624565">
        <w:rPr>
          <w:noProof/>
        </w:rPr>
        <w:t xml:space="preserve"> i</w:t>
      </w:r>
      <w:r w:rsidR="003F3D2B">
        <w:rPr>
          <w:noProof/>
        </w:rPr>
        <w:t> </w:t>
      </w:r>
      <w:r w:rsidR="003F3D2B" w:rsidRPr="00624565">
        <w:rPr>
          <w:noProof/>
        </w:rPr>
        <w:t>maj</w:t>
      </w:r>
      <w:r w:rsidRPr="00624565">
        <w:rPr>
          <w:noProof/>
        </w:rPr>
        <w:t>ących bardzo zróżnicowane zastosowania</w:t>
      </w:r>
      <w:r w:rsidR="003F3D2B" w:rsidRPr="00624565">
        <w:rPr>
          <w:noProof/>
        </w:rPr>
        <w:t xml:space="preserve"> i</w:t>
      </w:r>
      <w:r w:rsidR="003F3D2B">
        <w:rPr>
          <w:noProof/>
        </w:rPr>
        <w:t> </w:t>
      </w:r>
      <w:r w:rsidR="003F3D2B" w:rsidRPr="00624565">
        <w:rPr>
          <w:noProof/>
        </w:rPr>
        <w:t>łań</w:t>
      </w:r>
      <w:r w:rsidRPr="00624565">
        <w:rPr>
          <w:noProof/>
        </w:rPr>
        <w:t>cuchy technologiczne, takich jak biopochodne tworzywa sztuczne</w:t>
      </w:r>
      <w:r w:rsidR="003F3D2B" w:rsidRPr="00624565">
        <w:rPr>
          <w:noProof/>
        </w:rPr>
        <w:t xml:space="preserve"> i</w:t>
      </w:r>
      <w:r w:rsidR="003F3D2B">
        <w:rPr>
          <w:noProof/>
        </w:rPr>
        <w:t> </w:t>
      </w:r>
      <w:r w:rsidR="003F3D2B" w:rsidRPr="00624565">
        <w:rPr>
          <w:noProof/>
        </w:rPr>
        <w:t>two</w:t>
      </w:r>
      <w:r w:rsidRPr="00624565">
        <w:rPr>
          <w:noProof/>
        </w:rPr>
        <w:t>rzywa sztuczne oparte na paliwach kopalnych, uwzględniane były najistotniejsze etapy cyklu życia. Przykładowo rolnictwo lub leśnictwo są istotne</w:t>
      </w:r>
      <w:r w:rsidR="003F3D2B" w:rsidRPr="00624565">
        <w:rPr>
          <w:noProof/>
        </w:rPr>
        <w:t xml:space="preserve"> w</w:t>
      </w:r>
      <w:r w:rsidR="003F3D2B">
        <w:rPr>
          <w:noProof/>
        </w:rPr>
        <w:t> </w:t>
      </w:r>
      <w:r w:rsidR="003F3D2B" w:rsidRPr="00624565">
        <w:rPr>
          <w:noProof/>
        </w:rPr>
        <w:t>prz</w:t>
      </w:r>
      <w:r w:rsidRPr="00624565">
        <w:rPr>
          <w:noProof/>
        </w:rPr>
        <w:t>ypadku biopochodnych tworzyw sztucznych, natomiast wydobycie ropy naftowej jest istotne</w:t>
      </w:r>
      <w:r w:rsidR="003F3D2B" w:rsidRPr="00624565">
        <w:rPr>
          <w:noProof/>
        </w:rPr>
        <w:t xml:space="preserve"> w</w:t>
      </w:r>
      <w:r w:rsidR="003F3D2B">
        <w:rPr>
          <w:noProof/>
        </w:rPr>
        <w:t> </w:t>
      </w:r>
      <w:r w:rsidR="003F3D2B" w:rsidRPr="00624565">
        <w:rPr>
          <w:noProof/>
        </w:rPr>
        <w:t>prz</w:t>
      </w:r>
      <w:r w:rsidRPr="00624565">
        <w:rPr>
          <w:noProof/>
        </w:rPr>
        <w:t>ypadku tworzyw sztucznych opartych na paliwach kopalnych,</w:t>
      </w:r>
      <w:r w:rsidR="003F3D2B" w:rsidRPr="00624565">
        <w:rPr>
          <w:noProof/>
        </w:rPr>
        <w:t xml:space="preserve"> a</w:t>
      </w:r>
      <w:r w:rsidR="003F3D2B">
        <w:rPr>
          <w:noProof/>
        </w:rPr>
        <w:t> </w:t>
      </w:r>
      <w:r w:rsidR="003F3D2B" w:rsidRPr="00624565">
        <w:rPr>
          <w:noProof/>
        </w:rPr>
        <w:t>kwe</w:t>
      </w:r>
      <w:r w:rsidRPr="00624565">
        <w:rPr>
          <w:noProof/>
        </w:rPr>
        <w:t>stia, czy odpowiednia część produktu trafia na składowisko odpadów, jest bardzo istotna</w:t>
      </w:r>
      <w:r w:rsidR="003F3D2B" w:rsidRPr="00624565">
        <w:rPr>
          <w:noProof/>
        </w:rPr>
        <w:t xml:space="preserve"> w</w:t>
      </w:r>
      <w:r w:rsidR="003F3D2B">
        <w:rPr>
          <w:noProof/>
        </w:rPr>
        <w:t> </w:t>
      </w:r>
      <w:r w:rsidR="003F3D2B" w:rsidRPr="00624565">
        <w:rPr>
          <w:noProof/>
        </w:rPr>
        <w:t>prz</w:t>
      </w:r>
      <w:r w:rsidRPr="00624565">
        <w:rPr>
          <w:noProof/>
        </w:rPr>
        <w:t>ypadku tworzyw, które ulegają biodegradacji</w:t>
      </w:r>
      <w:r w:rsidR="003F3D2B" w:rsidRPr="00624565">
        <w:rPr>
          <w:noProof/>
        </w:rPr>
        <w:t xml:space="preserve"> w</w:t>
      </w:r>
      <w:r w:rsidR="003F3D2B">
        <w:rPr>
          <w:noProof/>
        </w:rPr>
        <w:t> </w:t>
      </w:r>
      <w:r w:rsidR="003F3D2B" w:rsidRPr="00624565">
        <w:rPr>
          <w:noProof/>
        </w:rPr>
        <w:t>war</w:t>
      </w:r>
      <w:r w:rsidRPr="00624565">
        <w:rPr>
          <w:noProof/>
        </w:rPr>
        <w:t>unkach składowiska, ale może być mniej istotna</w:t>
      </w:r>
      <w:r w:rsidR="003F3D2B" w:rsidRPr="00624565">
        <w:rPr>
          <w:noProof/>
        </w:rPr>
        <w:t xml:space="preserve"> w</w:t>
      </w:r>
      <w:r w:rsidR="003F3D2B">
        <w:rPr>
          <w:noProof/>
        </w:rPr>
        <w:t> </w:t>
      </w:r>
      <w:r w:rsidR="003F3D2B" w:rsidRPr="00624565">
        <w:rPr>
          <w:noProof/>
        </w:rPr>
        <w:t>prz</w:t>
      </w:r>
      <w:r w:rsidRPr="00624565">
        <w:rPr>
          <w:noProof/>
        </w:rPr>
        <w:t>ypadku tworzyw, które nie ulegają biodegradacji</w:t>
      </w:r>
      <w:r w:rsidR="003F3D2B" w:rsidRPr="00624565">
        <w:rPr>
          <w:noProof/>
        </w:rPr>
        <w:t xml:space="preserve"> w</w:t>
      </w:r>
      <w:r w:rsidR="003F3D2B">
        <w:rPr>
          <w:noProof/>
        </w:rPr>
        <w:t> </w:t>
      </w:r>
      <w:r w:rsidR="003F3D2B" w:rsidRPr="00624565">
        <w:rPr>
          <w:noProof/>
        </w:rPr>
        <w:t>tak</w:t>
      </w:r>
      <w:r w:rsidRPr="00624565">
        <w:rPr>
          <w:noProof/>
        </w:rPr>
        <w:t>ich warunkach.</w:t>
      </w:r>
    </w:p>
    <w:p w14:paraId="2E4E765F" w14:textId="6D9DC754" w:rsidR="000464F8" w:rsidRPr="00624565" w:rsidRDefault="004D161E" w:rsidP="004D161E">
      <w:pPr>
        <w:pStyle w:val="ManualConsidrant"/>
        <w:rPr>
          <w:noProof/>
        </w:rPr>
      </w:pPr>
      <w:r w:rsidRPr="00624565">
        <w:rPr>
          <w:noProof/>
        </w:rPr>
        <w:t>(28)</w:t>
      </w:r>
      <w:r w:rsidRPr="00624565">
        <w:rPr>
          <w:noProof/>
        </w:rPr>
        <w:tab/>
        <w:t>Przy ustanawianiu wymogów dotyczących uzasadniania</w:t>
      </w:r>
      <w:r w:rsidR="003F3D2B" w:rsidRPr="00624565">
        <w:rPr>
          <w:noProof/>
        </w:rPr>
        <w:t xml:space="preserve"> i</w:t>
      </w:r>
      <w:r w:rsidR="003F3D2B">
        <w:rPr>
          <w:noProof/>
        </w:rPr>
        <w:t> </w:t>
      </w:r>
      <w:r w:rsidR="003F3D2B" w:rsidRPr="00624565">
        <w:rPr>
          <w:noProof/>
        </w:rPr>
        <w:t>prz</w:t>
      </w:r>
      <w:r w:rsidRPr="00624565">
        <w:rPr>
          <w:noProof/>
        </w:rPr>
        <w:t>ekazywania wyraźnych oświadczeń środowiskowych,</w:t>
      </w:r>
      <w:r w:rsidR="003F3D2B" w:rsidRPr="00624565">
        <w:rPr>
          <w:noProof/>
        </w:rPr>
        <w:t xml:space="preserve"> w</w:t>
      </w:r>
      <w:r w:rsidR="003F3D2B">
        <w:rPr>
          <w:noProof/>
        </w:rPr>
        <w:t> </w:t>
      </w:r>
      <w:r w:rsidR="003F3D2B" w:rsidRPr="00624565">
        <w:rPr>
          <w:noProof/>
        </w:rPr>
        <w:t>tym w</w:t>
      </w:r>
      <w:r w:rsidR="003F3D2B">
        <w:rPr>
          <w:noProof/>
        </w:rPr>
        <w:t> </w:t>
      </w:r>
      <w:r w:rsidR="003F3D2B" w:rsidRPr="00624565">
        <w:rPr>
          <w:noProof/>
        </w:rPr>
        <w:t>dro</w:t>
      </w:r>
      <w:r w:rsidRPr="00624565">
        <w:rPr>
          <w:noProof/>
        </w:rPr>
        <w:t>dze aktów delegowanych przyjętych przez Komisję, należy uwzględnić trudności, jakie przedsiębiorcy mogą napotkać</w:t>
      </w:r>
      <w:r w:rsidR="003F3D2B" w:rsidRPr="00624565">
        <w:rPr>
          <w:noProof/>
        </w:rPr>
        <w:t xml:space="preserve"> w</w:t>
      </w:r>
      <w:r w:rsidR="003F3D2B">
        <w:rPr>
          <w:noProof/>
        </w:rPr>
        <w:t> </w:t>
      </w:r>
      <w:r w:rsidR="003F3D2B" w:rsidRPr="00624565">
        <w:rPr>
          <w:noProof/>
        </w:rPr>
        <w:t>tra</w:t>
      </w:r>
      <w:r w:rsidRPr="00624565">
        <w:rPr>
          <w:noProof/>
        </w:rPr>
        <w:t>kcie gromadzenia informacji od podmiotów</w:t>
      </w:r>
      <w:r w:rsidR="003F3D2B" w:rsidRPr="00624565">
        <w:rPr>
          <w:noProof/>
        </w:rPr>
        <w:t xml:space="preserve"> w</w:t>
      </w:r>
      <w:r w:rsidR="003F3D2B">
        <w:rPr>
          <w:noProof/>
        </w:rPr>
        <w:t> </w:t>
      </w:r>
      <w:r w:rsidR="003F3D2B" w:rsidRPr="00624565">
        <w:rPr>
          <w:noProof/>
        </w:rPr>
        <w:t>cał</w:t>
      </w:r>
      <w:r w:rsidRPr="00624565">
        <w:rPr>
          <w:noProof/>
        </w:rPr>
        <w:t>ym łańcuchu wartości lub</w:t>
      </w:r>
      <w:r w:rsidR="003F3D2B" w:rsidRPr="00624565">
        <w:rPr>
          <w:noProof/>
        </w:rPr>
        <w:t xml:space="preserve"> w</w:t>
      </w:r>
      <w:r w:rsidR="003F3D2B">
        <w:rPr>
          <w:noProof/>
        </w:rPr>
        <w:t> </w:t>
      </w:r>
      <w:r w:rsidR="003F3D2B" w:rsidRPr="00624565">
        <w:rPr>
          <w:noProof/>
        </w:rPr>
        <w:t>odn</w:t>
      </w:r>
      <w:r w:rsidRPr="00624565">
        <w:rPr>
          <w:noProof/>
        </w:rPr>
        <w:t>iesieniu do całego cyklu życia produktu, zwłaszcza</w:t>
      </w:r>
      <w:r w:rsidR="003F3D2B" w:rsidRPr="00624565">
        <w:rPr>
          <w:noProof/>
        </w:rPr>
        <w:t xml:space="preserve"> w</w:t>
      </w:r>
      <w:r w:rsidR="003F3D2B">
        <w:rPr>
          <w:noProof/>
        </w:rPr>
        <w:t> </w:t>
      </w:r>
      <w:r w:rsidR="003F3D2B" w:rsidRPr="00624565">
        <w:rPr>
          <w:noProof/>
        </w:rPr>
        <w:t>prz</w:t>
      </w:r>
      <w:r w:rsidRPr="00624565">
        <w:rPr>
          <w:noProof/>
        </w:rPr>
        <w:t>ypadku usług lub</w:t>
      </w:r>
      <w:r w:rsidR="003F3D2B" w:rsidRPr="00624565">
        <w:rPr>
          <w:noProof/>
        </w:rPr>
        <w:t xml:space="preserve"> w</w:t>
      </w:r>
      <w:r w:rsidR="003F3D2B">
        <w:rPr>
          <w:noProof/>
        </w:rPr>
        <w:t> </w:t>
      </w:r>
      <w:r w:rsidR="003F3D2B" w:rsidRPr="00624565">
        <w:rPr>
          <w:noProof/>
        </w:rPr>
        <w:t>prz</w:t>
      </w:r>
      <w:r w:rsidRPr="00624565">
        <w:rPr>
          <w:noProof/>
        </w:rPr>
        <w:t>ypadku braku wystarczających dowodów naukowych. Jest to na przykład ważne</w:t>
      </w:r>
      <w:r w:rsidR="003F3D2B" w:rsidRPr="00624565">
        <w:rPr>
          <w:noProof/>
        </w:rPr>
        <w:t xml:space="preserve"> w</w:t>
      </w:r>
      <w:r w:rsidR="003F3D2B">
        <w:rPr>
          <w:noProof/>
        </w:rPr>
        <w:t> </w:t>
      </w:r>
      <w:r w:rsidR="003F3D2B" w:rsidRPr="00624565">
        <w:rPr>
          <w:noProof/>
        </w:rPr>
        <w:t>odn</w:t>
      </w:r>
      <w:r w:rsidRPr="00624565">
        <w:rPr>
          <w:noProof/>
        </w:rPr>
        <w:t>iesieniu do usług, takich jak usługi łączności elektronicznej,</w:t>
      </w:r>
      <w:r w:rsidR="003F3D2B" w:rsidRPr="00624565">
        <w:rPr>
          <w:noProof/>
        </w:rPr>
        <w:t xml:space="preserve"> w</w:t>
      </w:r>
      <w:r w:rsidR="003F3D2B">
        <w:rPr>
          <w:noProof/>
        </w:rPr>
        <w:t> </w:t>
      </w:r>
      <w:r w:rsidR="003F3D2B" w:rsidRPr="00624565">
        <w:rPr>
          <w:noProof/>
        </w:rPr>
        <w:t>prz</w:t>
      </w:r>
      <w:r w:rsidRPr="00624565">
        <w:rPr>
          <w:noProof/>
        </w:rPr>
        <w:t>ypadku których określenie zakresu</w:t>
      </w:r>
      <w:r w:rsidR="003F3D2B" w:rsidRPr="00624565">
        <w:rPr>
          <w:noProof/>
        </w:rPr>
        <w:t xml:space="preserve"> i</w:t>
      </w:r>
      <w:r w:rsidR="003F3D2B">
        <w:rPr>
          <w:noProof/>
        </w:rPr>
        <w:t> </w:t>
      </w:r>
      <w:r w:rsidR="003F3D2B" w:rsidRPr="00624565">
        <w:rPr>
          <w:noProof/>
        </w:rPr>
        <w:t>gra</w:t>
      </w:r>
      <w:r w:rsidRPr="00624565">
        <w:rPr>
          <w:noProof/>
        </w:rPr>
        <w:t>nic systemu, np. gdzie zaczyna się</w:t>
      </w:r>
      <w:r w:rsidR="003F3D2B" w:rsidRPr="00624565">
        <w:rPr>
          <w:noProof/>
        </w:rPr>
        <w:t xml:space="preserve"> i</w:t>
      </w:r>
      <w:r w:rsidR="003F3D2B">
        <w:rPr>
          <w:noProof/>
        </w:rPr>
        <w:t> </w:t>
      </w:r>
      <w:r w:rsidR="003F3D2B" w:rsidRPr="00624565">
        <w:rPr>
          <w:noProof/>
        </w:rPr>
        <w:t>koń</w:t>
      </w:r>
      <w:r w:rsidRPr="00624565">
        <w:rPr>
          <w:noProof/>
        </w:rPr>
        <w:t>czy cykl życia, może być trudne,</w:t>
      </w:r>
      <w:r w:rsidR="003F3D2B" w:rsidRPr="00624565">
        <w:rPr>
          <w:noProof/>
        </w:rPr>
        <w:t xml:space="preserve"> a</w:t>
      </w:r>
      <w:r w:rsidR="003F3D2B">
        <w:rPr>
          <w:noProof/>
        </w:rPr>
        <w:t> </w:t>
      </w:r>
      <w:r w:rsidR="003F3D2B" w:rsidRPr="00624565">
        <w:rPr>
          <w:noProof/>
        </w:rPr>
        <w:t>tym</w:t>
      </w:r>
      <w:r w:rsidRPr="00624565">
        <w:rPr>
          <w:noProof/>
        </w:rPr>
        <w:t xml:space="preserve"> bardziej</w:t>
      </w:r>
      <w:r w:rsidR="003F3D2B" w:rsidRPr="00624565">
        <w:rPr>
          <w:noProof/>
        </w:rPr>
        <w:t xml:space="preserve"> w</w:t>
      </w:r>
      <w:r w:rsidR="003F3D2B">
        <w:rPr>
          <w:noProof/>
        </w:rPr>
        <w:t> </w:t>
      </w:r>
      <w:r w:rsidR="003F3D2B" w:rsidRPr="00624565">
        <w:rPr>
          <w:noProof/>
        </w:rPr>
        <w:t>prz</w:t>
      </w:r>
      <w:r w:rsidRPr="00624565">
        <w:rPr>
          <w:noProof/>
        </w:rPr>
        <w:t>ypadku złożonych</w:t>
      </w:r>
      <w:r w:rsidR="003F3D2B" w:rsidRPr="00624565">
        <w:rPr>
          <w:noProof/>
        </w:rPr>
        <w:t xml:space="preserve"> i</w:t>
      </w:r>
      <w:r w:rsidR="003F3D2B">
        <w:rPr>
          <w:noProof/>
        </w:rPr>
        <w:t> </w:t>
      </w:r>
      <w:r w:rsidR="003F3D2B" w:rsidRPr="00624565">
        <w:rPr>
          <w:noProof/>
        </w:rPr>
        <w:t>nie</w:t>
      </w:r>
      <w:r w:rsidRPr="00624565">
        <w:rPr>
          <w:noProof/>
        </w:rPr>
        <w:t>stabilnych łańcuchów dostaw, np.</w:t>
      </w:r>
      <w:r w:rsidR="003F3D2B" w:rsidRPr="00624565">
        <w:rPr>
          <w:noProof/>
        </w:rPr>
        <w:t xml:space="preserve"> w</w:t>
      </w:r>
      <w:r w:rsidR="003F3D2B">
        <w:rPr>
          <w:noProof/>
        </w:rPr>
        <w:t> </w:t>
      </w:r>
      <w:r w:rsidR="003F3D2B" w:rsidRPr="00624565">
        <w:rPr>
          <w:noProof/>
        </w:rPr>
        <w:t>prz</w:t>
      </w:r>
      <w:r w:rsidRPr="00624565">
        <w:rPr>
          <w:noProof/>
        </w:rPr>
        <w:t>ypadkach, gdy wiele urządzeń lub komponentów jest produkowanych przez szereg przedsiębiorstw spoza UE,</w:t>
      </w:r>
      <w:r w:rsidR="003F3D2B" w:rsidRPr="00624565">
        <w:rPr>
          <w:noProof/>
        </w:rPr>
        <w:t xml:space="preserve"> w</w:t>
      </w:r>
      <w:r w:rsidR="003F3D2B">
        <w:rPr>
          <w:noProof/>
        </w:rPr>
        <w:t> </w:t>
      </w:r>
      <w:r w:rsidR="003F3D2B" w:rsidRPr="00624565">
        <w:rPr>
          <w:noProof/>
        </w:rPr>
        <w:t>zwi</w:t>
      </w:r>
      <w:r w:rsidRPr="00624565">
        <w:rPr>
          <w:noProof/>
        </w:rPr>
        <w:t>ązku</w:t>
      </w:r>
      <w:r w:rsidR="003F3D2B" w:rsidRPr="00624565">
        <w:rPr>
          <w:noProof/>
        </w:rPr>
        <w:t xml:space="preserve"> z</w:t>
      </w:r>
      <w:r w:rsidR="003F3D2B">
        <w:rPr>
          <w:noProof/>
        </w:rPr>
        <w:t> </w:t>
      </w:r>
      <w:r w:rsidR="003F3D2B" w:rsidRPr="00624565">
        <w:rPr>
          <w:noProof/>
        </w:rPr>
        <w:t>czy</w:t>
      </w:r>
      <w:r w:rsidRPr="00624565">
        <w:rPr>
          <w:noProof/>
        </w:rPr>
        <w:t xml:space="preserve">m informacje na temat zrównoważonego rozwoju mogą nie być łatwo dostępne dla zainteresowanych przedsiębiorców z UE. </w:t>
      </w:r>
    </w:p>
    <w:p w14:paraId="131FF0E8" w14:textId="64B6F981" w:rsidR="000464F8" w:rsidRPr="00624565" w:rsidRDefault="004D161E" w:rsidP="004D161E">
      <w:pPr>
        <w:pStyle w:val="ManualConsidrant"/>
        <w:rPr>
          <w:noProof/>
        </w:rPr>
      </w:pPr>
      <w:r w:rsidRPr="00624565">
        <w:rPr>
          <w:noProof/>
        </w:rPr>
        <w:t>(29)</w:t>
      </w:r>
      <w:r w:rsidRPr="00624565">
        <w:rPr>
          <w:noProof/>
        </w:rPr>
        <w:tab/>
        <w:t>W przypadku niektórych sektorów, produktów lub przedsiębiorców można podejrzewać, że istnieje znaczący wpływ na środowisko lub występują aspekty środowiskowe, ale może jeszcze brakować uznanej metody naukowej pozwalającej</w:t>
      </w:r>
      <w:r w:rsidR="003F3D2B" w:rsidRPr="00624565">
        <w:rPr>
          <w:noProof/>
        </w:rPr>
        <w:t xml:space="preserve"> w</w:t>
      </w:r>
      <w:r w:rsidR="003F3D2B">
        <w:rPr>
          <w:noProof/>
        </w:rPr>
        <w:t> </w:t>
      </w:r>
      <w:r w:rsidR="003F3D2B" w:rsidRPr="00624565">
        <w:rPr>
          <w:noProof/>
        </w:rPr>
        <w:t>peł</w:t>
      </w:r>
      <w:r w:rsidRPr="00624565">
        <w:rPr>
          <w:noProof/>
        </w:rPr>
        <w:t>ni ocenić ten wpływ na środowisko</w:t>
      </w:r>
      <w:r w:rsidR="003F3D2B" w:rsidRPr="00624565">
        <w:rPr>
          <w:noProof/>
        </w:rPr>
        <w:t xml:space="preserve"> i</w:t>
      </w:r>
      <w:r w:rsidR="003F3D2B">
        <w:rPr>
          <w:noProof/>
        </w:rPr>
        <w:t> </w:t>
      </w:r>
      <w:r w:rsidR="003F3D2B" w:rsidRPr="00624565">
        <w:rPr>
          <w:noProof/>
        </w:rPr>
        <w:t>asp</w:t>
      </w:r>
      <w:r w:rsidRPr="00624565">
        <w:rPr>
          <w:noProof/>
        </w:rPr>
        <w:t>ekty środowiskowe</w:t>
      </w:r>
      <w:r w:rsidR="003F3D2B" w:rsidRPr="00624565">
        <w:rPr>
          <w:noProof/>
        </w:rPr>
        <w:t>. W</w:t>
      </w:r>
      <w:r w:rsidR="003F3D2B">
        <w:rPr>
          <w:noProof/>
        </w:rPr>
        <w:t> </w:t>
      </w:r>
      <w:r w:rsidR="003F3D2B" w:rsidRPr="00624565">
        <w:rPr>
          <w:noProof/>
        </w:rPr>
        <w:t>tak</w:t>
      </w:r>
      <w:r w:rsidRPr="00624565">
        <w:rPr>
          <w:noProof/>
        </w:rPr>
        <w:t>ich przypadkach oraz przy jednoczesnym podejmowaniu działań na rzecz opracowania metod</w:t>
      </w:r>
      <w:r w:rsidR="003F3D2B" w:rsidRPr="00624565">
        <w:rPr>
          <w:noProof/>
        </w:rPr>
        <w:t xml:space="preserve"> i</w:t>
      </w:r>
      <w:r w:rsidR="003F3D2B">
        <w:rPr>
          <w:noProof/>
        </w:rPr>
        <w:t> </w:t>
      </w:r>
      <w:r w:rsidR="003F3D2B" w:rsidRPr="00624565">
        <w:rPr>
          <w:noProof/>
        </w:rPr>
        <w:t>gro</w:t>
      </w:r>
      <w:r w:rsidRPr="00624565">
        <w:rPr>
          <w:noProof/>
        </w:rPr>
        <w:t>madzenia dowodów umożliwiających ocenę odpowiedniego wpływu na środowisko lub aspektu środowiskowego na potrzeby tych sektorów, przedsiębiorców lub produktów, przedsiębiorcy powinni mieć możliwość promowania swoich działań na rzecz zrównoważonego rozwoju</w:t>
      </w:r>
      <w:r w:rsidR="003F3D2B" w:rsidRPr="00624565">
        <w:rPr>
          <w:noProof/>
        </w:rPr>
        <w:t xml:space="preserve"> w</w:t>
      </w:r>
      <w:r w:rsidR="003F3D2B">
        <w:rPr>
          <w:noProof/>
        </w:rPr>
        <w:t> </w:t>
      </w:r>
      <w:r w:rsidR="003F3D2B" w:rsidRPr="00624565">
        <w:rPr>
          <w:noProof/>
        </w:rPr>
        <w:t>dro</w:t>
      </w:r>
      <w:r w:rsidRPr="00624565">
        <w:rPr>
          <w:noProof/>
        </w:rPr>
        <w:t>dze publikowania sprawozdań dotyczących zrównoważonego rozwoju przedsiębiorstwa, merytorycznych sprawozdań dotyczących wskaźników efektywności przedsiębiorstwa oraz prowadzonych działań na rzecz ograniczenia zużycia energii, również na swoich stronach internetowych. Taka elastyczność pozwoliłaby na utrzymanie</w:t>
      </w:r>
      <w:r w:rsidR="003F3D2B" w:rsidRPr="00624565">
        <w:rPr>
          <w:noProof/>
        </w:rPr>
        <w:t xml:space="preserve"> i</w:t>
      </w:r>
      <w:r w:rsidR="003F3D2B">
        <w:rPr>
          <w:noProof/>
        </w:rPr>
        <w:t> </w:t>
      </w:r>
      <w:r w:rsidR="003F3D2B" w:rsidRPr="00624565">
        <w:rPr>
          <w:noProof/>
        </w:rPr>
        <w:t>pro</w:t>
      </w:r>
      <w:r w:rsidRPr="00624565">
        <w:rPr>
          <w:noProof/>
        </w:rPr>
        <w:t>pagowanie zachęt</w:t>
      </w:r>
      <w:r w:rsidR="003F3D2B" w:rsidRPr="00624565">
        <w:rPr>
          <w:noProof/>
        </w:rPr>
        <w:t xml:space="preserve"> w</w:t>
      </w:r>
      <w:r w:rsidR="003F3D2B">
        <w:rPr>
          <w:noProof/>
        </w:rPr>
        <w:t> </w:t>
      </w:r>
      <w:r w:rsidR="003F3D2B" w:rsidRPr="00624565">
        <w:rPr>
          <w:noProof/>
        </w:rPr>
        <w:t>prz</w:t>
      </w:r>
      <w:r w:rsidRPr="00624565">
        <w:rPr>
          <w:noProof/>
        </w:rPr>
        <w:t>ypadku tych sektorów lub przedsiębiorców do kontynuowania wysiłków na rzecz opracowania wspólnych ocen środowiskowych zgodnie</w:t>
      </w:r>
      <w:r w:rsidR="003F3D2B" w:rsidRPr="00624565">
        <w:rPr>
          <w:noProof/>
        </w:rPr>
        <w:t xml:space="preserve"> z</w:t>
      </w:r>
      <w:r w:rsidR="003F3D2B">
        <w:rPr>
          <w:noProof/>
        </w:rPr>
        <w:t> </w:t>
      </w:r>
      <w:r w:rsidR="003F3D2B" w:rsidRPr="00624565">
        <w:rPr>
          <w:noProof/>
        </w:rPr>
        <w:t>nin</w:t>
      </w:r>
      <w:r w:rsidRPr="00624565">
        <w:rPr>
          <w:noProof/>
        </w:rPr>
        <w:t xml:space="preserve">iejszą dyrektywą, zapewniając jednocześnie czas niezbędny do zakończenia takich prac. </w:t>
      </w:r>
    </w:p>
    <w:p w14:paraId="4B69B851" w14:textId="03B9EB9D" w:rsidR="000464F8" w:rsidRPr="00624565" w:rsidRDefault="004D161E" w:rsidP="004D161E">
      <w:pPr>
        <w:pStyle w:val="ManualConsidrant"/>
        <w:rPr>
          <w:noProof/>
        </w:rPr>
      </w:pPr>
      <w:r w:rsidRPr="00624565">
        <w:rPr>
          <w:noProof/>
        </w:rPr>
        <w:t>(30)</w:t>
      </w:r>
      <w:r w:rsidRPr="00624565">
        <w:rPr>
          <w:noProof/>
        </w:rPr>
        <w:tab/>
        <w:t>Chociaż zakaz nieuczciwych praktyk handlowych,</w:t>
      </w:r>
      <w:r w:rsidR="003F3D2B" w:rsidRPr="00624565">
        <w:rPr>
          <w:noProof/>
        </w:rPr>
        <w:t xml:space="preserve"> w</w:t>
      </w:r>
      <w:r w:rsidR="003F3D2B">
        <w:rPr>
          <w:noProof/>
        </w:rPr>
        <w:t> </w:t>
      </w:r>
      <w:r w:rsidR="003F3D2B" w:rsidRPr="00624565">
        <w:rPr>
          <w:noProof/>
        </w:rPr>
        <w:t>tym</w:t>
      </w:r>
      <w:r w:rsidRPr="00624565">
        <w:rPr>
          <w:noProof/>
        </w:rPr>
        <w:t xml:space="preserve"> wprowadzających</w:t>
      </w:r>
      <w:r w:rsidR="003F3D2B" w:rsidRPr="00624565">
        <w:rPr>
          <w:noProof/>
        </w:rPr>
        <w:t xml:space="preserve"> w</w:t>
      </w:r>
      <w:r w:rsidR="003F3D2B">
        <w:rPr>
          <w:noProof/>
        </w:rPr>
        <w:t> </w:t>
      </w:r>
      <w:r w:rsidR="003F3D2B" w:rsidRPr="00624565">
        <w:rPr>
          <w:noProof/>
        </w:rPr>
        <w:t>błą</w:t>
      </w:r>
      <w:r w:rsidRPr="00624565">
        <w:rPr>
          <w:noProof/>
        </w:rPr>
        <w:t>d oświadczeń środowiskowych obejmuje wszystkich przedsiębiorców zgodnie</w:t>
      </w:r>
      <w:r w:rsidR="003F3D2B" w:rsidRPr="00624565">
        <w:rPr>
          <w:noProof/>
        </w:rPr>
        <w:t xml:space="preserve"> z</w:t>
      </w:r>
      <w:r w:rsidR="003F3D2B">
        <w:rPr>
          <w:noProof/>
        </w:rPr>
        <w:t> </w:t>
      </w:r>
      <w:r w:rsidR="003F3D2B" w:rsidRPr="00624565">
        <w:rPr>
          <w:noProof/>
        </w:rPr>
        <w:t>dyr</w:t>
      </w:r>
      <w:r w:rsidRPr="00624565">
        <w:rPr>
          <w:noProof/>
        </w:rPr>
        <w:t>ektywą 2005/29/WE</w:t>
      </w:r>
      <w:r w:rsidRPr="00624565">
        <w:rPr>
          <w:rStyle w:val="FootnoteReference"/>
          <w:noProof/>
        </w:rPr>
        <w:footnoteReference w:id="85"/>
      </w:r>
      <w:r w:rsidRPr="00624565">
        <w:rPr>
          <w:noProof/>
        </w:rPr>
        <w:t>, obciążenie administracyjne najmniejszych przedsiębiorstw związane</w:t>
      </w:r>
      <w:r w:rsidR="003F3D2B" w:rsidRPr="00624565">
        <w:rPr>
          <w:noProof/>
        </w:rPr>
        <w:t xml:space="preserve"> z</w:t>
      </w:r>
      <w:r w:rsidR="003F3D2B">
        <w:rPr>
          <w:noProof/>
        </w:rPr>
        <w:t> </w:t>
      </w:r>
      <w:r w:rsidR="003F3D2B" w:rsidRPr="00624565">
        <w:rPr>
          <w:noProof/>
        </w:rPr>
        <w:t>uza</w:t>
      </w:r>
      <w:r w:rsidRPr="00624565">
        <w:rPr>
          <w:noProof/>
        </w:rPr>
        <w:t>sadnianiem</w:t>
      </w:r>
      <w:r w:rsidR="003F3D2B" w:rsidRPr="00624565">
        <w:rPr>
          <w:noProof/>
        </w:rPr>
        <w:t xml:space="preserve"> i</w:t>
      </w:r>
      <w:r w:rsidR="003F3D2B">
        <w:rPr>
          <w:noProof/>
        </w:rPr>
        <w:t> </w:t>
      </w:r>
      <w:r w:rsidR="003F3D2B" w:rsidRPr="00624565">
        <w:rPr>
          <w:noProof/>
        </w:rPr>
        <w:t>wer</w:t>
      </w:r>
      <w:r w:rsidRPr="00624565">
        <w:rPr>
          <w:noProof/>
        </w:rPr>
        <w:t>yfikacją oświadczeń środowiskowych mogłoby być nieproporcjonalne</w:t>
      </w:r>
      <w:r w:rsidR="003F3D2B" w:rsidRPr="00624565">
        <w:rPr>
          <w:noProof/>
        </w:rPr>
        <w:t xml:space="preserve"> i</w:t>
      </w:r>
      <w:r w:rsidR="003F3D2B">
        <w:rPr>
          <w:noProof/>
        </w:rPr>
        <w:t> </w:t>
      </w:r>
      <w:r w:rsidR="003F3D2B" w:rsidRPr="00624565">
        <w:rPr>
          <w:noProof/>
        </w:rPr>
        <w:t>nal</w:t>
      </w:r>
      <w:r w:rsidRPr="00624565">
        <w:rPr>
          <w:noProof/>
        </w:rPr>
        <w:t>eży go unikać</w:t>
      </w:r>
      <w:r w:rsidR="003F3D2B" w:rsidRPr="00624565">
        <w:rPr>
          <w:noProof/>
        </w:rPr>
        <w:t>. W</w:t>
      </w:r>
      <w:r w:rsidR="003F3D2B">
        <w:rPr>
          <w:noProof/>
        </w:rPr>
        <w:t> </w:t>
      </w:r>
      <w:r w:rsidR="003F3D2B" w:rsidRPr="00624565">
        <w:rPr>
          <w:noProof/>
        </w:rPr>
        <w:t>tym</w:t>
      </w:r>
      <w:r w:rsidRPr="00624565">
        <w:rPr>
          <w:noProof/>
        </w:rPr>
        <w:t xml:space="preserve"> celu mikroprzedsiębiorstwa powinny zostać zwolnione</w:t>
      </w:r>
      <w:r w:rsidR="003F3D2B" w:rsidRPr="00624565">
        <w:rPr>
          <w:noProof/>
        </w:rPr>
        <w:t xml:space="preserve"> z</w:t>
      </w:r>
      <w:r w:rsidR="003F3D2B">
        <w:rPr>
          <w:noProof/>
        </w:rPr>
        <w:t> </w:t>
      </w:r>
      <w:r w:rsidR="003F3D2B" w:rsidRPr="00624565">
        <w:rPr>
          <w:noProof/>
        </w:rPr>
        <w:t>wym</w:t>
      </w:r>
      <w:r w:rsidRPr="00624565">
        <w:rPr>
          <w:noProof/>
        </w:rPr>
        <w:t>ogów dotyczących uzasadnienia określonych</w:t>
      </w:r>
      <w:r w:rsidR="003F3D2B" w:rsidRPr="00624565">
        <w:rPr>
          <w:noProof/>
        </w:rPr>
        <w:t xml:space="preserve"> w</w:t>
      </w:r>
      <w:r w:rsidR="003F3D2B">
        <w:rPr>
          <w:noProof/>
        </w:rPr>
        <w:t> </w:t>
      </w:r>
      <w:r w:rsidR="003F3D2B" w:rsidRPr="003F3D2B">
        <w:rPr>
          <w:noProof/>
        </w:rPr>
        <w:t>art</w:t>
      </w:r>
      <w:r w:rsidRPr="003F3D2B">
        <w:rPr>
          <w:noProof/>
        </w:rPr>
        <w:t>.</w:t>
      </w:r>
      <w:r w:rsidR="003F3D2B" w:rsidRPr="003F3D2B">
        <w:rPr>
          <w:noProof/>
        </w:rPr>
        <w:t> </w:t>
      </w:r>
      <w:r w:rsidRPr="003F3D2B">
        <w:rPr>
          <w:noProof/>
        </w:rPr>
        <w:t>3</w:t>
      </w:r>
      <w:r w:rsidR="003F3D2B" w:rsidRPr="00624565">
        <w:rPr>
          <w:noProof/>
        </w:rPr>
        <w:t xml:space="preserve"> i</w:t>
      </w:r>
      <w:r w:rsidR="003F3D2B">
        <w:rPr>
          <w:noProof/>
        </w:rPr>
        <w:t> </w:t>
      </w:r>
      <w:r w:rsidR="003F3D2B" w:rsidRPr="00624565">
        <w:rPr>
          <w:noProof/>
        </w:rPr>
        <w:t>4</w:t>
      </w:r>
      <w:r w:rsidRPr="00624565">
        <w:rPr>
          <w:noProof/>
        </w:rPr>
        <w:t>, chyba że przedsiębiorstwa te chcą uzyskać certyfikat zgodności wyraźnych oświadczeń środowiskowych, który będzie uznawany przez właściwe organy</w:t>
      </w:r>
      <w:r w:rsidR="003F3D2B" w:rsidRPr="00624565">
        <w:rPr>
          <w:noProof/>
        </w:rPr>
        <w:t xml:space="preserve"> w</w:t>
      </w:r>
      <w:r w:rsidR="003F3D2B">
        <w:rPr>
          <w:noProof/>
        </w:rPr>
        <w:t> </w:t>
      </w:r>
      <w:r w:rsidR="003F3D2B" w:rsidRPr="00624565">
        <w:rPr>
          <w:noProof/>
        </w:rPr>
        <w:t>cał</w:t>
      </w:r>
      <w:r w:rsidRPr="00624565">
        <w:rPr>
          <w:noProof/>
        </w:rPr>
        <w:t>ej Unii.</w:t>
      </w:r>
    </w:p>
    <w:p w14:paraId="31D0D292" w14:textId="2B4CB650" w:rsidR="000464F8" w:rsidRPr="00624565" w:rsidRDefault="004D161E" w:rsidP="004D161E">
      <w:pPr>
        <w:pStyle w:val="ManualConsidrant"/>
        <w:rPr>
          <w:noProof/>
        </w:rPr>
      </w:pPr>
      <w:r w:rsidRPr="00624565">
        <w:rPr>
          <w:noProof/>
        </w:rPr>
        <w:t>(31)</w:t>
      </w:r>
      <w:r w:rsidRPr="00624565">
        <w:rPr>
          <w:noProof/>
        </w:rPr>
        <w:tab/>
        <w:t>Aby zaspokoić zarówno potrzeby przedsiębiorców</w:t>
      </w:r>
      <w:r w:rsidR="003F3D2B" w:rsidRPr="00624565">
        <w:rPr>
          <w:noProof/>
        </w:rPr>
        <w:t xml:space="preserve"> w</w:t>
      </w:r>
      <w:r w:rsidR="003F3D2B">
        <w:rPr>
          <w:noProof/>
        </w:rPr>
        <w:t> </w:t>
      </w:r>
      <w:r w:rsidR="003F3D2B" w:rsidRPr="00624565">
        <w:rPr>
          <w:noProof/>
        </w:rPr>
        <w:t>zak</w:t>
      </w:r>
      <w:r w:rsidRPr="00624565">
        <w:rPr>
          <w:noProof/>
        </w:rPr>
        <w:t>resie dynamicznych strategii marketingowych, jak</w:t>
      </w:r>
      <w:r w:rsidR="003F3D2B" w:rsidRPr="00624565">
        <w:rPr>
          <w:noProof/>
        </w:rPr>
        <w:t xml:space="preserve"> i</w:t>
      </w:r>
      <w:r w:rsidR="003F3D2B">
        <w:rPr>
          <w:noProof/>
        </w:rPr>
        <w:t> </w:t>
      </w:r>
      <w:r w:rsidR="003F3D2B" w:rsidRPr="00624565">
        <w:rPr>
          <w:noProof/>
        </w:rPr>
        <w:t>pot</w:t>
      </w:r>
      <w:r w:rsidRPr="00624565">
        <w:rPr>
          <w:noProof/>
        </w:rPr>
        <w:t>rzeby konsumentów</w:t>
      </w:r>
      <w:r w:rsidR="003F3D2B" w:rsidRPr="00624565">
        <w:rPr>
          <w:noProof/>
        </w:rPr>
        <w:t xml:space="preserve"> w</w:t>
      </w:r>
      <w:r w:rsidR="003F3D2B">
        <w:rPr>
          <w:noProof/>
        </w:rPr>
        <w:t> </w:t>
      </w:r>
      <w:r w:rsidR="003F3D2B" w:rsidRPr="00624565">
        <w:rPr>
          <w:noProof/>
        </w:rPr>
        <w:t>zak</w:t>
      </w:r>
      <w:r w:rsidRPr="00624565">
        <w:rPr>
          <w:noProof/>
        </w:rPr>
        <w:t>resie bardziej szczegółowych</w:t>
      </w:r>
      <w:r w:rsidR="003F3D2B" w:rsidRPr="00624565">
        <w:rPr>
          <w:noProof/>
        </w:rPr>
        <w:t xml:space="preserve"> i</w:t>
      </w:r>
      <w:r w:rsidR="003F3D2B">
        <w:rPr>
          <w:noProof/>
        </w:rPr>
        <w:t> </w:t>
      </w:r>
      <w:r w:rsidR="003F3D2B" w:rsidRPr="00624565">
        <w:rPr>
          <w:noProof/>
        </w:rPr>
        <w:t>dok</w:t>
      </w:r>
      <w:r w:rsidRPr="00624565">
        <w:rPr>
          <w:noProof/>
        </w:rPr>
        <w:t>ładniejszych informacji dotyczących środowiska, Komisja może przyjmować akty delegowane</w:t>
      </w:r>
      <w:r w:rsidR="003F3D2B" w:rsidRPr="00624565">
        <w:rPr>
          <w:noProof/>
        </w:rPr>
        <w:t xml:space="preserve"> w</w:t>
      </w:r>
      <w:r w:rsidR="003F3D2B">
        <w:rPr>
          <w:noProof/>
        </w:rPr>
        <w:t> </w:t>
      </w:r>
      <w:r w:rsidR="003F3D2B" w:rsidRPr="00624565">
        <w:rPr>
          <w:noProof/>
        </w:rPr>
        <w:t>cel</w:t>
      </w:r>
      <w:r w:rsidRPr="00624565">
        <w:rPr>
          <w:noProof/>
        </w:rPr>
        <w:t>u uzupełnienia przepisów dotyczących uzasadniania wyraźnych oświadczeń środowiskowych poprzez dalsze doprecyzowanie kryteriów takiego uzasadniania</w:t>
      </w:r>
      <w:r w:rsidR="003F3D2B" w:rsidRPr="00624565">
        <w:rPr>
          <w:noProof/>
        </w:rPr>
        <w:t xml:space="preserve"> w</w:t>
      </w:r>
      <w:r w:rsidR="003F3D2B">
        <w:rPr>
          <w:noProof/>
        </w:rPr>
        <w:t> </w:t>
      </w:r>
      <w:r w:rsidR="003F3D2B" w:rsidRPr="00624565">
        <w:rPr>
          <w:noProof/>
        </w:rPr>
        <w:t>odn</w:t>
      </w:r>
      <w:r w:rsidRPr="00624565">
        <w:rPr>
          <w:noProof/>
        </w:rPr>
        <w:t>iesieniu do określonych oświadczeń (np. oświadczeń dotyczących klimatu,</w:t>
      </w:r>
      <w:r w:rsidR="003F3D2B" w:rsidRPr="00624565">
        <w:rPr>
          <w:noProof/>
        </w:rPr>
        <w:t xml:space="preserve"> w</w:t>
      </w:r>
      <w:r w:rsidR="003F3D2B">
        <w:rPr>
          <w:noProof/>
        </w:rPr>
        <w:t> </w:t>
      </w:r>
      <w:r w:rsidR="003F3D2B" w:rsidRPr="00624565">
        <w:rPr>
          <w:noProof/>
        </w:rPr>
        <w:t>tym</w:t>
      </w:r>
      <w:r w:rsidRPr="00624565">
        <w:rPr>
          <w:noProof/>
        </w:rPr>
        <w:t xml:space="preserve"> oświadczeń dotyczących kompensacji, „neutralności klimatycznej” lub podobnych, zdolności do recyklingu</w:t>
      </w:r>
      <w:r w:rsidR="003F3D2B" w:rsidRPr="00624565">
        <w:rPr>
          <w:noProof/>
        </w:rPr>
        <w:t xml:space="preserve"> i</w:t>
      </w:r>
      <w:r w:rsidR="003F3D2B">
        <w:rPr>
          <w:noProof/>
        </w:rPr>
        <w:t> </w:t>
      </w:r>
      <w:r w:rsidR="003F3D2B" w:rsidRPr="00624565">
        <w:rPr>
          <w:noProof/>
        </w:rPr>
        <w:t>zaw</w:t>
      </w:r>
      <w:r w:rsidRPr="00624565">
        <w:rPr>
          <w:noProof/>
        </w:rPr>
        <w:t>artości materiałów</w:t>
      </w:r>
      <w:r w:rsidR="003F3D2B" w:rsidRPr="00624565">
        <w:rPr>
          <w:noProof/>
        </w:rPr>
        <w:t xml:space="preserve"> z</w:t>
      </w:r>
      <w:r w:rsidR="003F3D2B">
        <w:rPr>
          <w:noProof/>
        </w:rPr>
        <w:t> </w:t>
      </w:r>
      <w:r w:rsidR="003F3D2B" w:rsidRPr="00624565">
        <w:rPr>
          <w:noProof/>
        </w:rPr>
        <w:t>rec</w:t>
      </w:r>
      <w:r w:rsidRPr="00624565">
        <w:rPr>
          <w:noProof/>
        </w:rPr>
        <w:t xml:space="preserve">yklingu). </w:t>
      </w:r>
      <w:r w:rsidRPr="00624565">
        <w:rPr>
          <w:rStyle w:val="normaltextrun"/>
          <w:noProof/>
        </w:rPr>
        <w:t>Komisja powinna być uprawniona do dalszego ustanawiania zasad pomiaru</w:t>
      </w:r>
      <w:r w:rsidR="003F3D2B" w:rsidRPr="00624565">
        <w:rPr>
          <w:rStyle w:val="normaltextrun"/>
          <w:noProof/>
        </w:rPr>
        <w:t xml:space="preserve"> i</w:t>
      </w:r>
      <w:r w:rsidR="003F3D2B">
        <w:rPr>
          <w:rStyle w:val="normaltextrun"/>
          <w:noProof/>
        </w:rPr>
        <w:t> </w:t>
      </w:r>
      <w:r w:rsidR="003F3D2B" w:rsidRPr="00624565">
        <w:rPr>
          <w:rStyle w:val="normaltextrun"/>
          <w:noProof/>
        </w:rPr>
        <w:t>obl</w:t>
      </w:r>
      <w:r w:rsidRPr="00624565">
        <w:rPr>
          <w:rStyle w:val="normaltextrun"/>
          <w:noProof/>
        </w:rPr>
        <w:t>iczania wpływu na środowisko, aspektów środowiskowych</w:t>
      </w:r>
      <w:r w:rsidR="003F3D2B" w:rsidRPr="00624565">
        <w:rPr>
          <w:rStyle w:val="normaltextrun"/>
          <w:noProof/>
        </w:rPr>
        <w:t xml:space="preserve"> i</w:t>
      </w:r>
      <w:r w:rsidR="003F3D2B">
        <w:rPr>
          <w:rStyle w:val="normaltextrun"/>
          <w:noProof/>
        </w:rPr>
        <w:t> </w:t>
      </w:r>
      <w:r w:rsidR="003F3D2B" w:rsidRPr="00624565">
        <w:rPr>
          <w:rStyle w:val="normaltextrun"/>
          <w:noProof/>
        </w:rPr>
        <w:t>efe</w:t>
      </w:r>
      <w:r w:rsidRPr="00624565">
        <w:rPr>
          <w:rStyle w:val="normaltextrun"/>
          <w:noProof/>
        </w:rPr>
        <w:t>ktywności środowiskowej</w:t>
      </w:r>
      <w:r w:rsidR="003F3D2B" w:rsidRPr="00624565">
        <w:rPr>
          <w:rStyle w:val="normaltextrun"/>
          <w:noProof/>
        </w:rPr>
        <w:t xml:space="preserve"> w</w:t>
      </w:r>
      <w:r w:rsidR="003F3D2B">
        <w:rPr>
          <w:rStyle w:val="normaltextrun"/>
          <w:noProof/>
        </w:rPr>
        <w:t> </w:t>
      </w:r>
      <w:r w:rsidR="003F3D2B" w:rsidRPr="00624565">
        <w:rPr>
          <w:rStyle w:val="normaltextrun"/>
          <w:noProof/>
        </w:rPr>
        <w:t>dro</w:t>
      </w:r>
      <w:r w:rsidRPr="00624565">
        <w:rPr>
          <w:rStyle w:val="normaltextrun"/>
          <w:noProof/>
        </w:rPr>
        <w:t>dze</w:t>
      </w:r>
      <w:r w:rsidRPr="00624565">
        <w:rPr>
          <w:noProof/>
        </w:rPr>
        <w:t xml:space="preserve"> określenia, które działania, procesy, materiały, emisje, wykorzystanie produktu lub który przedsiębiorca przyczyniają się</w:t>
      </w:r>
      <w:r w:rsidR="003F3D2B" w:rsidRPr="00624565">
        <w:rPr>
          <w:noProof/>
        </w:rPr>
        <w:t xml:space="preserve"> w</w:t>
      </w:r>
      <w:r w:rsidR="003F3D2B">
        <w:rPr>
          <w:noProof/>
        </w:rPr>
        <w:t> </w:t>
      </w:r>
      <w:r w:rsidR="003F3D2B" w:rsidRPr="00624565">
        <w:rPr>
          <w:noProof/>
        </w:rPr>
        <w:t>zna</w:t>
      </w:r>
      <w:r w:rsidRPr="00624565">
        <w:rPr>
          <w:noProof/>
        </w:rPr>
        <w:t>cznym stopniu lub nie mogą przyczynić się do istotnego wpływu na środowisko</w:t>
      </w:r>
      <w:r w:rsidR="003F3D2B" w:rsidRPr="00624565">
        <w:rPr>
          <w:noProof/>
        </w:rPr>
        <w:t xml:space="preserve"> i</w:t>
      </w:r>
      <w:r w:rsidR="003F3D2B">
        <w:rPr>
          <w:noProof/>
        </w:rPr>
        <w:t> </w:t>
      </w:r>
      <w:r w:rsidR="003F3D2B" w:rsidRPr="00624565">
        <w:rPr>
          <w:noProof/>
        </w:rPr>
        <w:t>asp</w:t>
      </w:r>
      <w:r w:rsidRPr="00624565">
        <w:rPr>
          <w:noProof/>
        </w:rPr>
        <w:t>ektów środowiskowych;</w:t>
      </w:r>
      <w:r w:rsidR="003F3D2B" w:rsidRPr="00624565">
        <w:rPr>
          <w:rStyle w:val="normaltextrun"/>
          <w:noProof/>
        </w:rPr>
        <w:t xml:space="preserve"> w</w:t>
      </w:r>
      <w:r w:rsidR="003F3D2B">
        <w:rPr>
          <w:rStyle w:val="normaltextrun"/>
          <w:noProof/>
        </w:rPr>
        <w:t> </w:t>
      </w:r>
      <w:r w:rsidR="003F3D2B" w:rsidRPr="00624565">
        <w:rPr>
          <w:rStyle w:val="normaltextrun"/>
          <w:noProof/>
        </w:rPr>
        <w:t>dro</w:t>
      </w:r>
      <w:r w:rsidRPr="00624565">
        <w:rPr>
          <w:rStyle w:val="normaltextrun"/>
          <w:noProof/>
        </w:rPr>
        <w:t>dze określenia,</w:t>
      </w:r>
      <w:r w:rsidR="003F3D2B" w:rsidRPr="00624565">
        <w:rPr>
          <w:rStyle w:val="normaltextrun"/>
          <w:noProof/>
        </w:rPr>
        <w:t xml:space="preserve"> w</w:t>
      </w:r>
      <w:r w:rsidR="003F3D2B">
        <w:rPr>
          <w:rStyle w:val="normaltextrun"/>
          <w:noProof/>
        </w:rPr>
        <w:t> </w:t>
      </w:r>
      <w:r w:rsidR="003F3D2B" w:rsidRPr="00624565">
        <w:rPr>
          <w:rStyle w:val="normaltextrun"/>
          <w:noProof/>
        </w:rPr>
        <w:t>prz</w:t>
      </w:r>
      <w:r w:rsidRPr="00624565">
        <w:rPr>
          <w:rStyle w:val="normaltextrun"/>
          <w:noProof/>
        </w:rPr>
        <w:t>ypadku których aspektów środowiskowych</w:t>
      </w:r>
      <w:r w:rsidR="003F3D2B" w:rsidRPr="00624565">
        <w:rPr>
          <w:rStyle w:val="normaltextrun"/>
          <w:noProof/>
        </w:rPr>
        <w:t xml:space="preserve"> i</w:t>
      </w:r>
      <w:r w:rsidR="003F3D2B">
        <w:rPr>
          <w:rStyle w:val="normaltextrun"/>
          <w:noProof/>
        </w:rPr>
        <w:t> </w:t>
      </w:r>
      <w:r w:rsidR="003F3D2B" w:rsidRPr="00624565">
        <w:rPr>
          <w:rStyle w:val="normaltextrun"/>
          <w:noProof/>
        </w:rPr>
        <w:t>wpł</w:t>
      </w:r>
      <w:r w:rsidRPr="00624565">
        <w:rPr>
          <w:rStyle w:val="normaltextrun"/>
          <w:noProof/>
        </w:rPr>
        <w:t>ywów na środowisko należy wykorzystać informacje pierwotne; oraz</w:t>
      </w:r>
      <w:r w:rsidR="003F3D2B" w:rsidRPr="00624565">
        <w:rPr>
          <w:rStyle w:val="normaltextrun"/>
          <w:noProof/>
        </w:rPr>
        <w:t xml:space="preserve"> w</w:t>
      </w:r>
      <w:r w:rsidR="003F3D2B">
        <w:rPr>
          <w:rStyle w:val="normaltextrun"/>
          <w:noProof/>
        </w:rPr>
        <w:t> </w:t>
      </w:r>
      <w:r w:rsidR="003F3D2B" w:rsidRPr="00624565">
        <w:rPr>
          <w:rStyle w:val="normaltextrun"/>
          <w:noProof/>
        </w:rPr>
        <w:t>dro</w:t>
      </w:r>
      <w:r w:rsidRPr="00624565">
        <w:rPr>
          <w:rStyle w:val="normaltextrun"/>
          <w:noProof/>
        </w:rPr>
        <w:t>dze określenia kryteriów oceny poprawności informacji pierwotnych</w:t>
      </w:r>
      <w:r w:rsidR="003F3D2B" w:rsidRPr="00624565">
        <w:rPr>
          <w:rStyle w:val="normaltextrun"/>
          <w:noProof/>
        </w:rPr>
        <w:t xml:space="preserve"> i</w:t>
      </w:r>
      <w:r w:rsidR="003F3D2B">
        <w:rPr>
          <w:rStyle w:val="normaltextrun"/>
          <w:noProof/>
        </w:rPr>
        <w:t> </w:t>
      </w:r>
      <w:r w:rsidR="003F3D2B" w:rsidRPr="00624565">
        <w:rPr>
          <w:rStyle w:val="normaltextrun"/>
          <w:noProof/>
        </w:rPr>
        <w:t>wtó</w:t>
      </w:r>
      <w:r w:rsidRPr="00624565">
        <w:rPr>
          <w:rStyle w:val="normaltextrun"/>
          <w:noProof/>
        </w:rPr>
        <w:t>rnych</w:t>
      </w:r>
      <w:r w:rsidR="003F3D2B" w:rsidRPr="00624565">
        <w:rPr>
          <w:rStyle w:val="normaltextrun"/>
          <w:noProof/>
        </w:rPr>
        <w:t>. W</w:t>
      </w:r>
      <w:r w:rsidR="003F3D2B">
        <w:rPr>
          <w:rStyle w:val="normaltextrun"/>
          <w:noProof/>
        </w:rPr>
        <w:t> </w:t>
      </w:r>
      <w:r w:rsidR="003F3D2B" w:rsidRPr="00624565">
        <w:rPr>
          <w:rStyle w:val="normaltextrun"/>
          <w:noProof/>
        </w:rPr>
        <w:t>wię</w:t>
      </w:r>
      <w:r w:rsidRPr="00624565">
        <w:rPr>
          <w:rStyle w:val="normaltextrun"/>
          <w:noProof/>
        </w:rPr>
        <w:t>kszości przypadków Komisja rozważy potrzebę przyjęcia tych przepisów dopiero po</w:t>
      </w:r>
      <w:r w:rsidRPr="00624565">
        <w:rPr>
          <w:noProof/>
        </w:rPr>
        <w:t xml:space="preserve"> uzyskaniu wyników monitorowania zmian</w:t>
      </w:r>
      <w:r w:rsidR="003F3D2B" w:rsidRPr="00624565">
        <w:rPr>
          <w:noProof/>
        </w:rPr>
        <w:t xml:space="preserve"> w</w:t>
      </w:r>
      <w:r w:rsidR="003F3D2B">
        <w:rPr>
          <w:noProof/>
        </w:rPr>
        <w:t> </w:t>
      </w:r>
      <w:r w:rsidR="003F3D2B" w:rsidRPr="00624565">
        <w:rPr>
          <w:noProof/>
        </w:rPr>
        <w:t>zak</w:t>
      </w:r>
      <w:r w:rsidRPr="00624565">
        <w:rPr>
          <w:noProof/>
        </w:rPr>
        <w:t>resie oświadczeń środowiskowych na rynku unijnym, jednak</w:t>
      </w:r>
      <w:r w:rsidR="003F3D2B" w:rsidRPr="00624565">
        <w:rPr>
          <w:noProof/>
        </w:rPr>
        <w:t xml:space="preserve"> w</w:t>
      </w:r>
      <w:r w:rsidR="003F3D2B">
        <w:rPr>
          <w:noProof/>
        </w:rPr>
        <w:t> </w:t>
      </w:r>
      <w:r w:rsidR="003F3D2B" w:rsidRPr="00624565">
        <w:rPr>
          <w:noProof/>
        </w:rPr>
        <w:t>prz</w:t>
      </w:r>
      <w:r w:rsidRPr="00624565">
        <w:rPr>
          <w:noProof/>
        </w:rPr>
        <w:t>ypadku niektórych rodzajów oświadczeń konieczne może być przyjęcie przez Komisję przepisów uzupełniających przed udostępnieniem wyników takiego monitorowania. Przykładowo</w:t>
      </w:r>
      <w:r w:rsidR="003F3D2B" w:rsidRPr="00624565">
        <w:rPr>
          <w:noProof/>
        </w:rPr>
        <w:t xml:space="preserve"> w</w:t>
      </w:r>
      <w:r w:rsidR="003F3D2B">
        <w:rPr>
          <w:noProof/>
        </w:rPr>
        <w:t> </w:t>
      </w:r>
      <w:r w:rsidR="003F3D2B" w:rsidRPr="00624565">
        <w:rPr>
          <w:noProof/>
        </w:rPr>
        <w:t>prz</w:t>
      </w:r>
      <w:r w:rsidRPr="00624565">
        <w:rPr>
          <w:noProof/>
        </w:rPr>
        <w:t>ypadku oświadczeń dotyczących klimatu konieczne może być przyjęcie takich aktów uzupełniających</w:t>
      </w:r>
      <w:r w:rsidR="003F3D2B" w:rsidRPr="00624565">
        <w:rPr>
          <w:noProof/>
        </w:rPr>
        <w:t xml:space="preserve"> w</w:t>
      </w:r>
      <w:r w:rsidR="003F3D2B">
        <w:rPr>
          <w:noProof/>
        </w:rPr>
        <w:t> </w:t>
      </w:r>
      <w:r w:rsidR="003F3D2B" w:rsidRPr="00624565">
        <w:rPr>
          <w:noProof/>
        </w:rPr>
        <w:t>cel</w:t>
      </w:r>
      <w:r w:rsidRPr="00624565">
        <w:rPr>
          <w:noProof/>
        </w:rPr>
        <w:t>u wdrożenia przepisów dotyczących uzasadniania oświadczeń opartych na kompensacji.</w:t>
      </w:r>
    </w:p>
    <w:p w14:paraId="332AE808" w14:textId="03E8E2C5" w:rsidR="000464F8" w:rsidRPr="00624565" w:rsidRDefault="004D161E" w:rsidP="004D161E">
      <w:pPr>
        <w:pStyle w:val="ManualConsidrant"/>
        <w:rPr>
          <w:noProof/>
        </w:rPr>
      </w:pPr>
      <w:r w:rsidRPr="00624565">
        <w:rPr>
          <w:noProof/>
        </w:rPr>
        <w:t>(32)</w:t>
      </w:r>
      <w:r w:rsidRPr="00624565">
        <w:rPr>
          <w:noProof/>
        </w:rPr>
        <w:tab/>
        <w:t>Zalecenie Komisji (UE) 2021/2279 zawiera wytyczne dotyczące sposobu pomiaru efektywności środowiskowej</w:t>
      </w:r>
      <w:r w:rsidR="003F3D2B" w:rsidRPr="00624565">
        <w:rPr>
          <w:noProof/>
        </w:rPr>
        <w:t xml:space="preserve"> w</w:t>
      </w:r>
      <w:r w:rsidR="003F3D2B">
        <w:rPr>
          <w:noProof/>
        </w:rPr>
        <w:t> </w:t>
      </w:r>
      <w:r w:rsidR="003F3D2B" w:rsidRPr="00624565">
        <w:rPr>
          <w:noProof/>
        </w:rPr>
        <w:t>cyk</w:t>
      </w:r>
      <w:r w:rsidRPr="00624565">
        <w:rPr>
          <w:noProof/>
        </w:rPr>
        <w:t>lu życia konkretnych produktów lub organizacji oraz sposobu opracowania zasad dotyczących kategorii śladu środowiskowego produktu (PEFCR)</w:t>
      </w:r>
      <w:r w:rsidR="003F3D2B" w:rsidRPr="00624565">
        <w:rPr>
          <w:noProof/>
        </w:rPr>
        <w:t xml:space="preserve"> i</w:t>
      </w:r>
      <w:r w:rsidR="003F3D2B">
        <w:rPr>
          <w:noProof/>
        </w:rPr>
        <w:t> </w:t>
      </w:r>
      <w:r w:rsidR="003F3D2B" w:rsidRPr="00624565">
        <w:rPr>
          <w:noProof/>
        </w:rPr>
        <w:t>zas</w:t>
      </w:r>
      <w:r w:rsidRPr="00624565">
        <w:rPr>
          <w:noProof/>
        </w:rPr>
        <w:t>ad sektorowych dotyczących śladu środowiskowego organizacji (OEFSR), które umożliwiają porównanie produktów</w:t>
      </w:r>
      <w:r w:rsidR="003F3D2B" w:rsidRPr="00624565">
        <w:rPr>
          <w:noProof/>
        </w:rPr>
        <w:t xml:space="preserve"> z</w:t>
      </w:r>
      <w:r w:rsidR="003F3D2B">
        <w:rPr>
          <w:noProof/>
        </w:rPr>
        <w:t> </w:t>
      </w:r>
      <w:r w:rsidR="003F3D2B" w:rsidRPr="00624565">
        <w:rPr>
          <w:noProof/>
        </w:rPr>
        <w:t>poz</w:t>
      </w:r>
      <w:r w:rsidRPr="00624565">
        <w:rPr>
          <w:noProof/>
        </w:rPr>
        <w:t>iomem referencyjnym. Takie zasady dotyczące kategorii konkretnych produktów lub przedsiębiorców można wykorzystywać do uzasadnienia oświadczeń zgodnie</w:t>
      </w:r>
      <w:r w:rsidR="003F3D2B" w:rsidRPr="00624565">
        <w:rPr>
          <w:noProof/>
        </w:rPr>
        <w:t xml:space="preserve"> z</w:t>
      </w:r>
      <w:r w:rsidR="003F3D2B">
        <w:rPr>
          <w:noProof/>
        </w:rPr>
        <w:t> </w:t>
      </w:r>
      <w:r w:rsidR="003F3D2B" w:rsidRPr="00624565">
        <w:rPr>
          <w:noProof/>
        </w:rPr>
        <w:t>wym</w:t>
      </w:r>
      <w:r w:rsidRPr="00624565">
        <w:rPr>
          <w:noProof/>
        </w:rPr>
        <w:t>ogami niniejszej dyrektywy. Komisja powinna być zatem uprawniona do przyjmowania aktów delegowanych</w:t>
      </w:r>
      <w:r w:rsidR="003F3D2B" w:rsidRPr="00624565">
        <w:rPr>
          <w:noProof/>
        </w:rPr>
        <w:t xml:space="preserve"> w</w:t>
      </w:r>
      <w:r w:rsidR="003F3D2B">
        <w:rPr>
          <w:noProof/>
        </w:rPr>
        <w:t> </w:t>
      </w:r>
      <w:r w:rsidR="003F3D2B" w:rsidRPr="00624565">
        <w:rPr>
          <w:noProof/>
        </w:rPr>
        <w:t>cel</w:t>
      </w:r>
      <w:r w:rsidRPr="00624565">
        <w:rPr>
          <w:noProof/>
        </w:rPr>
        <w:t>u ustanowienia zasad odnoszących się do danych grup produktów lub sektorów,</w:t>
      </w:r>
      <w:r w:rsidR="003F3D2B" w:rsidRPr="00624565">
        <w:rPr>
          <w:noProof/>
        </w:rPr>
        <w:t xml:space="preserve"> w</w:t>
      </w:r>
      <w:r w:rsidR="003F3D2B">
        <w:rPr>
          <w:noProof/>
        </w:rPr>
        <w:t> </w:t>
      </w:r>
      <w:r w:rsidR="003F3D2B" w:rsidRPr="00624565">
        <w:rPr>
          <w:noProof/>
        </w:rPr>
        <w:t>prz</w:t>
      </w:r>
      <w:r w:rsidRPr="00624565">
        <w:rPr>
          <w:noProof/>
        </w:rPr>
        <w:t>ypadku gdy może to stanowić wartość dodaną</w:t>
      </w:r>
      <w:r w:rsidR="003F3D2B" w:rsidRPr="00624565">
        <w:rPr>
          <w:noProof/>
        </w:rPr>
        <w:t>. W</w:t>
      </w:r>
      <w:r w:rsidR="003F3D2B">
        <w:rPr>
          <w:noProof/>
        </w:rPr>
        <w:t> </w:t>
      </w:r>
      <w:r w:rsidR="003F3D2B" w:rsidRPr="00624565">
        <w:rPr>
          <w:noProof/>
        </w:rPr>
        <w:t>prz</w:t>
      </w:r>
      <w:r w:rsidRPr="00624565">
        <w:rPr>
          <w:noProof/>
        </w:rPr>
        <w:t>ypadku gdy metoda oznaczania śladu środowiskowego produktu nie obejmuje jednak jeszcze kategorii wpływu, która jest istotna dla danej grupy produktów, przyjęcie zasad dotyczących kategorii śladu środowiskowego produktu może nastąpić dopiero po dodaniu tych nowych istotnych kategorii wpływu na środowisko. Na przykład</w:t>
      </w:r>
      <w:r w:rsidR="003F3D2B" w:rsidRPr="00624565">
        <w:rPr>
          <w:noProof/>
        </w:rPr>
        <w:t xml:space="preserve"> w</w:t>
      </w:r>
      <w:r w:rsidR="003F3D2B">
        <w:rPr>
          <w:noProof/>
        </w:rPr>
        <w:t> </w:t>
      </w:r>
      <w:r w:rsidR="003F3D2B" w:rsidRPr="00624565">
        <w:rPr>
          <w:noProof/>
        </w:rPr>
        <w:t>odn</w:t>
      </w:r>
      <w:r w:rsidRPr="00624565">
        <w:rPr>
          <w:noProof/>
        </w:rPr>
        <w:t>iesieniu do rybołówstwa morskiego PEFCR powinny odzwierciedlać kategorie wpływu na środowisko odnoszące się do rybołówstwa,</w:t>
      </w:r>
      <w:r w:rsidR="003F3D2B" w:rsidRPr="00624565">
        <w:rPr>
          <w:noProof/>
        </w:rPr>
        <w:t xml:space="preserve"> w</w:t>
      </w:r>
      <w:r w:rsidR="003F3D2B">
        <w:rPr>
          <w:noProof/>
        </w:rPr>
        <w:t> </w:t>
      </w:r>
      <w:r w:rsidR="003F3D2B" w:rsidRPr="00624565">
        <w:rPr>
          <w:noProof/>
        </w:rPr>
        <w:t>szc</w:t>
      </w:r>
      <w:r w:rsidRPr="00624565">
        <w:rPr>
          <w:noProof/>
        </w:rPr>
        <w:t>zególności zrównoważonego charakteru stada docelowego</w:t>
      </w:r>
      <w:r w:rsidR="003F3D2B" w:rsidRPr="00624565">
        <w:rPr>
          <w:noProof/>
        </w:rPr>
        <w:t>. W</w:t>
      </w:r>
      <w:r w:rsidR="003F3D2B">
        <w:rPr>
          <w:noProof/>
        </w:rPr>
        <w:t> </w:t>
      </w:r>
      <w:r w:rsidR="003F3D2B" w:rsidRPr="00624565">
        <w:rPr>
          <w:noProof/>
        </w:rPr>
        <w:t>prz</w:t>
      </w:r>
      <w:r w:rsidRPr="00624565">
        <w:rPr>
          <w:noProof/>
        </w:rPr>
        <w:t>ypadku przestrzeni kosmicznej PEFCR powinny odzwierciedlać kategorie wpływu na środowisko związane</w:t>
      </w:r>
      <w:r w:rsidR="003F3D2B" w:rsidRPr="00624565">
        <w:rPr>
          <w:noProof/>
        </w:rPr>
        <w:t xml:space="preserve"> z</w:t>
      </w:r>
      <w:r w:rsidR="003F3D2B">
        <w:rPr>
          <w:noProof/>
        </w:rPr>
        <w:t> </w:t>
      </w:r>
      <w:r w:rsidR="003F3D2B" w:rsidRPr="00624565">
        <w:rPr>
          <w:noProof/>
        </w:rPr>
        <w:t>obr</w:t>
      </w:r>
      <w:r w:rsidRPr="00624565">
        <w:rPr>
          <w:noProof/>
        </w:rPr>
        <w:t>onnością</w:t>
      </w:r>
      <w:r w:rsidR="003F3D2B" w:rsidRPr="00624565">
        <w:rPr>
          <w:noProof/>
        </w:rPr>
        <w:t xml:space="preserve"> i</w:t>
      </w:r>
      <w:r w:rsidR="003F3D2B">
        <w:rPr>
          <w:noProof/>
        </w:rPr>
        <w:t> </w:t>
      </w:r>
      <w:r w:rsidR="003F3D2B" w:rsidRPr="00624565">
        <w:rPr>
          <w:noProof/>
        </w:rPr>
        <w:t>prz</w:t>
      </w:r>
      <w:r w:rsidRPr="00624565">
        <w:rPr>
          <w:noProof/>
        </w:rPr>
        <w:t>estrzenią kosmiczną,</w:t>
      </w:r>
      <w:r w:rsidR="003F3D2B" w:rsidRPr="00624565">
        <w:rPr>
          <w:noProof/>
        </w:rPr>
        <w:t xml:space="preserve"> w</w:t>
      </w:r>
      <w:r w:rsidR="003F3D2B">
        <w:rPr>
          <w:noProof/>
        </w:rPr>
        <w:t> </w:t>
      </w:r>
      <w:r w:rsidR="003F3D2B" w:rsidRPr="00624565">
        <w:rPr>
          <w:noProof/>
        </w:rPr>
        <w:t>tym</w:t>
      </w:r>
      <w:r w:rsidRPr="00624565">
        <w:rPr>
          <w:noProof/>
        </w:rPr>
        <w:t xml:space="preserve"> wykorzystaniem orbity. Jeśli chodzi</w:t>
      </w:r>
      <w:r w:rsidR="003F3D2B" w:rsidRPr="00624565">
        <w:rPr>
          <w:noProof/>
        </w:rPr>
        <w:t xml:space="preserve"> o</w:t>
      </w:r>
      <w:r w:rsidR="003F3D2B">
        <w:rPr>
          <w:noProof/>
        </w:rPr>
        <w:t> </w:t>
      </w:r>
      <w:r w:rsidR="003F3D2B" w:rsidRPr="00624565">
        <w:rPr>
          <w:noProof/>
        </w:rPr>
        <w:t>żyw</w:t>
      </w:r>
      <w:r w:rsidRPr="00624565">
        <w:rPr>
          <w:noProof/>
        </w:rPr>
        <w:t>ność</w:t>
      </w:r>
      <w:r w:rsidR="003F3D2B" w:rsidRPr="00624565">
        <w:rPr>
          <w:noProof/>
        </w:rPr>
        <w:t xml:space="preserve"> i</w:t>
      </w:r>
      <w:r w:rsidR="003F3D2B">
        <w:rPr>
          <w:noProof/>
        </w:rPr>
        <w:t> </w:t>
      </w:r>
      <w:r w:rsidR="003F3D2B" w:rsidRPr="00624565">
        <w:rPr>
          <w:noProof/>
        </w:rPr>
        <w:t>pro</w:t>
      </w:r>
      <w:r w:rsidRPr="00624565">
        <w:rPr>
          <w:noProof/>
        </w:rPr>
        <w:t>dukty rolne, przed rozważeniem przyjęcia PEFCR należy np. uwzględnić również różnorodność biologiczną</w:t>
      </w:r>
      <w:r w:rsidR="003F3D2B" w:rsidRPr="00624565">
        <w:rPr>
          <w:noProof/>
        </w:rPr>
        <w:t xml:space="preserve"> i</w:t>
      </w:r>
      <w:r w:rsidR="003F3D2B">
        <w:rPr>
          <w:noProof/>
        </w:rPr>
        <w:t> </w:t>
      </w:r>
      <w:r w:rsidR="003F3D2B" w:rsidRPr="00624565">
        <w:rPr>
          <w:noProof/>
        </w:rPr>
        <w:t>och</w:t>
      </w:r>
      <w:r w:rsidRPr="00624565">
        <w:rPr>
          <w:noProof/>
        </w:rPr>
        <w:t>ronę przyrody,</w:t>
      </w:r>
      <w:r w:rsidR="003F3D2B" w:rsidRPr="00624565">
        <w:rPr>
          <w:noProof/>
        </w:rPr>
        <w:t xml:space="preserve"> a</w:t>
      </w:r>
      <w:r w:rsidR="003F3D2B">
        <w:rPr>
          <w:noProof/>
        </w:rPr>
        <w:t> </w:t>
      </w:r>
      <w:r w:rsidR="003F3D2B" w:rsidRPr="00624565">
        <w:rPr>
          <w:noProof/>
        </w:rPr>
        <w:t>tak</w:t>
      </w:r>
      <w:r w:rsidRPr="00624565">
        <w:rPr>
          <w:noProof/>
        </w:rPr>
        <w:t>że praktyki rolnicze,</w:t>
      </w:r>
      <w:r w:rsidR="003F3D2B" w:rsidRPr="00624565">
        <w:rPr>
          <w:noProof/>
        </w:rPr>
        <w:t xml:space="preserve"> w</w:t>
      </w:r>
      <w:r w:rsidR="003F3D2B">
        <w:rPr>
          <w:noProof/>
        </w:rPr>
        <w:t> </w:t>
      </w:r>
      <w:r w:rsidR="003F3D2B" w:rsidRPr="00624565">
        <w:rPr>
          <w:noProof/>
        </w:rPr>
        <w:t>tym</w:t>
      </w:r>
      <w:r w:rsidRPr="00624565">
        <w:rPr>
          <w:noProof/>
        </w:rPr>
        <w:t xml:space="preserve"> pozytywne efekty zewnętrzne rolnictwa ekstensywnego</w:t>
      </w:r>
      <w:r w:rsidR="003F3D2B" w:rsidRPr="00624565">
        <w:rPr>
          <w:noProof/>
        </w:rPr>
        <w:t xml:space="preserve"> i</w:t>
      </w:r>
      <w:r w:rsidR="003F3D2B">
        <w:rPr>
          <w:noProof/>
        </w:rPr>
        <w:t> </w:t>
      </w:r>
      <w:r w:rsidR="003F3D2B" w:rsidRPr="00624565">
        <w:rPr>
          <w:noProof/>
        </w:rPr>
        <w:t>dob</w:t>
      </w:r>
      <w:r w:rsidRPr="00624565">
        <w:rPr>
          <w:noProof/>
        </w:rPr>
        <w:t>rostanu zwierząt</w:t>
      </w:r>
      <w:r w:rsidR="003F3D2B" w:rsidRPr="00624565">
        <w:rPr>
          <w:noProof/>
        </w:rPr>
        <w:t>. W</w:t>
      </w:r>
      <w:r w:rsidR="003F3D2B">
        <w:rPr>
          <w:noProof/>
        </w:rPr>
        <w:t> </w:t>
      </w:r>
      <w:r w:rsidR="003F3D2B" w:rsidRPr="00624565">
        <w:rPr>
          <w:noProof/>
        </w:rPr>
        <w:t>prz</w:t>
      </w:r>
      <w:r w:rsidRPr="00624565">
        <w:rPr>
          <w:noProof/>
        </w:rPr>
        <w:t xml:space="preserve">ypadku wyrobów włókienniczych w PEFCR powinno na przykład zostać odzwierciedlone uwalnianie mikrodrobin plastiku, zanim będzie można rozważyć przyjęcie PEFCR. </w:t>
      </w:r>
    </w:p>
    <w:p w14:paraId="10144F34" w14:textId="635EB43F" w:rsidR="000464F8" w:rsidRPr="00624565" w:rsidRDefault="004D161E" w:rsidP="004D161E">
      <w:pPr>
        <w:pStyle w:val="ManualConsidrant"/>
        <w:rPr>
          <w:noProof/>
        </w:rPr>
      </w:pPr>
      <w:r w:rsidRPr="00624565">
        <w:rPr>
          <w:noProof/>
        </w:rPr>
        <w:t>(33)</w:t>
      </w:r>
      <w:r w:rsidRPr="00624565">
        <w:rPr>
          <w:noProof/>
        </w:rPr>
        <w:tab/>
        <w:t>Zważywszy, że dyrektywa 2005/29/WE ma już zastosowanie do wprowadzających</w:t>
      </w:r>
      <w:r w:rsidR="003F3D2B" w:rsidRPr="00624565">
        <w:rPr>
          <w:noProof/>
        </w:rPr>
        <w:t xml:space="preserve"> w</w:t>
      </w:r>
      <w:r w:rsidR="003F3D2B">
        <w:rPr>
          <w:noProof/>
        </w:rPr>
        <w:t> </w:t>
      </w:r>
      <w:r w:rsidR="003F3D2B" w:rsidRPr="00624565">
        <w:rPr>
          <w:noProof/>
        </w:rPr>
        <w:t>błą</w:t>
      </w:r>
      <w:r w:rsidRPr="00624565">
        <w:rPr>
          <w:noProof/>
        </w:rPr>
        <w:t>d oświadczeń środowiskowych, umożliwia ona sądom krajowym</w:t>
      </w:r>
      <w:r w:rsidR="003F3D2B" w:rsidRPr="00624565">
        <w:rPr>
          <w:noProof/>
        </w:rPr>
        <w:t xml:space="preserve"> i</w:t>
      </w:r>
      <w:r w:rsidR="003F3D2B">
        <w:rPr>
          <w:noProof/>
        </w:rPr>
        <w:t> </w:t>
      </w:r>
      <w:r w:rsidR="003F3D2B" w:rsidRPr="00624565">
        <w:rPr>
          <w:noProof/>
        </w:rPr>
        <w:t>org</w:t>
      </w:r>
      <w:r w:rsidRPr="00624565">
        <w:rPr>
          <w:noProof/>
        </w:rPr>
        <w:t>anom administracyjnym wstrzymanie</w:t>
      </w:r>
      <w:r w:rsidR="003F3D2B" w:rsidRPr="00624565">
        <w:rPr>
          <w:noProof/>
        </w:rPr>
        <w:t xml:space="preserve"> i</w:t>
      </w:r>
      <w:r w:rsidR="003F3D2B">
        <w:rPr>
          <w:noProof/>
        </w:rPr>
        <w:t> </w:t>
      </w:r>
      <w:r w:rsidR="003F3D2B" w:rsidRPr="00624565">
        <w:rPr>
          <w:noProof/>
        </w:rPr>
        <w:t>zak</w:t>
      </w:r>
      <w:r w:rsidRPr="00624565">
        <w:rPr>
          <w:noProof/>
        </w:rPr>
        <w:t xml:space="preserve">azanie takich oświadczeń. Przykładowo, aby spełnić wymogi dyrektywy 2005/29/WE, oświadczenia środowiskowe powinny odnosić się jedynie do aspektów, które są </w:t>
      </w:r>
      <w:r w:rsidRPr="00624565">
        <w:rPr>
          <w:rStyle w:val="oj-bold"/>
          <w:noProof/>
        </w:rPr>
        <w:t>istotne</w:t>
      </w:r>
      <w:r w:rsidR="003F3D2B" w:rsidRPr="00624565">
        <w:rPr>
          <w:rStyle w:val="oj-bold"/>
          <w:noProof/>
        </w:rPr>
        <w:t xml:space="preserve"> z</w:t>
      </w:r>
      <w:r w:rsidR="003F3D2B">
        <w:rPr>
          <w:rStyle w:val="oj-bold"/>
          <w:noProof/>
        </w:rPr>
        <w:t> </w:t>
      </w:r>
      <w:r w:rsidR="003F3D2B" w:rsidRPr="00624565">
        <w:rPr>
          <w:rStyle w:val="oj-bold"/>
          <w:noProof/>
        </w:rPr>
        <w:t>pun</w:t>
      </w:r>
      <w:r w:rsidRPr="00624565">
        <w:rPr>
          <w:rStyle w:val="oj-bold"/>
          <w:noProof/>
        </w:rPr>
        <w:t>ktu widzenia wpływu produktu lub przedsiębiorcy na środowisko</w:t>
      </w:r>
      <w:r w:rsidRPr="00624565">
        <w:rPr>
          <w:noProof/>
        </w:rPr>
        <w:t>. Oświadczenia środowiskowe powinny być również jasne</w:t>
      </w:r>
      <w:r w:rsidR="003F3D2B" w:rsidRPr="00624565">
        <w:rPr>
          <w:noProof/>
        </w:rPr>
        <w:t xml:space="preserve"> i</w:t>
      </w:r>
      <w:r w:rsidR="003F3D2B">
        <w:rPr>
          <w:noProof/>
        </w:rPr>
        <w:t> </w:t>
      </w:r>
      <w:r w:rsidR="003F3D2B" w:rsidRPr="00624565">
        <w:rPr>
          <w:noProof/>
        </w:rPr>
        <w:t>jed</w:t>
      </w:r>
      <w:r w:rsidRPr="00624565">
        <w:rPr>
          <w:noProof/>
        </w:rPr>
        <w:t>noznaczne</w:t>
      </w:r>
      <w:r w:rsidR="003F3D2B" w:rsidRPr="00624565">
        <w:rPr>
          <w:noProof/>
        </w:rPr>
        <w:t xml:space="preserve"> w</w:t>
      </w:r>
      <w:r w:rsidR="003F3D2B">
        <w:rPr>
          <w:noProof/>
        </w:rPr>
        <w:t> </w:t>
      </w:r>
      <w:r w:rsidR="003F3D2B" w:rsidRPr="00624565">
        <w:rPr>
          <w:noProof/>
        </w:rPr>
        <w:t>odn</w:t>
      </w:r>
      <w:r w:rsidRPr="00624565">
        <w:rPr>
          <w:noProof/>
        </w:rPr>
        <w:t>iesieniu do aspektów produktu lub przedsiębiorcy, których dotyczą, oraz nie powinny być</w:t>
      </w:r>
      <w:r w:rsidR="003F3D2B" w:rsidRPr="00624565">
        <w:rPr>
          <w:noProof/>
        </w:rPr>
        <w:t xml:space="preserve"> w</w:t>
      </w:r>
      <w:r w:rsidR="003F3D2B">
        <w:rPr>
          <w:noProof/>
        </w:rPr>
        <w:t> </w:t>
      </w:r>
      <w:r w:rsidR="003F3D2B" w:rsidRPr="00624565">
        <w:rPr>
          <w:noProof/>
        </w:rPr>
        <w:t>nic</w:t>
      </w:r>
      <w:r w:rsidRPr="00624565">
        <w:rPr>
          <w:noProof/>
        </w:rPr>
        <w:t>h pominięte ani zatajone ważne informacje</w:t>
      </w:r>
      <w:r w:rsidR="003F3D2B" w:rsidRPr="00624565">
        <w:rPr>
          <w:noProof/>
        </w:rPr>
        <w:t xml:space="preserve"> o</w:t>
      </w:r>
      <w:r w:rsidR="003F3D2B">
        <w:rPr>
          <w:noProof/>
        </w:rPr>
        <w:t> </w:t>
      </w:r>
      <w:r w:rsidR="003F3D2B" w:rsidRPr="00624565">
        <w:rPr>
          <w:noProof/>
        </w:rPr>
        <w:t>efe</w:t>
      </w:r>
      <w:r w:rsidRPr="00624565">
        <w:rPr>
          <w:noProof/>
        </w:rPr>
        <w:t>ktywności środowiskowej produktu lub przedsiębiorcy, których konsumenci potrzebują do dokonania świadomego wyboru. Strona tekstowa</w:t>
      </w:r>
      <w:r w:rsidR="003F3D2B" w:rsidRPr="00624565">
        <w:rPr>
          <w:noProof/>
        </w:rPr>
        <w:t xml:space="preserve"> i</w:t>
      </w:r>
      <w:r w:rsidR="003F3D2B">
        <w:rPr>
          <w:noProof/>
        </w:rPr>
        <w:t> </w:t>
      </w:r>
      <w:r w:rsidR="003F3D2B" w:rsidRPr="00624565">
        <w:rPr>
          <w:noProof/>
        </w:rPr>
        <w:t>wiz</w:t>
      </w:r>
      <w:r w:rsidRPr="00624565">
        <w:rPr>
          <w:noProof/>
        </w:rPr>
        <w:t>ualna oświadczenia środowiskowego oraz zawarta</w:t>
      </w:r>
      <w:r w:rsidR="003F3D2B" w:rsidRPr="00624565">
        <w:rPr>
          <w:noProof/>
        </w:rPr>
        <w:t xml:space="preserve"> w</w:t>
      </w:r>
      <w:r w:rsidR="003F3D2B">
        <w:rPr>
          <w:noProof/>
        </w:rPr>
        <w:t> </w:t>
      </w:r>
      <w:r w:rsidR="003F3D2B" w:rsidRPr="00624565">
        <w:rPr>
          <w:noProof/>
        </w:rPr>
        <w:t>nim</w:t>
      </w:r>
      <w:r w:rsidRPr="00624565">
        <w:rPr>
          <w:noProof/>
        </w:rPr>
        <w:t xml:space="preserve"> ogólna prezentacja produktu,</w:t>
      </w:r>
      <w:r w:rsidR="003F3D2B" w:rsidRPr="00624565">
        <w:rPr>
          <w:noProof/>
        </w:rPr>
        <w:t xml:space="preserve"> w</w:t>
      </w:r>
      <w:r w:rsidR="003F3D2B">
        <w:rPr>
          <w:noProof/>
        </w:rPr>
        <w:t> </w:t>
      </w:r>
      <w:r w:rsidR="003F3D2B" w:rsidRPr="00624565">
        <w:rPr>
          <w:noProof/>
        </w:rPr>
        <w:t>tym</w:t>
      </w:r>
      <w:r w:rsidRPr="00624565">
        <w:rPr>
          <w:noProof/>
        </w:rPr>
        <w:t xml:space="preserve"> układ, dobór kolorów, obrazy, dźwięki, symbole lub etykiety, powinny</w:t>
      </w:r>
      <w:r w:rsidR="003F3D2B" w:rsidRPr="00624565">
        <w:rPr>
          <w:noProof/>
        </w:rPr>
        <w:t xml:space="preserve"> w</w:t>
      </w:r>
      <w:r w:rsidR="003F3D2B">
        <w:rPr>
          <w:noProof/>
        </w:rPr>
        <w:t> </w:t>
      </w:r>
      <w:r w:rsidR="003F3D2B" w:rsidRPr="00624565">
        <w:rPr>
          <w:noProof/>
        </w:rPr>
        <w:t>spo</w:t>
      </w:r>
      <w:r w:rsidRPr="00624565">
        <w:rPr>
          <w:noProof/>
        </w:rPr>
        <w:t>sób prawdziwy</w:t>
      </w:r>
      <w:r w:rsidR="003F3D2B" w:rsidRPr="00624565">
        <w:rPr>
          <w:noProof/>
        </w:rPr>
        <w:t xml:space="preserve"> i</w:t>
      </w:r>
      <w:r w:rsidR="003F3D2B">
        <w:rPr>
          <w:noProof/>
        </w:rPr>
        <w:t> </w:t>
      </w:r>
      <w:r w:rsidR="003F3D2B" w:rsidRPr="00624565">
        <w:rPr>
          <w:noProof/>
        </w:rPr>
        <w:t>dok</w:t>
      </w:r>
      <w:r w:rsidRPr="00624565">
        <w:rPr>
          <w:noProof/>
        </w:rPr>
        <w:t>ładny przedstawiać skalę osiągniętej korzyści dla środowiska</w:t>
      </w:r>
      <w:r w:rsidR="003F3D2B" w:rsidRPr="00624565">
        <w:rPr>
          <w:noProof/>
        </w:rPr>
        <w:t xml:space="preserve"> i</w:t>
      </w:r>
      <w:r w:rsidR="003F3D2B">
        <w:rPr>
          <w:noProof/>
        </w:rPr>
        <w:t> </w:t>
      </w:r>
      <w:r w:rsidR="003F3D2B" w:rsidRPr="00624565">
        <w:rPr>
          <w:noProof/>
        </w:rPr>
        <w:t>jej</w:t>
      </w:r>
      <w:r w:rsidRPr="00624565">
        <w:rPr>
          <w:noProof/>
        </w:rPr>
        <w:t xml:space="preserve"> nie wyolbrzymiać.</w:t>
      </w:r>
    </w:p>
    <w:p w14:paraId="762F3EA0" w14:textId="59BD0718" w:rsidR="000464F8" w:rsidRPr="00624565" w:rsidRDefault="004D161E" w:rsidP="004D161E">
      <w:pPr>
        <w:pStyle w:val="ManualConsidrant"/>
        <w:rPr>
          <w:noProof/>
        </w:rPr>
      </w:pPr>
      <w:r w:rsidRPr="00624565">
        <w:rPr>
          <w:noProof/>
        </w:rPr>
        <w:t>(34)</w:t>
      </w:r>
      <w:r w:rsidRPr="00624565">
        <w:rPr>
          <w:noProof/>
        </w:rPr>
        <w:tab/>
        <w:t>W przypadku gdy wyraźne oświadczenie środowiskowe dotyczy produktu końcowego</w:t>
      </w:r>
      <w:r w:rsidR="003F3D2B" w:rsidRPr="00624565">
        <w:rPr>
          <w:noProof/>
        </w:rPr>
        <w:t xml:space="preserve"> i</w:t>
      </w:r>
      <w:r w:rsidR="003F3D2B">
        <w:rPr>
          <w:noProof/>
        </w:rPr>
        <w:t> </w:t>
      </w:r>
      <w:r w:rsidR="003F3D2B" w:rsidRPr="00624565">
        <w:rPr>
          <w:noProof/>
        </w:rPr>
        <w:t>ist</w:t>
      </w:r>
      <w:r w:rsidRPr="00624565">
        <w:rPr>
          <w:noProof/>
        </w:rPr>
        <w:t>otne wpływy na środowisko lub aspekty środowiskowe takiego produktu występują na etapie użytkowania,</w:t>
      </w:r>
      <w:r w:rsidR="003F3D2B" w:rsidRPr="00624565">
        <w:rPr>
          <w:noProof/>
        </w:rPr>
        <w:t xml:space="preserve"> a</w:t>
      </w:r>
      <w:r w:rsidR="003F3D2B">
        <w:rPr>
          <w:noProof/>
        </w:rPr>
        <w:t> </w:t>
      </w:r>
      <w:r w:rsidR="003F3D2B" w:rsidRPr="00624565">
        <w:rPr>
          <w:noProof/>
        </w:rPr>
        <w:t>kon</w:t>
      </w:r>
      <w:r w:rsidRPr="00624565">
        <w:rPr>
          <w:noProof/>
        </w:rPr>
        <w:t>sumenci mogą oddziaływać na takie rodzaje wpływu na środowisko lub aspekty środowiskowe dzięki odpowiednim zachowaniom, jak na przykład prawidłowe sortowanie odpadów lub sposoby użytkowania wpływające na trwałość produktu, oświadczenie to powinno również zawierać informacje wyjaśniające konsumentom,</w:t>
      </w:r>
      <w:r w:rsidR="003F3D2B" w:rsidRPr="00624565">
        <w:rPr>
          <w:noProof/>
        </w:rPr>
        <w:t xml:space="preserve"> w</w:t>
      </w:r>
      <w:r w:rsidR="003F3D2B">
        <w:rPr>
          <w:noProof/>
        </w:rPr>
        <w:t> </w:t>
      </w:r>
      <w:r w:rsidR="003F3D2B" w:rsidRPr="00624565">
        <w:rPr>
          <w:noProof/>
        </w:rPr>
        <w:t>jak</w:t>
      </w:r>
      <w:r w:rsidRPr="00624565">
        <w:rPr>
          <w:noProof/>
        </w:rPr>
        <w:t>i sposób ich zachowanie może pozytywnie przyczynić się do ochrony środowiska.</w:t>
      </w:r>
    </w:p>
    <w:p w14:paraId="0D827DEF" w14:textId="41DB6640" w:rsidR="000464F8" w:rsidRPr="00624565" w:rsidRDefault="004D161E" w:rsidP="004D161E">
      <w:pPr>
        <w:pStyle w:val="ManualConsidrant"/>
        <w:rPr>
          <w:noProof/>
        </w:rPr>
      </w:pPr>
      <w:r w:rsidRPr="00624565">
        <w:rPr>
          <w:noProof/>
        </w:rPr>
        <w:t>(35)</w:t>
      </w:r>
      <w:r w:rsidRPr="00624565">
        <w:rPr>
          <w:noProof/>
        </w:rPr>
        <w:tab/>
        <w:t>Aby ułatwić konsumentom wybór bardziej zrównoważonych produktów</w:t>
      </w:r>
      <w:r w:rsidR="003F3D2B" w:rsidRPr="00624565">
        <w:rPr>
          <w:noProof/>
        </w:rPr>
        <w:t xml:space="preserve"> i</w:t>
      </w:r>
      <w:r w:rsidR="003F3D2B">
        <w:rPr>
          <w:noProof/>
        </w:rPr>
        <w:t> </w:t>
      </w:r>
      <w:r w:rsidR="003F3D2B" w:rsidRPr="00624565">
        <w:rPr>
          <w:noProof/>
        </w:rPr>
        <w:t>zac</w:t>
      </w:r>
      <w:r w:rsidRPr="00624565">
        <w:rPr>
          <w:noProof/>
        </w:rPr>
        <w:t>hęcić przedsiębiorców do podejmowania działań na rzecz ograniczenia ich wpływu na środowisko,</w:t>
      </w:r>
      <w:r w:rsidR="003F3D2B" w:rsidRPr="00624565">
        <w:rPr>
          <w:noProof/>
        </w:rPr>
        <w:t xml:space="preserve"> w</w:t>
      </w:r>
      <w:r w:rsidR="003F3D2B">
        <w:rPr>
          <w:noProof/>
        </w:rPr>
        <w:t> </w:t>
      </w:r>
      <w:r w:rsidR="003F3D2B" w:rsidRPr="00624565">
        <w:rPr>
          <w:noProof/>
        </w:rPr>
        <w:t>prz</w:t>
      </w:r>
      <w:r w:rsidRPr="00624565">
        <w:rPr>
          <w:noProof/>
        </w:rPr>
        <w:t>ypadku gdy przekazywane oświadczenie dotyczy przyszłej efektywności środowiskowej, powinno ono</w:t>
      </w:r>
      <w:r w:rsidR="003F3D2B" w:rsidRPr="00624565">
        <w:rPr>
          <w:noProof/>
        </w:rPr>
        <w:t xml:space="preserve"> w</w:t>
      </w:r>
      <w:r w:rsidR="003F3D2B">
        <w:rPr>
          <w:noProof/>
        </w:rPr>
        <w:t> </w:t>
      </w:r>
      <w:r w:rsidR="003F3D2B" w:rsidRPr="00624565">
        <w:rPr>
          <w:noProof/>
        </w:rPr>
        <w:t>pie</w:t>
      </w:r>
      <w:r w:rsidRPr="00624565">
        <w:rPr>
          <w:noProof/>
        </w:rPr>
        <w:t>rwszej kolejności opierać się na usprawnieniach</w:t>
      </w:r>
      <w:r w:rsidR="003F3D2B" w:rsidRPr="00624565">
        <w:rPr>
          <w:noProof/>
        </w:rPr>
        <w:t xml:space="preserve"> w</w:t>
      </w:r>
      <w:r w:rsidR="003F3D2B">
        <w:rPr>
          <w:noProof/>
        </w:rPr>
        <w:t> </w:t>
      </w:r>
      <w:r w:rsidR="003F3D2B" w:rsidRPr="00624565">
        <w:rPr>
          <w:noProof/>
        </w:rPr>
        <w:t>ram</w:t>
      </w:r>
      <w:r w:rsidRPr="00624565">
        <w:rPr>
          <w:noProof/>
        </w:rPr>
        <w:t>ach własnej działalności</w:t>
      </w:r>
      <w:r w:rsidR="003F3D2B" w:rsidRPr="00624565">
        <w:rPr>
          <w:noProof/>
        </w:rPr>
        <w:t xml:space="preserve"> i</w:t>
      </w:r>
      <w:r w:rsidR="003F3D2B">
        <w:rPr>
          <w:noProof/>
        </w:rPr>
        <w:t> </w:t>
      </w:r>
      <w:r w:rsidR="003F3D2B" w:rsidRPr="00624565">
        <w:rPr>
          <w:noProof/>
        </w:rPr>
        <w:t>łań</w:t>
      </w:r>
      <w:r w:rsidRPr="00624565">
        <w:rPr>
          <w:noProof/>
        </w:rPr>
        <w:t>cuchów wartości przedsiębiorcy,</w:t>
      </w:r>
      <w:r w:rsidR="003F3D2B" w:rsidRPr="00624565">
        <w:rPr>
          <w:noProof/>
        </w:rPr>
        <w:t xml:space="preserve"> a</w:t>
      </w:r>
      <w:r w:rsidR="003F3D2B">
        <w:rPr>
          <w:noProof/>
        </w:rPr>
        <w:t> </w:t>
      </w:r>
      <w:r w:rsidR="003F3D2B" w:rsidRPr="00624565">
        <w:rPr>
          <w:noProof/>
        </w:rPr>
        <w:t>nie</w:t>
      </w:r>
      <w:r w:rsidRPr="00624565">
        <w:rPr>
          <w:noProof/>
        </w:rPr>
        <w:t xml:space="preserve"> na kompensacji emisji gazów cieplarnianych lub innego wpływu na środowisko.</w:t>
      </w:r>
    </w:p>
    <w:p w14:paraId="6225EC66" w14:textId="06E220AA" w:rsidR="000464F8" w:rsidRPr="00624565" w:rsidRDefault="004D161E" w:rsidP="004D161E">
      <w:pPr>
        <w:pStyle w:val="ManualConsidrant"/>
        <w:rPr>
          <w:noProof/>
        </w:rPr>
      </w:pPr>
      <w:r w:rsidRPr="00624565">
        <w:rPr>
          <w:noProof/>
        </w:rPr>
        <w:t>(36)</w:t>
      </w:r>
      <w:r w:rsidRPr="00624565">
        <w:rPr>
          <w:noProof/>
        </w:rPr>
        <w:tab/>
        <w:t>Konsumenci powinni mieć łatwy dostęp do informacji</w:t>
      </w:r>
      <w:r w:rsidR="003F3D2B" w:rsidRPr="00624565">
        <w:rPr>
          <w:noProof/>
        </w:rPr>
        <w:t xml:space="preserve"> o</w:t>
      </w:r>
      <w:r w:rsidR="003F3D2B">
        <w:rPr>
          <w:noProof/>
        </w:rPr>
        <w:t> </w:t>
      </w:r>
      <w:r w:rsidR="003F3D2B" w:rsidRPr="00624565">
        <w:rPr>
          <w:noProof/>
        </w:rPr>
        <w:t>pro</w:t>
      </w:r>
      <w:r w:rsidRPr="00624565">
        <w:rPr>
          <w:noProof/>
        </w:rPr>
        <w:t>dukcie lub przedsiębiorcy, którego dotyczy wyraźne oświadczenie środowiskowe, oraz do informacji uzasadniających to oświadczenie. Informacje te powinny również uwzględniać potrzeby starszych konsumentów</w:t>
      </w:r>
      <w:r w:rsidR="003F3D2B" w:rsidRPr="00624565">
        <w:rPr>
          <w:noProof/>
        </w:rPr>
        <w:t>. W</w:t>
      </w:r>
      <w:r w:rsidR="003F3D2B">
        <w:rPr>
          <w:noProof/>
        </w:rPr>
        <w:t> </w:t>
      </w:r>
      <w:r w:rsidR="003F3D2B" w:rsidRPr="00624565">
        <w:rPr>
          <w:noProof/>
        </w:rPr>
        <w:t>tym</w:t>
      </w:r>
      <w:r w:rsidRPr="00624565">
        <w:rPr>
          <w:noProof/>
        </w:rPr>
        <w:t xml:space="preserve"> celu przedsiębiorcy powinni przedstawić te informacje</w:t>
      </w:r>
      <w:r w:rsidR="003F3D2B" w:rsidRPr="00624565">
        <w:rPr>
          <w:noProof/>
        </w:rPr>
        <w:t xml:space="preserve"> w</w:t>
      </w:r>
      <w:r w:rsidR="003F3D2B">
        <w:rPr>
          <w:noProof/>
        </w:rPr>
        <w:t> </w:t>
      </w:r>
      <w:r w:rsidR="003F3D2B" w:rsidRPr="00624565">
        <w:rPr>
          <w:noProof/>
        </w:rPr>
        <w:t>for</w:t>
      </w:r>
      <w:r w:rsidRPr="00624565">
        <w:rPr>
          <w:noProof/>
        </w:rPr>
        <w:t>mie fizycznej albo podać link internetowy, kod QR lub jego równoważnik prowadzące do strony internetowej, na której dostępne są bardziej szczegółowe informacje na temat uzasadnienia wyraźnego oświadczenia środowiskowego w co najmniej jednym</w:t>
      </w:r>
      <w:r w:rsidR="003F3D2B" w:rsidRPr="00624565">
        <w:rPr>
          <w:noProof/>
        </w:rPr>
        <w:t xml:space="preserve"> z</w:t>
      </w:r>
      <w:r w:rsidR="003F3D2B">
        <w:rPr>
          <w:noProof/>
        </w:rPr>
        <w:t> </w:t>
      </w:r>
      <w:r w:rsidR="003F3D2B" w:rsidRPr="00624565">
        <w:rPr>
          <w:noProof/>
        </w:rPr>
        <w:t>jęz</w:t>
      </w:r>
      <w:r w:rsidRPr="00624565">
        <w:rPr>
          <w:noProof/>
        </w:rPr>
        <w:t>yków urzędowych państwa członkowskiego,</w:t>
      </w:r>
      <w:r w:rsidR="003F3D2B" w:rsidRPr="00624565">
        <w:rPr>
          <w:noProof/>
        </w:rPr>
        <w:t xml:space="preserve"> w</w:t>
      </w:r>
      <w:r w:rsidR="003F3D2B">
        <w:rPr>
          <w:noProof/>
        </w:rPr>
        <w:t> </w:t>
      </w:r>
      <w:r w:rsidR="003F3D2B" w:rsidRPr="00624565">
        <w:rPr>
          <w:noProof/>
        </w:rPr>
        <w:t>któ</w:t>
      </w:r>
      <w:r w:rsidRPr="00624565">
        <w:rPr>
          <w:noProof/>
        </w:rPr>
        <w:t>rym sporządzono oświadczenie</w:t>
      </w:r>
      <w:r w:rsidR="003F3D2B" w:rsidRPr="00624565">
        <w:rPr>
          <w:noProof/>
        </w:rPr>
        <w:t>. W</w:t>
      </w:r>
      <w:r w:rsidR="003F3D2B">
        <w:rPr>
          <w:noProof/>
        </w:rPr>
        <w:t> </w:t>
      </w:r>
      <w:r w:rsidR="003F3D2B" w:rsidRPr="00624565">
        <w:rPr>
          <w:noProof/>
        </w:rPr>
        <w:t>cel</w:t>
      </w:r>
      <w:r w:rsidRPr="00624565">
        <w:rPr>
          <w:noProof/>
        </w:rPr>
        <w:t>u ułatwienia egzekwowania niniejszej dyrektywy link internetowy, kod QR lub jego równoważnik powinny również zapewniać łatwy dostęp do certyfikatu zgodności dotyczącego uzasadnienia wyraźnego oświadczenia środowiskowego oraz informacji kontaktowych weryfikatora, który sporządził ten certyfikat.</w:t>
      </w:r>
    </w:p>
    <w:p w14:paraId="63EAF632" w14:textId="1559AE1C" w:rsidR="000464F8" w:rsidRPr="00624565" w:rsidRDefault="004D161E" w:rsidP="004D161E">
      <w:pPr>
        <w:pStyle w:val="ManualConsidrant"/>
        <w:rPr>
          <w:noProof/>
        </w:rPr>
      </w:pPr>
      <w:r w:rsidRPr="00624565">
        <w:rPr>
          <w:noProof/>
        </w:rPr>
        <w:t>(37)</w:t>
      </w:r>
      <w:r w:rsidRPr="00624565">
        <w:rPr>
          <w:noProof/>
        </w:rPr>
        <w:tab/>
        <w:t>Aby uniknąć potencjalnie nieproporcjonalnego wpływu na mikroprzedsiębiorstwa, najmniejsze przedsiębiorstwa powinny zostać zwolnione</w:t>
      </w:r>
      <w:r w:rsidR="003F3D2B" w:rsidRPr="00624565">
        <w:rPr>
          <w:noProof/>
        </w:rPr>
        <w:t xml:space="preserve"> z</w:t>
      </w:r>
      <w:r w:rsidR="003F3D2B">
        <w:rPr>
          <w:noProof/>
        </w:rPr>
        <w:t> </w:t>
      </w:r>
      <w:r w:rsidR="003F3D2B" w:rsidRPr="00624565">
        <w:rPr>
          <w:noProof/>
        </w:rPr>
        <w:t>wym</w:t>
      </w:r>
      <w:r w:rsidRPr="00624565">
        <w:rPr>
          <w:noProof/>
        </w:rPr>
        <w:t xml:space="preserve">ogów </w:t>
      </w:r>
      <w:r w:rsidRPr="003F3D2B">
        <w:rPr>
          <w:noProof/>
        </w:rPr>
        <w:t>art.</w:t>
      </w:r>
      <w:r w:rsidR="003F3D2B" w:rsidRPr="003F3D2B">
        <w:rPr>
          <w:noProof/>
        </w:rPr>
        <w:t> </w:t>
      </w:r>
      <w:r w:rsidRPr="003F3D2B">
        <w:rPr>
          <w:noProof/>
        </w:rPr>
        <w:t>5</w:t>
      </w:r>
      <w:r w:rsidRPr="00624565">
        <w:rPr>
          <w:noProof/>
        </w:rPr>
        <w:t xml:space="preserve"> związanych</w:t>
      </w:r>
      <w:r w:rsidR="003F3D2B" w:rsidRPr="00624565">
        <w:rPr>
          <w:noProof/>
        </w:rPr>
        <w:t xml:space="preserve"> z</w:t>
      </w:r>
      <w:r w:rsidR="003F3D2B">
        <w:rPr>
          <w:noProof/>
        </w:rPr>
        <w:t> </w:t>
      </w:r>
      <w:r w:rsidR="003F3D2B" w:rsidRPr="00624565">
        <w:rPr>
          <w:noProof/>
        </w:rPr>
        <w:t>inf</w:t>
      </w:r>
      <w:r w:rsidRPr="00624565">
        <w:rPr>
          <w:noProof/>
        </w:rPr>
        <w:t>ormacjami dotyczących uzasadnienia wyraźnych oświadczeń środowiskowych, chyba że przedsiębiorstwa te chcą uzyskać certyfikat zgodności wyraźnego oświadczenia środowiskowego, który będzie uznawany przez właściwe organy</w:t>
      </w:r>
      <w:r w:rsidR="003F3D2B" w:rsidRPr="00624565">
        <w:rPr>
          <w:noProof/>
        </w:rPr>
        <w:t xml:space="preserve"> w</w:t>
      </w:r>
      <w:r w:rsidR="003F3D2B">
        <w:rPr>
          <w:noProof/>
        </w:rPr>
        <w:t> </w:t>
      </w:r>
      <w:r w:rsidR="003F3D2B" w:rsidRPr="00624565">
        <w:rPr>
          <w:noProof/>
        </w:rPr>
        <w:t>cał</w:t>
      </w:r>
      <w:r w:rsidRPr="00624565">
        <w:rPr>
          <w:noProof/>
        </w:rPr>
        <w:t>ej Unii.</w:t>
      </w:r>
    </w:p>
    <w:p w14:paraId="47F3C0A5" w14:textId="1B7DCBE4" w:rsidR="000464F8" w:rsidRPr="00624565" w:rsidRDefault="004D161E" w:rsidP="004D161E">
      <w:pPr>
        <w:pStyle w:val="ManualConsidrant"/>
        <w:rPr>
          <w:noProof/>
        </w:rPr>
      </w:pPr>
      <w:r w:rsidRPr="00624565">
        <w:rPr>
          <w:noProof/>
        </w:rPr>
        <w:t>(38)</w:t>
      </w:r>
      <w:r w:rsidRPr="00624565">
        <w:rPr>
          <w:noProof/>
        </w:rPr>
        <w:tab/>
        <w:t>Gdy Komisja przyjmie akty delegowane</w:t>
      </w:r>
      <w:r w:rsidR="003F3D2B" w:rsidRPr="00624565">
        <w:rPr>
          <w:noProof/>
        </w:rPr>
        <w:t xml:space="preserve"> w</w:t>
      </w:r>
      <w:r w:rsidR="003F3D2B">
        <w:rPr>
          <w:noProof/>
        </w:rPr>
        <w:t> </w:t>
      </w:r>
      <w:r w:rsidR="003F3D2B" w:rsidRPr="00624565">
        <w:rPr>
          <w:noProof/>
        </w:rPr>
        <w:t>cel</w:t>
      </w:r>
      <w:r w:rsidRPr="00624565">
        <w:rPr>
          <w:noProof/>
        </w:rPr>
        <w:t>u uzupełnienia przepisów dotyczących uzasadniania wyraźnych oświadczeń środowiskowych, konieczne może być również uzupełnienie przepisów dotyczących przekazywania takich oświadczeń. Przykładowo</w:t>
      </w:r>
      <w:r w:rsidR="003F3D2B" w:rsidRPr="00624565">
        <w:rPr>
          <w:noProof/>
        </w:rPr>
        <w:t xml:space="preserve"> w</w:t>
      </w:r>
      <w:r w:rsidR="003F3D2B">
        <w:rPr>
          <w:noProof/>
        </w:rPr>
        <w:t> </w:t>
      </w:r>
      <w:r w:rsidR="003F3D2B" w:rsidRPr="00624565">
        <w:rPr>
          <w:noProof/>
        </w:rPr>
        <w:t>prz</w:t>
      </w:r>
      <w:r w:rsidRPr="00624565">
        <w:rPr>
          <w:noProof/>
        </w:rPr>
        <w:t>ypadku ustanowienia szczegółowych zasad opartych na cyklu życia dotyczących uzasadniania wyraźnych oświadczeń środowiskowych dla określonych grup produktów lub sektorów, konieczne może być wprowadzenie zasad uzupełniających dotyczących przedstawiania rodzajów wpływu na środowisko ocenianych na podstawie tych zasad poprzez wprowadzenie wymogu przedstawienia trzech głównych rodzajów wpływu na środowisko obok zagregowanego wskaźnika ogólnej efektywności środowiskowej</w:t>
      </w:r>
      <w:r w:rsidR="003F3D2B" w:rsidRPr="00624565">
        <w:rPr>
          <w:noProof/>
        </w:rPr>
        <w:t>. W</w:t>
      </w:r>
      <w:r w:rsidR="003F3D2B">
        <w:rPr>
          <w:noProof/>
        </w:rPr>
        <w:t> </w:t>
      </w:r>
      <w:r w:rsidR="003F3D2B" w:rsidRPr="00624565">
        <w:rPr>
          <w:noProof/>
        </w:rPr>
        <w:t>tym</w:t>
      </w:r>
      <w:r w:rsidRPr="00624565">
        <w:rPr>
          <w:noProof/>
        </w:rPr>
        <w:t xml:space="preserve"> celu Komisja powinna być uprawniona do przyjmowania aktów delegowanych</w:t>
      </w:r>
      <w:r w:rsidR="003F3D2B" w:rsidRPr="00624565">
        <w:rPr>
          <w:noProof/>
        </w:rPr>
        <w:t xml:space="preserve"> w</w:t>
      </w:r>
      <w:r w:rsidR="003F3D2B">
        <w:rPr>
          <w:noProof/>
        </w:rPr>
        <w:t> </w:t>
      </w:r>
      <w:r w:rsidR="003F3D2B" w:rsidRPr="00624565">
        <w:rPr>
          <w:noProof/>
        </w:rPr>
        <w:t>cel</w:t>
      </w:r>
      <w:r w:rsidRPr="00624565">
        <w:rPr>
          <w:noProof/>
        </w:rPr>
        <w:t>u uzupełnienia przepisów dotyczących przekazywania wyraźnych oświadczeń środowiskowych.</w:t>
      </w:r>
    </w:p>
    <w:p w14:paraId="6D3243AB" w14:textId="02ABEED8" w:rsidR="000464F8" w:rsidRPr="003F3D2B" w:rsidRDefault="004D161E" w:rsidP="004D161E">
      <w:pPr>
        <w:pStyle w:val="ManualConsidrant"/>
        <w:rPr>
          <w:noProof/>
        </w:rPr>
      </w:pPr>
      <w:r w:rsidRPr="00624565">
        <w:rPr>
          <w:noProof/>
        </w:rPr>
        <w:t>(39)</w:t>
      </w:r>
      <w:r w:rsidRPr="00624565">
        <w:rPr>
          <w:noProof/>
        </w:rPr>
        <w:tab/>
        <w:t>Obecnie na rynku unijnym stosuje się ponad 200 oznakowań ekologicznych. Występują między nimi istotne różnice</w:t>
      </w:r>
      <w:r w:rsidR="003F3D2B" w:rsidRPr="00624565">
        <w:rPr>
          <w:noProof/>
        </w:rPr>
        <w:t xml:space="preserve"> w</w:t>
      </w:r>
      <w:r w:rsidR="003F3D2B">
        <w:rPr>
          <w:noProof/>
        </w:rPr>
        <w:t> </w:t>
      </w:r>
      <w:r w:rsidR="003F3D2B" w:rsidRPr="00624565">
        <w:rPr>
          <w:noProof/>
        </w:rPr>
        <w:t>spo</w:t>
      </w:r>
      <w:r w:rsidRPr="00624565">
        <w:rPr>
          <w:noProof/>
        </w:rPr>
        <w:t>sobie funkcjonowania, dotyczące na przykład przejrzystości</w:t>
      </w:r>
      <w:r w:rsidR="003F3D2B" w:rsidRPr="00624565">
        <w:rPr>
          <w:noProof/>
        </w:rPr>
        <w:t xml:space="preserve"> i</w:t>
      </w:r>
      <w:r w:rsidR="003F3D2B">
        <w:rPr>
          <w:noProof/>
        </w:rPr>
        <w:t> </w:t>
      </w:r>
      <w:r w:rsidR="003F3D2B" w:rsidRPr="00624565">
        <w:rPr>
          <w:noProof/>
        </w:rPr>
        <w:t>kom</w:t>
      </w:r>
      <w:r w:rsidRPr="00624565">
        <w:rPr>
          <w:noProof/>
        </w:rPr>
        <w:t>pleksowości stosowanych norm lub metod, częstotliwości wprowadzania zmian czy stopnia kontroli lub weryfikacji. Różnice te mają wpływ na wiarygodność informacji podawanych</w:t>
      </w:r>
      <w:r w:rsidR="003F3D2B" w:rsidRPr="00624565">
        <w:rPr>
          <w:noProof/>
        </w:rPr>
        <w:t xml:space="preserve"> w</w:t>
      </w:r>
      <w:r w:rsidR="003F3D2B">
        <w:rPr>
          <w:noProof/>
        </w:rPr>
        <w:t> </w:t>
      </w:r>
      <w:r w:rsidR="003F3D2B" w:rsidRPr="00624565">
        <w:rPr>
          <w:noProof/>
        </w:rPr>
        <w:t>ram</w:t>
      </w:r>
      <w:r w:rsidRPr="00624565">
        <w:rPr>
          <w:noProof/>
        </w:rPr>
        <w:t>ach oznakowania ekologicznego. Chociaż oświadczenia oparte na oznakowaniu ekologicznym UE lub jego krajowych odpowiednikach kierują się solidnymi podstawami naukowymi, charakteryzują się przejrzystym opracowywaniem kryteriów, wymagają przeprowadzenia badań</w:t>
      </w:r>
      <w:r w:rsidR="003F3D2B" w:rsidRPr="00624565">
        <w:rPr>
          <w:noProof/>
        </w:rPr>
        <w:t xml:space="preserve"> i</w:t>
      </w:r>
      <w:r w:rsidR="003F3D2B">
        <w:rPr>
          <w:noProof/>
        </w:rPr>
        <w:t> </w:t>
      </w:r>
      <w:r w:rsidR="003F3D2B" w:rsidRPr="00624565">
        <w:rPr>
          <w:noProof/>
        </w:rPr>
        <w:t>wer</w:t>
      </w:r>
      <w:r w:rsidRPr="00624565">
        <w:rPr>
          <w:noProof/>
        </w:rPr>
        <w:t>yfikacji przez stronę trzecią oraz przewidują regularne monitorowanie, dowody świadczą</w:t>
      </w:r>
      <w:r w:rsidR="003F3D2B" w:rsidRPr="00624565">
        <w:rPr>
          <w:noProof/>
        </w:rPr>
        <w:t xml:space="preserve"> o</w:t>
      </w:r>
      <w:r w:rsidR="003F3D2B">
        <w:rPr>
          <w:noProof/>
        </w:rPr>
        <w:t> </w:t>
      </w:r>
      <w:r w:rsidR="003F3D2B" w:rsidRPr="00624565">
        <w:rPr>
          <w:noProof/>
        </w:rPr>
        <w:t>tym</w:t>
      </w:r>
      <w:r w:rsidRPr="00624565">
        <w:rPr>
          <w:noProof/>
        </w:rPr>
        <w:t>, że wiele oznakowań środowiskowych stosowanych obecnie na rynku UE wprowadza</w:t>
      </w:r>
      <w:r w:rsidR="003F3D2B" w:rsidRPr="00624565">
        <w:rPr>
          <w:noProof/>
        </w:rPr>
        <w:t xml:space="preserve"> w</w:t>
      </w:r>
      <w:r w:rsidR="003F3D2B">
        <w:rPr>
          <w:noProof/>
        </w:rPr>
        <w:t> </w:t>
      </w:r>
      <w:r w:rsidR="003F3D2B" w:rsidRPr="00624565">
        <w:rPr>
          <w:noProof/>
        </w:rPr>
        <w:t>błą</w:t>
      </w:r>
      <w:r w:rsidRPr="00624565">
        <w:rPr>
          <w:noProof/>
        </w:rPr>
        <w:t>d</w:t>
      </w:r>
      <w:r w:rsidR="003F3D2B" w:rsidRPr="00624565">
        <w:rPr>
          <w:noProof/>
        </w:rPr>
        <w:t>. W</w:t>
      </w:r>
      <w:r w:rsidR="003F3D2B">
        <w:rPr>
          <w:noProof/>
        </w:rPr>
        <w:t> </w:t>
      </w:r>
      <w:r w:rsidR="003F3D2B" w:rsidRPr="00624565">
        <w:rPr>
          <w:noProof/>
        </w:rPr>
        <w:t>szc</w:t>
      </w:r>
      <w:r w:rsidRPr="00624565">
        <w:rPr>
          <w:noProof/>
        </w:rPr>
        <w:t>zególności</w:t>
      </w:r>
      <w:r w:rsidR="003F3D2B" w:rsidRPr="00624565">
        <w:rPr>
          <w:noProof/>
        </w:rPr>
        <w:t xml:space="preserve"> w</w:t>
      </w:r>
      <w:r w:rsidR="003F3D2B">
        <w:rPr>
          <w:noProof/>
        </w:rPr>
        <w:t> </w:t>
      </w:r>
      <w:r w:rsidR="003F3D2B" w:rsidRPr="00624565">
        <w:rPr>
          <w:noProof/>
        </w:rPr>
        <w:t>prz</w:t>
      </w:r>
      <w:r w:rsidRPr="00624565">
        <w:rPr>
          <w:noProof/>
        </w:rPr>
        <w:t>ypadku wielu oznakowań ekologicznych brakuje wystarczających procedur weryfikacyjnych. Wyraźne oświadczenia środowiskowe na podstawie oznakowania ekologicznego powinny opierać się na systemie certyfikacji</w:t>
      </w:r>
      <w:r w:rsidRPr="003F3D2B">
        <w:rPr>
          <w:noProof/>
        </w:rPr>
        <w:t>.</w:t>
      </w:r>
      <w:r w:rsidR="003F3D2B" w:rsidRPr="003F3D2B">
        <w:rPr>
          <w:noProof/>
        </w:rPr>
        <w:t xml:space="preserve"> </w:t>
      </w:r>
    </w:p>
    <w:p w14:paraId="3C5AED22" w14:textId="5AB7CB35" w:rsidR="000464F8" w:rsidRPr="00624565" w:rsidRDefault="004D161E" w:rsidP="004D161E">
      <w:pPr>
        <w:pStyle w:val="ManualConsidrant"/>
        <w:rPr>
          <w:noProof/>
        </w:rPr>
      </w:pPr>
      <w:r w:rsidRPr="00624565">
        <w:rPr>
          <w:noProof/>
        </w:rPr>
        <w:t>(40)</w:t>
      </w:r>
      <w:r w:rsidRPr="00624565">
        <w:rPr>
          <w:noProof/>
        </w:rPr>
        <w:tab/>
        <w:t>W przypadkach gdy oznakowanie ekologiczne wiąże się ze skierowanym do konsumentów przekazem handlowym, który sugeruje lub stwarza wrażenie, że produkt ma pozytywny wpływ na środowisko lub nie wywiera żadnego wpływu na środowisko, lub jest mniej szkodliwy dla środowiska niż produkty bez oznakowania, to takie oznakowanie ekologiczne również należy uznać za stanowiące wyraźne oświadczenie środowiskowe. Treść takiego oznakowania ekologicznego jest zatem objęta wymogami dotyczącymi uzasadniania wyraźnych oświadczeń środowiskowych</w:t>
      </w:r>
      <w:r w:rsidR="003F3D2B" w:rsidRPr="00624565">
        <w:rPr>
          <w:noProof/>
        </w:rPr>
        <w:t xml:space="preserve"> i</w:t>
      </w:r>
      <w:r w:rsidR="003F3D2B">
        <w:rPr>
          <w:noProof/>
        </w:rPr>
        <w:t> </w:t>
      </w:r>
      <w:r w:rsidR="003F3D2B" w:rsidRPr="00624565">
        <w:rPr>
          <w:noProof/>
        </w:rPr>
        <w:t>inf</w:t>
      </w:r>
      <w:r w:rsidRPr="00624565">
        <w:rPr>
          <w:noProof/>
        </w:rPr>
        <w:t>ormowania</w:t>
      </w:r>
      <w:r w:rsidR="003F3D2B" w:rsidRPr="00624565">
        <w:rPr>
          <w:noProof/>
        </w:rPr>
        <w:t xml:space="preserve"> o</w:t>
      </w:r>
      <w:r w:rsidR="003F3D2B">
        <w:rPr>
          <w:noProof/>
        </w:rPr>
        <w:t> </w:t>
      </w:r>
      <w:r w:rsidR="003F3D2B" w:rsidRPr="00624565">
        <w:rPr>
          <w:noProof/>
        </w:rPr>
        <w:t>nic</w:t>
      </w:r>
      <w:r w:rsidRPr="00624565">
        <w:rPr>
          <w:noProof/>
        </w:rPr>
        <w:t>h.</w:t>
      </w:r>
    </w:p>
    <w:p w14:paraId="07480E7E" w14:textId="2F5CE57F" w:rsidR="000464F8" w:rsidRPr="00624565" w:rsidRDefault="004D161E" w:rsidP="004D161E">
      <w:pPr>
        <w:pStyle w:val="ManualConsidrant"/>
        <w:rPr>
          <w:noProof/>
        </w:rPr>
      </w:pPr>
      <w:r w:rsidRPr="00624565">
        <w:rPr>
          <w:noProof/>
        </w:rPr>
        <w:t>(41)</w:t>
      </w:r>
      <w:r w:rsidRPr="00624565">
        <w:rPr>
          <w:noProof/>
        </w:rPr>
        <w:tab/>
        <w:t>Oznakowanie ekologiczne często ma na celu udostępnienie konsumentom zagregowanej punktowej oceny przedstawiającej łączny wpływ produktów lub przedsiębiorców na środowisko, aby umożliwić bezpośrednie porównanie produktów lub przedsiębiorców. Taka zagregowana ocena punktowa wiąże się jednak</w:t>
      </w:r>
      <w:r w:rsidR="003F3D2B" w:rsidRPr="00624565">
        <w:rPr>
          <w:noProof/>
        </w:rPr>
        <w:t xml:space="preserve"> z</w:t>
      </w:r>
      <w:r w:rsidR="003F3D2B">
        <w:rPr>
          <w:noProof/>
        </w:rPr>
        <w:t> </w:t>
      </w:r>
      <w:r w:rsidR="003F3D2B" w:rsidRPr="00624565">
        <w:rPr>
          <w:noProof/>
        </w:rPr>
        <w:t>ryz</w:t>
      </w:r>
      <w:r w:rsidRPr="00624565">
        <w:rPr>
          <w:noProof/>
        </w:rPr>
        <w:t>ykiem wprowadzenia konsumentów</w:t>
      </w:r>
      <w:r w:rsidR="003F3D2B" w:rsidRPr="00624565">
        <w:rPr>
          <w:noProof/>
        </w:rPr>
        <w:t xml:space="preserve"> w</w:t>
      </w:r>
      <w:r w:rsidR="003F3D2B">
        <w:rPr>
          <w:noProof/>
        </w:rPr>
        <w:t> </w:t>
      </w:r>
      <w:r w:rsidR="003F3D2B" w:rsidRPr="00624565">
        <w:rPr>
          <w:noProof/>
        </w:rPr>
        <w:t>błą</w:t>
      </w:r>
      <w:r w:rsidRPr="00624565">
        <w:rPr>
          <w:noProof/>
        </w:rPr>
        <w:t>d, ponieważ zagregowany wskaźnik może obniżyć negatywny wpływ na środowisko niektórych aspektów produktu przy bardziej pozytywnym wpływie na środowisko innych aspektów produktu. Poza tym, gdy oznakowania te opracowują różne podmioty, różnią się one zazwyczaj pod względem danej metodyki, która stanowi podstawę zagregowanej punktacji, takiej jak uwzględnianie pewnych rodzajów wpływu na środowisko lub waga przypisywana tym rodzajom wpływu na środowisko</w:t>
      </w:r>
      <w:r w:rsidR="003F3D2B" w:rsidRPr="00624565">
        <w:rPr>
          <w:noProof/>
        </w:rPr>
        <w:t>. W</w:t>
      </w:r>
      <w:r w:rsidR="003F3D2B">
        <w:rPr>
          <w:noProof/>
        </w:rPr>
        <w:t> </w:t>
      </w:r>
      <w:r w:rsidR="003F3D2B" w:rsidRPr="00624565">
        <w:rPr>
          <w:noProof/>
        </w:rPr>
        <w:t>rez</w:t>
      </w:r>
      <w:r w:rsidRPr="00624565">
        <w:rPr>
          <w:noProof/>
        </w:rPr>
        <w:t>ultacie może to doprowadzić do sytuacji,</w:t>
      </w:r>
      <w:r w:rsidR="003F3D2B" w:rsidRPr="00624565">
        <w:rPr>
          <w:noProof/>
        </w:rPr>
        <w:t xml:space="preserve"> w</w:t>
      </w:r>
      <w:r w:rsidR="003F3D2B">
        <w:rPr>
          <w:noProof/>
        </w:rPr>
        <w:t> </w:t>
      </w:r>
      <w:r w:rsidR="003F3D2B" w:rsidRPr="00624565">
        <w:rPr>
          <w:noProof/>
        </w:rPr>
        <w:t>któ</w:t>
      </w:r>
      <w:r w:rsidRPr="00624565">
        <w:rPr>
          <w:noProof/>
        </w:rPr>
        <w:t>rej ten sam produkt otrzyma inną punktację lub ocenę</w:t>
      </w:r>
      <w:r w:rsidR="003F3D2B" w:rsidRPr="00624565">
        <w:rPr>
          <w:noProof/>
        </w:rPr>
        <w:t xml:space="preserve"> w</w:t>
      </w:r>
      <w:r w:rsidR="003F3D2B">
        <w:rPr>
          <w:noProof/>
        </w:rPr>
        <w:t> </w:t>
      </w:r>
      <w:r w:rsidR="003F3D2B" w:rsidRPr="00624565">
        <w:rPr>
          <w:noProof/>
        </w:rPr>
        <w:t>zal</w:t>
      </w:r>
      <w:r w:rsidRPr="00624565">
        <w:rPr>
          <w:noProof/>
        </w:rPr>
        <w:t>eżności od zastosowanego systemu. Ten problem występuje</w:t>
      </w:r>
      <w:r w:rsidR="003F3D2B" w:rsidRPr="00624565">
        <w:rPr>
          <w:noProof/>
        </w:rPr>
        <w:t xml:space="preserve"> w</w:t>
      </w:r>
      <w:r w:rsidR="003F3D2B">
        <w:rPr>
          <w:noProof/>
        </w:rPr>
        <w:t> </w:t>
      </w:r>
      <w:r w:rsidR="003F3D2B" w:rsidRPr="00624565">
        <w:rPr>
          <w:noProof/>
        </w:rPr>
        <w:t>odn</w:t>
      </w:r>
      <w:r w:rsidRPr="00624565">
        <w:rPr>
          <w:noProof/>
        </w:rPr>
        <w:t>iesieniu do systemów ustanowionych</w:t>
      </w:r>
      <w:r w:rsidR="003F3D2B" w:rsidRPr="00624565">
        <w:rPr>
          <w:noProof/>
        </w:rPr>
        <w:t xml:space="preserve"> w</w:t>
      </w:r>
      <w:r w:rsidR="003F3D2B">
        <w:rPr>
          <w:noProof/>
        </w:rPr>
        <w:t> </w:t>
      </w:r>
      <w:r w:rsidR="003F3D2B" w:rsidRPr="00624565">
        <w:rPr>
          <w:noProof/>
        </w:rPr>
        <w:t>Uni</w:t>
      </w:r>
      <w:r w:rsidRPr="00624565">
        <w:rPr>
          <w:noProof/>
        </w:rPr>
        <w:t>i</w:t>
      </w:r>
      <w:r w:rsidR="003F3D2B" w:rsidRPr="00624565">
        <w:rPr>
          <w:noProof/>
        </w:rPr>
        <w:t xml:space="preserve"> i</w:t>
      </w:r>
      <w:r w:rsidR="003F3D2B">
        <w:rPr>
          <w:noProof/>
        </w:rPr>
        <w:t> </w:t>
      </w:r>
      <w:r w:rsidR="003F3D2B" w:rsidRPr="00624565">
        <w:rPr>
          <w:noProof/>
        </w:rPr>
        <w:t>w</w:t>
      </w:r>
      <w:r w:rsidR="003F3D2B">
        <w:rPr>
          <w:noProof/>
        </w:rPr>
        <w:t> </w:t>
      </w:r>
      <w:r w:rsidR="003F3D2B" w:rsidRPr="00624565">
        <w:rPr>
          <w:noProof/>
        </w:rPr>
        <w:t>pań</w:t>
      </w:r>
      <w:r w:rsidRPr="00624565">
        <w:rPr>
          <w:noProof/>
        </w:rPr>
        <w:t>stwach trzecich. Przyczynia się to do fragmentacji rynku wewnętrznego, stwarza ryzyko postawienia mniejszych przedsiębiorstw</w:t>
      </w:r>
      <w:r w:rsidR="003F3D2B" w:rsidRPr="00624565">
        <w:rPr>
          <w:noProof/>
        </w:rPr>
        <w:t xml:space="preserve"> w</w:t>
      </w:r>
      <w:r w:rsidR="003F3D2B">
        <w:rPr>
          <w:noProof/>
        </w:rPr>
        <w:t> </w:t>
      </w:r>
      <w:r w:rsidR="003F3D2B" w:rsidRPr="00624565">
        <w:rPr>
          <w:noProof/>
        </w:rPr>
        <w:t>nie</w:t>
      </w:r>
      <w:r w:rsidRPr="00624565">
        <w:rPr>
          <w:noProof/>
        </w:rPr>
        <w:t>korzystnej sytuacji,</w:t>
      </w:r>
      <w:r w:rsidR="003F3D2B" w:rsidRPr="00624565">
        <w:rPr>
          <w:noProof/>
        </w:rPr>
        <w:t xml:space="preserve"> a</w:t>
      </w:r>
      <w:r w:rsidR="003F3D2B">
        <w:rPr>
          <w:noProof/>
        </w:rPr>
        <w:t> </w:t>
      </w:r>
      <w:r w:rsidR="003F3D2B" w:rsidRPr="00624565">
        <w:rPr>
          <w:noProof/>
        </w:rPr>
        <w:t>tak</w:t>
      </w:r>
      <w:r w:rsidRPr="00624565">
        <w:rPr>
          <w:noProof/>
        </w:rPr>
        <w:t>że może jeszcze bardziej wprowadzać</w:t>
      </w:r>
      <w:r w:rsidR="003F3D2B" w:rsidRPr="00624565">
        <w:rPr>
          <w:noProof/>
        </w:rPr>
        <w:t xml:space="preserve"> w</w:t>
      </w:r>
      <w:r w:rsidR="003F3D2B">
        <w:rPr>
          <w:noProof/>
        </w:rPr>
        <w:t> </w:t>
      </w:r>
      <w:r w:rsidR="003F3D2B" w:rsidRPr="00624565">
        <w:rPr>
          <w:noProof/>
        </w:rPr>
        <w:t>błą</w:t>
      </w:r>
      <w:r w:rsidRPr="00624565">
        <w:rPr>
          <w:noProof/>
        </w:rPr>
        <w:t>d konsumentów</w:t>
      </w:r>
      <w:r w:rsidR="003F3D2B" w:rsidRPr="00624565">
        <w:rPr>
          <w:noProof/>
        </w:rPr>
        <w:t xml:space="preserve"> i</w:t>
      </w:r>
      <w:r w:rsidR="003F3D2B">
        <w:rPr>
          <w:noProof/>
        </w:rPr>
        <w:t> </w:t>
      </w:r>
      <w:r w:rsidR="003F3D2B" w:rsidRPr="00624565">
        <w:rPr>
          <w:noProof/>
        </w:rPr>
        <w:t>pod</w:t>
      </w:r>
      <w:r w:rsidRPr="00624565">
        <w:rPr>
          <w:noProof/>
        </w:rPr>
        <w:t>ważać ich zaufanie</w:t>
      </w:r>
      <w:r w:rsidR="003F3D2B" w:rsidRPr="00624565">
        <w:rPr>
          <w:noProof/>
        </w:rPr>
        <w:t xml:space="preserve"> w</w:t>
      </w:r>
      <w:r w:rsidR="003F3D2B">
        <w:rPr>
          <w:noProof/>
        </w:rPr>
        <w:t> </w:t>
      </w:r>
      <w:r w:rsidR="003F3D2B" w:rsidRPr="00624565">
        <w:rPr>
          <w:noProof/>
        </w:rPr>
        <w:t>odn</w:t>
      </w:r>
      <w:r w:rsidRPr="00624565">
        <w:rPr>
          <w:noProof/>
        </w:rPr>
        <w:t>iesieniu do oznakowania ekologicznego. Aby uniknąć tego ryzyka</w:t>
      </w:r>
      <w:r w:rsidR="003F3D2B" w:rsidRPr="00624565">
        <w:rPr>
          <w:noProof/>
        </w:rPr>
        <w:t xml:space="preserve"> i</w:t>
      </w:r>
      <w:r w:rsidR="003F3D2B">
        <w:rPr>
          <w:noProof/>
        </w:rPr>
        <w:t> </w:t>
      </w:r>
      <w:r w:rsidR="003F3D2B" w:rsidRPr="00624565">
        <w:rPr>
          <w:noProof/>
        </w:rPr>
        <w:t>zap</w:t>
      </w:r>
      <w:r w:rsidRPr="00624565">
        <w:rPr>
          <w:noProof/>
        </w:rPr>
        <w:t>ewnić lepszą harmonizację</w:t>
      </w:r>
      <w:r w:rsidR="003F3D2B" w:rsidRPr="00624565">
        <w:rPr>
          <w:noProof/>
        </w:rPr>
        <w:t xml:space="preserve"> w</w:t>
      </w:r>
      <w:r w:rsidR="003F3D2B">
        <w:rPr>
          <w:noProof/>
        </w:rPr>
        <w:t> </w:t>
      </w:r>
      <w:r w:rsidR="003F3D2B" w:rsidRPr="00624565">
        <w:rPr>
          <w:noProof/>
        </w:rPr>
        <w:t>ram</w:t>
      </w:r>
      <w:r w:rsidRPr="00624565">
        <w:rPr>
          <w:noProof/>
        </w:rPr>
        <w:t>ach jednolitego rynku, wyraźne oświadczenia środowiskowe,</w:t>
      </w:r>
      <w:r w:rsidR="003F3D2B" w:rsidRPr="00624565">
        <w:rPr>
          <w:noProof/>
        </w:rPr>
        <w:t xml:space="preserve"> w</w:t>
      </w:r>
      <w:r w:rsidR="003F3D2B">
        <w:rPr>
          <w:noProof/>
        </w:rPr>
        <w:t> </w:t>
      </w:r>
      <w:r w:rsidR="003F3D2B" w:rsidRPr="00624565">
        <w:rPr>
          <w:noProof/>
        </w:rPr>
        <w:t>tym</w:t>
      </w:r>
      <w:r w:rsidRPr="00624565">
        <w:rPr>
          <w:noProof/>
        </w:rPr>
        <w:t xml:space="preserve"> oznakowanie ekologiczne, oparte na zagregowanej punktacji przedstawiającej łączny wpływ produktów lub przedsiębiorców na środowisko, nie powinny być uznawane za wystarczająco uzasadnione, chyba że ta zagregowana punktacja wynika</w:t>
      </w:r>
      <w:r w:rsidR="003F3D2B" w:rsidRPr="00624565">
        <w:rPr>
          <w:noProof/>
        </w:rPr>
        <w:t xml:space="preserve"> z</w:t>
      </w:r>
      <w:r w:rsidR="003F3D2B">
        <w:rPr>
          <w:noProof/>
        </w:rPr>
        <w:t> </w:t>
      </w:r>
      <w:r w:rsidR="003F3D2B" w:rsidRPr="00624565">
        <w:rPr>
          <w:noProof/>
        </w:rPr>
        <w:t>prz</w:t>
      </w:r>
      <w:r w:rsidRPr="00624565">
        <w:rPr>
          <w:noProof/>
        </w:rPr>
        <w:t>episów Unii,</w:t>
      </w:r>
      <w:r w:rsidR="003F3D2B" w:rsidRPr="00624565">
        <w:rPr>
          <w:noProof/>
        </w:rPr>
        <w:t xml:space="preserve"> w</w:t>
      </w:r>
      <w:r w:rsidR="003F3D2B">
        <w:rPr>
          <w:noProof/>
        </w:rPr>
        <w:t> </w:t>
      </w:r>
      <w:r w:rsidR="003F3D2B" w:rsidRPr="00624565">
        <w:rPr>
          <w:noProof/>
        </w:rPr>
        <w:t>tym z</w:t>
      </w:r>
      <w:r w:rsidR="003F3D2B">
        <w:rPr>
          <w:noProof/>
        </w:rPr>
        <w:t> </w:t>
      </w:r>
      <w:r w:rsidR="003F3D2B" w:rsidRPr="00624565">
        <w:rPr>
          <w:noProof/>
        </w:rPr>
        <w:t>akt</w:t>
      </w:r>
      <w:r w:rsidRPr="00624565">
        <w:rPr>
          <w:noProof/>
        </w:rPr>
        <w:t>ów delegowanych, które Komisja jest uprawniona przyjąć na mocy niniejszej dyrektywy, czego efektem są ogólnounijne zharmonizowane systemy dla wszystkich produktów lub dla poszczególnych grup produktów, oparte na jednej metodzie</w:t>
      </w:r>
      <w:r w:rsidR="003F3D2B" w:rsidRPr="00624565">
        <w:rPr>
          <w:noProof/>
        </w:rPr>
        <w:t xml:space="preserve"> w</w:t>
      </w:r>
      <w:r w:rsidR="003F3D2B">
        <w:rPr>
          <w:noProof/>
        </w:rPr>
        <w:t> </w:t>
      </w:r>
      <w:r w:rsidR="003F3D2B" w:rsidRPr="00624565">
        <w:rPr>
          <w:noProof/>
        </w:rPr>
        <w:t>cel</w:t>
      </w:r>
      <w:r w:rsidRPr="00624565">
        <w:rPr>
          <w:noProof/>
        </w:rPr>
        <w:t>u zapewnienia spójności</w:t>
      </w:r>
      <w:r w:rsidR="003F3D2B" w:rsidRPr="00624565">
        <w:rPr>
          <w:noProof/>
        </w:rPr>
        <w:t xml:space="preserve"> i</w:t>
      </w:r>
      <w:r w:rsidR="003F3D2B">
        <w:rPr>
          <w:noProof/>
        </w:rPr>
        <w:t> </w:t>
      </w:r>
      <w:r w:rsidR="003F3D2B" w:rsidRPr="00624565">
        <w:rPr>
          <w:noProof/>
        </w:rPr>
        <w:t>por</w:t>
      </w:r>
      <w:r w:rsidRPr="00624565">
        <w:rPr>
          <w:noProof/>
        </w:rPr>
        <w:t>ównywalności.</w:t>
      </w:r>
    </w:p>
    <w:p w14:paraId="7260A2C8" w14:textId="73B63432" w:rsidR="000464F8" w:rsidRPr="00624565" w:rsidRDefault="004D161E" w:rsidP="004D161E">
      <w:pPr>
        <w:pStyle w:val="ManualConsidrant"/>
        <w:rPr>
          <w:noProof/>
        </w:rPr>
      </w:pPr>
      <w:r w:rsidRPr="00624565">
        <w:rPr>
          <w:noProof/>
        </w:rPr>
        <w:t>(42)</w:t>
      </w:r>
      <w:r w:rsidRPr="00624565">
        <w:rPr>
          <w:noProof/>
        </w:rPr>
        <w:tab/>
        <w:t>Zgodnie</w:t>
      </w:r>
      <w:r w:rsidR="003F3D2B" w:rsidRPr="00624565">
        <w:rPr>
          <w:noProof/>
        </w:rPr>
        <w:t xml:space="preserve"> z</w:t>
      </w:r>
      <w:r w:rsidR="003F3D2B">
        <w:rPr>
          <w:noProof/>
        </w:rPr>
        <w:t> </w:t>
      </w:r>
      <w:r w:rsidR="003F3D2B" w:rsidRPr="00624565">
        <w:rPr>
          <w:noProof/>
        </w:rPr>
        <w:t>wni</w:t>
      </w:r>
      <w:r w:rsidRPr="00624565">
        <w:rPr>
          <w:noProof/>
        </w:rPr>
        <w:t>oskiem dotyczącym dyrektywy</w:t>
      </w:r>
      <w:r w:rsidR="003F3D2B" w:rsidRPr="00624565">
        <w:rPr>
          <w:noProof/>
        </w:rPr>
        <w:t xml:space="preserve"> w</w:t>
      </w:r>
      <w:r w:rsidR="003F3D2B">
        <w:rPr>
          <w:noProof/>
        </w:rPr>
        <w:t> </w:t>
      </w:r>
      <w:r w:rsidR="003F3D2B" w:rsidRPr="00624565">
        <w:rPr>
          <w:noProof/>
        </w:rPr>
        <w:t>spr</w:t>
      </w:r>
      <w:r w:rsidRPr="00624565">
        <w:rPr>
          <w:noProof/>
        </w:rPr>
        <w:t>awie wzmocnienia pozycji konsumentów</w:t>
      </w:r>
      <w:r w:rsidR="003F3D2B" w:rsidRPr="00624565">
        <w:rPr>
          <w:noProof/>
        </w:rPr>
        <w:t xml:space="preserve"> w</w:t>
      </w:r>
      <w:r w:rsidR="003F3D2B">
        <w:rPr>
          <w:noProof/>
        </w:rPr>
        <w:t> </w:t>
      </w:r>
      <w:r w:rsidR="003F3D2B" w:rsidRPr="00624565">
        <w:rPr>
          <w:noProof/>
        </w:rPr>
        <w:t>pro</w:t>
      </w:r>
      <w:r w:rsidRPr="00624565">
        <w:rPr>
          <w:noProof/>
        </w:rPr>
        <w:t>cesie transformacji ekologicznej, która zmienia dyrektywę 2005/29/WE, umieszczanie oznakowania dotyczącego zrównoważonego charakteru, które nie opiera się na systemie certyfikacji lub nie zostało ustanowione przez organy publiczne, stanowi nieuczciwą praktykę handlową</w:t>
      </w:r>
      <w:r w:rsidR="003F3D2B" w:rsidRPr="00624565">
        <w:rPr>
          <w:noProof/>
        </w:rPr>
        <w:t xml:space="preserve"> w</w:t>
      </w:r>
      <w:r w:rsidR="003F3D2B">
        <w:rPr>
          <w:noProof/>
        </w:rPr>
        <w:t> </w:t>
      </w:r>
      <w:r w:rsidR="003F3D2B" w:rsidRPr="00624565">
        <w:rPr>
          <w:noProof/>
        </w:rPr>
        <w:t>każ</w:t>
      </w:r>
      <w:r w:rsidRPr="00624565">
        <w:rPr>
          <w:noProof/>
        </w:rPr>
        <w:t>dych okolicznościach. Oznacza to, że zakazane jest oznakowanie dotyczące zrównoważonego charakteru na podstawie własnych certyfikatów,</w:t>
      </w:r>
      <w:r w:rsidR="003F3D2B" w:rsidRPr="00624565">
        <w:rPr>
          <w:noProof/>
        </w:rPr>
        <w:t xml:space="preserve"> w</w:t>
      </w:r>
      <w:r w:rsidR="003F3D2B">
        <w:rPr>
          <w:noProof/>
        </w:rPr>
        <w:t> </w:t>
      </w:r>
      <w:r w:rsidR="003F3D2B" w:rsidRPr="00624565">
        <w:rPr>
          <w:noProof/>
        </w:rPr>
        <w:t>prz</w:t>
      </w:r>
      <w:r w:rsidRPr="00624565">
        <w:rPr>
          <w:noProof/>
        </w:rPr>
        <w:t>ypadku których nie ma miejsca weryfikacja przeprowadzona przez stronę trzecią ani regularne monitorowanie pod kątem zgodności</w:t>
      </w:r>
      <w:r w:rsidR="003F3D2B" w:rsidRPr="00624565">
        <w:rPr>
          <w:noProof/>
        </w:rPr>
        <w:t xml:space="preserve"> z</w:t>
      </w:r>
      <w:r w:rsidR="003F3D2B">
        <w:rPr>
          <w:noProof/>
        </w:rPr>
        <w:t> </w:t>
      </w:r>
      <w:r w:rsidR="003F3D2B" w:rsidRPr="00624565">
        <w:rPr>
          <w:noProof/>
        </w:rPr>
        <w:t>pod</w:t>
      </w:r>
      <w:r w:rsidRPr="00624565">
        <w:rPr>
          <w:noProof/>
        </w:rPr>
        <w:t xml:space="preserve">stawowymi wymogami oznakowania dotyczącego zrównoważonego charakteru. </w:t>
      </w:r>
    </w:p>
    <w:p w14:paraId="0051B68A" w14:textId="1901E7C4" w:rsidR="000464F8" w:rsidRPr="00624565" w:rsidRDefault="004D161E" w:rsidP="004D161E">
      <w:pPr>
        <w:pStyle w:val="ManualConsidrant"/>
        <w:rPr>
          <w:noProof/>
        </w:rPr>
      </w:pPr>
      <w:r w:rsidRPr="00624565">
        <w:rPr>
          <w:noProof/>
        </w:rPr>
        <w:t>(43)</w:t>
      </w:r>
      <w:r w:rsidRPr="00624565">
        <w:rPr>
          <w:noProof/>
        </w:rPr>
        <w:tab/>
        <w:t>W celu zwalczania wprowadzających</w:t>
      </w:r>
      <w:r w:rsidR="003F3D2B" w:rsidRPr="00624565">
        <w:rPr>
          <w:noProof/>
        </w:rPr>
        <w:t xml:space="preserve"> w</w:t>
      </w:r>
      <w:r w:rsidR="003F3D2B">
        <w:rPr>
          <w:noProof/>
        </w:rPr>
        <w:t> </w:t>
      </w:r>
      <w:r w:rsidR="003F3D2B" w:rsidRPr="00624565">
        <w:rPr>
          <w:noProof/>
        </w:rPr>
        <w:t>błą</w:t>
      </w:r>
      <w:r w:rsidRPr="00624565">
        <w:rPr>
          <w:noProof/>
        </w:rPr>
        <w:t>d wyraźnych oświadczeń środowiskowych przekazywanych</w:t>
      </w:r>
      <w:r w:rsidR="003F3D2B" w:rsidRPr="00624565">
        <w:rPr>
          <w:noProof/>
        </w:rPr>
        <w:t xml:space="preserve"> w</w:t>
      </w:r>
      <w:r w:rsidR="003F3D2B">
        <w:rPr>
          <w:noProof/>
        </w:rPr>
        <w:t> </w:t>
      </w:r>
      <w:r w:rsidR="003F3D2B" w:rsidRPr="00624565">
        <w:rPr>
          <w:noProof/>
        </w:rPr>
        <w:t>for</w:t>
      </w:r>
      <w:r w:rsidRPr="00624565">
        <w:rPr>
          <w:noProof/>
        </w:rPr>
        <w:t>mie oznakowania ekologicznego oraz zwiększenia zaufania konsumentów</w:t>
      </w:r>
      <w:r w:rsidR="003F3D2B" w:rsidRPr="00624565">
        <w:rPr>
          <w:noProof/>
        </w:rPr>
        <w:t xml:space="preserve"> w</w:t>
      </w:r>
      <w:r w:rsidR="003F3D2B">
        <w:rPr>
          <w:noProof/>
        </w:rPr>
        <w:t> </w:t>
      </w:r>
      <w:r w:rsidR="003F3D2B" w:rsidRPr="00624565">
        <w:rPr>
          <w:noProof/>
        </w:rPr>
        <w:t>odn</w:t>
      </w:r>
      <w:r w:rsidRPr="00624565">
        <w:rPr>
          <w:noProof/>
        </w:rPr>
        <w:t>iesieniu do oznakowania ekologicznego</w:t>
      </w:r>
      <w:r w:rsidR="003F3D2B" w:rsidRPr="00624565">
        <w:rPr>
          <w:noProof/>
        </w:rPr>
        <w:t xml:space="preserve"> w</w:t>
      </w:r>
      <w:r w:rsidR="003F3D2B">
        <w:rPr>
          <w:noProof/>
        </w:rPr>
        <w:t> </w:t>
      </w:r>
      <w:r w:rsidR="003F3D2B" w:rsidRPr="00624565">
        <w:rPr>
          <w:noProof/>
        </w:rPr>
        <w:t>nin</w:t>
      </w:r>
      <w:r w:rsidRPr="00624565">
        <w:rPr>
          <w:noProof/>
        </w:rPr>
        <w:t xml:space="preserve">iejszej dyrektywie należy ustanowić kryteria zarządzania, które muszą spełniać wszystkie systemy oznakowania ekologicznego, uzupełniając tym samym wymogi określone we wspomnianym wniosku zmieniającym dyrektywę 2005/29/WE. </w:t>
      </w:r>
    </w:p>
    <w:p w14:paraId="59D4848D" w14:textId="04431DE8" w:rsidR="000464F8" w:rsidRPr="00624565" w:rsidRDefault="004D161E" w:rsidP="004D161E">
      <w:pPr>
        <w:pStyle w:val="ManualConsidrant"/>
        <w:rPr>
          <w:noProof/>
        </w:rPr>
      </w:pPr>
      <w:r w:rsidRPr="00624565">
        <w:rPr>
          <w:noProof/>
        </w:rPr>
        <w:t>(44)</w:t>
      </w:r>
      <w:r w:rsidRPr="00624565">
        <w:rPr>
          <w:noProof/>
        </w:rPr>
        <w:tab/>
        <w:t>Aby uniknąć dalszego wzrostu liczby krajowych lub regionalnych urzędowo uznanych systemów oznakowania ekologicznego EN ISO 14024 typu I („oznakowanie ekologiczne”)</w:t>
      </w:r>
      <w:r w:rsidR="003F3D2B" w:rsidRPr="00624565">
        <w:rPr>
          <w:noProof/>
        </w:rPr>
        <w:t xml:space="preserve"> i</w:t>
      </w:r>
      <w:r w:rsidR="003F3D2B">
        <w:rPr>
          <w:noProof/>
        </w:rPr>
        <w:t> </w:t>
      </w:r>
      <w:r w:rsidR="003F3D2B" w:rsidRPr="00624565">
        <w:rPr>
          <w:noProof/>
        </w:rPr>
        <w:t>inn</w:t>
      </w:r>
      <w:r w:rsidRPr="00624565">
        <w:rPr>
          <w:noProof/>
        </w:rPr>
        <w:t>ych systemów oznakowania ekologicznego oraz aby zapewnić większą harmonizację na rynku wewnętrznym, nowe krajowe lub regionalne systemy oznakowania ekologicznego powinny być opracowywane wyłącznie zgodnie</w:t>
      </w:r>
      <w:r w:rsidR="003F3D2B" w:rsidRPr="00624565">
        <w:rPr>
          <w:noProof/>
        </w:rPr>
        <w:t xml:space="preserve"> z</w:t>
      </w:r>
      <w:r w:rsidR="003F3D2B">
        <w:rPr>
          <w:noProof/>
        </w:rPr>
        <w:t> </w:t>
      </w:r>
      <w:r w:rsidR="003F3D2B" w:rsidRPr="00624565">
        <w:rPr>
          <w:noProof/>
        </w:rPr>
        <w:t>pra</w:t>
      </w:r>
      <w:r w:rsidRPr="00624565">
        <w:rPr>
          <w:noProof/>
        </w:rPr>
        <w:t>wem Unii. Państwa członkowskie mogą jednak zwrócić się do Komisji</w:t>
      </w:r>
      <w:r w:rsidR="003F3D2B" w:rsidRPr="00624565">
        <w:rPr>
          <w:noProof/>
        </w:rPr>
        <w:t xml:space="preserve"> o</w:t>
      </w:r>
      <w:r w:rsidR="003F3D2B">
        <w:rPr>
          <w:noProof/>
        </w:rPr>
        <w:t> </w:t>
      </w:r>
      <w:r w:rsidR="003F3D2B" w:rsidRPr="00624565">
        <w:rPr>
          <w:noProof/>
        </w:rPr>
        <w:t>roz</w:t>
      </w:r>
      <w:r w:rsidRPr="00624565">
        <w:rPr>
          <w:noProof/>
        </w:rPr>
        <w:t>ważenie opracowania publicznych systemów oznakowania na szczeblu unijnym</w:t>
      </w:r>
      <w:r w:rsidR="003F3D2B" w:rsidRPr="00624565">
        <w:rPr>
          <w:noProof/>
        </w:rPr>
        <w:t xml:space="preserve"> w</w:t>
      </w:r>
      <w:r w:rsidR="003F3D2B">
        <w:rPr>
          <w:noProof/>
        </w:rPr>
        <w:t> </w:t>
      </w:r>
      <w:r w:rsidR="003F3D2B" w:rsidRPr="00624565">
        <w:rPr>
          <w:noProof/>
        </w:rPr>
        <w:t>odn</w:t>
      </w:r>
      <w:r w:rsidRPr="00624565">
        <w:rPr>
          <w:noProof/>
        </w:rPr>
        <w:t>iesieniu do grup produktów lub sektorów,</w:t>
      </w:r>
      <w:r w:rsidR="003F3D2B" w:rsidRPr="00624565">
        <w:rPr>
          <w:noProof/>
        </w:rPr>
        <w:t xml:space="preserve"> w</w:t>
      </w:r>
      <w:r w:rsidR="003F3D2B">
        <w:rPr>
          <w:noProof/>
        </w:rPr>
        <w:t> </w:t>
      </w:r>
      <w:r w:rsidR="003F3D2B" w:rsidRPr="00624565">
        <w:rPr>
          <w:noProof/>
        </w:rPr>
        <w:t>prz</w:t>
      </w:r>
      <w:r w:rsidRPr="00624565">
        <w:rPr>
          <w:noProof/>
        </w:rPr>
        <w:t>ypadku których takie oznakowania nie istnieją jeszcze</w:t>
      </w:r>
      <w:r w:rsidR="003F3D2B" w:rsidRPr="00624565">
        <w:rPr>
          <w:noProof/>
        </w:rPr>
        <w:t xml:space="preserve"> w</w:t>
      </w:r>
      <w:r w:rsidR="003F3D2B">
        <w:rPr>
          <w:noProof/>
        </w:rPr>
        <w:t> </w:t>
      </w:r>
      <w:r w:rsidR="003F3D2B" w:rsidRPr="00624565">
        <w:rPr>
          <w:noProof/>
        </w:rPr>
        <w:t>pra</w:t>
      </w:r>
      <w:r w:rsidRPr="00624565">
        <w:rPr>
          <w:noProof/>
        </w:rPr>
        <w:t>wie Unii,</w:t>
      </w:r>
      <w:r w:rsidR="003F3D2B" w:rsidRPr="00624565">
        <w:rPr>
          <w:noProof/>
        </w:rPr>
        <w:t xml:space="preserve"> a</w:t>
      </w:r>
      <w:r w:rsidR="003F3D2B">
        <w:rPr>
          <w:noProof/>
        </w:rPr>
        <w:t> </w:t>
      </w:r>
      <w:r w:rsidR="003F3D2B" w:rsidRPr="00624565">
        <w:rPr>
          <w:noProof/>
        </w:rPr>
        <w:t>har</w:t>
      </w:r>
      <w:r w:rsidRPr="00624565">
        <w:rPr>
          <w:noProof/>
        </w:rPr>
        <w:t>monizacja przyniosłaby wartość dodaną prowadzącą do skutecznego osiągnięcia celów dotyczących zrównoważonego rozwoju</w:t>
      </w:r>
      <w:r w:rsidR="003F3D2B" w:rsidRPr="00624565">
        <w:rPr>
          <w:noProof/>
        </w:rPr>
        <w:t xml:space="preserve"> i</w:t>
      </w:r>
      <w:r w:rsidR="003F3D2B">
        <w:rPr>
          <w:noProof/>
        </w:rPr>
        <w:t> </w:t>
      </w:r>
      <w:r w:rsidR="003F3D2B" w:rsidRPr="00624565">
        <w:rPr>
          <w:noProof/>
        </w:rPr>
        <w:t>ryn</w:t>
      </w:r>
      <w:r w:rsidRPr="00624565">
        <w:rPr>
          <w:noProof/>
        </w:rPr>
        <w:t>ku wewnętrznego.</w:t>
      </w:r>
    </w:p>
    <w:p w14:paraId="48EE0CCF" w14:textId="5CE7A081" w:rsidR="000464F8" w:rsidRPr="00624565" w:rsidRDefault="004D161E" w:rsidP="004D161E">
      <w:pPr>
        <w:pStyle w:val="ManualConsidrant"/>
        <w:rPr>
          <w:noProof/>
        </w:rPr>
      </w:pPr>
      <w:r w:rsidRPr="00624565">
        <w:rPr>
          <w:noProof/>
        </w:rPr>
        <w:t>(45)</w:t>
      </w:r>
      <w:r w:rsidRPr="00624565">
        <w:rPr>
          <w:noProof/>
        </w:rPr>
        <w:tab/>
        <w:t>Aby nie tworzyć niepotrzebnych barier</w:t>
      </w:r>
      <w:r w:rsidR="003F3D2B" w:rsidRPr="00624565">
        <w:rPr>
          <w:noProof/>
        </w:rPr>
        <w:t xml:space="preserve"> w</w:t>
      </w:r>
      <w:r w:rsidR="003F3D2B">
        <w:rPr>
          <w:noProof/>
        </w:rPr>
        <w:t> </w:t>
      </w:r>
      <w:r w:rsidR="003F3D2B" w:rsidRPr="00624565">
        <w:rPr>
          <w:noProof/>
        </w:rPr>
        <w:t>han</w:t>
      </w:r>
      <w:r w:rsidRPr="00624565">
        <w:rPr>
          <w:noProof/>
        </w:rPr>
        <w:t>dlu międzynarodowym</w:t>
      </w:r>
      <w:r w:rsidR="003F3D2B" w:rsidRPr="00624565">
        <w:rPr>
          <w:noProof/>
        </w:rPr>
        <w:t xml:space="preserve"> i</w:t>
      </w:r>
      <w:r w:rsidR="003F3D2B">
        <w:rPr>
          <w:noProof/>
        </w:rPr>
        <w:t> </w:t>
      </w:r>
      <w:r w:rsidR="003F3D2B" w:rsidRPr="00624565">
        <w:rPr>
          <w:noProof/>
        </w:rPr>
        <w:t>zap</w:t>
      </w:r>
      <w:r w:rsidRPr="00624565">
        <w:rPr>
          <w:noProof/>
        </w:rPr>
        <w:t>ewnić traktowanie na równi</w:t>
      </w:r>
      <w:r w:rsidR="003F3D2B" w:rsidRPr="00624565">
        <w:rPr>
          <w:noProof/>
        </w:rPr>
        <w:t xml:space="preserve"> z</w:t>
      </w:r>
      <w:r w:rsidR="003F3D2B">
        <w:rPr>
          <w:noProof/>
        </w:rPr>
        <w:t> </w:t>
      </w:r>
      <w:r w:rsidR="003F3D2B" w:rsidRPr="00624565">
        <w:rPr>
          <w:noProof/>
        </w:rPr>
        <w:t>sys</w:t>
      </w:r>
      <w:r w:rsidRPr="00624565">
        <w:rPr>
          <w:noProof/>
        </w:rPr>
        <w:t>temami publicznymi ustanowionymi</w:t>
      </w:r>
      <w:r w:rsidR="003F3D2B" w:rsidRPr="00624565">
        <w:rPr>
          <w:noProof/>
        </w:rPr>
        <w:t xml:space="preserve"> w</w:t>
      </w:r>
      <w:r w:rsidR="003F3D2B">
        <w:rPr>
          <w:noProof/>
        </w:rPr>
        <w:t> </w:t>
      </w:r>
      <w:r w:rsidR="003F3D2B" w:rsidRPr="00624565">
        <w:rPr>
          <w:noProof/>
        </w:rPr>
        <w:t>Uni</w:t>
      </w:r>
      <w:r w:rsidRPr="00624565">
        <w:rPr>
          <w:noProof/>
        </w:rPr>
        <w:t>i, organy publiczne spoza Unii ustanawiające nowe systemy oznakowania powinny mieć możliwość zwrócenia się do Komisji</w:t>
      </w:r>
      <w:r w:rsidR="003F3D2B" w:rsidRPr="00624565">
        <w:rPr>
          <w:noProof/>
        </w:rPr>
        <w:t xml:space="preserve"> o</w:t>
      </w:r>
      <w:r w:rsidR="003F3D2B">
        <w:rPr>
          <w:noProof/>
        </w:rPr>
        <w:t> </w:t>
      </w:r>
      <w:r w:rsidR="003F3D2B" w:rsidRPr="00624565">
        <w:rPr>
          <w:noProof/>
        </w:rPr>
        <w:t>zat</w:t>
      </w:r>
      <w:r w:rsidRPr="00624565">
        <w:rPr>
          <w:noProof/>
        </w:rPr>
        <w:t>wierdzenie stosowania oznakowania na rynku unijnym. Zatwierdzenie to powinno być uzależnione od wkładu systemu</w:t>
      </w:r>
      <w:r w:rsidR="003F3D2B" w:rsidRPr="00624565">
        <w:rPr>
          <w:noProof/>
        </w:rPr>
        <w:t xml:space="preserve"> w</w:t>
      </w:r>
      <w:r w:rsidR="003F3D2B">
        <w:rPr>
          <w:noProof/>
        </w:rPr>
        <w:t> </w:t>
      </w:r>
      <w:r w:rsidR="003F3D2B" w:rsidRPr="00624565">
        <w:rPr>
          <w:noProof/>
        </w:rPr>
        <w:t>osi</w:t>
      </w:r>
      <w:r w:rsidRPr="00624565">
        <w:rPr>
          <w:noProof/>
        </w:rPr>
        <w:t>ągnięcie celów niniejszej dyrektywy</w:t>
      </w:r>
      <w:r w:rsidR="003F3D2B" w:rsidRPr="00624565">
        <w:rPr>
          <w:noProof/>
        </w:rPr>
        <w:t xml:space="preserve"> i</w:t>
      </w:r>
      <w:r w:rsidR="003F3D2B">
        <w:rPr>
          <w:noProof/>
        </w:rPr>
        <w:t> </w:t>
      </w:r>
      <w:r w:rsidR="003F3D2B" w:rsidRPr="00624565">
        <w:rPr>
          <w:noProof/>
        </w:rPr>
        <w:t>udz</w:t>
      </w:r>
      <w:r w:rsidRPr="00624565">
        <w:rPr>
          <w:noProof/>
        </w:rPr>
        <w:t>ielone pod warunkiem, że systemy te stanowią wartość dodaną pod względem ambicji środowiskowych, zakresu wpływu na środowisko, grupy produktów lub sektora oraz spełniają wszystkie wymogi niniejszej dyrektywy.</w:t>
      </w:r>
    </w:p>
    <w:p w14:paraId="6F6E4587" w14:textId="59D947A2" w:rsidR="000464F8" w:rsidRPr="00624565" w:rsidRDefault="004D161E" w:rsidP="004D161E">
      <w:pPr>
        <w:pStyle w:val="ManualConsidrant"/>
        <w:rPr>
          <w:noProof/>
        </w:rPr>
      </w:pPr>
      <w:r w:rsidRPr="00624565">
        <w:rPr>
          <w:noProof/>
        </w:rPr>
        <w:t>(46)</w:t>
      </w:r>
      <w:r w:rsidRPr="00624565">
        <w:rPr>
          <w:noProof/>
        </w:rPr>
        <w:tab/>
        <w:t>Jeśli systemy oznakowania ekologicznego ustanowione przez podmioty prywatne są zbyt liczne</w:t>
      </w:r>
      <w:r w:rsidR="003F3D2B" w:rsidRPr="00624565">
        <w:rPr>
          <w:noProof/>
        </w:rPr>
        <w:t xml:space="preserve"> i</w:t>
      </w:r>
      <w:r w:rsidR="003F3D2B">
        <w:rPr>
          <w:noProof/>
        </w:rPr>
        <w:t> </w:t>
      </w:r>
      <w:r w:rsidR="003F3D2B" w:rsidRPr="00624565">
        <w:rPr>
          <w:noProof/>
        </w:rPr>
        <w:t>pok</w:t>
      </w:r>
      <w:r w:rsidRPr="00624565">
        <w:rPr>
          <w:noProof/>
        </w:rPr>
        <w:t>rywają się pod względem zakresu, mogą powodować dezorientację</w:t>
      </w:r>
      <w:r w:rsidR="003F3D2B" w:rsidRPr="00624565">
        <w:rPr>
          <w:noProof/>
        </w:rPr>
        <w:t xml:space="preserve"> u</w:t>
      </w:r>
      <w:r w:rsidR="003F3D2B">
        <w:rPr>
          <w:noProof/>
        </w:rPr>
        <w:t> </w:t>
      </w:r>
      <w:r w:rsidR="003F3D2B" w:rsidRPr="00624565">
        <w:rPr>
          <w:noProof/>
        </w:rPr>
        <w:t>kon</w:t>
      </w:r>
      <w:r w:rsidRPr="00624565">
        <w:rPr>
          <w:noProof/>
        </w:rPr>
        <w:t>sumentów lub osłabiać ich zaufanie</w:t>
      </w:r>
      <w:r w:rsidR="003F3D2B" w:rsidRPr="00624565">
        <w:rPr>
          <w:noProof/>
        </w:rPr>
        <w:t xml:space="preserve"> w</w:t>
      </w:r>
      <w:r w:rsidR="003F3D2B">
        <w:rPr>
          <w:noProof/>
        </w:rPr>
        <w:t> </w:t>
      </w:r>
      <w:r w:rsidR="003F3D2B" w:rsidRPr="00624565">
        <w:rPr>
          <w:noProof/>
        </w:rPr>
        <w:t>odn</w:t>
      </w:r>
      <w:r w:rsidRPr="00624565">
        <w:rPr>
          <w:noProof/>
        </w:rPr>
        <w:t>iesieniu do oznakowania ekologicznego. Państwa członkowskie powinny zezwolić zatem na tworzenie nowych systemów oznakowania ekologicznego przez podmioty prywatne jedynie pod warunkiem, że wnoszą one znaczną wartość dodaną</w:t>
      </w:r>
      <w:r w:rsidR="003F3D2B" w:rsidRPr="00624565">
        <w:rPr>
          <w:noProof/>
        </w:rPr>
        <w:t xml:space="preserve"> w</w:t>
      </w:r>
      <w:r w:rsidR="003F3D2B">
        <w:rPr>
          <w:noProof/>
        </w:rPr>
        <w:t> </w:t>
      </w:r>
      <w:r w:rsidR="003F3D2B" w:rsidRPr="00624565">
        <w:rPr>
          <w:noProof/>
        </w:rPr>
        <w:t>por</w:t>
      </w:r>
      <w:r w:rsidRPr="00624565">
        <w:rPr>
          <w:noProof/>
        </w:rPr>
        <w:t>ównaniu</w:t>
      </w:r>
      <w:r w:rsidR="003F3D2B" w:rsidRPr="00624565">
        <w:rPr>
          <w:noProof/>
        </w:rPr>
        <w:t xml:space="preserve"> z</w:t>
      </w:r>
      <w:r w:rsidR="003F3D2B">
        <w:rPr>
          <w:noProof/>
        </w:rPr>
        <w:t> </w:t>
      </w:r>
      <w:r w:rsidR="003F3D2B" w:rsidRPr="00624565">
        <w:rPr>
          <w:noProof/>
        </w:rPr>
        <w:t>ist</w:t>
      </w:r>
      <w:r w:rsidRPr="00624565">
        <w:rPr>
          <w:noProof/>
        </w:rPr>
        <w:t>niejącymi systemami krajowymi lub regionalnymi pod względem poziomu ambicji środowiskowych kryteriów przyznawania oznakowania, uwzględniania istotnych wpływów na środowisko oraz kompletności podstawowej oceny. Państwa członkowskie powinny ustanowić procedurę zatwierdzania nowych systemów oznakowania ekologicznego</w:t>
      </w:r>
      <w:r w:rsidR="003F3D2B" w:rsidRPr="00624565">
        <w:rPr>
          <w:noProof/>
        </w:rPr>
        <w:t xml:space="preserve"> w</w:t>
      </w:r>
      <w:r w:rsidR="003F3D2B">
        <w:rPr>
          <w:noProof/>
        </w:rPr>
        <w:t> </w:t>
      </w:r>
      <w:r w:rsidR="003F3D2B" w:rsidRPr="00624565">
        <w:rPr>
          <w:noProof/>
        </w:rPr>
        <w:t>opa</w:t>
      </w:r>
      <w:r w:rsidRPr="00624565">
        <w:rPr>
          <w:noProof/>
        </w:rPr>
        <w:t>rciu</w:t>
      </w:r>
      <w:r w:rsidR="003F3D2B" w:rsidRPr="00624565">
        <w:rPr>
          <w:noProof/>
        </w:rPr>
        <w:t xml:space="preserve"> o</w:t>
      </w:r>
      <w:r w:rsidR="003F3D2B">
        <w:rPr>
          <w:noProof/>
        </w:rPr>
        <w:t> </w:t>
      </w:r>
      <w:r w:rsidR="003F3D2B" w:rsidRPr="00624565">
        <w:rPr>
          <w:noProof/>
        </w:rPr>
        <w:t>cer</w:t>
      </w:r>
      <w:r w:rsidRPr="00624565">
        <w:rPr>
          <w:noProof/>
        </w:rPr>
        <w:t>tyfikat zgodności sporządzony przez niezależnego weryfikatora. Powinno to mieć zastosowanie do systemów ustanowionych</w:t>
      </w:r>
      <w:r w:rsidR="003F3D2B" w:rsidRPr="00624565">
        <w:rPr>
          <w:noProof/>
        </w:rPr>
        <w:t xml:space="preserve"> w</w:t>
      </w:r>
      <w:r w:rsidR="003F3D2B">
        <w:rPr>
          <w:noProof/>
        </w:rPr>
        <w:t> </w:t>
      </w:r>
      <w:r w:rsidR="003F3D2B" w:rsidRPr="00624565">
        <w:rPr>
          <w:noProof/>
        </w:rPr>
        <w:t>Uni</w:t>
      </w:r>
      <w:r w:rsidRPr="00624565">
        <w:rPr>
          <w:noProof/>
        </w:rPr>
        <w:t>i</w:t>
      </w:r>
      <w:r w:rsidR="003F3D2B" w:rsidRPr="00624565">
        <w:rPr>
          <w:noProof/>
        </w:rPr>
        <w:t xml:space="preserve"> i</w:t>
      </w:r>
      <w:r w:rsidR="003F3D2B">
        <w:rPr>
          <w:noProof/>
        </w:rPr>
        <w:t> </w:t>
      </w:r>
      <w:r w:rsidR="003F3D2B" w:rsidRPr="00624565">
        <w:rPr>
          <w:noProof/>
        </w:rPr>
        <w:t>poz</w:t>
      </w:r>
      <w:r w:rsidRPr="00624565">
        <w:rPr>
          <w:noProof/>
        </w:rPr>
        <w:t xml:space="preserve">a nią. </w:t>
      </w:r>
    </w:p>
    <w:p w14:paraId="746E2E32" w14:textId="7ED8B7CE" w:rsidR="00713C5E" w:rsidRPr="00624565" w:rsidRDefault="004D161E" w:rsidP="004D161E">
      <w:pPr>
        <w:pStyle w:val="ManualConsidrant"/>
        <w:rPr>
          <w:noProof/>
        </w:rPr>
      </w:pPr>
      <w:r w:rsidRPr="00624565">
        <w:rPr>
          <w:noProof/>
        </w:rPr>
        <w:t>(47)</w:t>
      </w:r>
      <w:r w:rsidRPr="00624565">
        <w:rPr>
          <w:noProof/>
        </w:rPr>
        <w:tab/>
        <w:t>W celu zapewnienia pewności prawa</w:t>
      </w:r>
      <w:r w:rsidR="003F3D2B" w:rsidRPr="00624565">
        <w:rPr>
          <w:noProof/>
        </w:rPr>
        <w:t xml:space="preserve"> i</w:t>
      </w:r>
      <w:r w:rsidR="003F3D2B">
        <w:rPr>
          <w:noProof/>
        </w:rPr>
        <w:t> </w:t>
      </w:r>
      <w:r w:rsidR="003F3D2B" w:rsidRPr="00624565">
        <w:rPr>
          <w:noProof/>
        </w:rPr>
        <w:t>uła</w:t>
      </w:r>
      <w:r w:rsidRPr="00624565">
        <w:rPr>
          <w:noProof/>
        </w:rPr>
        <w:t>twienia egzekwowania przepisów dotyczących nowych krajowych</w:t>
      </w:r>
      <w:r w:rsidR="003F3D2B" w:rsidRPr="00624565">
        <w:rPr>
          <w:noProof/>
        </w:rPr>
        <w:t xml:space="preserve"> i</w:t>
      </w:r>
      <w:r w:rsidR="003F3D2B">
        <w:rPr>
          <w:noProof/>
        </w:rPr>
        <w:t> </w:t>
      </w:r>
      <w:r w:rsidR="003F3D2B" w:rsidRPr="00624565">
        <w:rPr>
          <w:noProof/>
        </w:rPr>
        <w:t>reg</w:t>
      </w:r>
      <w:r w:rsidRPr="00624565">
        <w:rPr>
          <w:noProof/>
        </w:rPr>
        <w:t>ionalnych urzędowo uznanych systemów oznakowania ekologicznego oraz nowych prywatnych systemów oznakowania Komisja powinna opublikować wykaz takich systemów, które mogą być nadal stosowane albo wejść na rynek unijny.</w:t>
      </w:r>
    </w:p>
    <w:p w14:paraId="41EF3291" w14:textId="32542148" w:rsidR="000464F8" w:rsidRPr="00624565" w:rsidRDefault="004D161E" w:rsidP="004D161E">
      <w:pPr>
        <w:pStyle w:val="ManualConsidrant"/>
        <w:rPr>
          <w:noProof/>
        </w:rPr>
      </w:pPr>
      <w:r w:rsidRPr="00624565">
        <w:rPr>
          <w:noProof/>
        </w:rPr>
        <w:t>(48)</w:t>
      </w:r>
      <w:r w:rsidRPr="00624565">
        <w:rPr>
          <w:noProof/>
        </w:rPr>
        <w:tab/>
        <w:t>W celu zapewnienia zharmonizowanego podejścia państw członkowskich do oceny</w:t>
      </w:r>
      <w:r w:rsidR="003F3D2B" w:rsidRPr="00624565">
        <w:rPr>
          <w:noProof/>
        </w:rPr>
        <w:t xml:space="preserve"> i</w:t>
      </w:r>
      <w:r w:rsidR="003F3D2B">
        <w:rPr>
          <w:noProof/>
        </w:rPr>
        <w:t> </w:t>
      </w:r>
      <w:r w:rsidR="003F3D2B" w:rsidRPr="00624565">
        <w:rPr>
          <w:noProof/>
        </w:rPr>
        <w:t>zat</w:t>
      </w:r>
      <w:r w:rsidRPr="00624565">
        <w:rPr>
          <w:noProof/>
        </w:rPr>
        <w:t>wierdzania systemów oznakowania ekologicznego opracowanych przez podmioty prywatne oraz ustanowienia procedury zatwierdzania przez Komisję proponowanych systemów ustanowionych przez organy publiczne spoza Unii należy powierzyć Komisji uprawnienia wykonawcze do przyjmowania wspólnych zasad określających szczegółowe wymagania dotyczące zatwierdzania takich systemów oznakowania ekologicznego, formatu</w:t>
      </w:r>
      <w:r w:rsidR="003F3D2B" w:rsidRPr="00624565">
        <w:rPr>
          <w:noProof/>
        </w:rPr>
        <w:t xml:space="preserve"> i</w:t>
      </w:r>
      <w:r w:rsidR="003F3D2B">
        <w:rPr>
          <w:noProof/>
        </w:rPr>
        <w:t> </w:t>
      </w:r>
      <w:r w:rsidR="003F3D2B" w:rsidRPr="00624565">
        <w:rPr>
          <w:noProof/>
        </w:rPr>
        <w:t>tre</w:t>
      </w:r>
      <w:r w:rsidRPr="00624565">
        <w:rPr>
          <w:noProof/>
        </w:rPr>
        <w:t>ści dokumentów potwierdzających oraz zasad procedury zatwierdzania takich systemów. Uprawnienia te powinny być wykonywane zgodnie</w:t>
      </w:r>
      <w:r w:rsidR="003F3D2B" w:rsidRPr="00624565">
        <w:rPr>
          <w:noProof/>
        </w:rPr>
        <w:t xml:space="preserve"> z</w:t>
      </w:r>
      <w:r w:rsidR="003F3D2B">
        <w:rPr>
          <w:noProof/>
        </w:rPr>
        <w:t> </w:t>
      </w:r>
      <w:r w:rsidR="003F3D2B" w:rsidRPr="00624565">
        <w:rPr>
          <w:noProof/>
        </w:rPr>
        <w:t>roz</w:t>
      </w:r>
      <w:r w:rsidRPr="00624565">
        <w:rPr>
          <w:noProof/>
        </w:rPr>
        <w:t>porządzeniem Parlamentu Europejskiego</w:t>
      </w:r>
      <w:r w:rsidR="003F3D2B" w:rsidRPr="00624565">
        <w:rPr>
          <w:noProof/>
        </w:rPr>
        <w:t xml:space="preserve"> i</w:t>
      </w:r>
      <w:r w:rsidR="003F3D2B">
        <w:rPr>
          <w:noProof/>
        </w:rPr>
        <w:t> </w:t>
      </w:r>
      <w:r w:rsidR="003F3D2B" w:rsidRPr="00624565">
        <w:rPr>
          <w:noProof/>
        </w:rPr>
        <w:t>Rad</w:t>
      </w:r>
      <w:r w:rsidRPr="00624565">
        <w:rPr>
          <w:noProof/>
        </w:rPr>
        <w:t xml:space="preserve">y (UE) </w:t>
      </w:r>
      <w:r w:rsidRPr="003F3D2B">
        <w:rPr>
          <w:noProof/>
        </w:rPr>
        <w:t>nr</w:t>
      </w:r>
      <w:r w:rsidR="003F3D2B" w:rsidRPr="003F3D2B">
        <w:rPr>
          <w:noProof/>
        </w:rPr>
        <w:t> </w:t>
      </w:r>
      <w:r w:rsidRPr="003F3D2B">
        <w:rPr>
          <w:noProof/>
        </w:rPr>
        <w:t>1</w:t>
      </w:r>
      <w:r w:rsidRPr="00624565">
        <w:rPr>
          <w:noProof/>
        </w:rPr>
        <w:t>82/2011</w:t>
      </w:r>
      <w:r w:rsidRPr="00624565">
        <w:rPr>
          <w:rStyle w:val="FootnoteReference"/>
          <w:noProof/>
        </w:rPr>
        <w:footnoteReference w:id="86"/>
      </w:r>
      <w:r w:rsidRPr="00624565">
        <w:rPr>
          <w:noProof/>
        </w:rPr>
        <w:t>.</w:t>
      </w:r>
    </w:p>
    <w:p w14:paraId="1073CF01" w14:textId="042BDFD5" w:rsidR="000464F8" w:rsidRPr="00624565" w:rsidRDefault="004D161E" w:rsidP="004D161E">
      <w:pPr>
        <w:pStyle w:val="ManualConsidrant"/>
        <w:rPr>
          <w:noProof/>
        </w:rPr>
      </w:pPr>
      <w:r w:rsidRPr="00624565">
        <w:rPr>
          <w:noProof/>
        </w:rPr>
        <w:t>(49)</w:t>
      </w:r>
      <w:r w:rsidRPr="00624565">
        <w:rPr>
          <w:noProof/>
        </w:rPr>
        <w:tab/>
        <w:t>Zasadniczą kwestią jest, aby wyraźne oświadczenia środowiskowe prawidłowo odzwierciedlały efektywność środowiskową</w:t>
      </w:r>
      <w:r w:rsidR="003F3D2B" w:rsidRPr="00624565">
        <w:rPr>
          <w:noProof/>
        </w:rPr>
        <w:t xml:space="preserve"> i</w:t>
      </w:r>
      <w:r w:rsidR="003F3D2B">
        <w:rPr>
          <w:noProof/>
        </w:rPr>
        <w:t> </w:t>
      </w:r>
      <w:r w:rsidR="003F3D2B" w:rsidRPr="00624565">
        <w:rPr>
          <w:noProof/>
        </w:rPr>
        <w:t>wpł</w:t>
      </w:r>
      <w:r w:rsidRPr="00624565">
        <w:rPr>
          <w:noProof/>
        </w:rPr>
        <w:t>yw na środowisko,</w:t>
      </w:r>
      <w:r w:rsidR="003F3D2B" w:rsidRPr="00624565">
        <w:rPr>
          <w:noProof/>
        </w:rPr>
        <w:t xml:space="preserve"> o</w:t>
      </w:r>
      <w:r w:rsidR="003F3D2B">
        <w:rPr>
          <w:noProof/>
        </w:rPr>
        <w:t> </w:t>
      </w:r>
      <w:r w:rsidR="003F3D2B" w:rsidRPr="00624565">
        <w:rPr>
          <w:noProof/>
        </w:rPr>
        <w:t>któ</w:t>
      </w:r>
      <w:r w:rsidRPr="00624565">
        <w:rPr>
          <w:noProof/>
        </w:rPr>
        <w:t>rych mowa</w:t>
      </w:r>
      <w:r w:rsidR="003F3D2B" w:rsidRPr="00624565">
        <w:rPr>
          <w:noProof/>
        </w:rPr>
        <w:t xml:space="preserve"> w</w:t>
      </w:r>
      <w:r w:rsidR="003F3D2B">
        <w:rPr>
          <w:noProof/>
        </w:rPr>
        <w:t> </w:t>
      </w:r>
      <w:r w:rsidR="003F3D2B" w:rsidRPr="00624565">
        <w:rPr>
          <w:noProof/>
        </w:rPr>
        <w:t>ośw</w:t>
      </w:r>
      <w:r w:rsidRPr="00624565">
        <w:rPr>
          <w:noProof/>
        </w:rPr>
        <w:t>iadczeniu, oraz uwzględniały najnowsze dowody naukowe. Państwa członkowskie powinny</w:t>
      </w:r>
      <w:r w:rsidR="003F3D2B" w:rsidRPr="00624565">
        <w:rPr>
          <w:noProof/>
        </w:rPr>
        <w:t xml:space="preserve"> w</w:t>
      </w:r>
      <w:r w:rsidR="003F3D2B">
        <w:rPr>
          <w:noProof/>
        </w:rPr>
        <w:t> </w:t>
      </w:r>
      <w:r w:rsidR="003F3D2B" w:rsidRPr="00624565">
        <w:rPr>
          <w:noProof/>
        </w:rPr>
        <w:t>zwi</w:t>
      </w:r>
      <w:r w:rsidRPr="00624565">
        <w:rPr>
          <w:noProof/>
        </w:rPr>
        <w:t>ązku</w:t>
      </w:r>
      <w:r w:rsidR="003F3D2B" w:rsidRPr="00624565">
        <w:rPr>
          <w:noProof/>
        </w:rPr>
        <w:t xml:space="preserve"> z</w:t>
      </w:r>
      <w:r w:rsidR="003F3D2B">
        <w:rPr>
          <w:noProof/>
        </w:rPr>
        <w:t> </w:t>
      </w:r>
      <w:r w:rsidR="003F3D2B" w:rsidRPr="00624565">
        <w:rPr>
          <w:noProof/>
        </w:rPr>
        <w:t>tym</w:t>
      </w:r>
      <w:r w:rsidRPr="00624565">
        <w:rPr>
          <w:noProof/>
        </w:rPr>
        <w:t xml:space="preserve"> zapewnić, aby przedsiębiorca formułujący oświadczenie dokonywał przeglądu</w:t>
      </w:r>
      <w:r w:rsidR="003F3D2B" w:rsidRPr="00624565">
        <w:rPr>
          <w:noProof/>
        </w:rPr>
        <w:t xml:space="preserve"> i</w:t>
      </w:r>
      <w:r w:rsidR="003F3D2B">
        <w:rPr>
          <w:noProof/>
        </w:rPr>
        <w:t> </w:t>
      </w:r>
      <w:r w:rsidR="003F3D2B" w:rsidRPr="00624565">
        <w:rPr>
          <w:noProof/>
        </w:rPr>
        <w:t>akt</w:t>
      </w:r>
      <w:r w:rsidRPr="00624565">
        <w:rPr>
          <w:noProof/>
        </w:rPr>
        <w:t>ualizacji uzasadnienia</w:t>
      </w:r>
      <w:r w:rsidR="003F3D2B" w:rsidRPr="00624565">
        <w:rPr>
          <w:noProof/>
        </w:rPr>
        <w:t xml:space="preserve"> i</w:t>
      </w:r>
      <w:r w:rsidR="003F3D2B">
        <w:rPr>
          <w:noProof/>
        </w:rPr>
        <w:t> </w:t>
      </w:r>
      <w:r w:rsidR="003F3D2B" w:rsidRPr="00624565">
        <w:rPr>
          <w:noProof/>
        </w:rPr>
        <w:t>prz</w:t>
      </w:r>
      <w:r w:rsidRPr="00624565">
        <w:rPr>
          <w:noProof/>
        </w:rPr>
        <w:t>ekazywania oświadczeń co najmniej co pięć lat</w:t>
      </w:r>
      <w:r w:rsidR="003F3D2B" w:rsidRPr="00624565">
        <w:rPr>
          <w:noProof/>
        </w:rPr>
        <w:t xml:space="preserve"> w</w:t>
      </w:r>
      <w:r w:rsidR="003F3D2B">
        <w:rPr>
          <w:noProof/>
        </w:rPr>
        <w:t> </w:t>
      </w:r>
      <w:r w:rsidR="003F3D2B" w:rsidRPr="00624565">
        <w:rPr>
          <w:noProof/>
        </w:rPr>
        <w:t>cel</w:t>
      </w:r>
      <w:r w:rsidRPr="00624565">
        <w:rPr>
          <w:noProof/>
        </w:rPr>
        <w:t>u zagwarantowania zgodności</w:t>
      </w:r>
      <w:r w:rsidR="003F3D2B" w:rsidRPr="00624565">
        <w:rPr>
          <w:noProof/>
        </w:rPr>
        <w:t xml:space="preserve"> z</w:t>
      </w:r>
      <w:r w:rsidR="003F3D2B">
        <w:rPr>
          <w:noProof/>
        </w:rPr>
        <w:t> </w:t>
      </w:r>
      <w:r w:rsidR="003F3D2B" w:rsidRPr="00624565">
        <w:rPr>
          <w:noProof/>
        </w:rPr>
        <w:t>wym</w:t>
      </w:r>
      <w:r w:rsidRPr="00624565">
        <w:rPr>
          <w:noProof/>
        </w:rPr>
        <w:t>ogami niniejszej dyrektywy.</w:t>
      </w:r>
    </w:p>
    <w:p w14:paraId="45D9032C" w14:textId="56604C47" w:rsidR="000464F8" w:rsidRPr="00624565" w:rsidRDefault="004D161E" w:rsidP="004D161E">
      <w:pPr>
        <w:pStyle w:val="ManualConsidrant"/>
        <w:rPr>
          <w:noProof/>
        </w:rPr>
      </w:pPr>
      <w:r w:rsidRPr="00624565">
        <w:rPr>
          <w:noProof/>
        </w:rPr>
        <w:t>(50)</w:t>
      </w:r>
      <w:r w:rsidRPr="00624565">
        <w:rPr>
          <w:noProof/>
        </w:rPr>
        <w:tab/>
        <w:t>Aby zapewnić wiarygodność wyraźnych oświadczeń środowiskowych, państwa członkowskie muszą ustanowić procedurę mającą na celu weryfikację, czy uzasadnianie</w:t>
      </w:r>
      <w:r w:rsidR="003F3D2B" w:rsidRPr="00624565">
        <w:rPr>
          <w:noProof/>
        </w:rPr>
        <w:t xml:space="preserve"> i</w:t>
      </w:r>
      <w:r w:rsidR="003F3D2B">
        <w:rPr>
          <w:noProof/>
        </w:rPr>
        <w:t> </w:t>
      </w:r>
      <w:r w:rsidR="003F3D2B" w:rsidRPr="00624565">
        <w:rPr>
          <w:noProof/>
        </w:rPr>
        <w:t>prz</w:t>
      </w:r>
      <w:r w:rsidRPr="00624565">
        <w:rPr>
          <w:noProof/>
        </w:rPr>
        <w:t>ekazywanie wyraźnych oświadczeń środowiskowych, obejmujących oznakowania ekologiczne lub systemy oznakowania ekologicznego, są zgodne</w:t>
      </w:r>
      <w:r w:rsidR="003F3D2B" w:rsidRPr="00624565">
        <w:rPr>
          <w:noProof/>
        </w:rPr>
        <w:t xml:space="preserve"> z</w:t>
      </w:r>
      <w:r w:rsidR="003F3D2B">
        <w:rPr>
          <w:noProof/>
        </w:rPr>
        <w:t> </w:t>
      </w:r>
      <w:r w:rsidR="003F3D2B" w:rsidRPr="00624565">
        <w:rPr>
          <w:noProof/>
        </w:rPr>
        <w:t>wym</w:t>
      </w:r>
      <w:r w:rsidRPr="00624565">
        <w:rPr>
          <w:noProof/>
        </w:rPr>
        <w:t>ogami określonymi</w:t>
      </w:r>
      <w:r w:rsidR="003F3D2B" w:rsidRPr="00624565">
        <w:rPr>
          <w:noProof/>
        </w:rPr>
        <w:t xml:space="preserve"> w</w:t>
      </w:r>
      <w:r w:rsidR="003F3D2B">
        <w:rPr>
          <w:noProof/>
        </w:rPr>
        <w:t> </w:t>
      </w:r>
      <w:r w:rsidR="003F3D2B" w:rsidRPr="00624565">
        <w:rPr>
          <w:noProof/>
        </w:rPr>
        <w:t>nin</w:t>
      </w:r>
      <w:r w:rsidRPr="00624565">
        <w:rPr>
          <w:noProof/>
        </w:rPr>
        <w:t xml:space="preserve">iejszej dyrektywie. </w:t>
      </w:r>
    </w:p>
    <w:p w14:paraId="315B9676" w14:textId="7AE9BE98" w:rsidR="000464F8" w:rsidRPr="00624565" w:rsidRDefault="004D161E" w:rsidP="004D161E">
      <w:pPr>
        <w:pStyle w:val="ManualConsidrant"/>
        <w:rPr>
          <w:noProof/>
        </w:rPr>
      </w:pPr>
      <w:r w:rsidRPr="00624565">
        <w:rPr>
          <w:noProof/>
        </w:rPr>
        <w:t>(51)</w:t>
      </w:r>
      <w:r w:rsidRPr="00624565">
        <w:rPr>
          <w:noProof/>
        </w:rPr>
        <w:tab/>
        <w:t>Aby umożliwić właściwym organom skuteczniejszą kontrolę wdrażania przepisów niniejszej dyrektywy oraz aby</w:t>
      </w:r>
      <w:r w:rsidR="003F3D2B" w:rsidRPr="00624565">
        <w:rPr>
          <w:noProof/>
        </w:rPr>
        <w:t xml:space="preserve"> w</w:t>
      </w:r>
      <w:r w:rsidR="003F3D2B">
        <w:rPr>
          <w:noProof/>
        </w:rPr>
        <w:t> </w:t>
      </w:r>
      <w:r w:rsidR="003F3D2B" w:rsidRPr="00624565">
        <w:rPr>
          <w:noProof/>
        </w:rPr>
        <w:t>jak</w:t>
      </w:r>
      <w:r w:rsidRPr="00624565">
        <w:rPr>
          <w:noProof/>
        </w:rPr>
        <w:t xml:space="preserve"> największym stopniu zapobiec pojawieniu się na rynku nieuzasadnionych wyraźnych oświadczeń środowiskowych,</w:t>
      </w:r>
      <w:r w:rsidR="003F3D2B" w:rsidRPr="00624565">
        <w:rPr>
          <w:noProof/>
        </w:rPr>
        <w:t xml:space="preserve"> w</w:t>
      </w:r>
      <w:r w:rsidR="003F3D2B">
        <w:rPr>
          <w:noProof/>
        </w:rPr>
        <w:t> </w:t>
      </w:r>
      <w:r w:rsidR="003F3D2B" w:rsidRPr="00624565">
        <w:rPr>
          <w:noProof/>
        </w:rPr>
        <w:t>tym</w:t>
      </w:r>
      <w:r w:rsidRPr="00624565">
        <w:rPr>
          <w:noProof/>
        </w:rPr>
        <w:t xml:space="preserve"> oznakowań ekologicznych, weryfikatorzy, który spełniają zharmonizowane wymogi ustanowione niniejszą dyrektywą, powinni sprawdzić, czy zarówno informacje wykorzystywane do uzasadniania, jak</w:t>
      </w:r>
      <w:r w:rsidR="003F3D2B" w:rsidRPr="00624565">
        <w:rPr>
          <w:noProof/>
        </w:rPr>
        <w:t xml:space="preserve"> i</w:t>
      </w:r>
      <w:r w:rsidR="003F3D2B">
        <w:rPr>
          <w:noProof/>
        </w:rPr>
        <w:t> </w:t>
      </w:r>
      <w:r w:rsidR="003F3D2B" w:rsidRPr="00624565">
        <w:rPr>
          <w:noProof/>
        </w:rPr>
        <w:t>prz</w:t>
      </w:r>
      <w:r w:rsidRPr="00624565">
        <w:rPr>
          <w:noProof/>
        </w:rPr>
        <w:t>ekazywania wyraźnych oświadczeń środowiskowych spełniają wymogi niniejszej dyrektywy. Aby uniknąć wprowadzania konsumentów</w:t>
      </w:r>
      <w:r w:rsidR="003F3D2B" w:rsidRPr="00624565">
        <w:rPr>
          <w:noProof/>
        </w:rPr>
        <w:t xml:space="preserve"> w</w:t>
      </w:r>
      <w:r w:rsidR="003F3D2B">
        <w:rPr>
          <w:noProof/>
        </w:rPr>
        <w:t> </w:t>
      </w:r>
      <w:r w:rsidR="003F3D2B" w:rsidRPr="00624565">
        <w:rPr>
          <w:noProof/>
        </w:rPr>
        <w:t>błą</w:t>
      </w:r>
      <w:r w:rsidRPr="00624565">
        <w:rPr>
          <w:noProof/>
        </w:rPr>
        <w:t>d, weryfikacja powinna</w:t>
      </w:r>
      <w:r w:rsidR="003F3D2B" w:rsidRPr="00624565">
        <w:rPr>
          <w:noProof/>
        </w:rPr>
        <w:t xml:space="preserve"> w</w:t>
      </w:r>
      <w:r w:rsidR="003F3D2B">
        <w:rPr>
          <w:noProof/>
        </w:rPr>
        <w:t> </w:t>
      </w:r>
      <w:r w:rsidR="003F3D2B" w:rsidRPr="00624565">
        <w:rPr>
          <w:noProof/>
        </w:rPr>
        <w:t>każ</w:t>
      </w:r>
      <w:r w:rsidRPr="00624565">
        <w:rPr>
          <w:noProof/>
        </w:rPr>
        <w:t>dym przypadku mieć miejsce przed podaniem do publicznej wiadomości oświadczeń środowiskowych lub wyeksponowaniem oznakowań ekologicznych</w:t>
      </w:r>
      <w:r w:rsidR="003F3D2B" w:rsidRPr="00624565">
        <w:rPr>
          <w:noProof/>
        </w:rPr>
        <w:t>. W</w:t>
      </w:r>
      <w:r w:rsidR="003F3D2B">
        <w:rPr>
          <w:noProof/>
        </w:rPr>
        <w:t> </w:t>
      </w:r>
      <w:r w:rsidR="003F3D2B" w:rsidRPr="00624565">
        <w:rPr>
          <w:noProof/>
        </w:rPr>
        <w:t>sto</w:t>
      </w:r>
      <w:r w:rsidRPr="00624565">
        <w:rPr>
          <w:noProof/>
        </w:rPr>
        <w:t>sownych przypadkach weryfikator może wskazać kilka sposobów przekazywania wyraźnego oświadczenia środowiskowego, które są zgodne</w:t>
      </w:r>
      <w:r w:rsidR="003F3D2B" w:rsidRPr="00624565">
        <w:rPr>
          <w:noProof/>
        </w:rPr>
        <w:t xml:space="preserve"> z</w:t>
      </w:r>
      <w:r w:rsidR="003F3D2B">
        <w:rPr>
          <w:noProof/>
        </w:rPr>
        <w:t> </w:t>
      </w:r>
      <w:r w:rsidR="003F3D2B" w:rsidRPr="00624565">
        <w:rPr>
          <w:noProof/>
        </w:rPr>
        <w:t>wym</w:t>
      </w:r>
      <w:r w:rsidRPr="00624565">
        <w:rPr>
          <w:noProof/>
        </w:rPr>
        <w:t>ogami niniejszej dyrektywy,</w:t>
      </w:r>
      <w:r w:rsidR="003F3D2B" w:rsidRPr="00624565">
        <w:rPr>
          <w:noProof/>
        </w:rPr>
        <w:t xml:space="preserve"> w</w:t>
      </w:r>
      <w:r w:rsidR="003F3D2B">
        <w:rPr>
          <w:noProof/>
        </w:rPr>
        <w:t> </w:t>
      </w:r>
      <w:r w:rsidR="003F3D2B" w:rsidRPr="00624565">
        <w:rPr>
          <w:noProof/>
        </w:rPr>
        <w:t>cel</w:t>
      </w:r>
      <w:r w:rsidRPr="00624565">
        <w:rPr>
          <w:noProof/>
        </w:rPr>
        <w:t>u uniknięcia konieczności ciągłej ponownej certyfikacji</w:t>
      </w:r>
      <w:r w:rsidR="003F3D2B" w:rsidRPr="00624565">
        <w:rPr>
          <w:noProof/>
        </w:rPr>
        <w:t xml:space="preserve"> w</w:t>
      </w:r>
      <w:r w:rsidR="003F3D2B">
        <w:rPr>
          <w:noProof/>
        </w:rPr>
        <w:t> </w:t>
      </w:r>
      <w:r w:rsidR="003F3D2B" w:rsidRPr="00624565">
        <w:rPr>
          <w:noProof/>
        </w:rPr>
        <w:t>raz</w:t>
      </w:r>
      <w:r w:rsidRPr="00624565">
        <w:rPr>
          <w:noProof/>
        </w:rPr>
        <w:t>ie nieznacznych zmian sposobu przekazywania niemających wpływu na zgodność</w:t>
      </w:r>
      <w:r w:rsidR="003F3D2B" w:rsidRPr="00624565">
        <w:rPr>
          <w:noProof/>
        </w:rPr>
        <w:t xml:space="preserve"> z</w:t>
      </w:r>
      <w:r w:rsidR="003F3D2B">
        <w:rPr>
          <w:noProof/>
        </w:rPr>
        <w:t> </w:t>
      </w:r>
      <w:r w:rsidR="003F3D2B" w:rsidRPr="00624565">
        <w:rPr>
          <w:noProof/>
        </w:rPr>
        <w:t>wym</w:t>
      </w:r>
      <w:r w:rsidRPr="00624565">
        <w:rPr>
          <w:noProof/>
        </w:rPr>
        <w:t>ogami niniejszej dyrektywy. Aby ułatwić przedsiębiorcom przestrzeganie przepisów dotyczących uzasadniania wyraźnych oświadczeń środowiskowych</w:t>
      </w:r>
      <w:r w:rsidR="003F3D2B" w:rsidRPr="00624565">
        <w:rPr>
          <w:noProof/>
        </w:rPr>
        <w:t xml:space="preserve"> i</w:t>
      </w:r>
      <w:r w:rsidR="003F3D2B">
        <w:rPr>
          <w:noProof/>
        </w:rPr>
        <w:t> </w:t>
      </w:r>
      <w:r w:rsidR="003F3D2B" w:rsidRPr="00624565">
        <w:rPr>
          <w:noProof/>
        </w:rPr>
        <w:t>inf</w:t>
      </w:r>
      <w:r w:rsidRPr="00624565">
        <w:rPr>
          <w:noProof/>
        </w:rPr>
        <w:t>ormowania</w:t>
      </w:r>
      <w:r w:rsidR="003F3D2B" w:rsidRPr="00624565">
        <w:rPr>
          <w:noProof/>
        </w:rPr>
        <w:t xml:space="preserve"> o</w:t>
      </w:r>
      <w:r w:rsidR="003F3D2B">
        <w:rPr>
          <w:noProof/>
        </w:rPr>
        <w:t> </w:t>
      </w:r>
      <w:r w:rsidR="003F3D2B" w:rsidRPr="00624565">
        <w:rPr>
          <w:noProof/>
        </w:rPr>
        <w:t>nic</w:t>
      </w:r>
      <w:r w:rsidRPr="00624565">
        <w:rPr>
          <w:noProof/>
        </w:rPr>
        <w:t>h,</w:t>
      </w:r>
      <w:r w:rsidR="003F3D2B" w:rsidRPr="00624565">
        <w:rPr>
          <w:noProof/>
        </w:rPr>
        <w:t xml:space="preserve"> w</w:t>
      </w:r>
      <w:r w:rsidR="003F3D2B">
        <w:rPr>
          <w:noProof/>
        </w:rPr>
        <w:t> </w:t>
      </w:r>
      <w:r w:rsidR="003F3D2B" w:rsidRPr="00624565">
        <w:rPr>
          <w:noProof/>
        </w:rPr>
        <w:t>tym</w:t>
      </w:r>
      <w:r w:rsidRPr="00624565">
        <w:rPr>
          <w:noProof/>
        </w:rPr>
        <w:t xml:space="preserve"> oznakowania ekologicznego,</w:t>
      </w:r>
      <w:r w:rsidR="003F3D2B" w:rsidRPr="00624565">
        <w:rPr>
          <w:noProof/>
        </w:rPr>
        <w:t xml:space="preserve"> w</w:t>
      </w:r>
      <w:r w:rsidR="003F3D2B">
        <w:rPr>
          <w:noProof/>
        </w:rPr>
        <w:t> </w:t>
      </w:r>
      <w:r w:rsidR="003F3D2B" w:rsidRPr="00624565">
        <w:rPr>
          <w:noProof/>
        </w:rPr>
        <w:t>ram</w:t>
      </w:r>
      <w:r w:rsidRPr="00624565">
        <w:rPr>
          <w:noProof/>
        </w:rPr>
        <w:t>ach weryfikacji należy uwzględniać charakter</w:t>
      </w:r>
      <w:r w:rsidR="003F3D2B" w:rsidRPr="00624565">
        <w:rPr>
          <w:noProof/>
        </w:rPr>
        <w:t xml:space="preserve"> i</w:t>
      </w:r>
      <w:r w:rsidR="003F3D2B">
        <w:rPr>
          <w:noProof/>
        </w:rPr>
        <w:t> </w:t>
      </w:r>
      <w:r w:rsidR="003F3D2B" w:rsidRPr="00624565">
        <w:rPr>
          <w:noProof/>
        </w:rPr>
        <w:t>tre</w:t>
      </w:r>
      <w:r w:rsidRPr="00624565">
        <w:rPr>
          <w:noProof/>
        </w:rPr>
        <w:t>ść oświadczenia lub oznakowania środowiskowego,</w:t>
      </w:r>
      <w:r w:rsidR="003F3D2B" w:rsidRPr="00624565">
        <w:rPr>
          <w:noProof/>
        </w:rPr>
        <w:t xml:space="preserve"> w</w:t>
      </w:r>
      <w:r w:rsidR="003F3D2B">
        <w:rPr>
          <w:noProof/>
        </w:rPr>
        <w:t> </w:t>
      </w:r>
      <w:r w:rsidR="003F3D2B" w:rsidRPr="00624565">
        <w:rPr>
          <w:noProof/>
        </w:rPr>
        <w:t>tym</w:t>
      </w:r>
      <w:r w:rsidRPr="00624565">
        <w:rPr>
          <w:noProof/>
        </w:rPr>
        <w:t xml:space="preserve"> informację</w:t>
      </w:r>
      <w:r w:rsidR="003F3D2B" w:rsidRPr="00624565">
        <w:rPr>
          <w:noProof/>
        </w:rPr>
        <w:t xml:space="preserve"> o</w:t>
      </w:r>
      <w:r w:rsidR="003F3D2B">
        <w:rPr>
          <w:noProof/>
        </w:rPr>
        <w:t> </w:t>
      </w:r>
      <w:r w:rsidR="003F3D2B" w:rsidRPr="00624565">
        <w:rPr>
          <w:noProof/>
        </w:rPr>
        <w:t>tym</w:t>
      </w:r>
      <w:r w:rsidRPr="00624565">
        <w:rPr>
          <w:noProof/>
        </w:rPr>
        <w:t>, czy sprawiają wrażenie nieuczciwych</w:t>
      </w:r>
      <w:r w:rsidR="003F3D2B" w:rsidRPr="00624565">
        <w:rPr>
          <w:noProof/>
        </w:rPr>
        <w:t xml:space="preserve"> w</w:t>
      </w:r>
      <w:r w:rsidR="003F3D2B">
        <w:rPr>
          <w:noProof/>
        </w:rPr>
        <w:t> </w:t>
      </w:r>
      <w:r w:rsidR="003F3D2B" w:rsidRPr="00624565">
        <w:rPr>
          <w:noProof/>
        </w:rPr>
        <w:t>świ</w:t>
      </w:r>
      <w:r w:rsidRPr="00624565">
        <w:rPr>
          <w:noProof/>
        </w:rPr>
        <w:t>etle dyrektywy 2005/29/WE.</w:t>
      </w:r>
    </w:p>
    <w:p w14:paraId="21A800CA" w14:textId="37879F4D" w:rsidR="000464F8" w:rsidRPr="00624565" w:rsidRDefault="004D161E" w:rsidP="004D161E">
      <w:pPr>
        <w:pStyle w:val="ManualConsidrant"/>
        <w:rPr>
          <w:noProof/>
        </w:rPr>
      </w:pPr>
      <w:r w:rsidRPr="00624565">
        <w:rPr>
          <w:noProof/>
        </w:rPr>
        <w:t>(52)</w:t>
      </w:r>
      <w:r w:rsidRPr="00624565">
        <w:rPr>
          <w:noProof/>
        </w:rPr>
        <w:tab/>
        <w:t>Aby zapewnić przedsiębiorcom pewność prawa na rynku wewnętrznym</w:t>
      </w:r>
      <w:r w:rsidR="003F3D2B" w:rsidRPr="00624565">
        <w:rPr>
          <w:noProof/>
        </w:rPr>
        <w:t xml:space="preserve"> w</w:t>
      </w:r>
      <w:r w:rsidR="003F3D2B">
        <w:rPr>
          <w:noProof/>
        </w:rPr>
        <w:t> </w:t>
      </w:r>
      <w:r w:rsidR="003F3D2B" w:rsidRPr="00624565">
        <w:rPr>
          <w:noProof/>
        </w:rPr>
        <w:t>odn</w:t>
      </w:r>
      <w:r w:rsidRPr="00624565">
        <w:rPr>
          <w:noProof/>
        </w:rPr>
        <w:t>iesieniu do zgodności wyraźnych oświadczeń środowiskowych</w:t>
      </w:r>
      <w:r w:rsidR="003F3D2B" w:rsidRPr="00624565">
        <w:rPr>
          <w:noProof/>
        </w:rPr>
        <w:t xml:space="preserve"> z</w:t>
      </w:r>
      <w:r w:rsidR="003F3D2B">
        <w:rPr>
          <w:noProof/>
        </w:rPr>
        <w:t> </w:t>
      </w:r>
      <w:r w:rsidR="003F3D2B" w:rsidRPr="00624565">
        <w:rPr>
          <w:noProof/>
        </w:rPr>
        <w:t>wym</w:t>
      </w:r>
      <w:r w:rsidRPr="00624565">
        <w:rPr>
          <w:noProof/>
        </w:rPr>
        <w:t>ogami niniejszej dyrektywy, certyfikat zgodności powinien być uznawany przez właściwe organy</w:t>
      </w:r>
      <w:r w:rsidR="003F3D2B" w:rsidRPr="00624565">
        <w:rPr>
          <w:noProof/>
        </w:rPr>
        <w:t xml:space="preserve"> w</w:t>
      </w:r>
      <w:r w:rsidR="003F3D2B">
        <w:rPr>
          <w:noProof/>
        </w:rPr>
        <w:t> </w:t>
      </w:r>
      <w:r w:rsidR="003F3D2B" w:rsidRPr="00624565">
        <w:rPr>
          <w:noProof/>
        </w:rPr>
        <w:t>cał</w:t>
      </w:r>
      <w:r w:rsidRPr="00624565">
        <w:rPr>
          <w:noProof/>
        </w:rPr>
        <w:t>ej Unii. Mikroprzedsiębiorstwa powinny mieć możliwość wystąpienia</w:t>
      </w:r>
      <w:r w:rsidR="003F3D2B" w:rsidRPr="00624565">
        <w:rPr>
          <w:noProof/>
        </w:rPr>
        <w:t xml:space="preserve"> o</w:t>
      </w:r>
      <w:r w:rsidR="003F3D2B">
        <w:rPr>
          <w:noProof/>
        </w:rPr>
        <w:t> </w:t>
      </w:r>
      <w:r w:rsidR="003F3D2B" w:rsidRPr="00624565">
        <w:rPr>
          <w:noProof/>
        </w:rPr>
        <w:t>tak</w:t>
      </w:r>
      <w:r w:rsidRPr="00624565">
        <w:rPr>
          <w:noProof/>
        </w:rPr>
        <w:t>i certyfikat, jeżeli chcą poświadczyć, że ich oświadczenia są zgodne</w:t>
      </w:r>
      <w:r w:rsidR="003F3D2B" w:rsidRPr="00624565">
        <w:rPr>
          <w:noProof/>
        </w:rPr>
        <w:t xml:space="preserve"> z</w:t>
      </w:r>
      <w:r w:rsidR="003F3D2B">
        <w:rPr>
          <w:noProof/>
        </w:rPr>
        <w:t> </w:t>
      </w:r>
      <w:r w:rsidR="003F3D2B" w:rsidRPr="00624565">
        <w:rPr>
          <w:noProof/>
        </w:rPr>
        <w:t>wym</w:t>
      </w:r>
      <w:r w:rsidRPr="00624565">
        <w:rPr>
          <w:noProof/>
        </w:rPr>
        <w:t>ogami niniejszej dyrektywy,</w:t>
      </w:r>
      <w:r w:rsidR="003F3D2B" w:rsidRPr="00624565">
        <w:rPr>
          <w:noProof/>
        </w:rPr>
        <w:t xml:space="preserve"> i</w:t>
      </w:r>
      <w:r w:rsidR="003F3D2B">
        <w:rPr>
          <w:noProof/>
        </w:rPr>
        <w:t> </w:t>
      </w:r>
      <w:r w:rsidR="003F3D2B" w:rsidRPr="00624565">
        <w:rPr>
          <w:noProof/>
        </w:rPr>
        <w:t>sko</w:t>
      </w:r>
      <w:r w:rsidRPr="00624565">
        <w:rPr>
          <w:noProof/>
        </w:rPr>
        <w:t>rzystać</w:t>
      </w:r>
      <w:r w:rsidR="003F3D2B" w:rsidRPr="00624565">
        <w:rPr>
          <w:noProof/>
        </w:rPr>
        <w:t xml:space="preserve"> z</w:t>
      </w:r>
      <w:r w:rsidR="003F3D2B">
        <w:rPr>
          <w:noProof/>
        </w:rPr>
        <w:t> </w:t>
      </w:r>
      <w:r w:rsidR="003F3D2B" w:rsidRPr="00624565">
        <w:rPr>
          <w:noProof/>
        </w:rPr>
        <w:t>uzn</w:t>
      </w:r>
      <w:r w:rsidRPr="00624565">
        <w:rPr>
          <w:noProof/>
        </w:rPr>
        <w:t>awania certyfikatu</w:t>
      </w:r>
      <w:r w:rsidR="003F3D2B" w:rsidRPr="00624565">
        <w:rPr>
          <w:noProof/>
        </w:rPr>
        <w:t xml:space="preserve"> w</w:t>
      </w:r>
      <w:r w:rsidR="003F3D2B">
        <w:rPr>
          <w:noProof/>
        </w:rPr>
        <w:t> </w:t>
      </w:r>
      <w:r w:rsidR="003F3D2B" w:rsidRPr="00624565">
        <w:rPr>
          <w:noProof/>
        </w:rPr>
        <w:t>cał</w:t>
      </w:r>
      <w:r w:rsidRPr="00624565">
        <w:rPr>
          <w:noProof/>
        </w:rPr>
        <w:t>ej Unii. Certyfikat zgodności nie powinien jednak przesądzać</w:t>
      </w:r>
      <w:r w:rsidR="003F3D2B" w:rsidRPr="00624565">
        <w:rPr>
          <w:noProof/>
        </w:rPr>
        <w:t xml:space="preserve"> o</w:t>
      </w:r>
      <w:r w:rsidR="003F3D2B">
        <w:rPr>
          <w:noProof/>
        </w:rPr>
        <w:t> </w:t>
      </w:r>
      <w:r w:rsidR="003F3D2B" w:rsidRPr="00624565">
        <w:rPr>
          <w:noProof/>
        </w:rPr>
        <w:t>oce</w:t>
      </w:r>
      <w:r w:rsidRPr="00624565">
        <w:rPr>
          <w:noProof/>
        </w:rPr>
        <w:t>nie oświadczenia środowiskowego dokonywanej przez organy publiczne lub sądy, które zapewniają wykonanie dyrektywy 2005/29/WE.</w:t>
      </w:r>
    </w:p>
    <w:p w14:paraId="453309A4" w14:textId="158CBA0A" w:rsidR="000464F8" w:rsidRPr="00624565" w:rsidRDefault="004D161E" w:rsidP="004D161E">
      <w:pPr>
        <w:pStyle w:val="ManualConsidrant"/>
        <w:rPr>
          <w:noProof/>
        </w:rPr>
      </w:pPr>
      <w:r w:rsidRPr="00624565">
        <w:rPr>
          <w:noProof/>
        </w:rPr>
        <w:t>(53)</w:t>
      </w:r>
      <w:r w:rsidRPr="00624565">
        <w:rPr>
          <w:noProof/>
        </w:rPr>
        <w:tab/>
        <w:t>W celu zapewnienia jednolitych warunków stosowania przepisów dotyczących weryfikacji wyraźnych oświadczeń środowiskowych</w:t>
      </w:r>
      <w:r w:rsidR="003F3D2B" w:rsidRPr="00624565">
        <w:rPr>
          <w:noProof/>
        </w:rPr>
        <w:t xml:space="preserve"> i</w:t>
      </w:r>
      <w:r w:rsidR="003F3D2B">
        <w:rPr>
          <w:noProof/>
        </w:rPr>
        <w:t> </w:t>
      </w:r>
      <w:r w:rsidR="003F3D2B" w:rsidRPr="00624565">
        <w:rPr>
          <w:noProof/>
        </w:rPr>
        <w:t>sys</w:t>
      </w:r>
      <w:r w:rsidRPr="00624565">
        <w:rPr>
          <w:noProof/>
        </w:rPr>
        <w:t>temów oznakowania ekologicznego oraz</w:t>
      </w:r>
      <w:r w:rsidR="003F3D2B" w:rsidRPr="00624565">
        <w:rPr>
          <w:noProof/>
        </w:rPr>
        <w:t xml:space="preserve"> w</w:t>
      </w:r>
      <w:r w:rsidR="003F3D2B">
        <w:rPr>
          <w:noProof/>
        </w:rPr>
        <w:t> </w:t>
      </w:r>
      <w:r w:rsidR="003F3D2B" w:rsidRPr="00624565">
        <w:rPr>
          <w:noProof/>
        </w:rPr>
        <w:t>cel</w:t>
      </w:r>
      <w:r w:rsidRPr="00624565">
        <w:rPr>
          <w:noProof/>
        </w:rPr>
        <w:t>u ułatwienia egzekwowania przepisów niniejszej dyrektywy dotyczących weryfikacji, należy przyznać Komisji uprawnienia wykonawcze</w:t>
      </w:r>
      <w:r w:rsidR="003F3D2B" w:rsidRPr="00624565">
        <w:rPr>
          <w:noProof/>
        </w:rPr>
        <w:t xml:space="preserve"> w</w:t>
      </w:r>
      <w:r w:rsidR="003F3D2B">
        <w:rPr>
          <w:noProof/>
        </w:rPr>
        <w:t> </w:t>
      </w:r>
      <w:r w:rsidR="003F3D2B" w:rsidRPr="00624565">
        <w:rPr>
          <w:noProof/>
        </w:rPr>
        <w:t>cel</w:t>
      </w:r>
      <w:r w:rsidRPr="00624565">
        <w:rPr>
          <w:noProof/>
        </w:rPr>
        <w:t>u przyjęcia wspólnego formularza dla certyfikatów zgodności</w:t>
      </w:r>
      <w:r w:rsidR="003F3D2B" w:rsidRPr="00624565">
        <w:rPr>
          <w:noProof/>
        </w:rPr>
        <w:t xml:space="preserve"> i</w:t>
      </w:r>
      <w:r w:rsidR="003F3D2B">
        <w:rPr>
          <w:noProof/>
        </w:rPr>
        <w:t> </w:t>
      </w:r>
      <w:r w:rsidR="003F3D2B" w:rsidRPr="00624565">
        <w:rPr>
          <w:noProof/>
        </w:rPr>
        <w:t>śro</w:t>
      </w:r>
      <w:r w:rsidRPr="00624565">
        <w:rPr>
          <w:noProof/>
        </w:rPr>
        <w:t>dków technicznych służących wydawaniu takich certyfikatów. Uprawnienia te powinny być wykonywane zgodnie</w:t>
      </w:r>
      <w:r w:rsidR="003F3D2B" w:rsidRPr="00624565">
        <w:rPr>
          <w:noProof/>
        </w:rPr>
        <w:t xml:space="preserve"> z</w:t>
      </w:r>
      <w:r w:rsidR="003F3D2B">
        <w:rPr>
          <w:noProof/>
        </w:rPr>
        <w:t> </w:t>
      </w:r>
      <w:r w:rsidR="003F3D2B" w:rsidRPr="00624565">
        <w:rPr>
          <w:noProof/>
        </w:rPr>
        <w:t>roz</w:t>
      </w:r>
      <w:r w:rsidRPr="00624565">
        <w:rPr>
          <w:noProof/>
        </w:rPr>
        <w:t>porządzeniem Parlamentu Europejskiego</w:t>
      </w:r>
      <w:r w:rsidR="003F3D2B" w:rsidRPr="00624565">
        <w:rPr>
          <w:noProof/>
        </w:rPr>
        <w:t xml:space="preserve"> i</w:t>
      </w:r>
      <w:r w:rsidR="003F3D2B">
        <w:rPr>
          <w:noProof/>
        </w:rPr>
        <w:t> </w:t>
      </w:r>
      <w:r w:rsidR="003F3D2B" w:rsidRPr="00624565">
        <w:rPr>
          <w:noProof/>
        </w:rPr>
        <w:t>Rad</w:t>
      </w:r>
      <w:r w:rsidRPr="00624565">
        <w:rPr>
          <w:noProof/>
        </w:rPr>
        <w:t xml:space="preserve">y (UE) </w:t>
      </w:r>
      <w:r w:rsidRPr="003F3D2B">
        <w:rPr>
          <w:noProof/>
        </w:rPr>
        <w:t>nr</w:t>
      </w:r>
      <w:r w:rsidR="003F3D2B" w:rsidRPr="003F3D2B">
        <w:rPr>
          <w:noProof/>
        </w:rPr>
        <w:t> </w:t>
      </w:r>
      <w:r w:rsidRPr="003F3D2B">
        <w:rPr>
          <w:noProof/>
        </w:rPr>
        <w:t>1</w:t>
      </w:r>
      <w:r w:rsidRPr="00624565">
        <w:rPr>
          <w:noProof/>
        </w:rPr>
        <w:t>82/2011</w:t>
      </w:r>
      <w:r w:rsidRPr="00624565">
        <w:rPr>
          <w:rStyle w:val="FootnoteReference"/>
          <w:noProof/>
        </w:rPr>
        <w:footnoteReference w:id="87"/>
      </w:r>
      <w:r w:rsidRPr="00624565">
        <w:rPr>
          <w:noProof/>
        </w:rPr>
        <w:t>.</w:t>
      </w:r>
    </w:p>
    <w:p w14:paraId="5205C4A0" w14:textId="6FDA50E4" w:rsidR="000464F8" w:rsidRPr="00624565" w:rsidRDefault="004D161E" w:rsidP="004D161E">
      <w:pPr>
        <w:pStyle w:val="ManualConsidrant"/>
        <w:rPr>
          <w:noProof/>
        </w:rPr>
      </w:pPr>
      <w:r w:rsidRPr="00624565">
        <w:rPr>
          <w:noProof/>
        </w:rPr>
        <w:t>(54)</w:t>
      </w:r>
      <w:r w:rsidRPr="00624565">
        <w:rPr>
          <w:noProof/>
        </w:rPr>
        <w:tab/>
        <w:t>Należy umożliwić małym</w:t>
      </w:r>
      <w:r w:rsidR="003F3D2B" w:rsidRPr="00624565">
        <w:rPr>
          <w:noProof/>
        </w:rPr>
        <w:t xml:space="preserve"> i</w:t>
      </w:r>
      <w:r w:rsidR="003F3D2B">
        <w:rPr>
          <w:noProof/>
        </w:rPr>
        <w:t> </w:t>
      </w:r>
      <w:r w:rsidR="003F3D2B" w:rsidRPr="00624565">
        <w:rPr>
          <w:noProof/>
        </w:rPr>
        <w:t>śre</w:t>
      </w:r>
      <w:r w:rsidRPr="00624565">
        <w:rPr>
          <w:noProof/>
        </w:rPr>
        <w:t>dnim przedsiębiorstwom (MŚP) korzystanie</w:t>
      </w:r>
      <w:r w:rsidR="003F3D2B" w:rsidRPr="00624565">
        <w:rPr>
          <w:noProof/>
        </w:rPr>
        <w:t xml:space="preserve"> z</w:t>
      </w:r>
      <w:r w:rsidR="003F3D2B">
        <w:rPr>
          <w:noProof/>
        </w:rPr>
        <w:t> </w:t>
      </w:r>
      <w:r w:rsidR="003F3D2B" w:rsidRPr="00624565">
        <w:rPr>
          <w:noProof/>
        </w:rPr>
        <w:t>sza</w:t>
      </w:r>
      <w:r w:rsidRPr="00624565">
        <w:rPr>
          <w:noProof/>
        </w:rPr>
        <w:t>ns, jakie oferuje rynek bardziej zrównoważonych produktów, jednak mogą one mierzyć się</w:t>
      </w:r>
      <w:r w:rsidR="003F3D2B" w:rsidRPr="00624565">
        <w:rPr>
          <w:noProof/>
        </w:rPr>
        <w:t xml:space="preserve"> z</w:t>
      </w:r>
      <w:r w:rsidR="003F3D2B">
        <w:rPr>
          <w:noProof/>
        </w:rPr>
        <w:t> </w:t>
      </w:r>
      <w:r w:rsidR="003F3D2B" w:rsidRPr="00624565">
        <w:rPr>
          <w:noProof/>
        </w:rPr>
        <w:t>pro</w:t>
      </w:r>
      <w:r w:rsidRPr="00624565">
        <w:rPr>
          <w:noProof/>
        </w:rPr>
        <w:t>porcjonalnie wyższymi koszty</w:t>
      </w:r>
      <w:r w:rsidR="003F3D2B" w:rsidRPr="00624565">
        <w:rPr>
          <w:noProof/>
        </w:rPr>
        <w:t xml:space="preserve"> i</w:t>
      </w:r>
      <w:r w:rsidR="003F3D2B">
        <w:rPr>
          <w:noProof/>
        </w:rPr>
        <w:t> </w:t>
      </w:r>
      <w:r w:rsidR="003F3D2B" w:rsidRPr="00624565">
        <w:rPr>
          <w:noProof/>
        </w:rPr>
        <w:t>tru</w:t>
      </w:r>
      <w:r w:rsidRPr="00624565">
        <w:rPr>
          <w:noProof/>
        </w:rPr>
        <w:t>dnościami</w:t>
      </w:r>
      <w:r w:rsidR="003F3D2B" w:rsidRPr="00624565">
        <w:rPr>
          <w:noProof/>
        </w:rPr>
        <w:t xml:space="preserve"> w</w:t>
      </w:r>
      <w:r w:rsidR="003F3D2B">
        <w:rPr>
          <w:noProof/>
        </w:rPr>
        <w:t> </w:t>
      </w:r>
      <w:r w:rsidR="003F3D2B" w:rsidRPr="00624565">
        <w:rPr>
          <w:noProof/>
        </w:rPr>
        <w:t>zwi</w:t>
      </w:r>
      <w:r w:rsidRPr="00624565">
        <w:rPr>
          <w:noProof/>
        </w:rPr>
        <w:t>ązku</w:t>
      </w:r>
      <w:r w:rsidR="003F3D2B" w:rsidRPr="00624565">
        <w:rPr>
          <w:noProof/>
        </w:rPr>
        <w:t xml:space="preserve"> z</w:t>
      </w:r>
      <w:r w:rsidR="003F3D2B">
        <w:rPr>
          <w:noProof/>
        </w:rPr>
        <w:t> </w:t>
      </w:r>
      <w:r w:rsidR="003F3D2B" w:rsidRPr="00624565">
        <w:rPr>
          <w:noProof/>
        </w:rPr>
        <w:t>nie</w:t>
      </w:r>
      <w:r w:rsidRPr="00624565">
        <w:rPr>
          <w:noProof/>
        </w:rPr>
        <w:t>którymi wymogami dotyczącymi uzasadnienia</w:t>
      </w:r>
      <w:r w:rsidR="003F3D2B" w:rsidRPr="00624565">
        <w:rPr>
          <w:noProof/>
        </w:rPr>
        <w:t xml:space="preserve"> i</w:t>
      </w:r>
      <w:r w:rsidR="003F3D2B">
        <w:rPr>
          <w:noProof/>
        </w:rPr>
        <w:t> </w:t>
      </w:r>
      <w:r w:rsidR="003F3D2B" w:rsidRPr="00624565">
        <w:rPr>
          <w:noProof/>
        </w:rPr>
        <w:t>wer</w:t>
      </w:r>
      <w:r w:rsidRPr="00624565">
        <w:rPr>
          <w:noProof/>
        </w:rPr>
        <w:t>yfikacji wyraźnych oświadczeń środowiskowych. Państwa członkowskie powinny zapewnić odpowiednie informacje</w:t>
      </w:r>
      <w:r w:rsidR="003F3D2B" w:rsidRPr="00624565">
        <w:rPr>
          <w:noProof/>
        </w:rPr>
        <w:t xml:space="preserve"> i</w:t>
      </w:r>
      <w:r w:rsidR="003F3D2B">
        <w:rPr>
          <w:noProof/>
        </w:rPr>
        <w:t> </w:t>
      </w:r>
      <w:r w:rsidR="003F3D2B" w:rsidRPr="00624565">
        <w:rPr>
          <w:noProof/>
        </w:rPr>
        <w:t>pod</w:t>
      </w:r>
      <w:r w:rsidRPr="00624565">
        <w:rPr>
          <w:noProof/>
        </w:rPr>
        <w:t>nieść świadomość na temat sposobów spełniania wymogów niniejszej dyrektywy, zapewnić ukierunkowane</w:t>
      </w:r>
      <w:r w:rsidR="003F3D2B" w:rsidRPr="00624565">
        <w:rPr>
          <w:noProof/>
        </w:rPr>
        <w:t xml:space="preserve"> i</w:t>
      </w:r>
      <w:r w:rsidR="003F3D2B">
        <w:rPr>
          <w:noProof/>
        </w:rPr>
        <w:t> </w:t>
      </w:r>
      <w:r w:rsidR="003F3D2B" w:rsidRPr="00624565">
        <w:rPr>
          <w:noProof/>
        </w:rPr>
        <w:t>spe</w:t>
      </w:r>
      <w:r w:rsidRPr="00624565">
        <w:rPr>
          <w:noProof/>
        </w:rPr>
        <w:t>cjalistyczne szkolenia oraz udzielać szczególnej pomocy</w:t>
      </w:r>
      <w:r w:rsidR="003F3D2B" w:rsidRPr="00624565">
        <w:rPr>
          <w:noProof/>
        </w:rPr>
        <w:t xml:space="preserve"> i</w:t>
      </w:r>
      <w:r w:rsidR="003F3D2B">
        <w:rPr>
          <w:noProof/>
        </w:rPr>
        <w:t> </w:t>
      </w:r>
      <w:r w:rsidR="003F3D2B" w:rsidRPr="00624565">
        <w:rPr>
          <w:noProof/>
        </w:rPr>
        <w:t>wsp</w:t>
      </w:r>
      <w:r w:rsidRPr="00624565">
        <w:rPr>
          <w:noProof/>
        </w:rPr>
        <w:t>arcia,</w:t>
      </w:r>
      <w:r w:rsidR="003F3D2B" w:rsidRPr="00624565">
        <w:rPr>
          <w:noProof/>
        </w:rPr>
        <w:t xml:space="preserve"> w</w:t>
      </w:r>
      <w:r w:rsidR="003F3D2B">
        <w:rPr>
          <w:noProof/>
        </w:rPr>
        <w:t> </w:t>
      </w:r>
      <w:r w:rsidR="003F3D2B" w:rsidRPr="00624565">
        <w:rPr>
          <w:noProof/>
        </w:rPr>
        <w:t>tym</w:t>
      </w:r>
      <w:r w:rsidRPr="00624565">
        <w:rPr>
          <w:noProof/>
        </w:rPr>
        <w:t xml:space="preserve"> finansowego, MŚP pragnącym formułować wyraźne oświadczenia środowiskowe dotyczące ich produktów lub działalności. Państwa członkowskie powinny podjąć działania zgodnie</w:t>
      </w:r>
      <w:r w:rsidR="003F3D2B" w:rsidRPr="00624565">
        <w:rPr>
          <w:noProof/>
        </w:rPr>
        <w:t xml:space="preserve"> z</w:t>
      </w:r>
      <w:r w:rsidR="003F3D2B">
        <w:rPr>
          <w:noProof/>
        </w:rPr>
        <w:t> </w:t>
      </w:r>
      <w:r w:rsidR="003F3D2B" w:rsidRPr="00624565">
        <w:rPr>
          <w:noProof/>
        </w:rPr>
        <w:t>obo</w:t>
      </w:r>
      <w:r w:rsidRPr="00624565">
        <w:rPr>
          <w:noProof/>
        </w:rPr>
        <w:t>wiązującymi zasadami pomocy państwa.</w:t>
      </w:r>
    </w:p>
    <w:p w14:paraId="4255051E" w14:textId="6C6877D1" w:rsidR="000464F8" w:rsidRPr="00624565" w:rsidRDefault="004D161E" w:rsidP="004D161E">
      <w:pPr>
        <w:pStyle w:val="ManualConsidrant"/>
        <w:rPr>
          <w:noProof/>
        </w:rPr>
      </w:pPr>
      <w:r w:rsidRPr="00624565">
        <w:rPr>
          <w:noProof/>
        </w:rPr>
        <w:t>(55)</w:t>
      </w:r>
      <w:r w:rsidRPr="00624565">
        <w:rPr>
          <w:noProof/>
        </w:rPr>
        <w:tab/>
        <w:t>W celu zapewnienia równych szans na rynku unijnym, na którym oświadczenia</w:t>
      </w:r>
      <w:r w:rsidR="003F3D2B" w:rsidRPr="00624565">
        <w:rPr>
          <w:noProof/>
        </w:rPr>
        <w:t xml:space="preserve"> o</w:t>
      </w:r>
      <w:r w:rsidR="003F3D2B">
        <w:rPr>
          <w:noProof/>
        </w:rPr>
        <w:t> </w:t>
      </w:r>
      <w:r w:rsidR="003F3D2B" w:rsidRPr="00624565">
        <w:rPr>
          <w:noProof/>
        </w:rPr>
        <w:t>efe</w:t>
      </w:r>
      <w:r w:rsidRPr="00624565">
        <w:rPr>
          <w:noProof/>
        </w:rPr>
        <w:t>ktywności środowiskowej produktu lub przedsiębiorcy opierają się na rzetelnych, porównywalnych</w:t>
      </w:r>
      <w:r w:rsidR="003F3D2B" w:rsidRPr="00624565">
        <w:rPr>
          <w:noProof/>
        </w:rPr>
        <w:t xml:space="preserve"> i</w:t>
      </w:r>
      <w:r w:rsidR="003F3D2B">
        <w:rPr>
          <w:noProof/>
        </w:rPr>
        <w:t> </w:t>
      </w:r>
      <w:r w:rsidR="003F3D2B" w:rsidRPr="00624565">
        <w:rPr>
          <w:noProof/>
        </w:rPr>
        <w:t>moż</w:t>
      </w:r>
      <w:r w:rsidRPr="00624565">
        <w:rPr>
          <w:noProof/>
        </w:rPr>
        <w:t>liwych do zweryfikowania informacjach, konieczne jest ustanowienie wspólnych przepisów dotyczących egzekwowania</w:t>
      </w:r>
      <w:r w:rsidR="003F3D2B" w:rsidRPr="00624565">
        <w:rPr>
          <w:noProof/>
        </w:rPr>
        <w:t xml:space="preserve"> i</w:t>
      </w:r>
      <w:r w:rsidR="003F3D2B">
        <w:rPr>
          <w:noProof/>
        </w:rPr>
        <w:t> </w:t>
      </w:r>
      <w:r w:rsidR="003F3D2B" w:rsidRPr="00624565">
        <w:rPr>
          <w:noProof/>
        </w:rPr>
        <w:t>prz</w:t>
      </w:r>
      <w:r w:rsidRPr="00624565">
        <w:rPr>
          <w:noProof/>
        </w:rPr>
        <w:t>estrzegania przepisów.</w:t>
      </w:r>
    </w:p>
    <w:p w14:paraId="52B22551" w14:textId="22662411" w:rsidR="000464F8" w:rsidRPr="00624565" w:rsidRDefault="004D161E" w:rsidP="004D161E">
      <w:pPr>
        <w:pStyle w:val="ManualConsidrant"/>
        <w:rPr>
          <w:noProof/>
        </w:rPr>
      </w:pPr>
      <w:r w:rsidRPr="00624565">
        <w:rPr>
          <w:noProof/>
        </w:rPr>
        <w:t>(56)</w:t>
      </w:r>
      <w:r w:rsidRPr="00624565">
        <w:rPr>
          <w:noProof/>
        </w:rPr>
        <w:tab/>
        <w:t>Aby zapewnić osiągnięcie celów niniejszej dyrektywy</w:t>
      </w:r>
      <w:r w:rsidR="003F3D2B" w:rsidRPr="00624565">
        <w:rPr>
          <w:noProof/>
        </w:rPr>
        <w:t xml:space="preserve"> i</w:t>
      </w:r>
      <w:r w:rsidR="003F3D2B">
        <w:rPr>
          <w:noProof/>
        </w:rPr>
        <w:t> </w:t>
      </w:r>
      <w:r w:rsidR="003F3D2B" w:rsidRPr="00624565">
        <w:rPr>
          <w:noProof/>
        </w:rPr>
        <w:t>sku</w:t>
      </w:r>
      <w:r w:rsidRPr="00624565">
        <w:rPr>
          <w:noProof/>
        </w:rPr>
        <w:t>teczne egzekwowanie jej wymogów, państwa członkowskie powinny wyznaczyć własne właściwe organy odpowiedzialne za stosowanie</w:t>
      </w:r>
      <w:r w:rsidR="003F3D2B" w:rsidRPr="00624565">
        <w:rPr>
          <w:noProof/>
        </w:rPr>
        <w:t xml:space="preserve"> i</w:t>
      </w:r>
      <w:r w:rsidR="003F3D2B">
        <w:rPr>
          <w:noProof/>
        </w:rPr>
        <w:t> </w:t>
      </w:r>
      <w:r w:rsidR="003F3D2B" w:rsidRPr="00624565">
        <w:rPr>
          <w:noProof/>
        </w:rPr>
        <w:t>egz</w:t>
      </w:r>
      <w:r w:rsidRPr="00624565">
        <w:rPr>
          <w:noProof/>
        </w:rPr>
        <w:t>ekwowanie przepisów niniejszej dyrektywy</w:t>
      </w:r>
      <w:r w:rsidR="003F3D2B" w:rsidRPr="00624565">
        <w:rPr>
          <w:noProof/>
        </w:rPr>
        <w:t>. Z</w:t>
      </w:r>
      <w:r w:rsidR="003F3D2B">
        <w:rPr>
          <w:noProof/>
        </w:rPr>
        <w:t> </w:t>
      </w:r>
      <w:r w:rsidR="003F3D2B" w:rsidRPr="00624565">
        <w:rPr>
          <w:noProof/>
        </w:rPr>
        <w:t>uwa</w:t>
      </w:r>
      <w:r w:rsidRPr="00624565">
        <w:rPr>
          <w:noProof/>
        </w:rPr>
        <w:t xml:space="preserve">gi na ścisłą komplementarność </w:t>
      </w:r>
      <w:r w:rsidRPr="003F3D2B">
        <w:rPr>
          <w:noProof/>
        </w:rPr>
        <w:t>art.</w:t>
      </w:r>
      <w:r w:rsidR="003F3D2B" w:rsidRPr="003F3D2B">
        <w:rPr>
          <w:noProof/>
        </w:rPr>
        <w:t> </w:t>
      </w:r>
      <w:r w:rsidRPr="003F3D2B">
        <w:rPr>
          <w:noProof/>
        </w:rPr>
        <w:t>5</w:t>
      </w:r>
      <w:r w:rsidR="003F3D2B" w:rsidRPr="00624565">
        <w:rPr>
          <w:noProof/>
        </w:rPr>
        <w:t xml:space="preserve"> i</w:t>
      </w:r>
      <w:r w:rsidR="003F3D2B">
        <w:rPr>
          <w:noProof/>
        </w:rPr>
        <w:t> </w:t>
      </w:r>
      <w:r w:rsidR="003F3D2B" w:rsidRPr="00624565">
        <w:rPr>
          <w:noProof/>
        </w:rPr>
        <w:t>6</w:t>
      </w:r>
      <w:r w:rsidRPr="00624565">
        <w:rPr>
          <w:noProof/>
        </w:rPr>
        <w:t xml:space="preserve"> niniejszej dyrektywy</w:t>
      </w:r>
      <w:r w:rsidR="003F3D2B" w:rsidRPr="00624565">
        <w:rPr>
          <w:noProof/>
        </w:rPr>
        <w:t xml:space="preserve"> z</w:t>
      </w:r>
      <w:r w:rsidR="003F3D2B">
        <w:rPr>
          <w:noProof/>
        </w:rPr>
        <w:t> </w:t>
      </w:r>
      <w:r w:rsidR="003F3D2B" w:rsidRPr="00624565">
        <w:rPr>
          <w:noProof/>
        </w:rPr>
        <w:t>prz</w:t>
      </w:r>
      <w:r w:rsidRPr="00624565">
        <w:rPr>
          <w:noProof/>
        </w:rPr>
        <w:t>episami dyrektywy 2005/29/WE państwa członkowskie powinny mieć jednak również możliwość wyznaczenia do ich egzekwowania tych samych właściwych organów, które są odpowiedzialne za egzekwowanie przepisów dyrektywy 2005/29/WE. Dla zachowania spójności państwa członkowskie dokonujące tego wyboru powinny mieć możliwość skorzystania</w:t>
      </w:r>
      <w:r w:rsidR="003F3D2B" w:rsidRPr="00624565">
        <w:rPr>
          <w:noProof/>
        </w:rPr>
        <w:t xml:space="preserve"> z</w:t>
      </w:r>
      <w:r w:rsidR="003F3D2B">
        <w:rPr>
          <w:noProof/>
        </w:rPr>
        <w:t> </w:t>
      </w:r>
      <w:r w:rsidR="003F3D2B" w:rsidRPr="00624565">
        <w:rPr>
          <w:noProof/>
        </w:rPr>
        <w:t>śro</w:t>
      </w:r>
      <w:r w:rsidRPr="00624565">
        <w:rPr>
          <w:noProof/>
        </w:rPr>
        <w:t>dków</w:t>
      </w:r>
      <w:r w:rsidR="003F3D2B" w:rsidRPr="00624565">
        <w:rPr>
          <w:noProof/>
        </w:rPr>
        <w:t xml:space="preserve"> i</w:t>
      </w:r>
      <w:r w:rsidR="003F3D2B">
        <w:rPr>
          <w:noProof/>
        </w:rPr>
        <w:t> </w:t>
      </w:r>
      <w:r w:rsidR="003F3D2B" w:rsidRPr="00624565">
        <w:rPr>
          <w:noProof/>
        </w:rPr>
        <w:t>upr</w:t>
      </w:r>
      <w:r w:rsidRPr="00624565">
        <w:rPr>
          <w:noProof/>
        </w:rPr>
        <w:t>awnień</w:t>
      </w:r>
      <w:r w:rsidR="003F3D2B" w:rsidRPr="00624565">
        <w:rPr>
          <w:noProof/>
        </w:rPr>
        <w:t xml:space="preserve"> w</w:t>
      </w:r>
      <w:r w:rsidR="003F3D2B">
        <w:rPr>
          <w:noProof/>
        </w:rPr>
        <w:t> </w:t>
      </w:r>
      <w:r w:rsidR="003F3D2B" w:rsidRPr="00624565">
        <w:rPr>
          <w:noProof/>
        </w:rPr>
        <w:t>zak</w:t>
      </w:r>
      <w:r w:rsidRPr="00624565">
        <w:rPr>
          <w:noProof/>
        </w:rPr>
        <w:t>resie wykonania, które ustanowiły zgodnie</w:t>
      </w:r>
      <w:r w:rsidR="003F3D2B" w:rsidRPr="00624565">
        <w:rPr>
          <w:noProof/>
        </w:rPr>
        <w:t xml:space="preserve"> z</w:t>
      </w:r>
      <w:r w:rsidR="003F3D2B">
        <w:rPr>
          <w:noProof/>
        </w:rPr>
        <w:t> </w:t>
      </w:r>
      <w:r w:rsidR="003F3D2B" w:rsidRPr="003F3D2B">
        <w:rPr>
          <w:noProof/>
        </w:rPr>
        <w:t>art</w:t>
      </w:r>
      <w:r w:rsidRPr="003F3D2B">
        <w:rPr>
          <w:noProof/>
        </w:rPr>
        <w:t>.</w:t>
      </w:r>
      <w:r w:rsidR="003F3D2B" w:rsidRPr="003F3D2B">
        <w:rPr>
          <w:noProof/>
        </w:rPr>
        <w:t> </w:t>
      </w:r>
      <w:r w:rsidRPr="003F3D2B">
        <w:rPr>
          <w:noProof/>
        </w:rPr>
        <w:t>1</w:t>
      </w:r>
      <w:r w:rsidRPr="00624565">
        <w:rPr>
          <w:noProof/>
        </w:rPr>
        <w:t>1 dyrektywy 2005/29/WE,</w:t>
      </w:r>
      <w:r w:rsidR="003F3D2B" w:rsidRPr="00624565">
        <w:rPr>
          <w:noProof/>
        </w:rPr>
        <w:t xml:space="preserve"> w</w:t>
      </w:r>
      <w:r w:rsidR="003F3D2B">
        <w:rPr>
          <w:noProof/>
        </w:rPr>
        <w:t> </w:t>
      </w:r>
      <w:r w:rsidR="003F3D2B" w:rsidRPr="00624565">
        <w:rPr>
          <w:noProof/>
        </w:rPr>
        <w:t>dro</w:t>
      </w:r>
      <w:r w:rsidRPr="00624565">
        <w:rPr>
          <w:noProof/>
        </w:rPr>
        <w:t>dze odstępstwa od przepisów dotyczących egzekwowania ustanowionych</w:t>
      </w:r>
      <w:r w:rsidR="003F3D2B" w:rsidRPr="00624565">
        <w:rPr>
          <w:noProof/>
        </w:rPr>
        <w:t xml:space="preserve"> w</w:t>
      </w:r>
      <w:r w:rsidR="003F3D2B">
        <w:rPr>
          <w:noProof/>
        </w:rPr>
        <w:t> </w:t>
      </w:r>
      <w:r w:rsidR="003F3D2B" w:rsidRPr="00624565">
        <w:rPr>
          <w:noProof/>
        </w:rPr>
        <w:t>nin</w:t>
      </w:r>
      <w:r w:rsidRPr="00624565">
        <w:rPr>
          <w:noProof/>
        </w:rPr>
        <w:t>iejszej dyrektywie</w:t>
      </w:r>
      <w:r w:rsidR="003F3D2B" w:rsidRPr="00624565">
        <w:rPr>
          <w:noProof/>
        </w:rPr>
        <w:t>. W</w:t>
      </w:r>
      <w:r w:rsidR="003F3D2B">
        <w:rPr>
          <w:noProof/>
        </w:rPr>
        <w:t> </w:t>
      </w:r>
      <w:r w:rsidR="003F3D2B" w:rsidRPr="00624565">
        <w:rPr>
          <w:noProof/>
        </w:rPr>
        <w:t>prz</w:t>
      </w:r>
      <w:r w:rsidRPr="00624565">
        <w:rPr>
          <w:noProof/>
        </w:rPr>
        <w:t>ypadku gdy na ich terytorium istnieje więcej wyznaczonych właściwych organów niż jeden oraz</w:t>
      </w:r>
      <w:r w:rsidR="003F3D2B" w:rsidRPr="00624565">
        <w:rPr>
          <w:noProof/>
        </w:rPr>
        <w:t xml:space="preserve"> w</w:t>
      </w:r>
      <w:r w:rsidR="003F3D2B">
        <w:rPr>
          <w:noProof/>
        </w:rPr>
        <w:t> </w:t>
      </w:r>
      <w:r w:rsidR="003F3D2B" w:rsidRPr="00624565">
        <w:rPr>
          <w:noProof/>
        </w:rPr>
        <w:t>cel</w:t>
      </w:r>
      <w:r w:rsidRPr="00624565">
        <w:rPr>
          <w:noProof/>
        </w:rPr>
        <w:t>u zapewnienia skutecznego wykonywania obowiązków przez właściwe organy, państwo członkowskie powinno zapewnić ścisłą współpracę między wszystkimi wyznaczonymi właściwymi organami.</w:t>
      </w:r>
    </w:p>
    <w:p w14:paraId="174E70F7" w14:textId="315408BF" w:rsidR="000464F8" w:rsidRPr="00624565" w:rsidRDefault="004D161E" w:rsidP="004D161E">
      <w:pPr>
        <w:pStyle w:val="ManualConsidrant"/>
        <w:rPr>
          <w:noProof/>
        </w:rPr>
      </w:pPr>
      <w:r w:rsidRPr="00624565">
        <w:rPr>
          <w:noProof/>
        </w:rPr>
        <w:t>(57)</w:t>
      </w:r>
      <w:r w:rsidRPr="00624565">
        <w:rPr>
          <w:noProof/>
        </w:rPr>
        <w:tab/>
        <w:t>Bez uszczerbku dla uprawnień przyznanych już na podstawie rozporządzenia (UE) 2017/2394</w:t>
      </w:r>
      <w:r w:rsidRPr="00624565">
        <w:rPr>
          <w:rStyle w:val="FootnoteReference"/>
          <w:noProof/>
        </w:rPr>
        <w:footnoteReference w:id="88"/>
      </w:r>
      <w:r w:rsidRPr="00624565">
        <w:rPr>
          <w:noProof/>
        </w:rPr>
        <w:t xml:space="preserve"> organom ochrony konsumentów właściwe organy powinny posiadać minimalne uprawnienia dochodzeniowe oraz uprawnienia do egzekwowania prawa</w:t>
      </w:r>
      <w:r w:rsidR="003F3D2B" w:rsidRPr="00624565">
        <w:rPr>
          <w:noProof/>
        </w:rPr>
        <w:t xml:space="preserve"> w</w:t>
      </w:r>
      <w:r w:rsidR="003F3D2B">
        <w:rPr>
          <w:noProof/>
        </w:rPr>
        <w:t> </w:t>
      </w:r>
      <w:r w:rsidR="003F3D2B" w:rsidRPr="00624565">
        <w:rPr>
          <w:noProof/>
        </w:rPr>
        <w:t>cel</w:t>
      </w:r>
      <w:r w:rsidRPr="00624565">
        <w:rPr>
          <w:noProof/>
        </w:rPr>
        <w:t>u zapewnienia zgodności</w:t>
      </w:r>
      <w:r w:rsidR="003F3D2B" w:rsidRPr="00624565">
        <w:rPr>
          <w:noProof/>
        </w:rPr>
        <w:t xml:space="preserve"> z</w:t>
      </w:r>
      <w:r w:rsidR="003F3D2B">
        <w:rPr>
          <w:noProof/>
        </w:rPr>
        <w:t> </w:t>
      </w:r>
      <w:r w:rsidR="003F3D2B" w:rsidRPr="00624565">
        <w:rPr>
          <w:noProof/>
        </w:rPr>
        <w:t>nin</w:t>
      </w:r>
      <w:r w:rsidRPr="00624565">
        <w:rPr>
          <w:noProof/>
        </w:rPr>
        <w:t>iejszą dyrektywą, szybszej</w:t>
      </w:r>
      <w:r w:rsidR="003F3D2B" w:rsidRPr="00624565">
        <w:rPr>
          <w:noProof/>
        </w:rPr>
        <w:t xml:space="preserve"> i</w:t>
      </w:r>
      <w:r w:rsidR="003F3D2B">
        <w:rPr>
          <w:noProof/>
        </w:rPr>
        <w:t> </w:t>
      </w:r>
      <w:r w:rsidR="003F3D2B" w:rsidRPr="00624565">
        <w:rPr>
          <w:noProof/>
        </w:rPr>
        <w:t>sku</w:t>
      </w:r>
      <w:r w:rsidRPr="00624565">
        <w:rPr>
          <w:noProof/>
        </w:rPr>
        <w:t>teczniejszej wzajemnej współpracy oraz powstrzymania podmiotów działających na rynku od naruszania przepisów niniejszej dyrektywy. Wspomniane uprawnienia powinny być wystarczające do skutecznego radzenia sobie</w:t>
      </w:r>
      <w:r w:rsidR="003F3D2B" w:rsidRPr="00624565">
        <w:rPr>
          <w:noProof/>
        </w:rPr>
        <w:t xml:space="preserve"> z</w:t>
      </w:r>
      <w:r w:rsidR="003F3D2B">
        <w:rPr>
          <w:noProof/>
        </w:rPr>
        <w:t> </w:t>
      </w:r>
      <w:r w:rsidR="003F3D2B" w:rsidRPr="00624565">
        <w:rPr>
          <w:noProof/>
        </w:rPr>
        <w:t>wyz</w:t>
      </w:r>
      <w:r w:rsidRPr="00624565">
        <w:rPr>
          <w:noProof/>
        </w:rPr>
        <w:t>waniami związanymi</w:t>
      </w:r>
      <w:r w:rsidR="003F3D2B" w:rsidRPr="00624565">
        <w:rPr>
          <w:noProof/>
        </w:rPr>
        <w:t xml:space="preserve"> z</w:t>
      </w:r>
      <w:r w:rsidR="003F3D2B">
        <w:rPr>
          <w:noProof/>
        </w:rPr>
        <w:t> </w:t>
      </w:r>
      <w:r w:rsidR="003F3D2B" w:rsidRPr="00624565">
        <w:rPr>
          <w:noProof/>
        </w:rPr>
        <w:t>egz</w:t>
      </w:r>
      <w:r w:rsidRPr="00624565">
        <w:rPr>
          <w:noProof/>
        </w:rPr>
        <w:t>ekwowaniem przepisów</w:t>
      </w:r>
      <w:r w:rsidR="003F3D2B" w:rsidRPr="00624565">
        <w:rPr>
          <w:noProof/>
        </w:rPr>
        <w:t xml:space="preserve"> w</w:t>
      </w:r>
      <w:r w:rsidR="003F3D2B">
        <w:rPr>
          <w:noProof/>
        </w:rPr>
        <w:t> </w:t>
      </w:r>
      <w:r w:rsidR="003F3D2B" w:rsidRPr="00624565">
        <w:rPr>
          <w:noProof/>
        </w:rPr>
        <w:t>obs</w:t>
      </w:r>
      <w:r w:rsidRPr="00624565">
        <w:rPr>
          <w:noProof/>
        </w:rPr>
        <w:t>zarze handlu elektronicznego</w:t>
      </w:r>
      <w:r w:rsidR="003F3D2B" w:rsidRPr="00624565">
        <w:rPr>
          <w:noProof/>
        </w:rPr>
        <w:t xml:space="preserve"> i</w:t>
      </w:r>
      <w:r w:rsidR="003F3D2B">
        <w:rPr>
          <w:noProof/>
        </w:rPr>
        <w:t> </w:t>
      </w:r>
      <w:r w:rsidR="003F3D2B" w:rsidRPr="00624565">
        <w:rPr>
          <w:noProof/>
        </w:rPr>
        <w:t>w</w:t>
      </w:r>
      <w:r w:rsidR="003F3D2B">
        <w:rPr>
          <w:noProof/>
        </w:rPr>
        <w:t> </w:t>
      </w:r>
      <w:r w:rsidR="003F3D2B" w:rsidRPr="00624565">
        <w:rPr>
          <w:noProof/>
        </w:rPr>
        <w:t>oto</w:t>
      </w:r>
      <w:r w:rsidRPr="00624565">
        <w:rPr>
          <w:noProof/>
        </w:rPr>
        <w:t>czeniu cyfrowym oraz do uniemożliwienia nieprzestrzegającym przepisów podmiotom działającym na rynku wykorzystywania luk</w:t>
      </w:r>
      <w:r w:rsidR="003F3D2B" w:rsidRPr="00624565">
        <w:rPr>
          <w:noProof/>
        </w:rPr>
        <w:t xml:space="preserve"> w</w:t>
      </w:r>
      <w:r w:rsidR="003F3D2B">
        <w:rPr>
          <w:noProof/>
        </w:rPr>
        <w:t> </w:t>
      </w:r>
      <w:r w:rsidR="003F3D2B" w:rsidRPr="00624565">
        <w:rPr>
          <w:noProof/>
        </w:rPr>
        <w:t>sys</w:t>
      </w:r>
      <w:r w:rsidRPr="00624565">
        <w:rPr>
          <w:noProof/>
        </w:rPr>
        <w:t>temie egzekwowania prawa, czego dokonują poprzez przenoszenie miejsca prowadzenia działalności do państw członkowskich,</w:t>
      </w:r>
      <w:r w:rsidR="003F3D2B" w:rsidRPr="00624565">
        <w:rPr>
          <w:noProof/>
        </w:rPr>
        <w:t xml:space="preserve"> w</w:t>
      </w:r>
      <w:r w:rsidR="003F3D2B">
        <w:rPr>
          <w:noProof/>
        </w:rPr>
        <w:t> </w:t>
      </w:r>
      <w:r w:rsidR="003F3D2B" w:rsidRPr="00624565">
        <w:rPr>
          <w:noProof/>
        </w:rPr>
        <w:t>któ</w:t>
      </w:r>
      <w:r w:rsidRPr="00624565">
        <w:rPr>
          <w:noProof/>
        </w:rPr>
        <w:t>rych właściwe organy dysponują niewystarczającymi narzędziami do przeciwdziałania niezgodnym</w:t>
      </w:r>
      <w:r w:rsidR="003F3D2B" w:rsidRPr="00624565">
        <w:rPr>
          <w:noProof/>
        </w:rPr>
        <w:t xml:space="preserve"> z</w:t>
      </w:r>
      <w:r w:rsidR="003F3D2B">
        <w:rPr>
          <w:noProof/>
        </w:rPr>
        <w:t> </w:t>
      </w:r>
      <w:r w:rsidR="003F3D2B" w:rsidRPr="00624565">
        <w:rPr>
          <w:noProof/>
        </w:rPr>
        <w:t>pra</w:t>
      </w:r>
      <w:r w:rsidRPr="00624565">
        <w:rPr>
          <w:noProof/>
        </w:rPr>
        <w:t>wem praktykom.</w:t>
      </w:r>
    </w:p>
    <w:p w14:paraId="375073B8" w14:textId="69495807" w:rsidR="000464F8" w:rsidRPr="00624565" w:rsidRDefault="004D161E" w:rsidP="004D161E">
      <w:pPr>
        <w:pStyle w:val="ManualConsidrant"/>
        <w:rPr>
          <w:noProof/>
        </w:rPr>
      </w:pPr>
      <w:r w:rsidRPr="00624565">
        <w:rPr>
          <w:noProof/>
        </w:rPr>
        <w:t>(58)</w:t>
      </w:r>
      <w:r w:rsidRPr="00624565">
        <w:rPr>
          <w:noProof/>
        </w:rPr>
        <w:tab/>
        <w:t>Właściwe organy powinny mieć możliwość wykorzystania wszelkich faktów</w:t>
      </w:r>
      <w:r w:rsidR="003F3D2B" w:rsidRPr="00624565">
        <w:rPr>
          <w:noProof/>
        </w:rPr>
        <w:t xml:space="preserve"> i</w:t>
      </w:r>
      <w:r w:rsidR="003F3D2B">
        <w:rPr>
          <w:noProof/>
        </w:rPr>
        <w:t> </w:t>
      </w:r>
      <w:r w:rsidR="003F3D2B" w:rsidRPr="00624565">
        <w:rPr>
          <w:noProof/>
        </w:rPr>
        <w:t>oko</w:t>
      </w:r>
      <w:r w:rsidRPr="00624565">
        <w:rPr>
          <w:noProof/>
        </w:rPr>
        <w:t>liczności danej sprawy jako dowodów do celów prowadzonego przez siebie dochodzenia.</w:t>
      </w:r>
    </w:p>
    <w:p w14:paraId="24743855" w14:textId="24F7E9C4" w:rsidR="000464F8" w:rsidRPr="00624565" w:rsidRDefault="004D161E" w:rsidP="004D161E">
      <w:pPr>
        <w:pStyle w:val="ManualConsidrant"/>
        <w:rPr>
          <w:noProof/>
        </w:rPr>
      </w:pPr>
      <w:r w:rsidRPr="00624565">
        <w:rPr>
          <w:noProof/>
        </w:rPr>
        <w:t>(59)</w:t>
      </w:r>
      <w:r w:rsidRPr="00624565">
        <w:rPr>
          <w:noProof/>
        </w:rPr>
        <w:tab/>
        <w:t>Aby zapobiec pojawieniu się na rynku Unii wprowadzających</w:t>
      </w:r>
      <w:r w:rsidR="003F3D2B" w:rsidRPr="00624565">
        <w:rPr>
          <w:noProof/>
        </w:rPr>
        <w:t xml:space="preserve"> w</w:t>
      </w:r>
      <w:r w:rsidR="003F3D2B">
        <w:rPr>
          <w:noProof/>
        </w:rPr>
        <w:t> </w:t>
      </w:r>
      <w:r w:rsidR="003F3D2B" w:rsidRPr="00624565">
        <w:rPr>
          <w:noProof/>
        </w:rPr>
        <w:t>błą</w:t>
      </w:r>
      <w:r w:rsidRPr="00624565">
        <w:rPr>
          <w:noProof/>
        </w:rPr>
        <w:t>d</w:t>
      </w:r>
      <w:r w:rsidR="003F3D2B" w:rsidRPr="00624565">
        <w:rPr>
          <w:noProof/>
        </w:rPr>
        <w:t xml:space="preserve"> i</w:t>
      </w:r>
      <w:r w:rsidR="003F3D2B">
        <w:rPr>
          <w:noProof/>
        </w:rPr>
        <w:t> </w:t>
      </w:r>
      <w:r w:rsidR="003F3D2B" w:rsidRPr="00624565">
        <w:rPr>
          <w:noProof/>
        </w:rPr>
        <w:t>nie</w:t>
      </w:r>
      <w:r w:rsidRPr="00624565">
        <w:rPr>
          <w:noProof/>
        </w:rPr>
        <w:t>uzasadnionych wyraźnych oświadczeń środowiskowych, właściwe organy powinny przeprowadzać regularne kontrole składanych wyraźnych oświadczeń środowiskowych oraz stosowanych systemów oznakowania ekologicznego</w:t>
      </w:r>
      <w:r w:rsidR="003F3D2B" w:rsidRPr="00624565">
        <w:rPr>
          <w:noProof/>
        </w:rPr>
        <w:t xml:space="preserve"> w</w:t>
      </w:r>
      <w:r w:rsidR="003F3D2B">
        <w:rPr>
          <w:noProof/>
        </w:rPr>
        <w:t> </w:t>
      </w:r>
      <w:r w:rsidR="003F3D2B" w:rsidRPr="00624565">
        <w:rPr>
          <w:noProof/>
        </w:rPr>
        <w:t>cel</w:t>
      </w:r>
      <w:r w:rsidRPr="00624565">
        <w:rPr>
          <w:noProof/>
        </w:rPr>
        <w:t>u sprawdzenia, czy spełnione są wymogi określone</w:t>
      </w:r>
      <w:r w:rsidR="003F3D2B" w:rsidRPr="00624565">
        <w:rPr>
          <w:noProof/>
        </w:rPr>
        <w:t xml:space="preserve"> w</w:t>
      </w:r>
      <w:r w:rsidR="003F3D2B">
        <w:rPr>
          <w:noProof/>
        </w:rPr>
        <w:t> </w:t>
      </w:r>
      <w:r w:rsidR="003F3D2B" w:rsidRPr="00624565">
        <w:rPr>
          <w:noProof/>
        </w:rPr>
        <w:t>nin</w:t>
      </w:r>
      <w:r w:rsidRPr="00624565">
        <w:rPr>
          <w:noProof/>
        </w:rPr>
        <w:t>iejszej dyrektywie.</w:t>
      </w:r>
    </w:p>
    <w:p w14:paraId="19A1CA3B" w14:textId="52FB23B7" w:rsidR="000464F8" w:rsidRPr="00624565" w:rsidRDefault="004D161E" w:rsidP="004D161E">
      <w:pPr>
        <w:pStyle w:val="ManualConsidrant"/>
        <w:rPr>
          <w:noProof/>
        </w:rPr>
      </w:pPr>
      <w:r w:rsidRPr="00624565">
        <w:rPr>
          <w:noProof/>
        </w:rPr>
        <w:t>(60)</w:t>
      </w:r>
      <w:r w:rsidRPr="00624565">
        <w:rPr>
          <w:noProof/>
        </w:rPr>
        <w:tab/>
        <w:t>W przypadku stwierdzenia naruszenia wymogów niniejszej dyrektywy właściwe organy powinny przeprowadzić ocenę i na podstawie jej wyników powiadomić przedsiębiorcę</w:t>
      </w:r>
      <w:r w:rsidR="003F3D2B" w:rsidRPr="00624565">
        <w:rPr>
          <w:noProof/>
        </w:rPr>
        <w:t xml:space="preserve"> o</w:t>
      </w:r>
      <w:r w:rsidR="003F3D2B">
        <w:rPr>
          <w:noProof/>
        </w:rPr>
        <w:t> </w:t>
      </w:r>
      <w:r w:rsidR="003F3D2B" w:rsidRPr="00624565">
        <w:rPr>
          <w:noProof/>
        </w:rPr>
        <w:t>stw</w:t>
      </w:r>
      <w:r w:rsidRPr="00624565">
        <w:rPr>
          <w:noProof/>
        </w:rPr>
        <w:t>ierdzonym naruszeniu oraz zażądać podjęcia przez niego działań naprawczych. Aby zminimalizować wpływ wprowadzającego</w:t>
      </w:r>
      <w:r w:rsidR="003F3D2B" w:rsidRPr="00624565">
        <w:rPr>
          <w:noProof/>
        </w:rPr>
        <w:t xml:space="preserve"> w</w:t>
      </w:r>
      <w:r w:rsidR="003F3D2B">
        <w:rPr>
          <w:noProof/>
        </w:rPr>
        <w:t> </w:t>
      </w:r>
      <w:r w:rsidR="003F3D2B" w:rsidRPr="00624565">
        <w:rPr>
          <w:noProof/>
        </w:rPr>
        <w:t>błą</w:t>
      </w:r>
      <w:r w:rsidRPr="00624565">
        <w:rPr>
          <w:noProof/>
        </w:rPr>
        <w:t>d niezgodnego</w:t>
      </w:r>
      <w:r w:rsidR="003F3D2B" w:rsidRPr="00624565">
        <w:rPr>
          <w:noProof/>
        </w:rPr>
        <w:t xml:space="preserve"> z</w:t>
      </w:r>
      <w:r w:rsidR="003F3D2B">
        <w:rPr>
          <w:noProof/>
        </w:rPr>
        <w:t> </w:t>
      </w:r>
      <w:r w:rsidR="003F3D2B" w:rsidRPr="00624565">
        <w:rPr>
          <w:noProof/>
        </w:rPr>
        <w:t>prz</w:t>
      </w:r>
      <w:r w:rsidRPr="00624565">
        <w:rPr>
          <w:noProof/>
        </w:rPr>
        <w:t>episami wyraźnego oświadczenia środowiskowego lub niezgodnego</w:t>
      </w:r>
      <w:r w:rsidR="003F3D2B" w:rsidRPr="00624565">
        <w:rPr>
          <w:noProof/>
        </w:rPr>
        <w:t xml:space="preserve"> z</w:t>
      </w:r>
      <w:r w:rsidR="003F3D2B">
        <w:rPr>
          <w:noProof/>
        </w:rPr>
        <w:t> </w:t>
      </w:r>
      <w:r w:rsidR="003F3D2B" w:rsidRPr="00624565">
        <w:rPr>
          <w:noProof/>
        </w:rPr>
        <w:t>prz</w:t>
      </w:r>
      <w:r w:rsidRPr="00624565">
        <w:rPr>
          <w:noProof/>
        </w:rPr>
        <w:t>episami systemu oznakowania ekologicznego na konsumentów, właściwe organy powinny zobowiązać przedsiębiorcę do podjęcia skutecznego</w:t>
      </w:r>
      <w:r w:rsidR="003F3D2B" w:rsidRPr="00624565">
        <w:rPr>
          <w:noProof/>
        </w:rPr>
        <w:t xml:space="preserve"> i</w:t>
      </w:r>
      <w:r w:rsidR="003F3D2B">
        <w:rPr>
          <w:noProof/>
        </w:rPr>
        <w:t> </w:t>
      </w:r>
      <w:r w:rsidR="003F3D2B" w:rsidRPr="00624565">
        <w:rPr>
          <w:noProof/>
        </w:rPr>
        <w:t>szy</w:t>
      </w:r>
      <w:r w:rsidRPr="00624565">
        <w:rPr>
          <w:noProof/>
        </w:rPr>
        <w:t>bkiego działania</w:t>
      </w:r>
      <w:r w:rsidR="003F3D2B" w:rsidRPr="00624565">
        <w:rPr>
          <w:noProof/>
        </w:rPr>
        <w:t xml:space="preserve"> w</w:t>
      </w:r>
      <w:r w:rsidR="003F3D2B">
        <w:rPr>
          <w:noProof/>
        </w:rPr>
        <w:t> </w:t>
      </w:r>
      <w:r w:rsidR="003F3D2B" w:rsidRPr="00624565">
        <w:rPr>
          <w:noProof/>
        </w:rPr>
        <w:t>cel</w:t>
      </w:r>
      <w:r w:rsidRPr="00624565">
        <w:rPr>
          <w:noProof/>
        </w:rPr>
        <w:t>u zaradzenia temu naruszeniu. Wymagane działania naprawcze powinny być proporcjonalne do stwierdzonego naruszenia</w:t>
      </w:r>
      <w:r w:rsidR="003F3D2B" w:rsidRPr="00624565">
        <w:rPr>
          <w:noProof/>
        </w:rPr>
        <w:t xml:space="preserve"> i</w:t>
      </w:r>
      <w:r w:rsidR="003F3D2B">
        <w:rPr>
          <w:noProof/>
        </w:rPr>
        <w:t> </w:t>
      </w:r>
      <w:r w:rsidR="003F3D2B" w:rsidRPr="00624565">
        <w:rPr>
          <w:noProof/>
        </w:rPr>
        <w:t>jeg</w:t>
      </w:r>
      <w:r w:rsidRPr="00624565">
        <w:rPr>
          <w:noProof/>
        </w:rPr>
        <w:t>o spodziewanych szkodliwych skutków dla konsumentów.</w:t>
      </w:r>
    </w:p>
    <w:p w14:paraId="6ED7F97F" w14:textId="45558473" w:rsidR="000464F8" w:rsidRPr="00624565" w:rsidRDefault="004D161E" w:rsidP="004D161E">
      <w:pPr>
        <w:pStyle w:val="ManualConsidrant"/>
        <w:rPr>
          <w:noProof/>
        </w:rPr>
      </w:pPr>
      <w:r w:rsidRPr="00624565">
        <w:rPr>
          <w:noProof/>
        </w:rPr>
        <w:t>(61)</w:t>
      </w:r>
      <w:r w:rsidRPr="00624565">
        <w:rPr>
          <w:noProof/>
        </w:rPr>
        <w:tab/>
        <w:t>W przypadku gdy naruszenie nie ogranicza się do ich terytorium krajowego,</w:t>
      </w:r>
      <w:r w:rsidR="003F3D2B" w:rsidRPr="00624565">
        <w:rPr>
          <w:noProof/>
        </w:rPr>
        <w:t xml:space="preserve"> a</w:t>
      </w:r>
      <w:r w:rsidR="003F3D2B">
        <w:rPr>
          <w:noProof/>
        </w:rPr>
        <w:t> </w:t>
      </w:r>
      <w:r w:rsidR="003F3D2B" w:rsidRPr="00624565">
        <w:rPr>
          <w:noProof/>
        </w:rPr>
        <w:t>pos</w:t>
      </w:r>
      <w:r w:rsidRPr="00624565">
        <w:rPr>
          <w:noProof/>
        </w:rPr>
        <w:t>zczególni przedsiębiorcy złożyli wyraźne oświadczenie środowiskowe, właściwe organy powinny poinformować pozostałe państwa członkowskie</w:t>
      </w:r>
      <w:r w:rsidR="003F3D2B" w:rsidRPr="00624565">
        <w:rPr>
          <w:noProof/>
        </w:rPr>
        <w:t xml:space="preserve"> o</w:t>
      </w:r>
      <w:r w:rsidR="003F3D2B">
        <w:rPr>
          <w:noProof/>
        </w:rPr>
        <w:t> </w:t>
      </w:r>
      <w:r w:rsidR="003F3D2B" w:rsidRPr="00624565">
        <w:rPr>
          <w:noProof/>
        </w:rPr>
        <w:t>wyn</w:t>
      </w:r>
      <w:r w:rsidRPr="00624565">
        <w:rPr>
          <w:noProof/>
        </w:rPr>
        <w:t>ikach przeprowadzonej przez nie oceny oraz</w:t>
      </w:r>
      <w:r w:rsidR="003F3D2B" w:rsidRPr="00624565">
        <w:rPr>
          <w:noProof/>
        </w:rPr>
        <w:t xml:space="preserve"> o</w:t>
      </w:r>
      <w:r w:rsidR="003F3D2B">
        <w:rPr>
          <w:noProof/>
        </w:rPr>
        <w:t> </w:t>
      </w:r>
      <w:r w:rsidR="003F3D2B" w:rsidRPr="00624565">
        <w:rPr>
          <w:noProof/>
        </w:rPr>
        <w:t>wsz</w:t>
      </w:r>
      <w:r w:rsidRPr="00624565">
        <w:rPr>
          <w:noProof/>
        </w:rPr>
        <w:t>elkich działaniach, których podjęcia zażądały od odpowiedzialnego przedsiębiorcy.</w:t>
      </w:r>
    </w:p>
    <w:p w14:paraId="6E8B6296" w14:textId="28312CC2" w:rsidR="000464F8" w:rsidRPr="00624565" w:rsidRDefault="004D161E" w:rsidP="004D161E">
      <w:pPr>
        <w:pStyle w:val="ManualConsidrant"/>
        <w:rPr>
          <w:noProof/>
        </w:rPr>
      </w:pPr>
      <w:r w:rsidRPr="00624565">
        <w:rPr>
          <w:noProof/>
        </w:rPr>
        <w:t>(62)</w:t>
      </w:r>
      <w:r w:rsidRPr="00624565">
        <w:rPr>
          <w:noProof/>
        </w:rPr>
        <w:tab/>
        <w:t>Ponadto właściwe organy powinny przeprowadzać kontrole wyraźnych oświadczeń środowiskowych na rynku Unii</w:t>
      </w:r>
      <w:r w:rsidR="003F3D2B" w:rsidRPr="00624565">
        <w:rPr>
          <w:noProof/>
        </w:rPr>
        <w:t xml:space="preserve"> w</w:t>
      </w:r>
      <w:r w:rsidR="003F3D2B">
        <w:rPr>
          <w:noProof/>
        </w:rPr>
        <w:t> </w:t>
      </w:r>
      <w:r w:rsidR="003F3D2B" w:rsidRPr="00624565">
        <w:rPr>
          <w:noProof/>
        </w:rPr>
        <w:t>prz</w:t>
      </w:r>
      <w:r w:rsidRPr="00624565">
        <w:rPr>
          <w:noProof/>
        </w:rPr>
        <w:t>ypadku posiadania stosownych informacji,</w:t>
      </w:r>
      <w:r w:rsidR="003F3D2B" w:rsidRPr="00624565">
        <w:rPr>
          <w:noProof/>
        </w:rPr>
        <w:t xml:space="preserve"> w</w:t>
      </w:r>
      <w:r w:rsidR="003F3D2B">
        <w:rPr>
          <w:noProof/>
        </w:rPr>
        <w:t> </w:t>
      </w:r>
      <w:r w:rsidR="003F3D2B" w:rsidRPr="00624565">
        <w:rPr>
          <w:noProof/>
        </w:rPr>
        <w:t>tym</w:t>
      </w:r>
      <w:r w:rsidRPr="00624565">
        <w:rPr>
          <w:noProof/>
        </w:rPr>
        <w:t xml:space="preserve"> przekazania uzasadnionych zastrzeżeń przez osoby trzecie, i na podstawie takich informacji. Osoby trzecie zgłaszające zastrzeżenia powinny być</w:t>
      </w:r>
      <w:r w:rsidR="003F3D2B" w:rsidRPr="00624565">
        <w:rPr>
          <w:noProof/>
        </w:rPr>
        <w:t xml:space="preserve"> w</w:t>
      </w:r>
      <w:r w:rsidR="003F3D2B">
        <w:rPr>
          <w:noProof/>
        </w:rPr>
        <w:t> </w:t>
      </w:r>
      <w:r w:rsidR="003F3D2B" w:rsidRPr="00624565">
        <w:rPr>
          <w:noProof/>
        </w:rPr>
        <w:t>sta</w:t>
      </w:r>
      <w:r w:rsidRPr="00624565">
        <w:rPr>
          <w:noProof/>
        </w:rPr>
        <w:t>nie wykazać wystarczający interes lub powołać się na utratę prawa.</w:t>
      </w:r>
    </w:p>
    <w:p w14:paraId="74521298" w14:textId="3003034F" w:rsidR="000464F8" w:rsidRPr="00624565" w:rsidRDefault="004D161E" w:rsidP="004D161E">
      <w:pPr>
        <w:pStyle w:val="ManualConsidrant"/>
        <w:rPr>
          <w:noProof/>
        </w:rPr>
      </w:pPr>
      <w:r w:rsidRPr="00624565">
        <w:rPr>
          <w:noProof/>
        </w:rPr>
        <w:t>(63)</w:t>
      </w:r>
      <w:r w:rsidRPr="00624565">
        <w:rPr>
          <w:noProof/>
        </w:rPr>
        <w:tab/>
        <w:t>Aby skutecznie zniechęcić przedsiębiorców do nieprzestrzegania wymogów niniejszej dyrektywy, państwa członkowskie powinny ustanowić przepisy dotyczące kar mających zastosowanie</w:t>
      </w:r>
      <w:r w:rsidR="003F3D2B" w:rsidRPr="00624565">
        <w:rPr>
          <w:noProof/>
        </w:rPr>
        <w:t xml:space="preserve"> w</w:t>
      </w:r>
      <w:r w:rsidR="003F3D2B">
        <w:rPr>
          <w:noProof/>
        </w:rPr>
        <w:t> </w:t>
      </w:r>
      <w:r w:rsidR="003F3D2B" w:rsidRPr="00624565">
        <w:rPr>
          <w:noProof/>
        </w:rPr>
        <w:t>prz</w:t>
      </w:r>
      <w:r w:rsidRPr="00624565">
        <w:rPr>
          <w:noProof/>
        </w:rPr>
        <w:t>ypadku naruszenia niniejszej dyrektywy</w:t>
      </w:r>
      <w:r w:rsidR="003F3D2B" w:rsidRPr="00624565">
        <w:rPr>
          <w:noProof/>
        </w:rPr>
        <w:t xml:space="preserve"> i</w:t>
      </w:r>
      <w:r w:rsidR="003F3D2B">
        <w:rPr>
          <w:noProof/>
        </w:rPr>
        <w:t> </w:t>
      </w:r>
      <w:r w:rsidR="003F3D2B" w:rsidRPr="00624565">
        <w:rPr>
          <w:noProof/>
        </w:rPr>
        <w:t>zap</w:t>
      </w:r>
      <w:r w:rsidRPr="00624565">
        <w:rPr>
          <w:noProof/>
        </w:rPr>
        <w:t>ewnić wdrożenie tych przepisów. Przewidziane kary powinny być skuteczne, proporcjonalne</w:t>
      </w:r>
      <w:r w:rsidR="003F3D2B" w:rsidRPr="00624565">
        <w:rPr>
          <w:noProof/>
        </w:rPr>
        <w:t xml:space="preserve"> i</w:t>
      </w:r>
      <w:r w:rsidR="003F3D2B">
        <w:rPr>
          <w:noProof/>
        </w:rPr>
        <w:t> </w:t>
      </w:r>
      <w:r w:rsidR="003F3D2B" w:rsidRPr="00624565">
        <w:rPr>
          <w:noProof/>
        </w:rPr>
        <w:t>ods</w:t>
      </w:r>
      <w:r w:rsidRPr="00624565">
        <w:rPr>
          <w:noProof/>
        </w:rPr>
        <w:t>traszające. Aby ułatwić spójniejsze stosowanie kar, należy ustanowić wspólne, niewyczerpujące kryteria określania rodzajów</w:t>
      </w:r>
      <w:r w:rsidR="003F3D2B" w:rsidRPr="00624565">
        <w:rPr>
          <w:noProof/>
        </w:rPr>
        <w:t xml:space="preserve"> i</w:t>
      </w:r>
      <w:r w:rsidR="003F3D2B">
        <w:rPr>
          <w:noProof/>
        </w:rPr>
        <w:t> </w:t>
      </w:r>
      <w:r w:rsidR="003F3D2B" w:rsidRPr="00624565">
        <w:rPr>
          <w:noProof/>
        </w:rPr>
        <w:t>wys</w:t>
      </w:r>
      <w:r w:rsidRPr="00624565">
        <w:rPr>
          <w:noProof/>
        </w:rPr>
        <w:t>okości kar nakładanych</w:t>
      </w:r>
      <w:r w:rsidR="003F3D2B" w:rsidRPr="00624565">
        <w:rPr>
          <w:noProof/>
        </w:rPr>
        <w:t xml:space="preserve"> w</w:t>
      </w:r>
      <w:r w:rsidR="003F3D2B">
        <w:rPr>
          <w:noProof/>
        </w:rPr>
        <w:t> </w:t>
      </w:r>
      <w:r w:rsidR="003F3D2B" w:rsidRPr="00624565">
        <w:rPr>
          <w:noProof/>
        </w:rPr>
        <w:t>prz</w:t>
      </w:r>
      <w:r w:rsidRPr="00624565">
        <w:rPr>
          <w:noProof/>
        </w:rPr>
        <w:t>ypadku naruszeń przepisów. Kryteria te powinny obejmować m.in. charakter</w:t>
      </w:r>
      <w:r w:rsidR="003F3D2B" w:rsidRPr="00624565">
        <w:rPr>
          <w:noProof/>
        </w:rPr>
        <w:t xml:space="preserve"> i</w:t>
      </w:r>
      <w:r w:rsidR="003F3D2B">
        <w:rPr>
          <w:noProof/>
        </w:rPr>
        <w:t> </w:t>
      </w:r>
      <w:r w:rsidR="003F3D2B" w:rsidRPr="00624565">
        <w:rPr>
          <w:noProof/>
        </w:rPr>
        <w:t>wag</w:t>
      </w:r>
      <w:r w:rsidRPr="00624565">
        <w:rPr>
          <w:noProof/>
        </w:rPr>
        <w:t>ę naruszenia, jak również korzyści ekonomiczne</w:t>
      </w:r>
      <w:r w:rsidR="003F3D2B" w:rsidRPr="00624565">
        <w:rPr>
          <w:noProof/>
        </w:rPr>
        <w:t xml:space="preserve"> z</w:t>
      </w:r>
      <w:r w:rsidR="003F3D2B">
        <w:rPr>
          <w:noProof/>
        </w:rPr>
        <w:t> </w:t>
      </w:r>
      <w:r w:rsidR="003F3D2B" w:rsidRPr="00624565">
        <w:rPr>
          <w:noProof/>
        </w:rPr>
        <w:t>nie</w:t>
      </w:r>
      <w:r w:rsidRPr="00624565">
        <w:rPr>
          <w:noProof/>
        </w:rPr>
        <w:t xml:space="preserve">go wynikające, aby zapewnić, by osoby odpowiedzialne zostały pozbawione tych korzyści. </w:t>
      </w:r>
    </w:p>
    <w:p w14:paraId="0BA04609" w14:textId="4FB21245" w:rsidR="000464F8" w:rsidRPr="00624565" w:rsidRDefault="004D161E" w:rsidP="004D161E">
      <w:pPr>
        <w:pStyle w:val="ManualConsidrant"/>
        <w:rPr>
          <w:noProof/>
        </w:rPr>
      </w:pPr>
      <w:r w:rsidRPr="00624565">
        <w:rPr>
          <w:noProof/>
        </w:rPr>
        <w:t>(64)</w:t>
      </w:r>
      <w:r w:rsidRPr="00624565">
        <w:rPr>
          <w:noProof/>
        </w:rPr>
        <w:tab/>
        <w:t>Ustanawiając kary</w:t>
      </w:r>
      <w:r w:rsidR="003F3D2B" w:rsidRPr="00624565">
        <w:rPr>
          <w:noProof/>
        </w:rPr>
        <w:t xml:space="preserve"> i</w:t>
      </w:r>
      <w:r w:rsidR="003F3D2B">
        <w:rPr>
          <w:noProof/>
        </w:rPr>
        <w:t> </w:t>
      </w:r>
      <w:r w:rsidR="003F3D2B" w:rsidRPr="00624565">
        <w:rPr>
          <w:noProof/>
        </w:rPr>
        <w:t>śro</w:t>
      </w:r>
      <w:r w:rsidRPr="00624565">
        <w:rPr>
          <w:noProof/>
        </w:rPr>
        <w:t>dki stosowane</w:t>
      </w:r>
      <w:r w:rsidR="003F3D2B" w:rsidRPr="00624565">
        <w:rPr>
          <w:noProof/>
        </w:rPr>
        <w:t xml:space="preserve"> w</w:t>
      </w:r>
      <w:r w:rsidR="003F3D2B">
        <w:rPr>
          <w:noProof/>
        </w:rPr>
        <w:t> </w:t>
      </w:r>
      <w:r w:rsidR="003F3D2B" w:rsidRPr="00624565">
        <w:rPr>
          <w:noProof/>
        </w:rPr>
        <w:t>prz</w:t>
      </w:r>
      <w:r w:rsidRPr="00624565">
        <w:rPr>
          <w:noProof/>
        </w:rPr>
        <w:t>ypadku naruszeń, państwa członkowskie powinny przewidzieć, że</w:t>
      </w:r>
      <w:r w:rsidR="003F3D2B" w:rsidRPr="00624565">
        <w:rPr>
          <w:noProof/>
        </w:rPr>
        <w:t xml:space="preserve"> w</w:t>
      </w:r>
      <w:r w:rsidR="003F3D2B">
        <w:rPr>
          <w:noProof/>
        </w:rPr>
        <w:t> </w:t>
      </w:r>
      <w:r w:rsidR="003F3D2B" w:rsidRPr="00624565">
        <w:rPr>
          <w:noProof/>
        </w:rPr>
        <w:t>zal</w:t>
      </w:r>
      <w:r w:rsidRPr="00624565">
        <w:rPr>
          <w:noProof/>
        </w:rPr>
        <w:t>eżności od wagi naruszenia wysokość grzywien powinna skutecznie pozbawić przedsiębiorcę nieprzestrzegającego przepisów korzyści ekonomicznych uzyskanych</w:t>
      </w:r>
      <w:r w:rsidR="003F3D2B" w:rsidRPr="00624565">
        <w:rPr>
          <w:noProof/>
        </w:rPr>
        <w:t xml:space="preserve"> w</w:t>
      </w:r>
      <w:r w:rsidR="003F3D2B">
        <w:rPr>
          <w:noProof/>
        </w:rPr>
        <w:t> </w:t>
      </w:r>
      <w:r w:rsidR="003F3D2B" w:rsidRPr="00624565">
        <w:rPr>
          <w:noProof/>
        </w:rPr>
        <w:t>wyn</w:t>
      </w:r>
      <w:r w:rsidRPr="00624565">
        <w:rPr>
          <w:noProof/>
        </w:rPr>
        <w:t>iku stosowania wprowadzającego</w:t>
      </w:r>
      <w:r w:rsidR="003F3D2B" w:rsidRPr="00624565">
        <w:rPr>
          <w:noProof/>
        </w:rPr>
        <w:t xml:space="preserve"> w</w:t>
      </w:r>
      <w:r w:rsidR="003F3D2B">
        <w:rPr>
          <w:noProof/>
        </w:rPr>
        <w:t> </w:t>
      </w:r>
      <w:r w:rsidR="003F3D2B" w:rsidRPr="00624565">
        <w:rPr>
          <w:noProof/>
        </w:rPr>
        <w:t>błą</w:t>
      </w:r>
      <w:r w:rsidRPr="00624565">
        <w:rPr>
          <w:noProof/>
        </w:rPr>
        <w:t>d lub nieuzasadnionego wyraźnego oświadczenia środowiskowego lub niezgodnego</w:t>
      </w:r>
      <w:r w:rsidR="003F3D2B" w:rsidRPr="00624565">
        <w:rPr>
          <w:noProof/>
        </w:rPr>
        <w:t xml:space="preserve"> z</w:t>
      </w:r>
      <w:r w:rsidR="003F3D2B">
        <w:rPr>
          <w:noProof/>
        </w:rPr>
        <w:t> </w:t>
      </w:r>
      <w:r w:rsidR="003F3D2B" w:rsidRPr="00624565">
        <w:rPr>
          <w:noProof/>
        </w:rPr>
        <w:t>prz</w:t>
      </w:r>
      <w:r w:rsidRPr="00624565">
        <w:rPr>
          <w:noProof/>
        </w:rPr>
        <w:t>episami systemu oznakowania ekologicznego,</w:t>
      </w:r>
      <w:r w:rsidR="003F3D2B" w:rsidRPr="00624565">
        <w:rPr>
          <w:noProof/>
        </w:rPr>
        <w:t xml:space="preserve"> w</w:t>
      </w:r>
      <w:r w:rsidR="003F3D2B">
        <w:rPr>
          <w:noProof/>
        </w:rPr>
        <w:t> </w:t>
      </w:r>
      <w:r w:rsidR="003F3D2B" w:rsidRPr="00624565">
        <w:rPr>
          <w:noProof/>
        </w:rPr>
        <w:t>tym w</w:t>
      </w:r>
      <w:r w:rsidR="003F3D2B">
        <w:rPr>
          <w:noProof/>
        </w:rPr>
        <w:t> </w:t>
      </w:r>
      <w:r w:rsidR="003F3D2B" w:rsidRPr="00624565">
        <w:rPr>
          <w:noProof/>
        </w:rPr>
        <w:t>prz</w:t>
      </w:r>
      <w:r w:rsidRPr="00624565">
        <w:rPr>
          <w:noProof/>
        </w:rPr>
        <w:t>ypadku powtarzających się naruszeń. Środki stosowane</w:t>
      </w:r>
      <w:r w:rsidR="003F3D2B" w:rsidRPr="00624565">
        <w:rPr>
          <w:noProof/>
        </w:rPr>
        <w:t xml:space="preserve"> w</w:t>
      </w:r>
      <w:r w:rsidR="003F3D2B">
        <w:rPr>
          <w:noProof/>
        </w:rPr>
        <w:t> </w:t>
      </w:r>
      <w:r w:rsidR="003F3D2B" w:rsidRPr="00624565">
        <w:rPr>
          <w:noProof/>
        </w:rPr>
        <w:t>prz</w:t>
      </w:r>
      <w:r w:rsidRPr="00624565">
        <w:rPr>
          <w:noProof/>
        </w:rPr>
        <w:t>ypadku naruszeń przewidziane przez państwa członkowskie powinny zatem obejmować również konfiskatę odnośnego produktu od przedsiębiorcy lub dochodów uzyskanych</w:t>
      </w:r>
      <w:r w:rsidR="003F3D2B" w:rsidRPr="00624565">
        <w:rPr>
          <w:noProof/>
        </w:rPr>
        <w:t xml:space="preserve"> z</w:t>
      </w:r>
      <w:r w:rsidR="003F3D2B">
        <w:rPr>
          <w:noProof/>
        </w:rPr>
        <w:t> </w:t>
      </w:r>
      <w:r w:rsidR="003F3D2B" w:rsidRPr="00624565">
        <w:rPr>
          <w:noProof/>
        </w:rPr>
        <w:t>tra</w:t>
      </w:r>
      <w:r w:rsidRPr="00624565">
        <w:rPr>
          <w:noProof/>
        </w:rPr>
        <w:t>nsakcji, których dotyczy dane naruszenie, lub czasowe wykluczenie lub zakaz wprowadzania produktów na rynek Unii lub udostępniania usług na tym rynku. Waga naruszenia powinna być wiodącym kryterium decydującym</w:t>
      </w:r>
      <w:r w:rsidR="003F3D2B" w:rsidRPr="00624565">
        <w:rPr>
          <w:noProof/>
        </w:rPr>
        <w:t xml:space="preserve"> o</w:t>
      </w:r>
      <w:r w:rsidR="003F3D2B">
        <w:rPr>
          <w:noProof/>
        </w:rPr>
        <w:t> </w:t>
      </w:r>
      <w:r w:rsidR="003F3D2B" w:rsidRPr="00624565">
        <w:rPr>
          <w:noProof/>
        </w:rPr>
        <w:t>śro</w:t>
      </w:r>
      <w:r w:rsidRPr="00624565">
        <w:rPr>
          <w:noProof/>
        </w:rPr>
        <w:t>dkach wprowadzanych przez organy egzekwowania prawa. Maksymalna wysokość grzywien powinna mieć charakter odstraszający</w:t>
      </w:r>
      <w:r w:rsidR="003F3D2B" w:rsidRPr="00624565">
        <w:rPr>
          <w:noProof/>
        </w:rPr>
        <w:t xml:space="preserve"> i</w:t>
      </w:r>
      <w:r w:rsidR="003F3D2B">
        <w:rPr>
          <w:noProof/>
        </w:rPr>
        <w:t> </w:t>
      </w:r>
      <w:r w:rsidR="003F3D2B" w:rsidRPr="00624565">
        <w:rPr>
          <w:noProof/>
        </w:rPr>
        <w:t>być</w:t>
      </w:r>
      <w:r w:rsidRPr="00624565">
        <w:rPr>
          <w:noProof/>
        </w:rPr>
        <w:t xml:space="preserve"> ustalona co najmniej na poziomie 4 % całkowitego rocznego obrotu przedsiębiorcy</w:t>
      </w:r>
      <w:r w:rsidR="003F3D2B" w:rsidRPr="00624565">
        <w:rPr>
          <w:noProof/>
        </w:rPr>
        <w:t xml:space="preserve"> w</w:t>
      </w:r>
      <w:r w:rsidR="003F3D2B">
        <w:rPr>
          <w:noProof/>
        </w:rPr>
        <w:t> </w:t>
      </w:r>
      <w:r w:rsidR="003F3D2B" w:rsidRPr="00624565">
        <w:rPr>
          <w:noProof/>
        </w:rPr>
        <w:t>dan</w:t>
      </w:r>
      <w:r w:rsidRPr="00624565">
        <w:rPr>
          <w:noProof/>
        </w:rPr>
        <w:t>ym państwie członkowskim lub zainteresowanych państwach członkowskich</w:t>
      </w:r>
      <w:r w:rsidR="003F3D2B" w:rsidRPr="00624565">
        <w:rPr>
          <w:noProof/>
        </w:rPr>
        <w:t xml:space="preserve"> w</w:t>
      </w:r>
      <w:r w:rsidR="003F3D2B">
        <w:rPr>
          <w:noProof/>
        </w:rPr>
        <w:t> </w:t>
      </w:r>
      <w:r w:rsidR="003F3D2B" w:rsidRPr="00624565">
        <w:rPr>
          <w:noProof/>
        </w:rPr>
        <w:t>prz</w:t>
      </w:r>
      <w:r w:rsidRPr="00624565">
        <w:rPr>
          <w:noProof/>
        </w:rPr>
        <w:t>ypadku naruszeń powszechnych</w:t>
      </w:r>
      <w:r w:rsidR="003F3D2B" w:rsidRPr="00624565">
        <w:rPr>
          <w:noProof/>
        </w:rPr>
        <w:t xml:space="preserve"> o</w:t>
      </w:r>
      <w:r w:rsidR="003F3D2B">
        <w:rPr>
          <w:noProof/>
        </w:rPr>
        <w:t> </w:t>
      </w:r>
      <w:r w:rsidR="003F3D2B" w:rsidRPr="00624565">
        <w:rPr>
          <w:noProof/>
        </w:rPr>
        <w:t>wym</w:t>
      </w:r>
      <w:r w:rsidRPr="00624565">
        <w:rPr>
          <w:noProof/>
        </w:rPr>
        <w:t>iarze unijnym, które podlegają skoordynowanym środkom prowadzenia dochodzeń</w:t>
      </w:r>
      <w:r w:rsidR="003F3D2B" w:rsidRPr="00624565">
        <w:rPr>
          <w:noProof/>
        </w:rPr>
        <w:t xml:space="preserve"> i</w:t>
      </w:r>
      <w:r w:rsidR="003F3D2B">
        <w:rPr>
          <w:noProof/>
        </w:rPr>
        <w:t> </w:t>
      </w:r>
      <w:r w:rsidR="003F3D2B" w:rsidRPr="00624565">
        <w:rPr>
          <w:noProof/>
        </w:rPr>
        <w:t>egz</w:t>
      </w:r>
      <w:r w:rsidRPr="00624565">
        <w:rPr>
          <w:noProof/>
        </w:rPr>
        <w:t>ekwowania prawa zgodnie</w:t>
      </w:r>
      <w:r w:rsidR="003F3D2B" w:rsidRPr="00624565">
        <w:rPr>
          <w:noProof/>
        </w:rPr>
        <w:t xml:space="preserve"> z</w:t>
      </w:r>
      <w:r w:rsidR="003F3D2B">
        <w:rPr>
          <w:noProof/>
        </w:rPr>
        <w:t> </w:t>
      </w:r>
      <w:r w:rsidR="003F3D2B" w:rsidRPr="00624565">
        <w:rPr>
          <w:noProof/>
        </w:rPr>
        <w:t>roz</w:t>
      </w:r>
      <w:r w:rsidRPr="00624565">
        <w:rPr>
          <w:noProof/>
        </w:rPr>
        <w:t>porządzeniem (UE) 2017/2394</w:t>
      </w:r>
      <w:r w:rsidRPr="00624565">
        <w:rPr>
          <w:rStyle w:val="FootnoteReference"/>
          <w:noProof/>
        </w:rPr>
        <w:footnoteReference w:id="89"/>
      </w:r>
      <w:r w:rsidRPr="00624565">
        <w:rPr>
          <w:noProof/>
        </w:rPr>
        <w:t>.</w:t>
      </w:r>
    </w:p>
    <w:p w14:paraId="1EAB81A4" w14:textId="3E50EB0A" w:rsidR="000464F8" w:rsidRPr="00624565" w:rsidRDefault="004D161E" w:rsidP="004D161E">
      <w:pPr>
        <w:pStyle w:val="ManualConsidrant"/>
        <w:rPr>
          <w:noProof/>
        </w:rPr>
      </w:pPr>
      <w:r w:rsidRPr="00624565">
        <w:rPr>
          <w:noProof/>
        </w:rPr>
        <w:t>(65)</w:t>
      </w:r>
      <w:r w:rsidRPr="00624565">
        <w:rPr>
          <w:noProof/>
        </w:rPr>
        <w:tab/>
        <w:t>Podczas przyjmowania aktów delegowanych zgodnie</w:t>
      </w:r>
      <w:r w:rsidR="003F3D2B" w:rsidRPr="00624565">
        <w:rPr>
          <w:noProof/>
        </w:rPr>
        <w:t xml:space="preserve"> z</w:t>
      </w:r>
      <w:r w:rsidR="003F3D2B">
        <w:rPr>
          <w:noProof/>
        </w:rPr>
        <w:t> </w:t>
      </w:r>
      <w:r w:rsidR="003F3D2B" w:rsidRPr="003F3D2B">
        <w:rPr>
          <w:noProof/>
        </w:rPr>
        <w:t>art</w:t>
      </w:r>
      <w:r w:rsidRPr="003F3D2B">
        <w:rPr>
          <w:noProof/>
        </w:rPr>
        <w:t>.</w:t>
      </w:r>
      <w:r w:rsidR="003F3D2B" w:rsidRPr="003F3D2B">
        <w:rPr>
          <w:noProof/>
        </w:rPr>
        <w:t> </w:t>
      </w:r>
      <w:r w:rsidRPr="003F3D2B">
        <w:rPr>
          <w:noProof/>
        </w:rPr>
        <w:t>2</w:t>
      </w:r>
      <w:r w:rsidRPr="00624565">
        <w:rPr>
          <w:noProof/>
        </w:rPr>
        <w:t>90 TFUE szczególnie ważne jest, by podczas swoich prac przygotowawczych Komisja prowadziła odpowiednie konsultacje,</w:t>
      </w:r>
      <w:r w:rsidR="003F3D2B" w:rsidRPr="00624565">
        <w:rPr>
          <w:noProof/>
        </w:rPr>
        <w:t xml:space="preserve"> w</w:t>
      </w:r>
      <w:r w:rsidR="003F3D2B">
        <w:rPr>
          <w:noProof/>
        </w:rPr>
        <w:t> </w:t>
      </w:r>
      <w:r w:rsidR="003F3D2B" w:rsidRPr="00624565">
        <w:rPr>
          <w:noProof/>
        </w:rPr>
        <w:t>tym</w:t>
      </w:r>
      <w:r w:rsidRPr="00624565">
        <w:rPr>
          <w:noProof/>
        </w:rPr>
        <w:t xml:space="preserve"> konsultacje na poziomie ekspertów, oraz by konsultacje te były prowadzone zgodnie</w:t>
      </w:r>
      <w:r w:rsidR="003F3D2B" w:rsidRPr="00624565">
        <w:rPr>
          <w:noProof/>
        </w:rPr>
        <w:t xml:space="preserve"> z</w:t>
      </w:r>
      <w:r w:rsidR="003F3D2B">
        <w:rPr>
          <w:noProof/>
        </w:rPr>
        <w:t> </w:t>
      </w:r>
      <w:r w:rsidR="003F3D2B" w:rsidRPr="00624565">
        <w:rPr>
          <w:noProof/>
        </w:rPr>
        <w:t>zas</w:t>
      </w:r>
      <w:r w:rsidRPr="00624565">
        <w:rPr>
          <w:noProof/>
        </w:rPr>
        <w:t>adami ustanowionymi</w:t>
      </w:r>
      <w:r w:rsidR="003F3D2B" w:rsidRPr="00624565">
        <w:rPr>
          <w:noProof/>
        </w:rPr>
        <w:t xml:space="preserve"> w</w:t>
      </w:r>
      <w:r w:rsidR="003F3D2B">
        <w:rPr>
          <w:noProof/>
        </w:rPr>
        <w:t> </w:t>
      </w:r>
      <w:r w:rsidR="003F3D2B" w:rsidRPr="00624565">
        <w:rPr>
          <w:noProof/>
        </w:rPr>
        <w:t>Por</w:t>
      </w:r>
      <w:r w:rsidRPr="00624565">
        <w:rPr>
          <w:noProof/>
        </w:rPr>
        <w:t>ozumieniu międzyinstytucjonalnym</w:t>
      </w:r>
      <w:r w:rsidR="003F3D2B" w:rsidRPr="00624565">
        <w:rPr>
          <w:noProof/>
        </w:rPr>
        <w:t xml:space="preserve"> z</w:t>
      </w:r>
      <w:r w:rsidR="003F3D2B">
        <w:rPr>
          <w:noProof/>
        </w:rPr>
        <w:t> </w:t>
      </w:r>
      <w:r w:rsidR="003F3D2B" w:rsidRPr="00624565">
        <w:rPr>
          <w:noProof/>
        </w:rPr>
        <w:t>dni</w:t>
      </w:r>
      <w:r w:rsidRPr="00624565">
        <w:rPr>
          <w:noProof/>
        </w:rPr>
        <w:t>a 13 kwietnia 20</w:t>
      </w:r>
      <w:r w:rsidRPr="003F3D2B">
        <w:rPr>
          <w:noProof/>
        </w:rPr>
        <w:t>16</w:t>
      </w:r>
      <w:r w:rsidR="003F3D2B" w:rsidRPr="003F3D2B">
        <w:rPr>
          <w:noProof/>
        </w:rPr>
        <w:t> </w:t>
      </w:r>
      <w:r w:rsidRPr="003F3D2B">
        <w:rPr>
          <w:noProof/>
        </w:rPr>
        <w:t>r.</w:t>
      </w:r>
      <w:r w:rsidR="003F3D2B" w:rsidRPr="00624565">
        <w:rPr>
          <w:noProof/>
        </w:rPr>
        <w:t xml:space="preserve"> w</w:t>
      </w:r>
      <w:r w:rsidR="003F3D2B">
        <w:rPr>
          <w:noProof/>
        </w:rPr>
        <w:t> </w:t>
      </w:r>
      <w:r w:rsidR="003F3D2B" w:rsidRPr="00624565">
        <w:rPr>
          <w:noProof/>
        </w:rPr>
        <w:t>spr</w:t>
      </w:r>
      <w:r w:rsidRPr="00624565">
        <w:rPr>
          <w:noProof/>
        </w:rPr>
        <w:t>awie lepszego stanowienia prawa</w:t>
      </w:r>
      <w:r w:rsidRPr="00624565">
        <w:rPr>
          <w:rStyle w:val="FootnoteReference"/>
          <w:noProof/>
        </w:rPr>
        <w:footnoteReference w:id="90"/>
      </w:r>
      <w:r w:rsidR="003F3D2B" w:rsidRPr="00624565">
        <w:rPr>
          <w:noProof/>
        </w:rPr>
        <w:t>. W</w:t>
      </w:r>
      <w:r w:rsidR="003F3D2B">
        <w:rPr>
          <w:noProof/>
        </w:rPr>
        <w:t> </w:t>
      </w:r>
      <w:r w:rsidR="003F3D2B" w:rsidRPr="00624565">
        <w:rPr>
          <w:noProof/>
        </w:rPr>
        <w:t>szc</w:t>
      </w:r>
      <w:r w:rsidRPr="00624565">
        <w:rPr>
          <w:noProof/>
        </w:rPr>
        <w:t>zególności, aby zapewnić Parlamentowi Europejskiemu</w:t>
      </w:r>
      <w:r w:rsidR="003F3D2B" w:rsidRPr="00624565">
        <w:rPr>
          <w:noProof/>
        </w:rPr>
        <w:t xml:space="preserve"> i</w:t>
      </w:r>
      <w:r w:rsidR="003F3D2B">
        <w:rPr>
          <w:noProof/>
        </w:rPr>
        <w:t> </w:t>
      </w:r>
      <w:r w:rsidR="003F3D2B" w:rsidRPr="00624565">
        <w:rPr>
          <w:noProof/>
        </w:rPr>
        <w:t>Rad</w:t>
      </w:r>
      <w:r w:rsidRPr="00624565">
        <w:rPr>
          <w:noProof/>
        </w:rPr>
        <w:t>zie udział na równych zasadach</w:t>
      </w:r>
      <w:r w:rsidR="003F3D2B" w:rsidRPr="00624565">
        <w:rPr>
          <w:noProof/>
        </w:rPr>
        <w:t xml:space="preserve"> w</w:t>
      </w:r>
      <w:r w:rsidR="003F3D2B">
        <w:rPr>
          <w:noProof/>
        </w:rPr>
        <w:t> </w:t>
      </w:r>
      <w:r w:rsidR="003F3D2B" w:rsidRPr="00624565">
        <w:rPr>
          <w:noProof/>
        </w:rPr>
        <w:t>prz</w:t>
      </w:r>
      <w:r w:rsidRPr="00624565">
        <w:rPr>
          <w:noProof/>
        </w:rPr>
        <w:t>ygotowaniu aktów delegowanych, instytucje te otrzymują wszelkie dokumenty</w:t>
      </w:r>
      <w:r w:rsidR="003F3D2B" w:rsidRPr="00624565">
        <w:rPr>
          <w:noProof/>
        </w:rPr>
        <w:t xml:space="preserve"> w</w:t>
      </w:r>
      <w:r w:rsidR="003F3D2B">
        <w:rPr>
          <w:noProof/>
        </w:rPr>
        <w:t> </w:t>
      </w:r>
      <w:r w:rsidR="003F3D2B" w:rsidRPr="00624565">
        <w:rPr>
          <w:noProof/>
        </w:rPr>
        <w:t>tym</w:t>
      </w:r>
      <w:r w:rsidRPr="00624565">
        <w:rPr>
          <w:noProof/>
        </w:rPr>
        <w:t xml:space="preserve"> samym czasie co eksperci państw członkowskich,</w:t>
      </w:r>
      <w:r w:rsidR="003F3D2B" w:rsidRPr="00624565">
        <w:rPr>
          <w:noProof/>
        </w:rPr>
        <w:t xml:space="preserve"> a</w:t>
      </w:r>
      <w:r w:rsidR="003F3D2B">
        <w:rPr>
          <w:noProof/>
        </w:rPr>
        <w:t> </w:t>
      </w:r>
      <w:r w:rsidR="003F3D2B" w:rsidRPr="00624565">
        <w:rPr>
          <w:noProof/>
        </w:rPr>
        <w:t>eks</w:t>
      </w:r>
      <w:r w:rsidRPr="00624565">
        <w:rPr>
          <w:noProof/>
        </w:rPr>
        <w:t>perci tych instytucji mogą systematycznie brać udział</w:t>
      </w:r>
      <w:r w:rsidR="003F3D2B" w:rsidRPr="00624565">
        <w:rPr>
          <w:noProof/>
        </w:rPr>
        <w:t xml:space="preserve"> w</w:t>
      </w:r>
      <w:r w:rsidR="003F3D2B">
        <w:rPr>
          <w:noProof/>
        </w:rPr>
        <w:t> </w:t>
      </w:r>
      <w:r w:rsidR="003F3D2B" w:rsidRPr="00624565">
        <w:rPr>
          <w:noProof/>
        </w:rPr>
        <w:t>pos</w:t>
      </w:r>
      <w:r w:rsidRPr="00624565">
        <w:rPr>
          <w:noProof/>
        </w:rPr>
        <w:t>iedzeniach grup ekspertów Komisji zajmujących się przygotowaniem aktów delegowanych.</w:t>
      </w:r>
    </w:p>
    <w:p w14:paraId="34993729" w14:textId="7B7652E6" w:rsidR="000464F8" w:rsidRPr="00624565" w:rsidRDefault="004D161E" w:rsidP="004D161E">
      <w:pPr>
        <w:pStyle w:val="ManualConsidrant"/>
        <w:rPr>
          <w:noProof/>
        </w:rPr>
      </w:pPr>
      <w:r w:rsidRPr="00624565">
        <w:rPr>
          <w:noProof/>
        </w:rPr>
        <w:t>(66)</w:t>
      </w:r>
      <w:r w:rsidRPr="00624565">
        <w:rPr>
          <w:noProof/>
        </w:rPr>
        <w:tab/>
        <w:t>Aby ocenić skuteczność przepisów</w:t>
      </w:r>
      <w:r w:rsidR="003F3D2B" w:rsidRPr="00624565">
        <w:rPr>
          <w:noProof/>
        </w:rPr>
        <w:t xml:space="preserve"> w</w:t>
      </w:r>
      <w:r w:rsidR="003F3D2B">
        <w:rPr>
          <w:noProof/>
        </w:rPr>
        <w:t> </w:t>
      </w:r>
      <w:r w:rsidR="003F3D2B" w:rsidRPr="00624565">
        <w:rPr>
          <w:noProof/>
        </w:rPr>
        <w:t>zak</w:t>
      </w:r>
      <w:r w:rsidRPr="00624565">
        <w:rPr>
          <w:noProof/>
        </w:rPr>
        <w:t>resie realizacji swoich celów, Komisja powinna dokonać oceny niniejszej dyrektywy</w:t>
      </w:r>
      <w:r w:rsidR="003F3D2B" w:rsidRPr="00624565">
        <w:rPr>
          <w:noProof/>
        </w:rPr>
        <w:t xml:space="preserve"> i</w:t>
      </w:r>
      <w:r w:rsidR="003F3D2B">
        <w:rPr>
          <w:noProof/>
        </w:rPr>
        <w:t> </w:t>
      </w:r>
      <w:r w:rsidR="003F3D2B" w:rsidRPr="00624565">
        <w:rPr>
          <w:noProof/>
        </w:rPr>
        <w:t>prz</w:t>
      </w:r>
      <w:r w:rsidRPr="00624565">
        <w:rPr>
          <w:noProof/>
        </w:rPr>
        <w:t>edstawić Parlamentowi Europejskiemu</w:t>
      </w:r>
      <w:r w:rsidR="003F3D2B" w:rsidRPr="00624565">
        <w:rPr>
          <w:noProof/>
        </w:rPr>
        <w:t xml:space="preserve"> i</w:t>
      </w:r>
      <w:r w:rsidR="003F3D2B">
        <w:rPr>
          <w:noProof/>
        </w:rPr>
        <w:t> </w:t>
      </w:r>
      <w:r w:rsidR="003F3D2B" w:rsidRPr="00624565">
        <w:rPr>
          <w:noProof/>
        </w:rPr>
        <w:t>Rad</w:t>
      </w:r>
      <w:r w:rsidRPr="00624565">
        <w:rPr>
          <w:noProof/>
        </w:rPr>
        <w:t>zie sprawozdanie na temat głównych ustaleń. Aby umożliwić dokonanie oceny niniejszej dyrektywy, państwa członkowskie powinny regularnie gromadzić informacje na temat stosowania niniejszej dyrektywy i co roku przekazywać je Komisji.</w:t>
      </w:r>
    </w:p>
    <w:p w14:paraId="74E5FDC7" w14:textId="6454BB69" w:rsidR="000464F8" w:rsidRPr="00624565" w:rsidRDefault="004D161E" w:rsidP="004D161E">
      <w:pPr>
        <w:pStyle w:val="ManualConsidrant"/>
        <w:rPr>
          <w:noProof/>
        </w:rPr>
      </w:pPr>
      <w:r w:rsidRPr="00624565">
        <w:rPr>
          <w:noProof/>
        </w:rPr>
        <w:t>(67)</w:t>
      </w:r>
      <w:r w:rsidRPr="00624565">
        <w:rPr>
          <w:noProof/>
        </w:rPr>
        <w:tab/>
        <w:t>Jeżeli na podstawie wyników monitorowania</w:t>
      </w:r>
      <w:r w:rsidR="003F3D2B" w:rsidRPr="00624565">
        <w:rPr>
          <w:noProof/>
        </w:rPr>
        <w:t xml:space="preserve"> i</w:t>
      </w:r>
      <w:r w:rsidR="003F3D2B">
        <w:rPr>
          <w:noProof/>
        </w:rPr>
        <w:t> </w:t>
      </w:r>
      <w:r w:rsidR="003F3D2B" w:rsidRPr="00624565">
        <w:rPr>
          <w:noProof/>
        </w:rPr>
        <w:t>oce</w:t>
      </w:r>
      <w:r w:rsidRPr="00624565">
        <w:rPr>
          <w:noProof/>
        </w:rPr>
        <w:t>ny niniejszej dyrektywy Komisja uzna za stosowne zaproponowanie przeglądu niniejszej dyrektywy, należy również rozważyć wykonalność</w:t>
      </w:r>
      <w:r w:rsidR="003F3D2B" w:rsidRPr="00624565">
        <w:rPr>
          <w:noProof/>
        </w:rPr>
        <w:t xml:space="preserve"> i</w:t>
      </w:r>
      <w:r w:rsidR="003F3D2B">
        <w:rPr>
          <w:noProof/>
        </w:rPr>
        <w:t> </w:t>
      </w:r>
      <w:r w:rsidR="003F3D2B" w:rsidRPr="00624565">
        <w:rPr>
          <w:noProof/>
        </w:rPr>
        <w:t>ade</w:t>
      </w:r>
      <w:r w:rsidRPr="00624565">
        <w:rPr>
          <w:noProof/>
        </w:rPr>
        <w:t>kwatność dalszych przepisów dotyczących wprowadzenia obowiązku stosowania wspólnej metody uzasadniania wyraźnych oświadczeń środowiskowych, rozszerzenia zakazu stosowania oświadczeń środowiskowych</w:t>
      </w:r>
      <w:r w:rsidR="003F3D2B" w:rsidRPr="00624565">
        <w:rPr>
          <w:noProof/>
        </w:rPr>
        <w:t xml:space="preserve"> w</w:t>
      </w:r>
      <w:r w:rsidR="003F3D2B">
        <w:rPr>
          <w:noProof/>
        </w:rPr>
        <w:t> </w:t>
      </w:r>
      <w:r w:rsidR="003F3D2B" w:rsidRPr="00624565">
        <w:rPr>
          <w:noProof/>
        </w:rPr>
        <w:t>odn</w:t>
      </w:r>
      <w:r w:rsidRPr="00624565">
        <w:rPr>
          <w:noProof/>
        </w:rPr>
        <w:t>iesieniu do produktów zawierających substancje niebezpieczne,</w:t>
      </w:r>
      <w:r w:rsidR="003F3D2B" w:rsidRPr="00624565">
        <w:rPr>
          <w:noProof/>
        </w:rPr>
        <w:t xml:space="preserve"> z</w:t>
      </w:r>
      <w:r w:rsidR="003F3D2B">
        <w:rPr>
          <w:noProof/>
        </w:rPr>
        <w:t> </w:t>
      </w:r>
      <w:r w:rsidR="003F3D2B" w:rsidRPr="00624565">
        <w:rPr>
          <w:noProof/>
        </w:rPr>
        <w:t>wyj</w:t>
      </w:r>
      <w:r w:rsidRPr="00624565">
        <w:rPr>
          <w:noProof/>
        </w:rPr>
        <w:t>ątkiem przypadków, gdy ich stosowanie uznaje się za niezbędne dla społeczeństwa, lub dalszej harmonizacji</w:t>
      </w:r>
      <w:r w:rsidR="003F3D2B" w:rsidRPr="00624565">
        <w:rPr>
          <w:noProof/>
        </w:rPr>
        <w:t xml:space="preserve"> w</w:t>
      </w:r>
      <w:r w:rsidR="003F3D2B">
        <w:rPr>
          <w:noProof/>
        </w:rPr>
        <w:t> </w:t>
      </w:r>
      <w:r w:rsidR="003F3D2B" w:rsidRPr="00624565">
        <w:rPr>
          <w:noProof/>
        </w:rPr>
        <w:t>odn</w:t>
      </w:r>
      <w:r w:rsidRPr="00624565">
        <w:rPr>
          <w:noProof/>
        </w:rPr>
        <w:t>iesieniu do wymogów dotyczących uzasadniania konkretnych oświadczeń środowiskowych dotyczących aspektów środowiskowych lub wpływu na środowisko.</w:t>
      </w:r>
    </w:p>
    <w:p w14:paraId="3645ABFC" w14:textId="152BDE8C" w:rsidR="000464F8" w:rsidRPr="00624565" w:rsidRDefault="004D161E" w:rsidP="004D161E">
      <w:pPr>
        <w:pStyle w:val="ManualConsidrant"/>
        <w:rPr>
          <w:noProof/>
        </w:rPr>
      </w:pPr>
      <w:r w:rsidRPr="00624565">
        <w:rPr>
          <w:noProof/>
        </w:rPr>
        <w:t>(68)</w:t>
      </w:r>
      <w:r w:rsidRPr="00624565">
        <w:rPr>
          <w:noProof/>
        </w:rPr>
        <w:tab/>
        <w:t>Aby uniknąć poważnych szkód dla zdrowia ludzkiego</w:t>
      </w:r>
      <w:r w:rsidR="003F3D2B" w:rsidRPr="00624565">
        <w:rPr>
          <w:noProof/>
        </w:rPr>
        <w:t xml:space="preserve"> i</w:t>
      </w:r>
      <w:r w:rsidR="003F3D2B">
        <w:rPr>
          <w:noProof/>
        </w:rPr>
        <w:t> </w:t>
      </w:r>
      <w:r w:rsidR="003F3D2B" w:rsidRPr="00624565">
        <w:rPr>
          <w:noProof/>
        </w:rPr>
        <w:t>śro</w:t>
      </w:r>
      <w:r w:rsidRPr="00624565">
        <w:rPr>
          <w:noProof/>
        </w:rPr>
        <w:t>dowiska oraz zapobiegać takim szkodom, należy ostatecznie wycofać</w:t>
      </w:r>
      <w:r w:rsidR="003F3D2B" w:rsidRPr="00624565">
        <w:rPr>
          <w:noProof/>
        </w:rPr>
        <w:t xml:space="preserve"> w</w:t>
      </w:r>
      <w:r w:rsidR="003F3D2B">
        <w:rPr>
          <w:noProof/>
        </w:rPr>
        <w:t> </w:t>
      </w:r>
      <w:r w:rsidR="003F3D2B" w:rsidRPr="00624565">
        <w:rPr>
          <w:noProof/>
        </w:rPr>
        <w:t>Uni</w:t>
      </w:r>
      <w:r w:rsidRPr="00624565">
        <w:rPr>
          <w:noProof/>
        </w:rPr>
        <w:t>i stosowanie najbardziej szkodliwych substancji,</w:t>
      </w:r>
      <w:r w:rsidR="003F3D2B" w:rsidRPr="00624565">
        <w:rPr>
          <w:noProof/>
        </w:rPr>
        <w:t xml:space="preserve"> w</w:t>
      </w:r>
      <w:r w:rsidR="003F3D2B">
        <w:rPr>
          <w:noProof/>
        </w:rPr>
        <w:t> </w:t>
      </w:r>
      <w:r w:rsidR="003F3D2B" w:rsidRPr="00624565">
        <w:rPr>
          <w:noProof/>
        </w:rPr>
        <w:t>szc</w:t>
      </w:r>
      <w:r w:rsidRPr="00624565">
        <w:rPr>
          <w:noProof/>
        </w:rPr>
        <w:t>zególności ich stosowanie</w:t>
      </w:r>
      <w:r w:rsidR="003F3D2B" w:rsidRPr="00624565">
        <w:rPr>
          <w:noProof/>
        </w:rPr>
        <w:t xml:space="preserve"> w</w:t>
      </w:r>
      <w:r w:rsidR="003F3D2B">
        <w:rPr>
          <w:noProof/>
        </w:rPr>
        <w:t> </w:t>
      </w:r>
      <w:r w:rsidR="003F3D2B" w:rsidRPr="00624565">
        <w:rPr>
          <w:noProof/>
        </w:rPr>
        <w:t>pro</w:t>
      </w:r>
      <w:r w:rsidRPr="00624565">
        <w:rPr>
          <w:noProof/>
        </w:rPr>
        <w:t>duktach konsumenckich</w:t>
      </w:r>
      <w:r w:rsidR="003F3D2B" w:rsidRPr="00624565">
        <w:rPr>
          <w:noProof/>
        </w:rPr>
        <w:t>. W</w:t>
      </w:r>
      <w:r w:rsidR="003F3D2B">
        <w:rPr>
          <w:noProof/>
        </w:rPr>
        <w:t> </w:t>
      </w:r>
      <w:r w:rsidR="003F3D2B" w:rsidRPr="00624565">
        <w:rPr>
          <w:noProof/>
        </w:rPr>
        <w:t>roz</w:t>
      </w:r>
      <w:r w:rsidRPr="00624565">
        <w:rPr>
          <w:noProof/>
        </w:rPr>
        <w:t>porządzeniu Parlamentu Europejskiego</w:t>
      </w:r>
      <w:r w:rsidR="003F3D2B" w:rsidRPr="00624565">
        <w:rPr>
          <w:noProof/>
        </w:rPr>
        <w:t xml:space="preserve"> i</w:t>
      </w:r>
      <w:r w:rsidR="003F3D2B">
        <w:rPr>
          <w:noProof/>
        </w:rPr>
        <w:t> </w:t>
      </w:r>
      <w:r w:rsidR="003F3D2B" w:rsidRPr="00624565">
        <w:rPr>
          <w:noProof/>
        </w:rPr>
        <w:t>Rad</w:t>
      </w:r>
      <w:r w:rsidRPr="00624565">
        <w:rPr>
          <w:noProof/>
        </w:rPr>
        <w:t xml:space="preserve">y (WE) </w:t>
      </w:r>
      <w:r w:rsidRPr="003F3D2B">
        <w:rPr>
          <w:noProof/>
        </w:rPr>
        <w:t>nr</w:t>
      </w:r>
      <w:r w:rsidR="003F3D2B" w:rsidRPr="003F3D2B">
        <w:rPr>
          <w:noProof/>
        </w:rPr>
        <w:t> </w:t>
      </w:r>
      <w:r w:rsidRPr="003F3D2B">
        <w:rPr>
          <w:noProof/>
        </w:rPr>
        <w:t>1</w:t>
      </w:r>
      <w:r w:rsidRPr="00624565">
        <w:rPr>
          <w:noProof/>
        </w:rPr>
        <w:t>272/2008</w:t>
      </w:r>
      <w:r w:rsidRPr="00624565">
        <w:rPr>
          <w:rStyle w:val="FootnoteReference"/>
          <w:noProof/>
        </w:rPr>
        <w:footnoteReference w:id="91"/>
      </w:r>
      <w:r w:rsidRPr="00624565">
        <w:rPr>
          <w:noProof/>
        </w:rPr>
        <w:t xml:space="preserve"> zakazuje się znakowania mieszanin</w:t>
      </w:r>
      <w:r w:rsidR="003F3D2B" w:rsidRPr="00624565">
        <w:rPr>
          <w:noProof/>
        </w:rPr>
        <w:t xml:space="preserve"> i</w:t>
      </w:r>
      <w:r w:rsidR="003F3D2B">
        <w:rPr>
          <w:noProof/>
        </w:rPr>
        <w:t> </w:t>
      </w:r>
      <w:r w:rsidR="003F3D2B" w:rsidRPr="00624565">
        <w:rPr>
          <w:noProof/>
        </w:rPr>
        <w:t>sub</w:t>
      </w:r>
      <w:r w:rsidRPr="00624565">
        <w:rPr>
          <w:noProof/>
        </w:rPr>
        <w:t>stancji, które zawierają niebezpieczne substancje chemiczne, jako „nietoksyczne”, „nieszkodliwe”, „niezanieczyszczające”, „ekologiczne” lub jakichkolwiek innych zwrotów wskazujących, że dana substancja lub mieszanina nie stwarza zagrożenia, lub zwrotów niespójnych</w:t>
      </w:r>
      <w:r w:rsidR="003F3D2B" w:rsidRPr="00624565">
        <w:rPr>
          <w:noProof/>
        </w:rPr>
        <w:t xml:space="preserve"> z</w:t>
      </w:r>
      <w:r w:rsidR="003F3D2B">
        <w:rPr>
          <w:noProof/>
        </w:rPr>
        <w:t> </w:t>
      </w:r>
      <w:r w:rsidR="003F3D2B" w:rsidRPr="00624565">
        <w:rPr>
          <w:noProof/>
        </w:rPr>
        <w:t>kla</w:t>
      </w:r>
      <w:r w:rsidRPr="00624565">
        <w:rPr>
          <w:noProof/>
        </w:rPr>
        <w:t>syfikacją tej substancji lub mieszaniny. Państwa członkowskie są zobowiązane do zapewnienia, by obowiązek ten został spełniony. Zgodnie ze zobowiązaniem zawartym</w:t>
      </w:r>
      <w:r w:rsidR="003F3D2B" w:rsidRPr="00624565">
        <w:rPr>
          <w:noProof/>
        </w:rPr>
        <w:t xml:space="preserve"> w</w:t>
      </w:r>
      <w:r w:rsidR="003F3D2B">
        <w:rPr>
          <w:noProof/>
        </w:rPr>
        <w:t> </w:t>
      </w:r>
      <w:r w:rsidR="003F3D2B" w:rsidRPr="00624565">
        <w:rPr>
          <w:noProof/>
        </w:rPr>
        <w:t>str</w:t>
      </w:r>
      <w:r w:rsidRPr="00624565">
        <w:rPr>
          <w:noProof/>
        </w:rPr>
        <w:t>ategii</w:t>
      </w:r>
      <w:r w:rsidR="003F3D2B" w:rsidRPr="00624565">
        <w:rPr>
          <w:noProof/>
        </w:rPr>
        <w:t xml:space="preserve"> w</w:t>
      </w:r>
      <w:r w:rsidR="003F3D2B">
        <w:rPr>
          <w:noProof/>
        </w:rPr>
        <w:t> </w:t>
      </w:r>
      <w:r w:rsidR="003F3D2B" w:rsidRPr="00624565">
        <w:rPr>
          <w:noProof/>
        </w:rPr>
        <w:t>zak</w:t>
      </w:r>
      <w:r w:rsidRPr="00624565">
        <w:rPr>
          <w:noProof/>
        </w:rPr>
        <w:t>resie chemikaliów na rzecz zrównoważoności Komisja określi kryteria dotyczące niezbędnych zastosowań, które posłużą za punkt odniesienia</w:t>
      </w:r>
      <w:r w:rsidR="003F3D2B" w:rsidRPr="00624565">
        <w:rPr>
          <w:noProof/>
        </w:rPr>
        <w:t xml:space="preserve"> w</w:t>
      </w:r>
      <w:r w:rsidR="003F3D2B">
        <w:rPr>
          <w:noProof/>
        </w:rPr>
        <w:t> </w:t>
      </w:r>
      <w:r w:rsidR="003F3D2B" w:rsidRPr="00624565">
        <w:rPr>
          <w:noProof/>
        </w:rPr>
        <w:t>zak</w:t>
      </w:r>
      <w:r w:rsidRPr="00624565">
        <w:rPr>
          <w:noProof/>
        </w:rPr>
        <w:t>resie ich stosowania we wszystkich odpowiednich przepisach Unii. .</w:t>
      </w:r>
    </w:p>
    <w:p w14:paraId="29E3C395" w14:textId="021351D7" w:rsidR="000464F8" w:rsidRPr="00624565" w:rsidRDefault="004D161E" w:rsidP="004D161E">
      <w:pPr>
        <w:pStyle w:val="ManualConsidrant"/>
        <w:rPr>
          <w:noProof/>
        </w:rPr>
      </w:pPr>
      <w:r w:rsidRPr="00624565">
        <w:rPr>
          <w:noProof/>
        </w:rPr>
        <w:t>(69)</w:t>
      </w:r>
      <w:r w:rsidRPr="00624565">
        <w:rPr>
          <w:noProof/>
        </w:rPr>
        <w:tab/>
        <w:t>Ponieważ cele niniejszej dyrektywy,</w:t>
      </w:r>
      <w:r w:rsidR="003F3D2B" w:rsidRPr="00624565">
        <w:rPr>
          <w:noProof/>
        </w:rPr>
        <w:t xml:space="preserve"> a</w:t>
      </w:r>
      <w:r w:rsidR="003F3D2B">
        <w:rPr>
          <w:noProof/>
        </w:rPr>
        <w:t> </w:t>
      </w:r>
      <w:r w:rsidR="003F3D2B" w:rsidRPr="00624565">
        <w:rPr>
          <w:noProof/>
        </w:rPr>
        <w:t>mia</w:t>
      </w:r>
      <w:r w:rsidRPr="00624565">
        <w:rPr>
          <w:noProof/>
        </w:rPr>
        <w:t>nowicie poprawa funkcjonowania rynku wewnętrznego</w:t>
      </w:r>
      <w:r w:rsidR="003F3D2B" w:rsidRPr="00624565">
        <w:rPr>
          <w:noProof/>
        </w:rPr>
        <w:t xml:space="preserve"> w</w:t>
      </w:r>
      <w:r w:rsidR="003F3D2B">
        <w:rPr>
          <w:noProof/>
        </w:rPr>
        <w:t> </w:t>
      </w:r>
      <w:r w:rsidR="003F3D2B" w:rsidRPr="00624565">
        <w:rPr>
          <w:noProof/>
        </w:rPr>
        <w:t>odn</w:t>
      </w:r>
      <w:r w:rsidRPr="00624565">
        <w:rPr>
          <w:noProof/>
        </w:rPr>
        <w:t>iesieniu do podmiotów gospodarczych działających na rynku wewnętrznym</w:t>
      </w:r>
      <w:r w:rsidR="003F3D2B" w:rsidRPr="00624565">
        <w:rPr>
          <w:noProof/>
        </w:rPr>
        <w:t xml:space="preserve"> i</w:t>
      </w:r>
      <w:r w:rsidR="003F3D2B">
        <w:rPr>
          <w:noProof/>
        </w:rPr>
        <w:t> </w:t>
      </w:r>
      <w:r w:rsidR="003F3D2B" w:rsidRPr="00624565">
        <w:rPr>
          <w:noProof/>
        </w:rPr>
        <w:t>kon</w:t>
      </w:r>
      <w:r w:rsidRPr="00624565">
        <w:rPr>
          <w:noProof/>
        </w:rPr>
        <w:t>sumentów powołujących się na oświadczenia środowiskowe, nie mogą zostać osiągnięte</w:t>
      </w:r>
      <w:r w:rsidR="003F3D2B" w:rsidRPr="00624565">
        <w:rPr>
          <w:noProof/>
        </w:rPr>
        <w:t xml:space="preserve"> w</w:t>
      </w:r>
      <w:r w:rsidR="003F3D2B">
        <w:rPr>
          <w:noProof/>
        </w:rPr>
        <w:t> </w:t>
      </w:r>
      <w:r w:rsidR="003F3D2B" w:rsidRPr="00624565">
        <w:rPr>
          <w:noProof/>
        </w:rPr>
        <w:t>spo</w:t>
      </w:r>
      <w:r w:rsidRPr="00624565">
        <w:rPr>
          <w:noProof/>
        </w:rPr>
        <w:t>sób wystarczający przez państwa członkowskie, natomiast ze względu na skalę</w:t>
      </w:r>
      <w:r w:rsidR="003F3D2B" w:rsidRPr="00624565">
        <w:rPr>
          <w:noProof/>
        </w:rPr>
        <w:t xml:space="preserve"> i</w:t>
      </w:r>
      <w:r w:rsidR="003F3D2B">
        <w:rPr>
          <w:noProof/>
        </w:rPr>
        <w:t> </w:t>
      </w:r>
      <w:r w:rsidR="003F3D2B" w:rsidRPr="00624565">
        <w:rPr>
          <w:noProof/>
        </w:rPr>
        <w:t>sku</w:t>
      </w:r>
      <w:r w:rsidRPr="00624565">
        <w:rPr>
          <w:noProof/>
        </w:rPr>
        <w:t>tki działań możliwe jest ich lepsze osiągnięcie na poziomie Unii, może ona podjąć działania zgodnie</w:t>
      </w:r>
      <w:r w:rsidR="003F3D2B" w:rsidRPr="00624565">
        <w:rPr>
          <w:noProof/>
        </w:rPr>
        <w:t xml:space="preserve"> z</w:t>
      </w:r>
      <w:r w:rsidR="003F3D2B">
        <w:rPr>
          <w:noProof/>
        </w:rPr>
        <w:t> </w:t>
      </w:r>
      <w:r w:rsidR="003F3D2B" w:rsidRPr="00624565">
        <w:rPr>
          <w:noProof/>
        </w:rPr>
        <w:t>zas</w:t>
      </w:r>
      <w:r w:rsidRPr="00624565">
        <w:rPr>
          <w:noProof/>
        </w:rPr>
        <w:t>adą pomocniczości określoną</w:t>
      </w:r>
      <w:r w:rsidR="003F3D2B" w:rsidRPr="00624565">
        <w:rPr>
          <w:noProof/>
        </w:rPr>
        <w:t xml:space="preserve"> w</w:t>
      </w:r>
      <w:r w:rsidR="003F3D2B">
        <w:rPr>
          <w:noProof/>
        </w:rPr>
        <w:t> </w:t>
      </w:r>
      <w:r w:rsidR="003F3D2B" w:rsidRPr="003F3D2B">
        <w:rPr>
          <w:noProof/>
        </w:rPr>
        <w:t>art</w:t>
      </w:r>
      <w:r w:rsidRPr="003F3D2B">
        <w:rPr>
          <w:noProof/>
        </w:rPr>
        <w:t>.</w:t>
      </w:r>
      <w:r w:rsidR="003F3D2B" w:rsidRPr="003F3D2B">
        <w:rPr>
          <w:noProof/>
        </w:rPr>
        <w:t> </w:t>
      </w:r>
      <w:r w:rsidRPr="003F3D2B">
        <w:rPr>
          <w:noProof/>
        </w:rPr>
        <w:t>5</w:t>
      </w:r>
      <w:r w:rsidRPr="00624565">
        <w:rPr>
          <w:noProof/>
        </w:rPr>
        <w:t xml:space="preserve"> Traktatu</w:t>
      </w:r>
      <w:r w:rsidR="003F3D2B" w:rsidRPr="00624565">
        <w:rPr>
          <w:noProof/>
        </w:rPr>
        <w:t xml:space="preserve"> o</w:t>
      </w:r>
      <w:r w:rsidR="003F3D2B">
        <w:rPr>
          <w:noProof/>
        </w:rPr>
        <w:t> </w:t>
      </w:r>
      <w:r w:rsidR="003F3D2B" w:rsidRPr="00624565">
        <w:rPr>
          <w:noProof/>
        </w:rPr>
        <w:t>Uni</w:t>
      </w:r>
      <w:r w:rsidRPr="00624565">
        <w:rPr>
          <w:noProof/>
        </w:rPr>
        <w:t>i Europejskiej. Zgodnie</w:t>
      </w:r>
      <w:r w:rsidR="003F3D2B" w:rsidRPr="00624565">
        <w:rPr>
          <w:noProof/>
        </w:rPr>
        <w:t xml:space="preserve"> z</w:t>
      </w:r>
      <w:r w:rsidR="003F3D2B">
        <w:rPr>
          <w:noProof/>
        </w:rPr>
        <w:t> </w:t>
      </w:r>
      <w:r w:rsidR="003F3D2B" w:rsidRPr="00624565">
        <w:rPr>
          <w:noProof/>
        </w:rPr>
        <w:t>zas</w:t>
      </w:r>
      <w:r w:rsidRPr="00624565">
        <w:rPr>
          <w:noProof/>
        </w:rPr>
        <w:t>adą proporcjonalności określoną</w:t>
      </w:r>
      <w:r w:rsidR="003F3D2B" w:rsidRPr="00624565">
        <w:rPr>
          <w:noProof/>
        </w:rPr>
        <w:t xml:space="preserve"> w</w:t>
      </w:r>
      <w:r w:rsidR="003F3D2B">
        <w:rPr>
          <w:noProof/>
        </w:rPr>
        <w:t> </w:t>
      </w:r>
      <w:r w:rsidR="003F3D2B" w:rsidRPr="00624565">
        <w:rPr>
          <w:noProof/>
        </w:rPr>
        <w:t>tym</w:t>
      </w:r>
      <w:r w:rsidRPr="00624565">
        <w:rPr>
          <w:noProof/>
        </w:rPr>
        <w:t xml:space="preserve"> artykule, niniejsza dyrektywa nie wykracza poza to, co jest konieczne do osiągnięcia tych celów.</w:t>
      </w:r>
    </w:p>
    <w:p w14:paraId="21D2E739" w14:textId="1DE60130" w:rsidR="000464F8" w:rsidRPr="00624565" w:rsidRDefault="004D161E" w:rsidP="004D161E">
      <w:pPr>
        <w:pStyle w:val="ManualConsidrant"/>
        <w:rPr>
          <w:noProof/>
        </w:rPr>
      </w:pPr>
      <w:r w:rsidRPr="00624565">
        <w:rPr>
          <w:noProof/>
        </w:rPr>
        <w:t>(70)</w:t>
      </w:r>
      <w:r w:rsidRPr="00624565">
        <w:rPr>
          <w:noProof/>
        </w:rPr>
        <w:tab/>
        <w:t>Zgodnie ze wspólną deklaracją polityczną</w:t>
      </w:r>
      <w:r w:rsidR="003F3D2B" w:rsidRPr="00624565">
        <w:rPr>
          <w:noProof/>
        </w:rPr>
        <w:t xml:space="preserve"> z</w:t>
      </w:r>
      <w:r w:rsidR="003F3D2B">
        <w:rPr>
          <w:noProof/>
        </w:rPr>
        <w:t> </w:t>
      </w:r>
      <w:r w:rsidR="003F3D2B" w:rsidRPr="00624565">
        <w:rPr>
          <w:noProof/>
        </w:rPr>
        <w:t>dni</w:t>
      </w:r>
      <w:r w:rsidRPr="00624565">
        <w:rPr>
          <w:noProof/>
        </w:rPr>
        <w:t>a 28 września 20</w:t>
      </w:r>
      <w:r w:rsidRPr="003F3D2B">
        <w:rPr>
          <w:noProof/>
        </w:rPr>
        <w:t>11</w:t>
      </w:r>
      <w:r w:rsidR="003F3D2B" w:rsidRPr="003F3D2B">
        <w:rPr>
          <w:noProof/>
        </w:rPr>
        <w:t> </w:t>
      </w:r>
      <w:r w:rsidRPr="003F3D2B">
        <w:rPr>
          <w:noProof/>
        </w:rPr>
        <w:t>r.</w:t>
      </w:r>
      <w:r w:rsidRPr="00624565">
        <w:rPr>
          <w:noProof/>
        </w:rPr>
        <w:t xml:space="preserve"> państw członkowskich</w:t>
      </w:r>
      <w:r w:rsidR="003F3D2B" w:rsidRPr="00624565">
        <w:rPr>
          <w:noProof/>
        </w:rPr>
        <w:t xml:space="preserve"> i</w:t>
      </w:r>
      <w:r w:rsidR="003F3D2B">
        <w:rPr>
          <w:noProof/>
        </w:rPr>
        <w:t> </w:t>
      </w:r>
      <w:r w:rsidR="003F3D2B" w:rsidRPr="00624565">
        <w:rPr>
          <w:noProof/>
        </w:rPr>
        <w:t>Kom</w:t>
      </w:r>
      <w:r w:rsidRPr="00624565">
        <w:rPr>
          <w:noProof/>
        </w:rPr>
        <w:t>isji dotyczącą dokumentów wyjaśniających</w:t>
      </w:r>
      <w:r w:rsidRPr="00624565">
        <w:rPr>
          <w:rStyle w:val="FootnoteReference"/>
          <w:noProof/>
        </w:rPr>
        <w:footnoteReference w:id="92"/>
      </w:r>
      <w:r w:rsidRPr="00624565">
        <w:rPr>
          <w:noProof/>
        </w:rPr>
        <w:t xml:space="preserve"> państwa członkowskie zobowiązały się do złożenia,</w:t>
      </w:r>
      <w:r w:rsidR="003F3D2B" w:rsidRPr="00624565">
        <w:rPr>
          <w:noProof/>
        </w:rPr>
        <w:t xml:space="preserve"> w</w:t>
      </w:r>
      <w:r w:rsidR="003F3D2B">
        <w:rPr>
          <w:noProof/>
        </w:rPr>
        <w:t> </w:t>
      </w:r>
      <w:r w:rsidR="003F3D2B" w:rsidRPr="00624565">
        <w:rPr>
          <w:noProof/>
        </w:rPr>
        <w:t>uza</w:t>
      </w:r>
      <w:r w:rsidRPr="00624565">
        <w:rPr>
          <w:noProof/>
        </w:rPr>
        <w:t>sadnionych przypadkach, wraz</w:t>
      </w:r>
      <w:r w:rsidR="003F3D2B" w:rsidRPr="00624565">
        <w:rPr>
          <w:noProof/>
        </w:rPr>
        <w:t xml:space="preserve"> z</w:t>
      </w:r>
      <w:r w:rsidR="003F3D2B">
        <w:rPr>
          <w:noProof/>
        </w:rPr>
        <w:t> </w:t>
      </w:r>
      <w:r w:rsidR="003F3D2B" w:rsidRPr="00624565">
        <w:rPr>
          <w:noProof/>
        </w:rPr>
        <w:t>pow</w:t>
      </w:r>
      <w:r w:rsidRPr="00624565">
        <w:rPr>
          <w:noProof/>
        </w:rPr>
        <w:t>iadomieniem</w:t>
      </w:r>
      <w:r w:rsidR="003F3D2B" w:rsidRPr="00624565">
        <w:rPr>
          <w:noProof/>
        </w:rPr>
        <w:t xml:space="preserve"> o</w:t>
      </w:r>
      <w:r w:rsidR="003F3D2B">
        <w:rPr>
          <w:noProof/>
        </w:rPr>
        <w:t> </w:t>
      </w:r>
      <w:r w:rsidR="003F3D2B" w:rsidRPr="00624565">
        <w:rPr>
          <w:noProof/>
        </w:rPr>
        <w:t>kra</w:t>
      </w:r>
      <w:r w:rsidRPr="00624565">
        <w:rPr>
          <w:noProof/>
        </w:rPr>
        <w:t>jowych środkach transpozycji, co najmniej jednego dokumentu wyjaśniającego związki między elementami dyrektywy</w:t>
      </w:r>
      <w:r w:rsidR="003F3D2B" w:rsidRPr="00624565">
        <w:rPr>
          <w:noProof/>
        </w:rPr>
        <w:t xml:space="preserve"> a</w:t>
      </w:r>
      <w:r w:rsidR="003F3D2B">
        <w:rPr>
          <w:noProof/>
        </w:rPr>
        <w:t> </w:t>
      </w:r>
      <w:r w:rsidR="003F3D2B" w:rsidRPr="00624565">
        <w:rPr>
          <w:noProof/>
        </w:rPr>
        <w:t>odp</w:t>
      </w:r>
      <w:r w:rsidRPr="00624565">
        <w:rPr>
          <w:noProof/>
        </w:rPr>
        <w:t>owiadającymi im częściami krajowych instrumentów transpozycyjnych</w:t>
      </w:r>
      <w:r w:rsidR="003F3D2B" w:rsidRPr="00624565">
        <w:rPr>
          <w:noProof/>
        </w:rPr>
        <w:t>. W</w:t>
      </w:r>
      <w:r w:rsidR="003F3D2B">
        <w:rPr>
          <w:noProof/>
        </w:rPr>
        <w:t> </w:t>
      </w:r>
      <w:r w:rsidR="003F3D2B" w:rsidRPr="00624565">
        <w:rPr>
          <w:noProof/>
        </w:rPr>
        <w:t>odn</w:t>
      </w:r>
      <w:r w:rsidRPr="00624565">
        <w:rPr>
          <w:noProof/>
        </w:rPr>
        <w:t>iesieniu do niniejszej dyrektywy prawodawca uznaje, że przekazanie takich dokumentów jest uzasadnione.</w:t>
      </w:r>
    </w:p>
    <w:p w14:paraId="32FD431C" w14:textId="2D5DDE3D" w:rsidR="000464F8" w:rsidRPr="00624565" w:rsidRDefault="004D161E" w:rsidP="004D161E">
      <w:pPr>
        <w:pStyle w:val="ManualConsidrant"/>
        <w:rPr>
          <w:noProof/>
        </w:rPr>
      </w:pPr>
      <w:r w:rsidRPr="00624565">
        <w:rPr>
          <w:noProof/>
        </w:rPr>
        <w:t>(71)</w:t>
      </w:r>
      <w:r w:rsidRPr="00624565">
        <w:rPr>
          <w:noProof/>
        </w:rPr>
        <w:tab/>
        <w:t>Załącznik do rozporządzenia Parlamentu Europejskiego</w:t>
      </w:r>
      <w:r w:rsidR="003F3D2B" w:rsidRPr="00624565">
        <w:rPr>
          <w:noProof/>
        </w:rPr>
        <w:t xml:space="preserve"> i</w:t>
      </w:r>
      <w:r w:rsidR="003F3D2B">
        <w:rPr>
          <w:noProof/>
        </w:rPr>
        <w:t> </w:t>
      </w:r>
      <w:r w:rsidR="003F3D2B" w:rsidRPr="00624565">
        <w:rPr>
          <w:noProof/>
        </w:rPr>
        <w:t>Rad</w:t>
      </w:r>
      <w:r w:rsidRPr="00624565">
        <w:rPr>
          <w:noProof/>
        </w:rPr>
        <w:t>y (UE) 1024/2012</w:t>
      </w:r>
      <w:r w:rsidRPr="00624565">
        <w:rPr>
          <w:rStyle w:val="FootnoteReference"/>
          <w:noProof/>
        </w:rPr>
        <w:footnoteReference w:id="93"/>
      </w:r>
      <w:r w:rsidRPr="00624565">
        <w:rPr>
          <w:noProof/>
        </w:rPr>
        <w:t xml:space="preserve"> należy zmienić tak, aby zawierał odniesienie do niniejszej dyrektywy</w:t>
      </w:r>
      <w:r w:rsidR="003F3D2B" w:rsidRPr="00624565">
        <w:rPr>
          <w:noProof/>
        </w:rPr>
        <w:t xml:space="preserve"> w</w:t>
      </w:r>
      <w:r w:rsidR="003F3D2B">
        <w:rPr>
          <w:noProof/>
        </w:rPr>
        <w:t> </w:t>
      </w:r>
      <w:r w:rsidR="003F3D2B" w:rsidRPr="00624565">
        <w:rPr>
          <w:noProof/>
        </w:rPr>
        <w:t>cel</w:t>
      </w:r>
      <w:r w:rsidRPr="00624565">
        <w:rPr>
          <w:noProof/>
        </w:rPr>
        <w:t>u ułatwienia współpracy administracyjnej między właściwymi organami za pośrednictwem systemu wymiany informacji na rynku wewnętrznym.</w:t>
      </w:r>
    </w:p>
    <w:p w14:paraId="39045500" w14:textId="19E48951" w:rsidR="000464F8" w:rsidRPr="00624565" w:rsidRDefault="004D161E" w:rsidP="004D161E">
      <w:pPr>
        <w:pStyle w:val="ManualConsidrant"/>
        <w:rPr>
          <w:noProof/>
        </w:rPr>
      </w:pPr>
      <w:r w:rsidRPr="00624565">
        <w:rPr>
          <w:noProof/>
        </w:rPr>
        <w:t>(72)</w:t>
      </w:r>
      <w:r w:rsidRPr="00624565">
        <w:rPr>
          <w:noProof/>
        </w:rPr>
        <w:tab/>
        <w:t>Załącznik do rozporządzenia (UE) 2017/2394 Parlamentu Europejskiego</w:t>
      </w:r>
      <w:r w:rsidR="003F3D2B" w:rsidRPr="00624565">
        <w:rPr>
          <w:noProof/>
        </w:rPr>
        <w:t xml:space="preserve"> i</w:t>
      </w:r>
      <w:r w:rsidR="003F3D2B">
        <w:rPr>
          <w:noProof/>
        </w:rPr>
        <w:t> </w:t>
      </w:r>
      <w:r w:rsidR="003F3D2B" w:rsidRPr="00624565">
        <w:rPr>
          <w:noProof/>
        </w:rPr>
        <w:t>Rad</w:t>
      </w:r>
      <w:r w:rsidRPr="00624565">
        <w:rPr>
          <w:noProof/>
        </w:rPr>
        <w:t>y</w:t>
      </w:r>
      <w:r w:rsidRPr="00624565">
        <w:rPr>
          <w:rStyle w:val="FootnoteReference"/>
          <w:noProof/>
        </w:rPr>
        <w:footnoteReference w:id="94"/>
      </w:r>
      <w:r w:rsidRPr="00624565">
        <w:rPr>
          <w:noProof/>
        </w:rPr>
        <w:t xml:space="preserve"> należy zmienić tak, aby zawierał odniesienie do niniejszej dyrektywy</w:t>
      </w:r>
      <w:r w:rsidR="003F3D2B" w:rsidRPr="00624565">
        <w:rPr>
          <w:noProof/>
        </w:rPr>
        <w:t xml:space="preserve"> w</w:t>
      </w:r>
      <w:r w:rsidR="003F3D2B">
        <w:rPr>
          <w:noProof/>
        </w:rPr>
        <w:t> </w:t>
      </w:r>
      <w:r w:rsidR="003F3D2B" w:rsidRPr="00624565">
        <w:rPr>
          <w:noProof/>
        </w:rPr>
        <w:t>cel</w:t>
      </w:r>
      <w:r w:rsidRPr="00624565">
        <w:rPr>
          <w:noProof/>
        </w:rPr>
        <w:t>u ułatwienia współpracy transgranicznej</w:t>
      </w:r>
      <w:r w:rsidR="003F3D2B" w:rsidRPr="00624565">
        <w:rPr>
          <w:noProof/>
        </w:rPr>
        <w:t xml:space="preserve"> w</w:t>
      </w:r>
      <w:r w:rsidR="003F3D2B">
        <w:rPr>
          <w:noProof/>
        </w:rPr>
        <w:t> </w:t>
      </w:r>
      <w:r w:rsidR="003F3D2B" w:rsidRPr="00624565">
        <w:rPr>
          <w:noProof/>
        </w:rPr>
        <w:t>zak</w:t>
      </w:r>
      <w:r w:rsidRPr="00624565">
        <w:rPr>
          <w:noProof/>
        </w:rPr>
        <w:t>resie egzekwowania przepisów niniejszej dyrektywy.</w:t>
      </w:r>
    </w:p>
    <w:p w14:paraId="763DB3F1" w14:textId="20CE8AED" w:rsidR="000464F8" w:rsidRPr="00624565" w:rsidRDefault="004D161E" w:rsidP="004D161E">
      <w:pPr>
        <w:pStyle w:val="ManualConsidrant"/>
        <w:rPr>
          <w:noProof/>
        </w:rPr>
      </w:pPr>
      <w:r w:rsidRPr="00624565">
        <w:rPr>
          <w:noProof/>
        </w:rPr>
        <w:t>(73)</w:t>
      </w:r>
      <w:r w:rsidRPr="00624565">
        <w:rPr>
          <w:noProof/>
        </w:rPr>
        <w:tab/>
        <w:t>Załącznik I do dyrektywy Parlamentu Europejskiego</w:t>
      </w:r>
      <w:r w:rsidR="003F3D2B" w:rsidRPr="00624565">
        <w:rPr>
          <w:noProof/>
        </w:rPr>
        <w:t xml:space="preserve"> i</w:t>
      </w:r>
      <w:r w:rsidR="003F3D2B">
        <w:rPr>
          <w:noProof/>
        </w:rPr>
        <w:t> </w:t>
      </w:r>
      <w:r w:rsidR="003F3D2B" w:rsidRPr="00624565">
        <w:rPr>
          <w:noProof/>
        </w:rPr>
        <w:t>Rad</w:t>
      </w:r>
      <w:r w:rsidRPr="00624565">
        <w:rPr>
          <w:noProof/>
        </w:rPr>
        <w:t>y (UE) 2020/1828</w:t>
      </w:r>
      <w:r w:rsidRPr="00624565">
        <w:rPr>
          <w:rStyle w:val="FootnoteReference"/>
          <w:noProof/>
        </w:rPr>
        <w:footnoteReference w:id="95"/>
      </w:r>
      <w:r w:rsidRPr="00624565">
        <w:rPr>
          <w:noProof/>
        </w:rPr>
        <w:t xml:space="preserve"> należy zmienić tak, aby zawierał odniesienie do niniejszej dyrektywy</w:t>
      </w:r>
      <w:r w:rsidR="003F3D2B" w:rsidRPr="00624565">
        <w:rPr>
          <w:noProof/>
        </w:rPr>
        <w:t xml:space="preserve"> w</w:t>
      </w:r>
      <w:r w:rsidR="003F3D2B">
        <w:rPr>
          <w:noProof/>
        </w:rPr>
        <w:t> </w:t>
      </w:r>
      <w:r w:rsidR="003F3D2B" w:rsidRPr="00624565">
        <w:rPr>
          <w:noProof/>
        </w:rPr>
        <w:t>cel</w:t>
      </w:r>
      <w:r w:rsidRPr="00624565">
        <w:rPr>
          <w:noProof/>
        </w:rPr>
        <w:t>u zapewnienia ochrony zbiorowych interesów konsumentów określonych</w:t>
      </w:r>
      <w:r w:rsidR="003F3D2B" w:rsidRPr="00624565">
        <w:rPr>
          <w:noProof/>
        </w:rPr>
        <w:t xml:space="preserve"> w</w:t>
      </w:r>
      <w:r w:rsidR="003F3D2B">
        <w:rPr>
          <w:noProof/>
        </w:rPr>
        <w:t> </w:t>
      </w:r>
      <w:r w:rsidR="003F3D2B" w:rsidRPr="00624565">
        <w:rPr>
          <w:noProof/>
        </w:rPr>
        <w:t>nin</w:t>
      </w:r>
      <w:r w:rsidRPr="00624565">
        <w:rPr>
          <w:noProof/>
        </w:rPr>
        <w:t>iejszej dyrektywie.</w:t>
      </w:r>
    </w:p>
    <w:p w14:paraId="382D27AD" w14:textId="77777777" w:rsidR="009769E5" w:rsidRPr="00624565" w:rsidRDefault="009769E5" w:rsidP="000464F8">
      <w:pPr>
        <w:pStyle w:val="Formuledadoption"/>
        <w:rPr>
          <w:noProof/>
        </w:rPr>
      </w:pPr>
      <w:r w:rsidRPr="00624565">
        <w:rPr>
          <w:noProof/>
        </w:rPr>
        <w:t>PRZYJMUJĄ NINIEJSZĄ DYREKTYWĘ:</w:t>
      </w:r>
    </w:p>
    <w:p w14:paraId="3757ECE4" w14:textId="77777777" w:rsidR="009769E5" w:rsidRPr="00624565" w:rsidRDefault="009769E5" w:rsidP="009769E5">
      <w:pPr>
        <w:pStyle w:val="Titrearticle"/>
        <w:rPr>
          <w:noProof/>
        </w:rPr>
      </w:pPr>
      <w:r w:rsidRPr="00624565">
        <w:rPr>
          <w:noProof/>
        </w:rPr>
        <w:t>Artykuł 1</w:t>
      </w:r>
    </w:p>
    <w:p w14:paraId="4327C6E3" w14:textId="77777777" w:rsidR="00F44115" w:rsidRPr="00624565" w:rsidRDefault="00F44115" w:rsidP="00F44115">
      <w:pPr>
        <w:pStyle w:val="Titrearticle"/>
        <w:rPr>
          <w:noProof/>
        </w:rPr>
      </w:pPr>
      <w:r w:rsidRPr="00624565">
        <w:rPr>
          <w:noProof/>
        </w:rPr>
        <w:t>Zakres</w:t>
      </w:r>
    </w:p>
    <w:p w14:paraId="6805C70F" w14:textId="28C9D228" w:rsidR="00F44115" w:rsidRPr="00624565" w:rsidRDefault="004D161E" w:rsidP="004D161E">
      <w:pPr>
        <w:pStyle w:val="ManualNumPar1"/>
        <w:rPr>
          <w:noProof/>
        </w:rPr>
      </w:pPr>
      <w:r w:rsidRPr="00624565">
        <w:rPr>
          <w:noProof/>
        </w:rPr>
        <w:t>1.</w:t>
      </w:r>
      <w:r w:rsidRPr="00624565">
        <w:rPr>
          <w:noProof/>
        </w:rPr>
        <w:tab/>
        <w:t>Niniejsza dyrektywa ma zastosowanie do wyraźnych oświadczeń środowiskowych składanych przez przedsiębiorców na temat produktów lub przedsiębiorców</w:t>
      </w:r>
      <w:r w:rsidR="003F3D2B" w:rsidRPr="00624565">
        <w:rPr>
          <w:noProof/>
        </w:rPr>
        <w:t xml:space="preserve"> w</w:t>
      </w:r>
      <w:r w:rsidR="003F3D2B">
        <w:rPr>
          <w:noProof/>
        </w:rPr>
        <w:t> </w:t>
      </w:r>
      <w:r w:rsidR="003F3D2B" w:rsidRPr="00624565">
        <w:rPr>
          <w:noProof/>
        </w:rPr>
        <w:t>ram</w:t>
      </w:r>
      <w:r w:rsidRPr="00624565">
        <w:rPr>
          <w:noProof/>
        </w:rPr>
        <w:t xml:space="preserve">ach praktyk handlowych stosowanych przez przedsiębiorstwa wobec konsumentów. </w:t>
      </w:r>
    </w:p>
    <w:p w14:paraId="40B26710" w14:textId="0A26B87B" w:rsidR="00F44115" w:rsidRPr="00624565" w:rsidRDefault="004D161E" w:rsidP="004D161E">
      <w:pPr>
        <w:pStyle w:val="ManualNumPar1"/>
        <w:rPr>
          <w:noProof/>
        </w:rPr>
      </w:pPr>
      <w:r w:rsidRPr="00624565">
        <w:rPr>
          <w:noProof/>
        </w:rPr>
        <w:t>2.</w:t>
      </w:r>
      <w:r w:rsidRPr="00624565">
        <w:rPr>
          <w:noProof/>
        </w:rPr>
        <w:tab/>
        <w:t>Niniejsza dyrektywa nie ma zastosowania do systemów oznakowania ekologicznego lub do wyraźnych oświadczeń środowiskowych regulowanych lub uzasadnionych przepisami ustanowionymi w:</w:t>
      </w:r>
    </w:p>
    <w:p w14:paraId="172897C6" w14:textId="0A6EBDEA" w:rsidR="00F44115" w:rsidRPr="00624565" w:rsidRDefault="004D161E" w:rsidP="004D161E">
      <w:pPr>
        <w:pStyle w:val="Point1"/>
        <w:rPr>
          <w:noProof/>
        </w:rPr>
      </w:pPr>
      <w:r w:rsidRPr="00624565">
        <w:rPr>
          <w:noProof/>
        </w:rPr>
        <w:t>a)</w:t>
      </w:r>
      <w:r w:rsidRPr="00624565">
        <w:rPr>
          <w:noProof/>
        </w:rPr>
        <w:tab/>
        <w:t>rozporządzeniu Parlamentu Europejskiego</w:t>
      </w:r>
      <w:r w:rsidR="003F3D2B" w:rsidRPr="00624565">
        <w:rPr>
          <w:noProof/>
        </w:rPr>
        <w:t xml:space="preserve"> i</w:t>
      </w:r>
      <w:r w:rsidR="003F3D2B">
        <w:rPr>
          <w:noProof/>
        </w:rPr>
        <w:t> </w:t>
      </w:r>
      <w:r w:rsidR="003F3D2B" w:rsidRPr="00624565">
        <w:rPr>
          <w:noProof/>
        </w:rPr>
        <w:t>Rad</w:t>
      </w:r>
      <w:r w:rsidRPr="00624565">
        <w:rPr>
          <w:noProof/>
        </w:rPr>
        <w:t xml:space="preserve">y (WE) </w:t>
      </w:r>
      <w:r w:rsidRPr="003F3D2B">
        <w:rPr>
          <w:noProof/>
        </w:rPr>
        <w:t>nr</w:t>
      </w:r>
      <w:r w:rsidR="003F3D2B" w:rsidRPr="003F3D2B">
        <w:rPr>
          <w:noProof/>
        </w:rPr>
        <w:t> </w:t>
      </w:r>
      <w:r w:rsidRPr="003F3D2B">
        <w:rPr>
          <w:noProof/>
        </w:rPr>
        <w:t>6</w:t>
      </w:r>
      <w:r w:rsidRPr="00624565">
        <w:rPr>
          <w:noProof/>
        </w:rPr>
        <w:t>6/2010</w:t>
      </w:r>
      <w:r w:rsidRPr="00624565">
        <w:rPr>
          <w:rStyle w:val="FootnoteReference"/>
          <w:noProof/>
        </w:rPr>
        <w:footnoteReference w:id="96"/>
      </w:r>
      <w:r w:rsidRPr="00624565">
        <w:rPr>
          <w:noProof/>
        </w:rPr>
        <w:t xml:space="preserve">; </w:t>
      </w:r>
    </w:p>
    <w:p w14:paraId="0B533AEF" w14:textId="1156498E" w:rsidR="00F44115" w:rsidRPr="00624565" w:rsidRDefault="004D161E" w:rsidP="004D161E">
      <w:pPr>
        <w:pStyle w:val="Point1"/>
        <w:rPr>
          <w:noProof/>
        </w:rPr>
      </w:pPr>
      <w:r w:rsidRPr="00624565">
        <w:rPr>
          <w:noProof/>
        </w:rPr>
        <w:t>b)</w:t>
      </w:r>
      <w:r w:rsidRPr="00624565">
        <w:rPr>
          <w:noProof/>
        </w:rPr>
        <w:tab/>
        <w:t>rozporządzeniu Parlamentu Europejskiego</w:t>
      </w:r>
      <w:r w:rsidR="003F3D2B" w:rsidRPr="00624565">
        <w:rPr>
          <w:noProof/>
        </w:rPr>
        <w:t xml:space="preserve"> i</w:t>
      </w:r>
      <w:r w:rsidR="003F3D2B">
        <w:rPr>
          <w:noProof/>
        </w:rPr>
        <w:t> </w:t>
      </w:r>
      <w:r w:rsidR="003F3D2B" w:rsidRPr="00624565">
        <w:rPr>
          <w:noProof/>
        </w:rPr>
        <w:t>Rad</w:t>
      </w:r>
      <w:r w:rsidRPr="00624565">
        <w:rPr>
          <w:noProof/>
        </w:rPr>
        <w:t>y (UE) 2018/848</w:t>
      </w:r>
      <w:r w:rsidRPr="00624565">
        <w:rPr>
          <w:rStyle w:val="FootnoteReference"/>
          <w:noProof/>
        </w:rPr>
        <w:footnoteReference w:id="97"/>
      </w:r>
      <w:r w:rsidRPr="00624565">
        <w:rPr>
          <w:noProof/>
        </w:rPr>
        <w:t>;</w:t>
      </w:r>
    </w:p>
    <w:p w14:paraId="1308988D" w14:textId="64768FBC" w:rsidR="00F44115" w:rsidRPr="00624565" w:rsidRDefault="004D161E" w:rsidP="004D161E">
      <w:pPr>
        <w:pStyle w:val="Point1"/>
        <w:rPr>
          <w:noProof/>
        </w:rPr>
      </w:pPr>
      <w:r w:rsidRPr="00624565">
        <w:rPr>
          <w:noProof/>
        </w:rPr>
        <w:t>c)</w:t>
      </w:r>
      <w:r w:rsidRPr="00624565">
        <w:rPr>
          <w:noProof/>
        </w:rPr>
        <w:tab/>
        <w:t>rozporządzeniu Parlamentu Europejskiego</w:t>
      </w:r>
      <w:r w:rsidR="003F3D2B" w:rsidRPr="00624565">
        <w:rPr>
          <w:noProof/>
        </w:rPr>
        <w:t xml:space="preserve"> i</w:t>
      </w:r>
      <w:r w:rsidR="003F3D2B">
        <w:rPr>
          <w:noProof/>
        </w:rPr>
        <w:t> </w:t>
      </w:r>
      <w:r w:rsidR="003F3D2B" w:rsidRPr="00624565">
        <w:rPr>
          <w:noProof/>
        </w:rPr>
        <w:t>Rad</w:t>
      </w:r>
      <w:r w:rsidRPr="00624565">
        <w:rPr>
          <w:noProof/>
        </w:rPr>
        <w:t>y (UE) 2017/1369</w:t>
      </w:r>
      <w:r w:rsidRPr="00624565">
        <w:rPr>
          <w:rStyle w:val="FootnoteReference"/>
          <w:noProof/>
        </w:rPr>
        <w:footnoteReference w:id="98"/>
      </w:r>
      <w:r w:rsidRPr="00624565">
        <w:rPr>
          <w:noProof/>
        </w:rPr>
        <w:t xml:space="preserve">; </w:t>
      </w:r>
    </w:p>
    <w:p w14:paraId="4BD115C4" w14:textId="41FF5A08" w:rsidR="00F44115" w:rsidRPr="00624565" w:rsidRDefault="004D161E" w:rsidP="004D161E">
      <w:pPr>
        <w:pStyle w:val="Point1"/>
        <w:rPr>
          <w:noProof/>
        </w:rPr>
      </w:pPr>
      <w:r w:rsidRPr="00624565">
        <w:rPr>
          <w:noProof/>
        </w:rPr>
        <w:t>d)</w:t>
      </w:r>
      <w:r w:rsidRPr="00624565">
        <w:rPr>
          <w:noProof/>
        </w:rPr>
        <w:tab/>
        <w:t>dyrektywie Parlamentu Europejskiego</w:t>
      </w:r>
      <w:r w:rsidR="003F3D2B" w:rsidRPr="00624565">
        <w:rPr>
          <w:noProof/>
        </w:rPr>
        <w:t xml:space="preserve"> i</w:t>
      </w:r>
      <w:r w:rsidR="003F3D2B">
        <w:rPr>
          <w:noProof/>
        </w:rPr>
        <w:t> </w:t>
      </w:r>
      <w:r w:rsidR="003F3D2B" w:rsidRPr="00624565">
        <w:rPr>
          <w:noProof/>
        </w:rPr>
        <w:t>Rad</w:t>
      </w:r>
      <w:r w:rsidRPr="00624565">
        <w:rPr>
          <w:noProof/>
        </w:rPr>
        <w:t>y 2009/125/WE</w:t>
      </w:r>
      <w:r w:rsidRPr="00624565">
        <w:rPr>
          <w:rStyle w:val="FootnoteReference"/>
          <w:noProof/>
        </w:rPr>
        <w:footnoteReference w:id="99"/>
      </w:r>
      <w:r w:rsidRPr="00624565">
        <w:rPr>
          <w:noProof/>
        </w:rPr>
        <w:t xml:space="preserve">; </w:t>
      </w:r>
    </w:p>
    <w:p w14:paraId="2F3CD10D" w14:textId="6E1A83AD" w:rsidR="00F44115" w:rsidRPr="00624565" w:rsidRDefault="004D161E" w:rsidP="004D161E">
      <w:pPr>
        <w:pStyle w:val="Point1"/>
        <w:rPr>
          <w:noProof/>
        </w:rPr>
      </w:pPr>
      <w:r w:rsidRPr="00624565">
        <w:rPr>
          <w:noProof/>
        </w:rPr>
        <w:t>e)</w:t>
      </w:r>
      <w:r w:rsidRPr="00624565">
        <w:rPr>
          <w:noProof/>
        </w:rPr>
        <w:tab/>
        <w:t>rozporządzeniu Parlamentu Europejskiego</w:t>
      </w:r>
      <w:r w:rsidR="003F3D2B" w:rsidRPr="00624565">
        <w:rPr>
          <w:noProof/>
        </w:rPr>
        <w:t xml:space="preserve"> i</w:t>
      </w:r>
      <w:r w:rsidR="003F3D2B">
        <w:rPr>
          <w:noProof/>
        </w:rPr>
        <w:t> </w:t>
      </w:r>
      <w:r w:rsidR="003F3D2B" w:rsidRPr="00624565">
        <w:rPr>
          <w:noProof/>
        </w:rPr>
        <w:t>Rad</w:t>
      </w:r>
      <w:r w:rsidRPr="00624565">
        <w:rPr>
          <w:noProof/>
        </w:rPr>
        <w:t xml:space="preserve">y (UE) </w:t>
      </w:r>
      <w:r w:rsidRPr="003F3D2B">
        <w:rPr>
          <w:noProof/>
        </w:rPr>
        <w:t>nr</w:t>
      </w:r>
      <w:r w:rsidR="003F3D2B" w:rsidRPr="003F3D2B">
        <w:rPr>
          <w:noProof/>
        </w:rPr>
        <w:t> </w:t>
      </w:r>
      <w:r w:rsidRPr="003F3D2B">
        <w:rPr>
          <w:noProof/>
        </w:rPr>
        <w:t>3</w:t>
      </w:r>
      <w:r w:rsidRPr="00624565">
        <w:rPr>
          <w:noProof/>
        </w:rPr>
        <w:t>05/2011</w:t>
      </w:r>
      <w:r w:rsidRPr="00624565">
        <w:rPr>
          <w:rStyle w:val="FootnoteReference"/>
          <w:noProof/>
        </w:rPr>
        <w:footnoteReference w:id="100"/>
      </w:r>
      <w:r w:rsidRPr="00624565">
        <w:rPr>
          <w:noProof/>
        </w:rPr>
        <w:t>;</w:t>
      </w:r>
    </w:p>
    <w:p w14:paraId="4B2CB930" w14:textId="79376CA7" w:rsidR="00F44115" w:rsidRPr="00624565" w:rsidRDefault="004D161E" w:rsidP="004D161E">
      <w:pPr>
        <w:pStyle w:val="Point1"/>
        <w:rPr>
          <w:noProof/>
        </w:rPr>
      </w:pPr>
      <w:r w:rsidRPr="00624565">
        <w:rPr>
          <w:noProof/>
        </w:rPr>
        <w:t>f)</w:t>
      </w:r>
      <w:r w:rsidRPr="00624565">
        <w:rPr>
          <w:noProof/>
        </w:rPr>
        <w:tab/>
        <w:t>rozporządzeniu Parlamentu Europejskiego</w:t>
      </w:r>
      <w:r w:rsidR="003F3D2B" w:rsidRPr="00624565">
        <w:rPr>
          <w:noProof/>
        </w:rPr>
        <w:t xml:space="preserve"> i</w:t>
      </w:r>
      <w:r w:rsidR="003F3D2B">
        <w:rPr>
          <w:noProof/>
        </w:rPr>
        <w:t> </w:t>
      </w:r>
      <w:r w:rsidR="003F3D2B" w:rsidRPr="00624565">
        <w:rPr>
          <w:noProof/>
        </w:rPr>
        <w:t>Rad</w:t>
      </w:r>
      <w:r w:rsidRPr="00624565">
        <w:rPr>
          <w:noProof/>
        </w:rPr>
        <w:t>y (WE) nr 765/2008</w:t>
      </w:r>
      <w:r w:rsidRPr="00624565">
        <w:rPr>
          <w:rStyle w:val="FootnoteReference"/>
          <w:noProof/>
        </w:rPr>
        <w:footnoteReference w:id="101"/>
      </w:r>
      <w:r w:rsidRPr="00624565">
        <w:rPr>
          <w:noProof/>
        </w:rPr>
        <w:t xml:space="preserve">; </w:t>
      </w:r>
    </w:p>
    <w:p w14:paraId="0DC93BA2" w14:textId="281F4CFE" w:rsidR="00F44115" w:rsidRPr="00624565" w:rsidRDefault="004D161E" w:rsidP="004D161E">
      <w:pPr>
        <w:pStyle w:val="Point1"/>
        <w:rPr>
          <w:noProof/>
        </w:rPr>
      </w:pPr>
      <w:r w:rsidRPr="00624565">
        <w:rPr>
          <w:noProof/>
        </w:rPr>
        <w:t>g)</w:t>
      </w:r>
      <w:r w:rsidRPr="00624565">
        <w:rPr>
          <w:noProof/>
        </w:rPr>
        <w:tab/>
        <w:t>rozporządzeniu Parlamentu Europejskiego</w:t>
      </w:r>
      <w:r w:rsidR="003F3D2B" w:rsidRPr="00624565">
        <w:rPr>
          <w:noProof/>
        </w:rPr>
        <w:t xml:space="preserve"> i</w:t>
      </w:r>
      <w:r w:rsidR="003F3D2B">
        <w:rPr>
          <w:noProof/>
        </w:rPr>
        <w:t> </w:t>
      </w:r>
      <w:r w:rsidR="003F3D2B" w:rsidRPr="00624565">
        <w:rPr>
          <w:noProof/>
        </w:rPr>
        <w:t>Rad</w:t>
      </w:r>
      <w:r w:rsidRPr="00624565">
        <w:rPr>
          <w:noProof/>
        </w:rPr>
        <w:t xml:space="preserve">y (WE) </w:t>
      </w:r>
      <w:r w:rsidRPr="003F3D2B">
        <w:rPr>
          <w:noProof/>
        </w:rPr>
        <w:t>nr</w:t>
      </w:r>
      <w:r w:rsidR="003F3D2B" w:rsidRPr="003F3D2B">
        <w:rPr>
          <w:noProof/>
        </w:rPr>
        <w:t> </w:t>
      </w:r>
      <w:r w:rsidRPr="003F3D2B">
        <w:rPr>
          <w:noProof/>
        </w:rPr>
        <w:t>1</w:t>
      </w:r>
      <w:r w:rsidRPr="00624565">
        <w:rPr>
          <w:noProof/>
        </w:rPr>
        <w:t>221/2009</w:t>
      </w:r>
      <w:r w:rsidRPr="00624565">
        <w:rPr>
          <w:rStyle w:val="FootnoteReference"/>
          <w:noProof/>
        </w:rPr>
        <w:footnoteReference w:id="102"/>
      </w:r>
      <w:r w:rsidRPr="00624565">
        <w:rPr>
          <w:noProof/>
        </w:rPr>
        <w:t>;</w:t>
      </w:r>
    </w:p>
    <w:p w14:paraId="7C017D7B" w14:textId="56F11B52" w:rsidR="00F44115" w:rsidRPr="00624565" w:rsidRDefault="004D161E" w:rsidP="004D161E">
      <w:pPr>
        <w:pStyle w:val="Point1"/>
        <w:rPr>
          <w:noProof/>
        </w:rPr>
      </w:pPr>
      <w:r w:rsidRPr="00624565">
        <w:rPr>
          <w:noProof/>
        </w:rPr>
        <w:t>h)</w:t>
      </w:r>
      <w:r w:rsidRPr="00624565">
        <w:rPr>
          <w:noProof/>
        </w:rPr>
        <w:tab/>
        <w:t>dyrektywie 1999/94/WE Parlamentu Europejskiego</w:t>
      </w:r>
      <w:r w:rsidR="003F3D2B" w:rsidRPr="00624565">
        <w:rPr>
          <w:noProof/>
        </w:rPr>
        <w:t xml:space="preserve"> i</w:t>
      </w:r>
      <w:r w:rsidR="003F3D2B">
        <w:rPr>
          <w:noProof/>
        </w:rPr>
        <w:t> </w:t>
      </w:r>
      <w:r w:rsidR="003F3D2B" w:rsidRPr="00624565">
        <w:rPr>
          <w:noProof/>
        </w:rPr>
        <w:t>Rad</w:t>
      </w:r>
      <w:r w:rsidRPr="00624565">
        <w:rPr>
          <w:noProof/>
        </w:rPr>
        <w:t>y</w:t>
      </w:r>
      <w:r w:rsidRPr="00624565">
        <w:rPr>
          <w:rStyle w:val="FootnoteReference"/>
          <w:noProof/>
        </w:rPr>
        <w:footnoteReference w:id="103"/>
      </w:r>
      <w:r w:rsidRPr="00624565">
        <w:rPr>
          <w:noProof/>
        </w:rPr>
        <w:t xml:space="preserve">; </w:t>
      </w:r>
    </w:p>
    <w:p w14:paraId="6037CA66" w14:textId="21CE9CA5" w:rsidR="00F44115" w:rsidRPr="00624565" w:rsidRDefault="004D161E" w:rsidP="004D161E">
      <w:pPr>
        <w:pStyle w:val="Point1"/>
        <w:rPr>
          <w:noProof/>
        </w:rPr>
      </w:pPr>
      <w:r w:rsidRPr="00624565">
        <w:rPr>
          <w:noProof/>
        </w:rPr>
        <w:t>i)</w:t>
      </w:r>
      <w:r w:rsidRPr="00624565">
        <w:rPr>
          <w:noProof/>
        </w:rPr>
        <w:tab/>
        <w:t>rozporządzeniu Parlamentu Europejskiego</w:t>
      </w:r>
      <w:r w:rsidR="003F3D2B" w:rsidRPr="00624565">
        <w:rPr>
          <w:noProof/>
        </w:rPr>
        <w:t xml:space="preserve"> i</w:t>
      </w:r>
      <w:r w:rsidR="003F3D2B">
        <w:rPr>
          <w:noProof/>
        </w:rPr>
        <w:t> </w:t>
      </w:r>
      <w:r w:rsidR="003F3D2B" w:rsidRPr="00624565">
        <w:rPr>
          <w:noProof/>
        </w:rPr>
        <w:t>Rad</w:t>
      </w:r>
      <w:r w:rsidRPr="00624565">
        <w:rPr>
          <w:noProof/>
        </w:rPr>
        <w:t xml:space="preserve">y (UE) </w:t>
      </w:r>
      <w:r w:rsidRPr="003F3D2B">
        <w:rPr>
          <w:noProof/>
        </w:rPr>
        <w:t>nr</w:t>
      </w:r>
      <w:r w:rsidR="003F3D2B" w:rsidRPr="003F3D2B">
        <w:rPr>
          <w:noProof/>
        </w:rPr>
        <w:t> </w:t>
      </w:r>
      <w:r w:rsidRPr="003F3D2B">
        <w:rPr>
          <w:noProof/>
        </w:rPr>
        <w:t>3</w:t>
      </w:r>
      <w:r w:rsidRPr="00624565">
        <w:rPr>
          <w:noProof/>
        </w:rPr>
        <w:t>05/2011</w:t>
      </w:r>
      <w:r w:rsidRPr="00624565">
        <w:rPr>
          <w:rStyle w:val="FootnoteReference"/>
          <w:noProof/>
        </w:rPr>
        <w:footnoteReference w:id="104"/>
      </w:r>
      <w:r w:rsidRPr="00624565">
        <w:rPr>
          <w:noProof/>
        </w:rPr>
        <w:t xml:space="preserve">; </w:t>
      </w:r>
    </w:p>
    <w:p w14:paraId="575C887D" w14:textId="39E5FD12" w:rsidR="00F44115" w:rsidRPr="00624565" w:rsidRDefault="004D161E" w:rsidP="004D161E">
      <w:pPr>
        <w:pStyle w:val="Point1"/>
        <w:rPr>
          <w:noProof/>
        </w:rPr>
      </w:pPr>
      <w:r w:rsidRPr="00624565">
        <w:rPr>
          <w:noProof/>
        </w:rPr>
        <w:t>j)</w:t>
      </w:r>
      <w:r w:rsidRPr="00624565">
        <w:rPr>
          <w:noProof/>
        </w:rPr>
        <w:tab/>
        <w:t>dyrektywie 2006/66/WE Parlamentu Europejskiego</w:t>
      </w:r>
      <w:r w:rsidR="003F3D2B" w:rsidRPr="00624565">
        <w:rPr>
          <w:noProof/>
        </w:rPr>
        <w:t xml:space="preserve"> i</w:t>
      </w:r>
      <w:r w:rsidR="003F3D2B">
        <w:rPr>
          <w:noProof/>
        </w:rPr>
        <w:t> </w:t>
      </w:r>
      <w:r w:rsidR="003F3D2B" w:rsidRPr="00624565">
        <w:rPr>
          <w:noProof/>
        </w:rPr>
        <w:t>Rad</w:t>
      </w:r>
      <w:r w:rsidRPr="00624565">
        <w:rPr>
          <w:noProof/>
        </w:rPr>
        <w:t>y</w:t>
      </w:r>
      <w:r w:rsidRPr="00624565">
        <w:rPr>
          <w:rStyle w:val="FootnoteReference"/>
          <w:noProof/>
        </w:rPr>
        <w:footnoteReference w:id="105"/>
      </w:r>
      <w:r w:rsidRPr="00624565">
        <w:rPr>
          <w:noProof/>
        </w:rPr>
        <w:t xml:space="preserve">; </w:t>
      </w:r>
    </w:p>
    <w:p w14:paraId="13ED10A9" w14:textId="368F30F8" w:rsidR="00F44115" w:rsidRPr="00624565" w:rsidRDefault="004D161E" w:rsidP="004D161E">
      <w:pPr>
        <w:pStyle w:val="Point1"/>
        <w:rPr>
          <w:noProof/>
        </w:rPr>
      </w:pPr>
      <w:r w:rsidRPr="00624565">
        <w:rPr>
          <w:noProof/>
        </w:rPr>
        <w:t xml:space="preserve">k) </w:t>
      </w:r>
      <w:r w:rsidRPr="00624565">
        <w:rPr>
          <w:noProof/>
        </w:rPr>
        <w:tab/>
        <w:t>dyrektywie 94/62/WE Parlamentu Europejskiego</w:t>
      </w:r>
      <w:r w:rsidR="003F3D2B" w:rsidRPr="00624565">
        <w:rPr>
          <w:noProof/>
        </w:rPr>
        <w:t xml:space="preserve"> i</w:t>
      </w:r>
      <w:r w:rsidR="003F3D2B">
        <w:rPr>
          <w:noProof/>
        </w:rPr>
        <w:t> </w:t>
      </w:r>
      <w:r w:rsidR="003F3D2B" w:rsidRPr="00624565">
        <w:rPr>
          <w:noProof/>
        </w:rPr>
        <w:t>Rad</w:t>
      </w:r>
      <w:r w:rsidRPr="00624565">
        <w:rPr>
          <w:noProof/>
        </w:rPr>
        <w:t>y</w:t>
      </w:r>
      <w:r w:rsidRPr="00624565">
        <w:rPr>
          <w:rStyle w:val="FootnoteReference"/>
          <w:noProof/>
        </w:rPr>
        <w:footnoteReference w:id="106"/>
      </w:r>
      <w:r w:rsidRPr="00624565">
        <w:rPr>
          <w:noProof/>
        </w:rPr>
        <w:t xml:space="preserve">; </w:t>
      </w:r>
    </w:p>
    <w:p w14:paraId="08A4D06E" w14:textId="235253C8" w:rsidR="00F44115" w:rsidRPr="00624565" w:rsidRDefault="004D161E" w:rsidP="004D161E">
      <w:pPr>
        <w:pStyle w:val="Point1"/>
        <w:rPr>
          <w:noProof/>
        </w:rPr>
      </w:pPr>
      <w:r w:rsidRPr="00624565">
        <w:rPr>
          <w:noProof/>
        </w:rPr>
        <w:t>l)</w:t>
      </w:r>
      <w:r w:rsidRPr="00624565">
        <w:rPr>
          <w:noProof/>
        </w:rPr>
        <w:tab/>
        <w:t>rozporządzeniu Parlamentu Europejskiego</w:t>
      </w:r>
      <w:r w:rsidR="003F3D2B" w:rsidRPr="00624565">
        <w:rPr>
          <w:noProof/>
        </w:rPr>
        <w:t xml:space="preserve"> i</w:t>
      </w:r>
      <w:r w:rsidR="003F3D2B">
        <w:rPr>
          <w:noProof/>
        </w:rPr>
        <w:t> </w:t>
      </w:r>
      <w:r w:rsidR="003F3D2B" w:rsidRPr="00624565">
        <w:rPr>
          <w:noProof/>
        </w:rPr>
        <w:t>Rad</w:t>
      </w:r>
      <w:r w:rsidRPr="00624565">
        <w:rPr>
          <w:noProof/>
        </w:rPr>
        <w:t>y (UE) 2020/852</w:t>
      </w:r>
      <w:r w:rsidRPr="00624565">
        <w:rPr>
          <w:rStyle w:val="FootnoteReference"/>
          <w:noProof/>
        </w:rPr>
        <w:footnoteReference w:id="107"/>
      </w:r>
      <w:r w:rsidRPr="00624565">
        <w:rPr>
          <w:noProof/>
        </w:rPr>
        <w:t xml:space="preserve">; </w:t>
      </w:r>
    </w:p>
    <w:p w14:paraId="35DCC5CE" w14:textId="00C0A8C6" w:rsidR="00F44115" w:rsidRPr="00624565" w:rsidRDefault="004D161E" w:rsidP="004D161E">
      <w:pPr>
        <w:pStyle w:val="Point1"/>
        <w:rPr>
          <w:noProof/>
        </w:rPr>
      </w:pPr>
      <w:r w:rsidRPr="00624565">
        <w:rPr>
          <w:noProof/>
        </w:rPr>
        <w:t>m)</w:t>
      </w:r>
      <w:r w:rsidRPr="00624565">
        <w:rPr>
          <w:noProof/>
        </w:rPr>
        <w:tab/>
        <w:t>rozporządzeniu Parlamentu Europejskiego</w:t>
      </w:r>
      <w:r w:rsidR="003F3D2B" w:rsidRPr="00624565">
        <w:rPr>
          <w:noProof/>
        </w:rPr>
        <w:t xml:space="preserve"> i</w:t>
      </w:r>
      <w:r w:rsidR="003F3D2B">
        <w:rPr>
          <w:noProof/>
        </w:rPr>
        <w:t> </w:t>
      </w:r>
      <w:r w:rsidR="003F3D2B" w:rsidRPr="00624565">
        <w:rPr>
          <w:noProof/>
        </w:rPr>
        <w:t>Rad</w:t>
      </w:r>
      <w:r w:rsidRPr="00624565">
        <w:rPr>
          <w:noProof/>
        </w:rPr>
        <w:t>y (UE) .../...</w:t>
      </w:r>
      <w:r w:rsidRPr="00624565">
        <w:rPr>
          <w:rStyle w:val="FootnoteReference"/>
          <w:noProof/>
        </w:rPr>
        <w:footnoteReference w:id="108"/>
      </w:r>
      <w:r w:rsidRPr="00624565">
        <w:rPr>
          <w:noProof/>
        </w:rPr>
        <w:t xml:space="preserve">; </w:t>
      </w:r>
    </w:p>
    <w:p w14:paraId="719D525D" w14:textId="663F73A5" w:rsidR="00F44115" w:rsidRPr="00624565" w:rsidRDefault="004D161E" w:rsidP="004D161E">
      <w:pPr>
        <w:pStyle w:val="Point1"/>
        <w:rPr>
          <w:noProof/>
        </w:rPr>
      </w:pPr>
      <w:r w:rsidRPr="00624565">
        <w:rPr>
          <w:noProof/>
        </w:rPr>
        <w:t>n)</w:t>
      </w:r>
      <w:r w:rsidRPr="00624565">
        <w:rPr>
          <w:noProof/>
        </w:rPr>
        <w:tab/>
        <w:t>dyrektywie Parlamentu Europejskiego</w:t>
      </w:r>
      <w:r w:rsidR="003F3D2B" w:rsidRPr="00624565">
        <w:rPr>
          <w:noProof/>
        </w:rPr>
        <w:t xml:space="preserve"> i</w:t>
      </w:r>
      <w:r w:rsidR="003F3D2B">
        <w:rPr>
          <w:noProof/>
        </w:rPr>
        <w:t> </w:t>
      </w:r>
      <w:r w:rsidR="003F3D2B" w:rsidRPr="00624565">
        <w:rPr>
          <w:noProof/>
        </w:rPr>
        <w:t>Rad</w:t>
      </w:r>
      <w:r w:rsidRPr="00624565">
        <w:rPr>
          <w:noProof/>
        </w:rPr>
        <w:t>y 2012/27/UE</w:t>
      </w:r>
      <w:r w:rsidRPr="00624565">
        <w:rPr>
          <w:rStyle w:val="FootnoteReference"/>
          <w:noProof/>
        </w:rPr>
        <w:footnoteReference w:id="109"/>
      </w:r>
      <w:r w:rsidRPr="00624565">
        <w:rPr>
          <w:noProof/>
        </w:rPr>
        <w:t>;</w:t>
      </w:r>
    </w:p>
    <w:p w14:paraId="3B6DB485" w14:textId="13C01890" w:rsidR="00F44115" w:rsidRPr="00624565" w:rsidRDefault="004D161E" w:rsidP="004D161E">
      <w:pPr>
        <w:pStyle w:val="Point1"/>
        <w:rPr>
          <w:noProof/>
        </w:rPr>
      </w:pPr>
      <w:r w:rsidRPr="00624565">
        <w:rPr>
          <w:noProof/>
        </w:rPr>
        <w:t>o)</w:t>
      </w:r>
      <w:r w:rsidRPr="00624565">
        <w:rPr>
          <w:noProof/>
        </w:rPr>
        <w:tab/>
        <w:t>dyrektywie Parlamentu Europejskiego</w:t>
      </w:r>
      <w:r w:rsidR="003F3D2B" w:rsidRPr="00624565">
        <w:rPr>
          <w:noProof/>
        </w:rPr>
        <w:t xml:space="preserve"> i</w:t>
      </w:r>
      <w:r w:rsidR="003F3D2B">
        <w:rPr>
          <w:noProof/>
        </w:rPr>
        <w:t> </w:t>
      </w:r>
      <w:r w:rsidR="003F3D2B" w:rsidRPr="00624565">
        <w:rPr>
          <w:noProof/>
        </w:rPr>
        <w:t>Rad</w:t>
      </w:r>
      <w:r w:rsidRPr="00624565">
        <w:rPr>
          <w:noProof/>
        </w:rPr>
        <w:t>y 2013/34/UE</w:t>
      </w:r>
      <w:r w:rsidRPr="00624565">
        <w:rPr>
          <w:rStyle w:val="FootnoteReference"/>
          <w:noProof/>
        </w:rPr>
        <w:footnoteReference w:id="110"/>
      </w:r>
      <w:r w:rsidRPr="00624565">
        <w:rPr>
          <w:noProof/>
        </w:rPr>
        <w:t xml:space="preserve"> oraz innych unijnych, krajowych lub międzynarodowych przepisach, normach lub wytycznych dotyczących usług finansowych, instrumentów finansowych</w:t>
      </w:r>
      <w:r w:rsidR="003F3D2B" w:rsidRPr="00624565">
        <w:rPr>
          <w:noProof/>
        </w:rPr>
        <w:t xml:space="preserve"> i</w:t>
      </w:r>
      <w:r w:rsidR="003F3D2B">
        <w:rPr>
          <w:noProof/>
        </w:rPr>
        <w:t> </w:t>
      </w:r>
      <w:r w:rsidR="003F3D2B" w:rsidRPr="00624565">
        <w:rPr>
          <w:noProof/>
        </w:rPr>
        <w:t>pro</w:t>
      </w:r>
      <w:r w:rsidRPr="00624565">
        <w:rPr>
          <w:noProof/>
        </w:rPr>
        <w:t>duktów finansowych;</w:t>
      </w:r>
    </w:p>
    <w:p w14:paraId="7AB31A2B" w14:textId="175C44FF" w:rsidR="009769E5" w:rsidRPr="00624565" w:rsidRDefault="004D161E" w:rsidP="004D161E">
      <w:pPr>
        <w:pStyle w:val="Point1"/>
        <w:rPr>
          <w:noProof/>
        </w:rPr>
      </w:pPr>
      <w:r w:rsidRPr="00624565">
        <w:rPr>
          <w:noProof/>
        </w:rPr>
        <w:t>p)</w:t>
      </w:r>
      <w:r w:rsidRPr="00624565">
        <w:rPr>
          <w:noProof/>
        </w:rPr>
        <w:tab/>
        <w:t>innych istniejących lub przyszłych przepisach unijnych określających warunki, na jakich mogą lub mają być składane niektóre wyraźne oświadczenia środowiskowe dotyczące niektórych produktów lub przedsiębiorców, lub przepisach unijnych ustanawiających wymogi dotyczące oceny wpływu na środowisko, aspektów środowiskowych lub efektywności środowiskowej niektórych produktów lub przedsiębiorców oraz informowania</w:t>
      </w:r>
      <w:r w:rsidR="003F3D2B" w:rsidRPr="00624565">
        <w:rPr>
          <w:noProof/>
        </w:rPr>
        <w:t xml:space="preserve"> o</w:t>
      </w:r>
      <w:r w:rsidR="003F3D2B">
        <w:rPr>
          <w:noProof/>
        </w:rPr>
        <w:t> </w:t>
      </w:r>
      <w:r w:rsidR="003F3D2B" w:rsidRPr="00624565">
        <w:rPr>
          <w:noProof/>
        </w:rPr>
        <w:t>nic</w:t>
      </w:r>
      <w:r w:rsidRPr="00624565">
        <w:rPr>
          <w:noProof/>
        </w:rPr>
        <w:t>h, lub warunki dotyczące systemów oznakowania ekologicznego.</w:t>
      </w:r>
    </w:p>
    <w:p w14:paraId="43FFEB3E" w14:textId="77777777" w:rsidR="00F44115" w:rsidRPr="00624565" w:rsidRDefault="00F44115" w:rsidP="00F44115">
      <w:pPr>
        <w:pStyle w:val="Titrearticle"/>
        <w:rPr>
          <w:noProof/>
        </w:rPr>
      </w:pPr>
      <w:r w:rsidRPr="00624565">
        <w:rPr>
          <w:noProof/>
        </w:rPr>
        <w:t>Artykuł 2</w:t>
      </w:r>
    </w:p>
    <w:p w14:paraId="4BF07AAC" w14:textId="77777777" w:rsidR="00F44115" w:rsidRPr="00624565" w:rsidRDefault="00F44115" w:rsidP="00F44115">
      <w:pPr>
        <w:pStyle w:val="Titrearticle"/>
        <w:rPr>
          <w:noProof/>
        </w:rPr>
      </w:pPr>
      <w:r w:rsidRPr="00624565">
        <w:rPr>
          <w:noProof/>
        </w:rPr>
        <w:t>Definicje</w:t>
      </w:r>
    </w:p>
    <w:p w14:paraId="639EE775" w14:textId="77777777" w:rsidR="00F44115" w:rsidRPr="00624565" w:rsidRDefault="00F44115" w:rsidP="00F44115">
      <w:pPr>
        <w:rPr>
          <w:noProof/>
        </w:rPr>
      </w:pPr>
      <w:r w:rsidRPr="00624565">
        <w:rPr>
          <w:noProof/>
        </w:rPr>
        <w:t>Do celów niniejszej dyrektywy stosuje się następujące definicje:</w:t>
      </w:r>
    </w:p>
    <w:p w14:paraId="62225E93" w14:textId="5A0F3E21" w:rsidR="00F44115" w:rsidRPr="00624565" w:rsidRDefault="00F44115" w:rsidP="00EB2AC8">
      <w:pPr>
        <w:pStyle w:val="ListNumber1"/>
        <w:numPr>
          <w:ilvl w:val="0"/>
          <w:numId w:val="20"/>
        </w:numPr>
        <w:tabs>
          <w:tab w:val="clear" w:pos="1560"/>
          <w:tab w:val="num" w:pos="709"/>
        </w:tabs>
        <w:ind w:left="709"/>
        <w:rPr>
          <w:noProof/>
        </w:rPr>
      </w:pPr>
      <w:r w:rsidRPr="00624565">
        <w:rPr>
          <w:noProof/>
        </w:rPr>
        <w:t>„oświadczenie środowiskowe” oznacza oświadczenie środowiskowe zdefiniowane</w:t>
      </w:r>
      <w:r w:rsidR="003F3D2B" w:rsidRPr="00624565">
        <w:rPr>
          <w:noProof/>
        </w:rPr>
        <w:t xml:space="preserve"> w</w:t>
      </w:r>
      <w:r w:rsidR="003F3D2B">
        <w:rPr>
          <w:noProof/>
        </w:rPr>
        <w:t> </w:t>
      </w:r>
      <w:r w:rsidR="003F3D2B" w:rsidRPr="003F3D2B">
        <w:rPr>
          <w:noProof/>
        </w:rPr>
        <w:t>art</w:t>
      </w:r>
      <w:r w:rsidRPr="003F3D2B">
        <w:rPr>
          <w:noProof/>
        </w:rPr>
        <w:t>.</w:t>
      </w:r>
      <w:r w:rsidR="003F3D2B" w:rsidRPr="003F3D2B">
        <w:rPr>
          <w:noProof/>
        </w:rPr>
        <w:t> </w:t>
      </w:r>
      <w:r w:rsidRPr="003F3D2B">
        <w:rPr>
          <w:noProof/>
        </w:rPr>
        <w:t>2</w:t>
      </w:r>
      <w:r w:rsidRPr="00624565">
        <w:rPr>
          <w:noProof/>
        </w:rPr>
        <w:t xml:space="preserve"> </w:t>
      </w:r>
      <w:r w:rsidRPr="003F3D2B">
        <w:rPr>
          <w:noProof/>
        </w:rPr>
        <w:t>lit.</w:t>
      </w:r>
      <w:r w:rsidR="003F3D2B" w:rsidRPr="003F3D2B">
        <w:rPr>
          <w:noProof/>
        </w:rPr>
        <w:t> </w:t>
      </w:r>
      <w:r w:rsidRPr="003F3D2B">
        <w:rPr>
          <w:noProof/>
        </w:rPr>
        <w:t>o)</w:t>
      </w:r>
      <w:r w:rsidRPr="00624565">
        <w:rPr>
          <w:noProof/>
        </w:rPr>
        <w:t xml:space="preserve"> dyrektywy 2005/29/WE;</w:t>
      </w:r>
    </w:p>
    <w:p w14:paraId="5B931CE5" w14:textId="00DB3770" w:rsidR="00F44115" w:rsidRPr="00624565" w:rsidRDefault="00F44115" w:rsidP="00F44115">
      <w:pPr>
        <w:pStyle w:val="ListNumber1"/>
        <w:tabs>
          <w:tab w:val="clear" w:pos="1560"/>
          <w:tab w:val="num" w:pos="709"/>
        </w:tabs>
        <w:ind w:left="709"/>
        <w:rPr>
          <w:noProof/>
        </w:rPr>
      </w:pPr>
      <w:r w:rsidRPr="00624565">
        <w:rPr>
          <w:noProof/>
        </w:rPr>
        <w:t>„wyraźne oświadczenie środowiskowe” oznacza oświadczenie środowiskowe, które ma formę tekstową lub jest zawarte</w:t>
      </w:r>
      <w:r w:rsidR="003F3D2B" w:rsidRPr="00624565">
        <w:rPr>
          <w:noProof/>
        </w:rPr>
        <w:t xml:space="preserve"> w</w:t>
      </w:r>
      <w:r w:rsidR="003F3D2B">
        <w:rPr>
          <w:noProof/>
        </w:rPr>
        <w:t> </w:t>
      </w:r>
      <w:r w:rsidR="003F3D2B" w:rsidRPr="00624565">
        <w:rPr>
          <w:noProof/>
        </w:rPr>
        <w:t>ozn</w:t>
      </w:r>
      <w:r w:rsidRPr="00624565">
        <w:rPr>
          <w:noProof/>
        </w:rPr>
        <w:t>akowaniu ekologicznym;</w:t>
      </w:r>
    </w:p>
    <w:p w14:paraId="35C861D2" w14:textId="5992AF7E" w:rsidR="00F44115" w:rsidRPr="00624565" w:rsidRDefault="00F44115" w:rsidP="00F44115">
      <w:pPr>
        <w:pStyle w:val="ListNumber1"/>
        <w:tabs>
          <w:tab w:val="clear" w:pos="1560"/>
          <w:tab w:val="num" w:pos="709"/>
        </w:tabs>
        <w:ind w:left="709"/>
        <w:rPr>
          <w:noProof/>
        </w:rPr>
      </w:pPr>
      <w:r w:rsidRPr="00624565">
        <w:rPr>
          <w:noProof/>
        </w:rPr>
        <w:t>„przedsiębiorca” oznacza przedsiębiorcę zdefiniowanego</w:t>
      </w:r>
      <w:r w:rsidR="003F3D2B" w:rsidRPr="00624565">
        <w:rPr>
          <w:noProof/>
        </w:rPr>
        <w:t xml:space="preserve"> w</w:t>
      </w:r>
      <w:r w:rsidR="003F3D2B">
        <w:rPr>
          <w:noProof/>
        </w:rPr>
        <w:t> </w:t>
      </w:r>
      <w:r w:rsidR="003F3D2B" w:rsidRPr="003F3D2B">
        <w:rPr>
          <w:noProof/>
        </w:rPr>
        <w:t>art</w:t>
      </w:r>
      <w:r w:rsidRPr="003F3D2B">
        <w:rPr>
          <w:noProof/>
        </w:rPr>
        <w:t>.</w:t>
      </w:r>
      <w:r w:rsidR="003F3D2B" w:rsidRPr="003F3D2B">
        <w:rPr>
          <w:noProof/>
        </w:rPr>
        <w:t> </w:t>
      </w:r>
      <w:r w:rsidRPr="003F3D2B">
        <w:rPr>
          <w:noProof/>
        </w:rPr>
        <w:t>2</w:t>
      </w:r>
      <w:r w:rsidRPr="00624565">
        <w:rPr>
          <w:noProof/>
        </w:rPr>
        <w:t xml:space="preserve"> </w:t>
      </w:r>
      <w:r w:rsidRPr="003F3D2B">
        <w:rPr>
          <w:noProof/>
        </w:rPr>
        <w:t>lit.</w:t>
      </w:r>
      <w:r w:rsidR="003F3D2B" w:rsidRPr="003F3D2B">
        <w:rPr>
          <w:noProof/>
        </w:rPr>
        <w:t> </w:t>
      </w:r>
      <w:r w:rsidRPr="003F3D2B">
        <w:rPr>
          <w:noProof/>
        </w:rPr>
        <w:t>b)</w:t>
      </w:r>
      <w:r w:rsidRPr="00624565">
        <w:rPr>
          <w:noProof/>
        </w:rPr>
        <w:t xml:space="preserve"> dyrektywy 2005/29/WE;</w:t>
      </w:r>
    </w:p>
    <w:p w14:paraId="635D8CF4" w14:textId="7D0527EC" w:rsidR="00F44115" w:rsidRPr="00624565" w:rsidRDefault="00F44115" w:rsidP="00F44115">
      <w:pPr>
        <w:pStyle w:val="ListNumber1"/>
        <w:tabs>
          <w:tab w:val="clear" w:pos="1560"/>
          <w:tab w:val="num" w:pos="709"/>
        </w:tabs>
        <w:ind w:left="709"/>
        <w:rPr>
          <w:noProof/>
        </w:rPr>
      </w:pPr>
      <w:r w:rsidRPr="00624565">
        <w:rPr>
          <w:noProof/>
        </w:rPr>
        <w:t>„produkt” oznacza produkt zdefiniowany</w:t>
      </w:r>
      <w:r w:rsidR="003F3D2B" w:rsidRPr="00624565">
        <w:rPr>
          <w:noProof/>
        </w:rPr>
        <w:t xml:space="preserve"> w</w:t>
      </w:r>
      <w:r w:rsidR="003F3D2B">
        <w:rPr>
          <w:noProof/>
        </w:rPr>
        <w:t> </w:t>
      </w:r>
      <w:r w:rsidR="003F3D2B" w:rsidRPr="003F3D2B">
        <w:rPr>
          <w:noProof/>
        </w:rPr>
        <w:t>art</w:t>
      </w:r>
      <w:r w:rsidRPr="003F3D2B">
        <w:rPr>
          <w:noProof/>
        </w:rPr>
        <w:t>.</w:t>
      </w:r>
      <w:r w:rsidR="003F3D2B" w:rsidRPr="003F3D2B">
        <w:rPr>
          <w:noProof/>
        </w:rPr>
        <w:t> </w:t>
      </w:r>
      <w:r w:rsidRPr="003F3D2B">
        <w:rPr>
          <w:noProof/>
        </w:rPr>
        <w:t>2</w:t>
      </w:r>
      <w:r w:rsidRPr="00624565">
        <w:rPr>
          <w:noProof/>
        </w:rPr>
        <w:t xml:space="preserve"> </w:t>
      </w:r>
      <w:r w:rsidRPr="003F3D2B">
        <w:rPr>
          <w:noProof/>
        </w:rPr>
        <w:t>lit.</w:t>
      </w:r>
      <w:r w:rsidR="003F3D2B" w:rsidRPr="003F3D2B">
        <w:rPr>
          <w:noProof/>
        </w:rPr>
        <w:t> </w:t>
      </w:r>
      <w:r w:rsidRPr="003F3D2B">
        <w:rPr>
          <w:noProof/>
        </w:rPr>
        <w:t>c)</w:t>
      </w:r>
      <w:r w:rsidRPr="00624565">
        <w:rPr>
          <w:noProof/>
        </w:rPr>
        <w:t xml:space="preserve"> dyrektywy 2005/29/WE;</w:t>
      </w:r>
    </w:p>
    <w:p w14:paraId="16F55A6A" w14:textId="7E0880F2" w:rsidR="00F44115" w:rsidRPr="00624565" w:rsidRDefault="00F44115" w:rsidP="00F44115">
      <w:pPr>
        <w:pStyle w:val="ListNumber1"/>
        <w:tabs>
          <w:tab w:val="clear" w:pos="1560"/>
          <w:tab w:val="num" w:pos="709"/>
        </w:tabs>
        <w:ind w:left="709"/>
        <w:rPr>
          <w:noProof/>
        </w:rPr>
      </w:pPr>
      <w:r w:rsidRPr="00624565">
        <w:rPr>
          <w:noProof/>
        </w:rPr>
        <w:t>„konsument” oznacza konsumenta zdefiniowanego</w:t>
      </w:r>
      <w:r w:rsidR="003F3D2B" w:rsidRPr="00624565">
        <w:rPr>
          <w:noProof/>
        </w:rPr>
        <w:t xml:space="preserve"> w</w:t>
      </w:r>
      <w:r w:rsidR="003F3D2B">
        <w:rPr>
          <w:noProof/>
        </w:rPr>
        <w:t> </w:t>
      </w:r>
      <w:r w:rsidR="003F3D2B" w:rsidRPr="003F3D2B">
        <w:rPr>
          <w:noProof/>
        </w:rPr>
        <w:t>art</w:t>
      </w:r>
      <w:r w:rsidRPr="003F3D2B">
        <w:rPr>
          <w:noProof/>
        </w:rPr>
        <w:t>.</w:t>
      </w:r>
      <w:r w:rsidR="003F3D2B" w:rsidRPr="003F3D2B">
        <w:rPr>
          <w:noProof/>
        </w:rPr>
        <w:t> </w:t>
      </w:r>
      <w:r w:rsidRPr="003F3D2B">
        <w:rPr>
          <w:noProof/>
        </w:rPr>
        <w:t>2</w:t>
      </w:r>
      <w:r w:rsidRPr="00624565">
        <w:rPr>
          <w:noProof/>
        </w:rPr>
        <w:t xml:space="preserve"> </w:t>
      </w:r>
      <w:r w:rsidRPr="003F3D2B">
        <w:rPr>
          <w:noProof/>
        </w:rPr>
        <w:t>lit.</w:t>
      </w:r>
      <w:r w:rsidR="003F3D2B" w:rsidRPr="003F3D2B">
        <w:rPr>
          <w:noProof/>
        </w:rPr>
        <w:t> </w:t>
      </w:r>
      <w:r w:rsidRPr="003F3D2B">
        <w:rPr>
          <w:noProof/>
        </w:rPr>
        <w:t>a)</w:t>
      </w:r>
      <w:r w:rsidRPr="00624565">
        <w:rPr>
          <w:noProof/>
        </w:rPr>
        <w:t xml:space="preserve"> dyrektywy 2005/29/WE;</w:t>
      </w:r>
    </w:p>
    <w:p w14:paraId="5D9A4BF4" w14:textId="07C984D2" w:rsidR="00F44115" w:rsidRPr="00624565" w:rsidRDefault="00F44115" w:rsidP="00F44115">
      <w:pPr>
        <w:pStyle w:val="ListNumber1"/>
        <w:tabs>
          <w:tab w:val="clear" w:pos="1560"/>
          <w:tab w:val="num" w:pos="709"/>
        </w:tabs>
        <w:ind w:left="709"/>
        <w:rPr>
          <w:noProof/>
        </w:rPr>
      </w:pPr>
      <w:r w:rsidRPr="00624565">
        <w:rPr>
          <w:noProof/>
        </w:rPr>
        <w:t>„praktyki handlowe stosowane przez przedsiębiorstwa wobec konsumentów” oznaczają praktyki handlowe stosowane przez przedsiębiorstwa wobec konsumentów zdefiniowane</w:t>
      </w:r>
      <w:r w:rsidR="003F3D2B" w:rsidRPr="00624565">
        <w:rPr>
          <w:noProof/>
        </w:rPr>
        <w:t xml:space="preserve"> w</w:t>
      </w:r>
      <w:r w:rsidR="003F3D2B">
        <w:rPr>
          <w:noProof/>
        </w:rPr>
        <w:t> </w:t>
      </w:r>
      <w:r w:rsidR="003F3D2B" w:rsidRPr="003F3D2B">
        <w:rPr>
          <w:noProof/>
        </w:rPr>
        <w:t>art</w:t>
      </w:r>
      <w:r w:rsidRPr="003F3D2B">
        <w:rPr>
          <w:noProof/>
        </w:rPr>
        <w:t>.</w:t>
      </w:r>
      <w:r w:rsidR="003F3D2B" w:rsidRPr="003F3D2B">
        <w:rPr>
          <w:noProof/>
        </w:rPr>
        <w:t> </w:t>
      </w:r>
      <w:r w:rsidRPr="003F3D2B">
        <w:rPr>
          <w:noProof/>
        </w:rPr>
        <w:t>2</w:t>
      </w:r>
      <w:r w:rsidRPr="00624565">
        <w:rPr>
          <w:noProof/>
        </w:rPr>
        <w:t xml:space="preserve"> </w:t>
      </w:r>
      <w:r w:rsidRPr="003F3D2B">
        <w:rPr>
          <w:noProof/>
        </w:rPr>
        <w:t>lit.</w:t>
      </w:r>
      <w:r w:rsidR="003F3D2B" w:rsidRPr="003F3D2B">
        <w:rPr>
          <w:noProof/>
        </w:rPr>
        <w:t> </w:t>
      </w:r>
      <w:r w:rsidRPr="003F3D2B">
        <w:rPr>
          <w:noProof/>
        </w:rPr>
        <w:t>d)</w:t>
      </w:r>
      <w:r w:rsidRPr="00624565">
        <w:rPr>
          <w:noProof/>
        </w:rPr>
        <w:t xml:space="preserve"> dyrektywy 2005/29/WE;</w:t>
      </w:r>
    </w:p>
    <w:p w14:paraId="0360B95E" w14:textId="6B9BE9CC" w:rsidR="00F44115" w:rsidRPr="00624565" w:rsidRDefault="00F44115" w:rsidP="00F44115">
      <w:pPr>
        <w:pStyle w:val="ListNumber1"/>
        <w:tabs>
          <w:tab w:val="clear" w:pos="1560"/>
          <w:tab w:val="num" w:pos="709"/>
        </w:tabs>
        <w:ind w:left="709"/>
        <w:rPr>
          <w:noProof/>
        </w:rPr>
      </w:pPr>
      <w:r w:rsidRPr="00624565">
        <w:rPr>
          <w:noProof/>
        </w:rPr>
        <w:t>„oznakowanie dotyczące zrównoważonego charakteru” oznacza oznakowanie dotyczące zrównoważonego charakteru zdefiniowane</w:t>
      </w:r>
      <w:r w:rsidR="003F3D2B" w:rsidRPr="00624565">
        <w:rPr>
          <w:noProof/>
        </w:rPr>
        <w:t xml:space="preserve"> w</w:t>
      </w:r>
      <w:r w:rsidR="003F3D2B">
        <w:rPr>
          <w:noProof/>
        </w:rPr>
        <w:t> </w:t>
      </w:r>
      <w:r w:rsidR="003F3D2B" w:rsidRPr="003F3D2B">
        <w:rPr>
          <w:noProof/>
        </w:rPr>
        <w:t>art</w:t>
      </w:r>
      <w:r w:rsidRPr="003F3D2B">
        <w:rPr>
          <w:noProof/>
        </w:rPr>
        <w:t>.</w:t>
      </w:r>
      <w:r w:rsidR="003F3D2B" w:rsidRPr="003F3D2B">
        <w:rPr>
          <w:noProof/>
        </w:rPr>
        <w:t> </w:t>
      </w:r>
      <w:r w:rsidRPr="003F3D2B">
        <w:rPr>
          <w:noProof/>
        </w:rPr>
        <w:t>2</w:t>
      </w:r>
      <w:r w:rsidRPr="00624565">
        <w:rPr>
          <w:noProof/>
        </w:rPr>
        <w:t xml:space="preserve"> </w:t>
      </w:r>
      <w:r w:rsidRPr="003F3D2B">
        <w:rPr>
          <w:noProof/>
        </w:rPr>
        <w:t>lit.</w:t>
      </w:r>
      <w:r w:rsidR="003F3D2B" w:rsidRPr="003F3D2B">
        <w:rPr>
          <w:noProof/>
        </w:rPr>
        <w:t> </w:t>
      </w:r>
      <w:r w:rsidRPr="003F3D2B">
        <w:rPr>
          <w:noProof/>
        </w:rPr>
        <w:t>r)</w:t>
      </w:r>
      <w:r w:rsidRPr="00624565">
        <w:rPr>
          <w:noProof/>
        </w:rPr>
        <w:t xml:space="preserve"> dyrektywy 2005/29/WE;</w:t>
      </w:r>
    </w:p>
    <w:p w14:paraId="30B409F1" w14:textId="302CFCCF" w:rsidR="00F44115" w:rsidRPr="00624565" w:rsidRDefault="00F44115" w:rsidP="00F44115">
      <w:pPr>
        <w:pStyle w:val="ListNumber1"/>
        <w:tabs>
          <w:tab w:val="clear" w:pos="1560"/>
          <w:tab w:val="num" w:pos="709"/>
        </w:tabs>
        <w:ind w:left="709"/>
        <w:rPr>
          <w:noProof/>
        </w:rPr>
      </w:pPr>
      <w:r w:rsidRPr="00624565">
        <w:rPr>
          <w:noProof/>
        </w:rPr>
        <w:t>„oznakowanie ekologiczne” oznacza oznakowanie dotyczące zrównoważonego charakteru obejmujące wyłącznie lub</w:t>
      </w:r>
      <w:r w:rsidR="003F3D2B" w:rsidRPr="00624565">
        <w:rPr>
          <w:noProof/>
        </w:rPr>
        <w:t xml:space="preserve"> w</w:t>
      </w:r>
      <w:r w:rsidR="003F3D2B">
        <w:rPr>
          <w:noProof/>
        </w:rPr>
        <w:t> </w:t>
      </w:r>
      <w:r w:rsidR="003F3D2B" w:rsidRPr="00624565">
        <w:rPr>
          <w:noProof/>
        </w:rPr>
        <w:t>prz</w:t>
      </w:r>
      <w:r w:rsidRPr="00624565">
        <w:rPr>
          <w:noProof/>
        </w:rPr>
        <w:t xml:space="preserve">eważającej mierze aspekty środowiskowe dotyczące danego produktu, procesu lub przedsiębiorcy; </w:t>
      </w:r>
    </w:p>
    <w:p w14:paraId="05EE1E46" w14:textId="77777777" w:rsidR="00F44115" w:rsidRPr="00624565" w:rsidRDefault="00F44115" w:rsidP="00F44115">
      <w:pPr>
        <w:pStyle w:val="ListNumber1"/>
        <w:tabs>
          <w:tab w:val="clear" w:pos="1560"/>
          <w:tab w:val="num" w:pos="709"/>
        </w:tabs>
        <w:ind w:left="709"/>
        <w:rPr>
          <w:noProof/>
        </w:rPr>
      </w:pPr>
      <w:r w:rsidRPr="00624565">
        <w:rPr>
          <w:noProof/>
        </w:rPr>
        <w:t xml:space="preserve">„grupa produktów” oznacza zbiór produktów, które służą podobnym celom lub mają podobne zastosowania lub podobne własności funkcjonalne; </w:t>
      </w:r>
    </w:p>
    <w:p w14:paraId="1B0C0DFE" w14:textId="04D97198" w:rsidR="00F44115" w:rsidRPr="00624565" w:rsidRDefault="00F44115" w:rsidP="00F44115">
      <w:pPr>
        <w:pStyle w:val="ListNumber1"/>
        <w:tabs>
          <w:tab w:val="clear" w:pos="1560"/>
          <w:tab w:val="num" w:pos="709"/>
        </w:tabs>
        <w:ind w:left="709"/>
        <w:rPr>
          <w:noProof/>
        </w:rPr>
      </w:pPr>
      <w:r w:rsidRPr="00624565">
        <w:rPr>
          <w:noProof/>
        </w:rPr>
        <w:t>„system certyfikacji” oznacza system certyfikacji zdefiniowany</w:t>
      </w:r>
      <w:r w:rsidR="003F3D2B" w:rsidRPr="00624565">
        <w:rPr>
          <w:noProof/>
        </w:rPr>
        <w:t xml:space="preserve"> w</w:t>
      </w:r>
      <w:r w:rsidR="003F3D2B">
        <w:rPr>
          <w:noProof/>
        </w:rPr>
        <w:t> </w:t>
      </w:r>
      <w:r w:rsidR="003F3D2B" w:rsidRPr="003F3D2B">
        <w:rPr>
          <w:noProof/>
        </w:rPr>
        <w:t>art</w:t>
      </w:r>
      <w:r w:rsidRPr="003F3D2B">
        <w:rPr>
          <w:noProof/>
        </w:rPr>
        <w:t>.</w:t>
      </w:r>
      <w:r w:rsidR="003F3D2B" w:rsidRPr="003F3D2B">
        <w:rPr>
          <w:noProof/>
        </w:rPr>
        <w:t> </w:t>
      </w:r>
      <w:r w:rsidRPr="003F3D2B">
        <w:rPr>
          <w:noProof/>
        </w:rPr>
        <w:t>2</w:t>
      </w:r>
      <w:r w:rsidRPr="00624565">
        <w:rPr>
          <w:noProof/>
        </w:rPr>
        <w:t xml:space="preserve"> </w:t>
      </w:r>
      <w:r w:rsidRPr="003F3D2B">
        <w:rPr>
          <w:noProof/>
        </w:rPr>
        <w:t>lit.</w:t>
      </w:r>
      <w:r w:rsidR="003F3D2B" w:rsidRPr="003F3D2B">
        <w:rPr>
          <w:noProof/>
        </w:rPr>
        <w:t> </w:t>
      </w:r>
      <w:r w:rsidRPr="003F3D2B">
        <w:rPr>
          <w:noProof/>
        </w:rPr>
        <w:t>s)</w:t>
      </w:r>
      <w:r w:rsidRPr="00624565">
        <w:rPr>
          <w:noProof/>
        </w:rPr>
        <w:t xml:space="preserve"> dyrektywy 2005/29/WE;</w:t>
      </w:r>
    </w:p>
    <w:p w14:paraId="38818358" w14:textId="0B4360EC" w:rsidR="00F44115" w:rsidRPr="00624565" w:rsidRDefault="00F44115" w:rsidP="00F44115">
      <w:pPr>
        <w:pStyle w:val="ListNumber1"/>
        <w:tabs>
          <w:tab w:val="clear" w:pos="1560"/>
          <w:tab w:val="num" w:pos="709"/>
        </w:tabs>
        <w:ind w:left="709"/>
        <w:rPr>
          <w:noProof/>
        </w:rPr>
      </w:pPr>
      <w:r w:rsidRPr="00624565">
        <w:rPr>
          <w:noProof/>
        </w:rPr>
        <w:t>„weryfikacja” oznacza proces oceny zgodności przeprowadzany przez weryfikatora</w:t>
      </w:r>
      <w:r w:rsidR="003F3D2B" w:rsidRPr="00624565">
        <w:rPr>
          <w:noProof/>
        </w:rPr>
        <w:t xml:space="preserve"> w</w:t>
      </w:r>
      <w:r w:rsidR="003F3D2B">
        <w:rPr>
          <w:noProof/>
        </w:rPr>
        <w:t> </w:t>
      </w:r>
      <w:r w:rsidR="003F3D2B" w:rsidRPr="00624565">
        <w:rPr>
          <w:noProof/>
        </w:rPr>
        <w:t>cel</w:t>
      </w:r>
      <w:r w:rsidRPr="00624565">
        <w:rPr>
          <w:noProof/>
        </w:rPr>
        <w:t>u sprawdzenia, czy uzasadnienie wyraźnych oświadczeń środowiskowych oraz informowanie</w:t>
      </w:r>
      <w:r w:rsidR="003F3D2B" w:rsidRPr="00624565">
        <w:rPr>
          <w:noProof/>
        </w:rPr>
        <w:t xml:space="preserve"> o</w:t>
      </w:r>
      <w:r w:rsidR="003F3D2B">
        <w:rPr>
          <w:noProof/>
        </w:rPr>
        <w:t> </w:t>
      </w:r>
      <w:r w:rsidR="003F3D2B" w:rsidRPr="00624565">
        <w:rPr>
          <w:noProof/>
        </w:rPr>
        <w:t>nic</w:t>
      </w:r>
      <w:r w:rsidRPr="00624565">
        <w:rPr>
          <w:noProof/>
        </w:rPr>
        <w:t>h jest zgodne</w:t>
      </w:r>
      <w:r w:rsidR="003F3D2B" w:rsidRPr="00624565">
        <w:rPr>
          <w:noProof/>
        </w:rPr>
        <w:t xml:space="preserve"> z</w:t>
      </w:r>
      <w:r w:rsidR="003F3D2B">
        <w:rPr>
          <w:noProof/>
        </w:rPr>
        <w:t> </w:t>
      </w:r>
      <w:r w:rsidR="003F3D2B" w:rsidRPr="00624565">
        <w:rPr>
          <w:noProof/>
        </w:rPr>
        <w:t>wym</w:t>
      </w:r>
      <w:r w:rsidRPr="00624565">
        <w:rPr>
          <w:noProof/>
        </w:rPr>
        <w:t>ogami określonymi</w:t>
      </w:r>
      <w:r w:rsidR="003F3D2B" w:rsidRPr="00624565">
        <w:rPr>
          <w:noProof/>
        </w:rPr>
        <w:t xml:space="preserve"> w</w:t>
      </w:r>
      <w:r w:rsidR="003F3D2B">
        <w:rPr>
          <w:noProof/>
        </w:rPr>
        <w:t> </w:t>
      </w:r>
      <w:r w:rsidR="003F3D2B" w:rsidRPr="00624565">
        <w:rPr>
          <w:noProof/>
        </w:rPr>
        <w:t>nin</w:t>
      </w:r>
      <w:r w:rsidRPr="00624565">
        <w:rPr>
          <w:noProof/>
        </w:rPr>
        <w:t>iejszej dyrektywie lub czy systemy oznakowania ekologicznego są zgodne</w:t>
      </w:r>
      <w:r w:rsidR="003F3D2B" w:rsidRPr="00624565">
        <w:rPr>
          <w:noProof/>
        </w:rPr>
        <w:t xml:space="preserve"> z</w:t>
      </w:r>
      <w:r w:rsidR="003F3D2B">
        <w:rPr>
          <w:noProof/>
        </w:rPr>
        <w:t> </w:t>
      </w:r>
      <w:r w:rsidR="003F3D2B" w:rsidRPr="00624565">
        <w:rPr>
          <w:noProof/>
        </w:rPr>
        <w:t>nin</w:t>
      </w:r>
      <w:r w:rsidRPr="00624565">
        <w:rPr>
          <w:noProof/>
        </w:rPr>
        <w:t>iejszą dyrektywą;</w:t>
      </w:r>
    </w:p>
    <w:p w14:paraId="5B98980A" w14:textId="408388B0" w:rsidR="00F44115" w:rsidRPr="00624565" w:rsidRDefault="00F44115" w:rsidP="00F44115">
      <w:pPr>
        <w:pStyle w:val="ListNumber1"/>
        <w:tabs>
          <w:tab w:val="clear" w:pos="1560"/>
          <w:tab w:val="num" w:pos="709"/>
        </w:tabs>
        <w:ind w:left="709"/>
        <w:rPr>
          <w:noProof/>
        </w:rPr>
      </w:pPr>
      <w:r w:rsidRPr="00624565">
        <w:rPr>
          <w:noProof/>
        </w:rPr>
        <w:t>„łańcuch wartości” oznacza wszystkie działania</w:t>
      </w:r>
      <w:r w:rsidR="003F3D2B" w:rsidRPr="00624565">
        <w:rPr>
          <w:noProof/>
        </w:rPr>
        <w:t xml:space="preserve"> i</w:t>
      </w:r>
      <w:r w:rsidR="003F3D2B">
        <w:rPr>
          <w:noProof/>
        </w:rPr>
        <w:t> </w:t>
      </w:r>
      <w:r w:rsidR="003F3D2B" w:rsidRPr="00624565">
        <w:rPr>
          <w:noProof/>
        </w:rPr>
        <w:t>pro</w:t>
      </w:r>
      <w:r w:rsidRPr="00624565">
        <w:rPr>
          <w:noProof/>
        </w:rPr>
        <w:t>cesy, które stanowią część cyklu życia produktu lub działalności przedsiębiorcy,</w:t>
      </w:r>
      <w:r w:rsidR="003F3D2B" w:rsidRPr="00624565">
        <w:rPr>
          <w:noProof/>
        </w:rPr>
        <w:t xml:space="preserve"> w</w:t>
      </w:r>
      <w:r w:rsidR="003F3D2B">
        <w:rPr>
          <w:noProof/>
        </w:rPr>
        <w:t> </w:t>
      </w:r>
      <w:r w:rsidR="003F3D2B" w:rsidRPr="00624565">
        <w:rPr>
          <w:noProof/>
        </w:rPr>
        <w:t>tym</w:t>
      </w:r>
      <w:r w:rsidRPr="00624565">
        <w:rPr>
          <w:noProof/>
        </w:rPr>
        <w:t xml:space="preserve"> regenerację produktów;</w:t>
      </w:r>
    </w:p>
    <w:p w14:paraId="080DA602" w14:textId="18AAE908" w:rsidR="00F44115" w:rsidRPr="00624565" w:rsidRDefault="00F44115" w:rsidP="00F44115">
      <w:pPr>
        <w:pStyle w:val="ListNumber1"/>
        <w:tabs>
          <w:tab w:val="clear" w:pos="1560"/>
          <w:tab w:val="num" w:pos="709"/>
        </w:tabs>
        <w:ind w:left="709"/>
        <w:rPr>
          <w:noProof/>
        </w:rPr>
      </w:pPr>
      <w:r w:rsidRPr="00624565">
        <w:rPr>
          <w:noProof/>
        </w:rPr>
        <w:t>„cykl życia” oznacza kolejne</w:t>
      </w:r>
      <w:r w:rsidR="003F3D2B" w:rsidRPr="00624565">
        <w:rPr>
          <w:noProof/>
        </w:rPr>
        <w:t xml:space="preserve"> i</w:t>
      </w:r>
      <w:r w:rsidR="003F3D2B">
        <w:rPr>
          <w:noProof/>
        </w:rPr>
        <w:t> </w:t>
      </w:r>
      <w:r w:rsidR="003F3D2B" w:rsidRPr="00624565">
        <w:rPr>
          <w:noProof/>
        </w:rPr>
        <w:t>wza</w:t>
      </w:r>
      <w:r w:rsidRPr="00624565">
        <w:rPr>
          <w:noProof/>
        </w:rPr>
        <w:t>jemnie powiązane etapy istnienia produktu, na które składają się: pozyskanie surowców lub ich wytworzenie</w:t>
      </w:r>
      <w:r w:rsidR="003F3D2B" w:rsidRPr="00624565">
        <w:rPr>
          <w:noProof/>
        </w:rPr>
        <w:t xml:space="preserve"> z</w:t>
      </w:r>
      <w:r w:rsidR="003F3D2B">
        <w:rPr>
          <w:noProof/>
        </w:rPr>
        <w:t> </w:t>
      </w:r>
      <w:r w:rsidR="003F3D2B" w:rsidRPr="00624565">
        <w:rPr>
          <w:noProof/>
        </w:rPr>
        <w:t>zas</w:t>
      </w:r>
      <w:r w:rsidRPr="00624565">
        <w:rPr>
          <w:noProof/>
        </w:rPr>
        <w:t>obów naturalnych, przetworzenie wstępne, produkcja, przechowywanie, dystrybucja, instalacja, użytkowanie, konserwacja, naprawa, ulepszenie, odnowienie,</w:t>
      </w:r>
      <w:r w:rsidR="003F3D2B" w:rsidRPr="00624565">
        <w:rPr>
          <w:noProof/>
        </w:rPr>
        <w:t xml:space="preserve"> a</w:t>
      </w:r>
      <w:r w:rsidR="003F3D2B">
        <w:rPr>
          <w:noProof/>
        </w:rPr>
        <w:t> </w:t>
      </w:r>
      <w:r w:rsidR="003F3D2B" w:rsidRPr="00624565">
        <w:rPr>
          <w:noProof/>
        </w:rPr>
        <w:t>tak</w:t>
      </w:r>
      <w:r w:rsidRPr="00624565">
        <w:rPr>
          <w:noProof/>
        </w:rPr>
        <w:t>że ponowne użycie oraz koniec przydatności do użycia;</w:t>
      </w:r>
    </w:p>
    <w:p w14:paraId="0EA63D32" w14:textId="77777777" w:rsidR="00F44115" w:rsidRPr="00624565" w:rsidRDefault="00F44115" w:rsidP="00F44115">
      <w:pPr>
        <w:pStyle w:val="ListNumber1"/>
        <w:tabs>
          <w:tab w:val="clear" w:pos="1560"/>
          <w:tab w:val="num" w:pos="709"/>
        </w:tabs>
        <w:ind w:left="709"/>
        <w:rPr>
          <w:noProof/>
        </w:rPr>
      </w:pPr>
      <w:r w:rsidRPr="00624565">
        <w:rPr>
          <w:noProof/>
        </w:rPr>
        <w:t xml:space="preserve">„informacje pierwotne” oznaczają informacje, które są bezpośrednio mierzone lub gromadzone przez przedsiębiorcę z co najmniej jednego obiektu i są reprezentatywne dla działalności przedsiębiorcy; </w:t>
      </w:r>
    </w:p>
    <w:p w14:paraId="1A866FEC" w14:textId="62E9B000" w:rsidR="00F44115" w:rsidRPr="00624565" w:rsidRDefault="00F44115" w:rsidP="00F44115">
      <w:pPr>
        <w:pStyle w:val="ListNumber1"/>
        <w:tabs>
          <w:tab w:val="clear" w:pos="1560"/>
          <w:tab w:val="num" w:pos="709"/>
        </w:tabs>
        <w:ind w:left="709"/>
        <w:rPr>
          <w:noProof/>
        </w:rPr>
      </w:pPr>
      <w:r w:rsidRPr="00624565">
        <w:rPr>
          <w:noProof/>
        </w:rPr>
        <w:t>„informacje wtórne” oznaczają informacje pochodzące</w:t>
      </w:r>
      <w:r w:rsidR="003F3D2B" w:rsidRPr="00624565">
        <w:rPr>
          <w:noProof/>
        </w:rPr>
        <w:t xml:space="preserve"> z</w:t>
      </w:r>
      <w:r w:rsidR="003F3D2B">
        <w:rPr>
          <w:noProof/>
        </w:rPr>
        <w:t> </w:t>
      </w:r>
      <w:r w:rsidR="003F3D2B" w:rsidRPr="00624565">
        <w:rPr>
          <w:noProof/>
        </w:rPr>
        <w:t>inn</w:t>
      </w:r>
      <w:r w:rsidRPr="00624565">
        <w:rPr>
          <w:noProof/>
        </w:rPr>
        <w:t>ych źródeł niż informacje pierwotne,</w:t>
      </w:r>
      <w:r w:rsidR="003F3D2B" w:rsidRPr="00624565">
        <w:rPr>
          <w:noProof/>
        </w:rPr>
        <w:t xml:space="preserve"> w</w:t>
      </w:r>
      <w:r w:rsidR="003F3D2B">
        <w:rPr>
          <w:noProof/>
        </w:rPr>
        <w:t> </w:t>
      </w:r>
      <w:r w:rsidR="003F3D2B" w:rsidRPr="00624565">
        <w:rPr>
          <w:noProof/>
        </w:rPr>
        <w:t>tym z</w:t>
      </w:r>
      <w:r w:rsidR="003F3D2B">
        <w:rPr>
          <w:noProof/>
        </w:rPr>
        <w:t> </w:t>
      </w:r>
      <w:r w:rsidR="003F3D2B" w:rsidRPr="00624565">
        <w:rPr>
          <w:noProof/>
        </w:rPr>
        <w:t>bad</w:t>
      </w:r>
      <w:r w:rsidRPr="00624565">
        <w:rPr>
          <w:noProof/>
        </w:rPr>
        <w:t>ań literatury, badań technicznych</w:t>
      </w:r>
      <w:r w:rsidR="003F3D2B" w:rsidRPr="00624565">
        <w:rPr>
          <w:noProof/>
        </w:rPr>
        <w:t xml:space="preserve"> i</w:t>
      </w:r>
      <w:r w:rsidR="003F3D2B">
        <w:rPr>
          <w:noProof/>
        </w:rPr>
        <w:t> </w:t>
      </w:r>
      <w:r w:rsidR="003F3D2B" w:rsidRPr="00624565">
        <w:rPr>
          <w:noProof/>
        </w:rPr>
        <w:t>pat</w:t>
      </w:r>
      <w:r w:rsidRPr="00624565">
        <w:rPr>
          <w:noProof/>
        </w:rPr>
        <w:t>entów;</w:t>
      </w:r>
    </w:p>
    <w:p w14:paraId="32807286" w14:textId="77777777" w:rsidR="00F44115" w:rsidRPr="00624565" w:rsidRDefault="00F44115" w:rsidP="00F44115">
      <w:pPr>
        <w:pStyle w:val="ListNumber1"/>
        <w:tabs>
          <w:tab w:val="clear" w:pos="1560"/>
          <w:tab w:val="num" w:pos="709"/>
        </w:tabs>
        <w:ind w:left="709"/>
        <w:rPr>
          <w:noProof/>
        </w:rPr>
      </w:pPr>
      <w:r w:rsidRPr="00624565">
        <w:rPr>
          <w:noProof/>
        </w:rPr>
        <w:t>„społeczeństwo” oznacza co najmniej jedną osobę fizyczną lub prawną oraz ich stowarzyszenia, przedsiębiorców lub grupy;</w:t>
      </w:r>
    </w:p>
    <w:p w14:paraId="04B64497" w14:textId="5F16C035" w:rsidR="00F44115" w:rsidRPr="00624565" w:rsidRDefault="00F44115" w:rsidP="00F44115">
      <w:pPr>
        <w:pStyle w:val="ListNumber1"/>
        <w:tabs>
          <w:tab w:val="clear" w:pos="1560"/>
          <w:tab w:val="num" w:pos="709"/>
        </w:tabs>
        <w:ind w:left="709"/>
        <w:rPr>
          <w:noProof/>
        </w:rPr>
      </w:pPr>
      <w:r w:rsidRPr="00624565">
        <w:rPr>
          <w:noProof/>
        </w:rPr>
        <w:t>„efektywność środowiskowa” oznacza efektywność określonego produktu lub grupy produktów lub przedsiębiorcy lub sektora związaną</w:t>
      </w:r>
      <w:r w:rsidR="003F3D2B" w:rsidRPr="00624565">
        <w:rPr>
          <w:noProof/>
        </w:rPr>
        <w:t xml:space="preserve"> z</w:t>
      </w:r>
      <w:r w:rsidR="003F3D2B">
        <w:rPr>
          <w:noProof/>
        </w:rPr>
        <w:t> </w:t>
      </w:r>
      <w:r w:rsidR="003F3D2B" w:rsidRPr="00624565">
        <w:rPr>
          <w:noProof/>
        </w:rPr>
        <w:t>asp</w:t>
      </w:r>
      <w:r w:rsidRPr="00624565">
        <w:rPr>
          <w:noProof/>
        </w:rPr>
        <w:t>ektami środowiskowymi lub wpływem na środowisko tego produktu lub tej grupy produktów lub działalności tego przedsiębiorcy lub sektora;</w:t>
      </w:r>
    </w:p>
    <w:p w14:paraId="5F721A63" w14:textId="66B2B188" w:rsidR="00F44115" w:rsidRPr="00624565" w:rsidRDefault="00F44115" w:rsidP="00F44115">
      <w:pPr>
        <w:pStyle w:val="ListNumber1"/>
        <w:tabs>
          <w:tab w:val="clear" w:pos="1560"/>
          <w:tab w:val="num" w:pos="709"/>
        </w:tabs>
        <w:ind w:left="709"/>
        <w:rPr>
          <w:noProof/>
        </w:rPr>
      </w:pPr>
      <w:r w:rsidRPr="00624565">
        <w:rPr>
          <w:noProof/>
        </w:rPr>
        <w:t>„aspekt środowiskowy” oznacza składnik działalności przedsiębiorcy lub sektora lub składnik produktów lub grup produktów, który wchodzi lub może wejść</w:t>
      </w:r>
      <w:r w:rsidR="003F3D2B" w:rsidRPr="00624565">
        <w:rPr>
          <w:noProof/>
        </w:rPr>
        <w:t xml:space="preserve"> w</w:t>
      </w:r>
      <w:r w:rsidR="003F3D2B">
        <w:rPr>
          <w:noProof/>
        </w:rPr>
        <w:t> </w:t>
      </w:r>
      <w:r w:rsidR="003F3D2B" w:rsidRPr="00624565">
        <w:rPr>
          <w:noProof/>
        </w:rPr>
        <w:t>int</w:t>
      </w:r>
      <w:r w:rsidRPr="00624565">
        <w:rPr>
          <w:noProof/>
        </w:rPr>
        <w:t>erakcje ze środowiskiem;</w:t>
      </w:r>
    </w:p>
    <w:p w14:paraId="376B3762" w14:textId="3ED1421F" w:rsidR="00F44115" w:rsidRPr="00624565" w:rsidRDefault="00F44115" w:rsidP="00F44115">
      <w:pPr>
        <w:pStyle w:val="ListNumber1"/>
        <w:tabs>
          <w:tab w:val="clear" w:pos="1560"/>
          <w:tab w:val="num" w:pos="709"/>
        </w:tabs>
        <w:ind w:left="709"/>
        <w:rPr>
          <w:noProof/>
        </w:rPr>
      </w:pPr>
      <w:r w:rsidRPr="00624565">
        <w:rPr>
          <w:noProof/>
        </w:rPr>
        <w:t>„wpływ na środowisko” oznacza wszelkie zmiany</w:t>
      </w:r>
      <w:r w:rsidR="003F3D2B" w:rsidRPr="00624565">
        <w:rPr>
          <w:noProof/>
        </w:rPr>
        <w:t xml:space="preserve"> w</w:t>
      </w:r>
      <w:r w:rsidR="003F3D2B">
        <w:rPr>
          <w:noProof/>
        </w:rPr>
        <w:t> </w:t>
      </w:r>
      <w:r w:rsidR="003F3D2B" w:rsidRPr="00624565">
        <w:rPr>
          <w:noProof/>
        </w:rPr>
        <w:t>śro</w:t>
      </w:r>
      <w:r w:rsidRPr="00624565">
        <w:rPr>
          <w:noProof/>
        </w:rPr>
        <w:t>dowisku, pozytywne lub negatywne, które</w:t>
      </w:r>
      <w:r w:rsidR="003F3D2B" w:rsidRPr="00624565">
        <w:rPr>
          <w:noProof/>
        </w:rPr>
        <w:t xml:space="preserve"> w</w:t>
      </w:r>
      <w:r w:rsidR="003F3D2B">
        <w:rPr>
          <w:noProof/>
        </w:rPr>
        <w:t> </w:t>
      </w:r>
      <w:r w:rsidR="003F3D2B" w:rsidRPr="00624565">
        <w:rPr>
          <w:noProof/>
        </w:rPr>
        <w:t>cał</w:t>
      </w:r>
      <w:r w:rsidRPr="00624565">
        <w:rPr>
          <w:noProof/>
        </w:rPr>
        <w:t>ości lub częściowo wynikają</w:t>
      </w:r>
      <w:r w:rsidR="003F3D2B" w:rsidRPr="00624565">
        <w:rPr>
          <w:noProof/>
        </w:rPr>
        <w:t xml:space="preserve"> z</w:t>
      </w:r>
      <w:r w:rsidR="003F3D2B">
        <w:rPr>
          <w:noProof/>
        </w:rPr>
        <w:t> </w:t>
      </w:r>
      <w:r w:rsidR="003F3D2B" w:rsidRPr="00624565">
        <w:rPr>
          <w:noProof/>
        </w:rPr>
        <w:t>dzi</w:t>
      </w:r>
      <w:r w:rsidRPr="00624565">
        <w:rPr>
          <w:noProof/>
        </w:rPr>
        <w:t>ałalności danego przedsiębiorcy lub sektora lub produktu lub grupy produktów podczas ich cyklu życia.</w:t>
      </w:r>
    </w:p>
    <w:p w14:paraId="27388844" w14:textId="77777777" w:rsidR="00F44115" w:rsidRPr="00624565" w:rsidRDefault="00F44115" w:rsidP="00F44115">
      <w:pPr>
        <w:pStyle w:val="Titrearticle"/>
        <w:rPr>
          <w:noProof/>
        </w:rPr>
      </w:pPr>
      <w:r w:rsidRPr="00624565">
        <w:rPr>
          <w:noProof/>
        </w:rPr>
        <w:t>Artykuł 3</w:t>
      </w:r>
    </w:p>
    <w:p w14:paraId="3ED04E21" w14:textId="77777777" w:rsidR="00F44115" w:rsidRPr="00624565" w:rsidRDefault="00F44115" w:rsidP="00F44115">
      <w:pPr>
        <w:pStyle w:val="Titrearticle"/>
        <w:rPr>
          <w:noProof/>
        </w:rPr>
      </w:pPr>
      <w:r w:rsidRPr="00624565">
        <w:rPr>
          <w:noProof/>
        </w:rPr>
        <w:t>Uzasadnienie wyraźnych oświadczeń środowiskowych</w:t>
      </w:r>
    </w:p>
    <w:p w14:paraId="58520F05" w14:textId="341E2A46" w:rsidR="00F44115" w:rsidRPr="00624565" w:rsidRDefault="004D161E" w:rsidP="004D161E">
      <w:pPr>
        <w:pStyle w:val="ManualNumPar1"/>
        <w:rPr>
          <w:noProof/>
        </w:rPr>
      </w:pPr>
      <w:r w:rsidRPr="00624565">
        <w:rPr>
          <w:noProof/>
        </w:rPr>
        <w:t>1.</w:t>
      </w:r>
      <w:r w:rsidRPr="00624565">
        <w:rPr>
          <w:noProof/>
        </w:rPr>
        <w:tab/>
        <w:t>Państwa członkowskie zapewniają, by przedsiębiorcy przeprowadzili ocenę</w:t>
      </w:r>
      <w:r w:rsidR="003F3D2B" w:rsidRPr="00624565">
        <w:rPr>
          <w:noProof/>
        </w:rPr>
        <w:t xml:space="preserve"> w</w:t>
      </w:r>
      <w:r w:rsidR="003F3D2B">
        <w:rPr>
          <w:noProof/>
        </w:rPr>
        <w:t> </w:t>
      </w:r>
      <w:r w:rsidR="003F3D2B" w:rsidRPr="00624565">
        <w:rPr>
          <w:noProof/>
        </w:rPr>
        <w:t>cel</w:t>
      </w:r>
      <w:r w:rsidRPr="00624565">
        <w:rPr>
          <w:noProof/>
        </w:rPr>
        <w:t>u uzasadnienia wyraźnych oświadczeń środowiskowych</w:t>
      </w:r>
      <w:r w:rsidR="003F3D2B" w:rsidRPr="00624565">
        <w:rPr>
          <w:noProof/>
        </w:rPr>
        <w:t>. W</w:t>
      </w:r>
      <w:r w:rsidR="003F3D2B">
        <w:rPr>
          <w:noProof/>
        </w:rPr>
        <w:t> </w:t>
      </w:r>
      <w:r w:rsidR="003F3D2B" w:rsidRPr="00624565">
        <w:rPr>
          <w:noProof/>
        </w:rPr>
        <w:t>ram</w:t>
      </w:r>
      <w:r w:rsidRPr="00624565">
        <w:rPr>
          <w:noProof/>
        </w:rPr>
        <w:t xml:space="preserve">ach tej oceny: </w:t>
      </w:r>
    </w:p>
    <w:p w14:paraId="5F171426" w14:textId="33D8A973" w:rsidR="00F44115" w:rsidRPr="00624565" w:rsidRDefault="00F44115" w:rsidP="00624565">
      <w:pPr>
        <w:pStyle w:val="ListNumberLevel2"/>
        <w:ind w:left="1559"/>
        <w:rPr>
          <w:noProof/>
        </w:rPr>
      </w:pPr>
      <w:r w:rsidRPr="00624565">
        <w:rPr>
          <w:noProof/>
        </w:rPr>
        <w:t>określa się, czy oświadczenie dotyczy całego produktu, części produktu lub niektórych aspektów produktu, czy też całej działalności przedsiębiorcy lub określonej części lub aspektu tej działalności</w:t>
      </w:r>
      <w:r w:rsidR="003F3D2B" w:rsidRPr="00624565">
        <w:rPr>
          <w:noProof/>
        </w:rPr>
        <w:t xml:space="preserve"> w</w:t>
      </w:r>
      <w:r w:rsidR="003F3D2B">
        <w:rPr>
          <w:noProof/>
        </w:rPr>
        <w:t> </w:t>
      </w:r>
      <w:r w:rsidR="003F3D2B" w:rsidRPr="00624565">
        <w:rPr>
          <w:noProof/>
        </w:rPr>
        <w:t>zak</w:t>
      </w:r>
      <w:r w:rsidRPr="00624565">
        <w:rPr>
          <w:noProof/>
        </w:rPr>
        <w:t>resie istotnym dla tego oświadczenia;</w:t>
      </w:r>
    </w:p>
    <w:p w14:paraId="136CCDC6" w14:textId="77777777" w:rsidR="00F44115" w:rsidRPr="00624565" w:rsidRDefault="00F44115" w:rsidP="00624565">
      <w:pPr>
        <w:pStyle w:val="ListNumberLevel2"/>
        <w:ind w:left="1559"/>
        <w:rPr>
          <w:noProof/>
        </w:rPr>
      </w:pPr>
      <w:r w:rsidRPr="00624565">
        <w:rPr>
          <w:noProof/>
        </w:rPr>
        <w:t xml:space="preserve">wykorzystuje się jako jej podstawę powszechnie uznane dowody naukowe, dokładne informacje oraz uwzględnia odpowiednie normy międzynarodowe; </w:t>
      </w:r>
    </w:p>
    <w:p w14:paraId="501EE1D9" w14:textId="1DF55E28" w:rsidR="00F44115" w:rsidRPr="00624565" w:rsidRDefault="00F44115" w:rsidP="00624565">
      <w:pPr>
        <w:pStyle w:val="ListNumberLevel2"/>
        <w:ind w:left="1559"/>
        <w:rPr>
          <w:noProof/>
        </w:rPr>
      </w:pPr>
      <w:r w:rsidRPr="00624565">
        <w:rPr>
          <w:noProof/>
        </w:rPr>
        <w:t>wykazuje się, że wpływ na środowisko, aspekty środowiskowe lub efektywność środowiskowa, które są przedmiotem oświadczenia, mają istotne znaczenie</w:t>
      </w:r>
      <w:r w:rsidR="003F3D2B" w:rsidRPr="00624565">
        <w:rPr>
          <w:noProof/>
        </w:rPr>
        <w:t xml:space="preserve"> z</w:t>
      </w:r>
      <w:r w:rsidR="003F3D2B">
        <w:rPr>
          <w:noProof/>
        </w:rPr>
        <w:t> </w:t>
      </w:r>
      <w:r w:rsidR="003F3D2B" w:rsidRPr="00624565">
        <w:rPr>
          <w:noProof/>
        </w:rPr>
        <w:t>per</w:t>
      </w:r>
      <w:r w:rsidRPr="00624565">
        <w:rPr>
          <w:noProof/>
        </w:rPr>
        <w:t>spektywy cyklu życia;</w:t>
      </w:r>
    </w:p>
    <w:p w14:paraId="4BCB0F28" w14:textId="09187B43" w:rsidR="00F44115" w:rsidRPr="00624565" w:rsidRDefault="00F44115" w:rsidP="00624565">
      <w:pPr>
        <w:pStyle w:val="ListNumberLevel2"/>
        <w:ind w:left="1559"/>
        <w:rPr>
          <w:noProof/>
        </w:rPr>
      </w:pPr>
      <w:r w:rsidRPr="00624565">
        <w:rPr>
          <w:noProof/>
        </w:rPr>
        <w:t>w przypadku oświadczenia</w:t>
      </w:r>
      <w:r w:rsidR="003F3D2B" w:rsidRPr="00624565">
        <w:rPr>
          <w:noProof/>
        </w:rPr>
        <w:t xml:space="preserve"> w</w:t>
      </w:r>
      <w:r w:rsidR="003F3D2B">
        <w:rPr>
          <w:noProof/>
        </w:rPr>
        <w:t> </w:t>
      </w:r>
      <w:r w:rsidR="003F3D2B" w:rsidRPr="00624565">
        <w:rPr>
          <w:noProof/>
        </w:rPr>
        <w:t>spr</w:t>
      </w:r>
      <w:r w:rsidRPr="00624565">
        <w:rPr>
          <w:noProof/>
        </w:rPr>
        <w:t>awie efektywności środowiskowej – uwzględnia się wszystkie aspekty środowiskowe lub wpływ na środowisko, które są istotne dla oceny efektywności środowiskowej;</w:t>
      </w:r>
    </w:p>
    <w:p w14:paraId="48115CC1" w14:textId="78E2D34C" w:rsidR="00F44115" w:rsidRPr="00624565" w:rsidRDefault="00F44115" w:rsidP="00624565">
      <w:pPr>
        <w:pStyle w:val="ListNumberLevel2"/>
        <w:ind w:left="1559"/>
        <w:rPr>
          <w:noProof/>
        </w:rPr>
      </w:pPr>
      <w:r w:rsidRPr="00624565">
        <w:rPr>
          <w:noProof/>
        </w:rPr>
        <w:t>wykazuje się, że oświadczenie nie jest równoważne wymogom nałożonym przepisami prawa na produkty</w:t>
      </w:r>
      <w:r w:rsidR="003F3D2B" w:rsidRPr="00624565">
        <w:rPr>
          <w:noProof/>
        </w:rPr>
        <w:t xml:space="preserve"> w</w:t>
      </w:r>
      <w:r w:rsidR="003F3D2B">
        <w:rPr>
          <w:noProof/>
        </w:rPr>
        <w:t> </w:t>
      </w:r>
      <w:r w:rsidR="003F3D2B" w:rsidRPr="00624565">
        <w:rPr>
          <w:noProof/>
        </w:rPr>
        <w:t>dan</w:t>
      </w:r>
      <w:r w:rsidRPr="00624565">
        <w:rPr>
          <w:noProof/>
        </w:rPr>
        <w:t>ej grupie produktów lub na przedsiębiorców</w:t>
      </w:r>
      <w:r w:rsidR="003F3D2B" w:rsidRPr="00624565">
        <w:rPr>
          <w:noProof/>
        </w:rPr>
        <w:t xml:space="preserve"> w</w:t>
      </w:r>
      <w:r w:rsidR="003F3D2B">
        <w:rPr>
          <w:noProof/>
        </w:rPr>
        <w:t> </w:t>
      </w:r>
      <w:r w:rsidR="003F3D2B" w:rsidRPr="00624565">
        <w:rPr>
          <w:noProof/>
        </w:rPr>
        <w:t>dan</w:t>
      </w:r>
      <w:r w:rsidRPr="00624565">
        <w:rPr>
          <w:noProof/>
        </w:rPr>
        <w:t>ym sektorze;</w:t>
      </w:r>
    </w:p>
    <w:p w14:paraId="5D202F2E" w14:textId="3CB42509" w:rsidR="00F44115" w:rsidRPr="00624565" w:rsidRDefault="00F44115" w:rsidP="00624565">
      <w:pPr>
        <w:pStyle w:val="ListNumberLevel2"/>
        <w:ind w:left="1559"/>
        <w:rPr>
          <w:noProof/>
        </w:rPr>
      </w:pPr>
      <w:r w:rsidRPr="00624565">
        <w:rPr>
          <w:noProof/>
        </w:rPr>
        <w:t>podaje się informacje na temat tego, czy produkt lub przedsiębiorca, który jest przedmiotem oświadczenia, osiąga znacząco lepsze wyniki</w:t>
      </w:r>
      <w:r w:rsidR="003F3D2B" w:rsidRPr="00624565">
        <w:rPr>
          <w:noProof/>
        </w:rPr>
        <w:t xml:space="preserve"> w</w:t>
      </w:r>
      <w:r w:rsidR="003F3D2B">
        <w:rPr>
          <w:noProof/>
        </w:rPr>
        <w:t> </w:t>
      </w:r>
      <w:r w:rsidR="003F3D2B" w:rsidRPr="00624565">
        <w:rPr>
          <w:noProof/>
        </w:rPr>
        <w:t>zak</w:t>
      </w:r>
      <w:r w:rsidRPr="00624565">
        <w:rPr>
          <w:noProof/>
        </w:rPr>
        <w:t>resie wpływu na środowisko, aspektów środowiskowych lub efektywności środowiskowej, które są przedmiotem oświadczenia, niż jest to przyjęte</w:t>
      </w:r>
      <w:r w:rsidR="003F3D2B" w:rsidRPr="00624565">
        <w:rPr>
          <w:noProof/>
        </w:rPr>
        <w:t xml:space="preserve"> w</w:t>
      </w:r>
      <w:r w:rsidR="003F3D2B">
        <w:rPr>
          <w:noProof/>
        </w:rPr>
        <w:t> </w:t>
      </w:r>
      <w:r w:rsidR="003F3D2B" w:rsidRPr="00624565">
        <w:rPr>
          <w:noProof/>
        </w:rPr>
        <w:t>pow</w:t>
      </w:r>
      <w:r w:rsidRPr="00624565">
        <w:rPr>
          <w:noProof/>
        </w:rPr>
        <w:t>szechnej praktyce dotyczącej produktów</w:t>
      </w:r>
      <w:r w:rsidR="003F3D2B" w:rsidRPr="00624565">
        <w:rPr>
          <w:noProof/>
        </w:rPr>
        <w:t xml:space="preserve"> w</w:t>
      </w:r>
      <w:r w:rsidR="003F3D2B">
        <w:rPr>
          <w:noProof/>
        </w:rPr>
        <w:t> </w:t>
      </w:r>
      <w:r w:rsidR="003F3D2B" w:rsidRPr="00624565">
        <w:rPr>
          <w:noProof/>
        </w:rPr>
        <w:t>dan</w:t>
      </w:r>
      <w:r w:rsidRPr="00624565">
        <w:rPr>
          <w:noProof/>
        </w:rPr>
        <w:t>ej grupie produktów lub przedsiębiorców</w:t>
      </w:r>
      <w:r w:rsidR="003F3D2B" w:rsidRPr="00624565">
        <w:rPr>
          <w:noProof/>
        </w:rPr>
        <w:t xml:space="preserve"> w</w:t>
      </w:r>
      <w:r w:rsidR="003F3D2B">
        <w:rPr>
          <w:noProof/>
        </w:rPr>
        <w:t> </w:t>
      </w:r>
      <w:r w:rsidR="003F3D2B" w:rsidRPr="00624565">
        <w:rPr>
          <w:noProof/>
        </w:rPr>
        <w:t>dan</w:t>
      </w:r>
      <w:r w:rsidRPr="00624565">
        <w:rPr>
          <w:noProof/>
        </w:rPr>
        <w:t xml:space="preserve">ym sektorze; </w:t>
      </w:r>
    </w:p>
    <w:p w14:paraId="36BED419" w14:textId="46A23D73" w:rsidR="00F44115" w:rsidRPr="00624565" w:rsidRDefault="00F44115" w:rsidP="00624565">
      <w:pPr>
        <w:pStyle w:val="ListNumberLevel2"/>
        <w:ind w:left="1559"/>
        <w:rPr>
          <w:noProof/>
        </w:rPr>
      </w:pPr>
      <w:r w:rsidRPr="00624565">
        <w:rPr>
          <w:noProof/>
        </w:rPr>
        <w:t>określa się, czy poprawa wpływu na środowisko, aspektów środowiskowych lub efektywności środowiskowej, które są przedmiotem oświadczenia, powoduje znaczne szkody</w:t>
      </w:r>
      <w:r w:rsidR="003F3D2B" w:rsidRPr="00624565">
        <w:rPr>
          <w:noProof/>
        </w:rPr>
        <w:t xml:space="preserve"> w</w:t>
      </w:r>
      <w:r w:rsidR="003F3D2B">
        <w:rPr>
          <w:noProof/>
        </w:rPr>
        <w:t> </w:t>
      </w:r>
      <w:r w:rsidR="003F3D2B" w:rsidRPr="00624565">
        <w:rPr>
          <w:noProof/>
        </w:rPr>
        <w:t>odn</w:t>
      </w:r>
      <w:r w:rsidRPr="00624565">
        <w:rPr>
          <w:noProof/>
        </w:rPr>
        <w:t>iesieniu do wpływu na środowisko</w:t>
      </w:r>
      <w:r w:rsidR="003F3D2B" w:rsidRPr="00624565">
        <w:rPr>
          <w:noProof/>
        </w:rPr>
        <w:t xml:space="preserve"> w</w:t>
      </w:r>
      <w:r w:rsidR="003F3D2B">
        <w:rPr>
          <w:noProof/>
        </w:rPr>
        <w:t> </w:t>
      </w:r>
      <w:r w:rsidR="003F3D2B" w:rsidRPr="00624565">
        <w:rPr>
          <w:noProof/>
        </w:rPr>
        <w:t>zak</w:t>
      </w:r>
      <w:r w:rsidRPr="00624565">
        <w:rPr>
          <w:noProof/>
        </w:rPr>
        <w:t>resie zmiany klimatu, zużycia zasobów</w:t>
      </w:r>
      <w:r w:rsidR="003F3D2B" w:rsidRPr="00624565">
        <w:rPr>
          <w:noProof/>
        </w:rPr>
        <w:t xml:space="preserve"> i</w:t>
      </w:r>
      <w:r w:rsidR="003F3D2B">
        <w:rPr>
          <w:noProof/>
        </w:rPr>
        <w:t> </w:t>
      </w:r>
      <w:r w:rsidR="003F3D2B" w:rsidRPr="00624565">
        <w:rPr>
          <w:noProof/>
        </w:rPr>
        <w:t>obi</w:t>
      </w:r>
      <w:r w:rsidRPr="00624565">
        <w:rPr>
          <w:noProof/>
        </w:rPr>
        <w:t>egu zamkniętego, zrównoważonego użytkowania</w:t>
      </w:r>
      <w:r w:rsidR="003F3D2B" w:rsidRPr="00624565">
        <w:rPr>
          <w:noProof/>
        </w:rPr>
        <w:t xml:space="preserve"> i</w:t>
      </w:r>
      <w:r w:rsidR="003F3D2B">
        <w:rPr>
          <w:noProof/>
        </w:rPr>
        <w:t> </w:t>
      </w:r>
      <w:r w:rsidR="003F3D2B" w:rsidRPr="00624565">
        <w:rPr>
          <w:noProof/>
        </w:rPr>
        <w:t>och</w:t>
      </w:r>
      <w:r w:rsidRPr="00624565">
        <w:rPr>
          <w:noProof/>
        </w:rPr>
        <w:t>rony zasobów wodnych</w:t>
      </w:r>
      <w:r w:rsidR="003F3D2B" w:rsidRPr="00624565">
        <w:rPr>
          <w:noProof/>
        </w:rPr>
        <w:t xml:space="preserve"> i</w:t>
      </w:r>
      <w:r w:rsidR="003F3D2B">
        <w:rPr>
          <w:noProof/>
        </w:rPr>
        <w:t> </w:t>
      </w:r>
      <w:r w:rsidR="003F3D2B" w:rsidRPr="00624565">
        <w:rPr>
          <w:noProof/>
        </w:rPr>
        <w:t>mor</w:t>
      </w:r>
      <w:r w:rsidRPr="00624565">
        <w:rPr>
          <w:noProof/>
        </w:rPr>
        <w:t>skich, zanieczyszczenia, bioróżnorodności, dobrostanu zwierząt</w:t>
      </w:r>
      <w:r w:rsidR="003F3D2B" w:rsidRPr="00624565">
        <w:rPr>
          <w:noProof/>
        </w:rPr>
        <w:t xml:space="preserve"> i</w:t>
      </w:r>
      <w:r w:rsidR="003F3D2B">
        <w:rPr>
          <w:noProof/>
        </w:rPr>
        <w:t> </w:t>
      </w:r>
      <w:r w:rsidR="003F3D2B" w:rsidRPr="00624565">
        <w:rPr>
          <w:noProof/>
        </w:rPr>
        <w:t>eko</w:t>
      </w:r>
      <w:r w:rsidRPr="00624565">
        <w:rPr>
          <w:noProof/>
        </w:rPr>
        <w:t>systemów;</w:t>
      </w:r>
    </w:p>
    <w:p w14:paraId="51DB9B7F" w14:textId="4E143930" w:rsidR="00F44115" w:rsidRPr="00624565" w:rsidRDefault="00F44115" w:rsidP="00624565">
      <w:pPr>
        <w:pStyle w:val="ListNumberLevel2"/>
        <w:ind w:left="1559"/>
        <w:rPr>
          <w:noProof/>
        </w:rPr>
      </w:pPr>
      <w:r w:rsidRPr="00624565">
        <w:rPr>
          <w:noProof/>
        </w:rPr>
        <w:t>oddziela się wszelkie kompensacje emisji gazów cieplarnianych od emisji gazów cieplarnianych jako dodatkowe informacje na temat środowiska, określa się, czy te kompensacje odnoszą się do redukcji lub pochłaniania emisji, oraz opisuje się sposób,</w:t>
      </w:r>
      <w:r w:rsidR="003F3D2B" w:rsidRPr="00624565">
        <w:rPr>
          <w:noProof/>
        </w:rPr>
        <w:t xml:space="preserve"> w</w:t>
      </w:r>
      <w:r w:rsidR="003F3D2B">
        <w:rPr>
          <w:noProof/>
        </w:rPr>
        <w:t> </w:t>
      </w:r>
      <w:r w:rsidR="003F3D2B" w:rsidRPr="00624565">
        <w:rPr>
          <w:noProof/>
        </w:rPr>
        <w:t>jak</w:t>
      </w:r>
      <w:r w:rsidRPr="00624565">
        <w:rPr>
          <w:noProof/>
        </w:rPr>
        <w:t xml:space="preserve">i kompensacje, na które się powołano, charakteryzują się wysokim stopniem integralności i są prawidłowo uwzględniane, aby odzwierciedlić deklarowany wpływ na klimat; </w:t>
      </w:r>
    </w:p>
    <w:p w14:paraId="70E93DDC" w14:textId="77777777" w:rsidR="00F44115" w:rsidRPr="00624565" w:rsidRDefault="00F44115" w:rsidP="00624565">
      <w:pPr>
        <w:pStyle w:val="ListNumberLevel2"/>
        <w:ind w:left="1559"/>
        <w:rPr>
          <w:noProof/>
        </w:rPr>
      </w:pPr>
      <w:r w:rsidRPr="00624565">
        <w:rPr>
          <w:noProof/>
        </w:rPr>
        <w:t>podaje się informacje pierwotne dostępne dla przedsiębiorcy dotyczące wpływu na środowisko, aspektów środowiskowych lub efektywności środowiskowej, które są przedmiotem oświadczenia;</w:t>
      </w:r>
    </w:p>
    <w:p w14:paraId="3EF72240" w14:textId="6B616D8D" w:rsidR="00F44115" w:rsidRPr="00624565" w:rsidRDefault="00F44115" w:rsidP="00624565">
      <w:pPr>
        <w:pStyle w:val="ListNumberLevel2"/>
        <w:ind w:left="1559"/>
        <w:rPr>
          <w:noProof/>
        </w:rPr>
      </w:pPr>
      <w:r w:rsidRPr="00624565">
        <w:rPr>
          <w:noProof/>
        </w:rPr>
        <w:t>podaje się istotne informacje wtórne dotyczące wpływu na środowisko, aspektów środowiskowych lub efektywności środowiskowej, które są reprezentatywne dla określonego łańcucha wartości produktu lub przedsiębiorcy, którego dotyczy oświadczenie,</w:t>
      </w:r>
      <w:r w:rsidR="003F3D2B" w:rsidRPr="00624565">
        <w:rPr>
          <w:noProof/>
        </w:rPr>
        <w:t xml:space="preserve"> w</w:t>
      </w:r>
      <w:r w:rsidR="003F3D2B">
        <w:rPr>
          <w:noProof/>
        </w:rPr>
        <w:t> </w:t>
      </w:r>
      <w:r w:rsidR="003F3D2B" w:rsidRPr="00624565">
        <w:rPr>
          <w:noProof/>
        </w:rPr>
        <w:t>prz</w:t>
      </w:r>
      <w:r w:rsidRPr="00624565">
        <w:rPr>
          <w:noProof/>
        </w:rPr>
        <w:t>ypadkach gdy nie są dostępne informacje pierwotne.</w:t>
      </w:r>
    </w:p>
    <w:p w14:paraId="29E9B882" w14:textId="1746C78B" w:rsidR="00F44115" w:rsidRPr="00624565" w:rsidRDefault="004D161E" w:rsidP="004D161E">
      <w:pPr>
        <w:pStyle w:val="ManualNumPar1"/>
        <w:rPr>
          <w:noProof/>
        </w:rPr>
      </w:pPr>
      <w:r w:rsidRPr="00624565">
        <w:rPr>
          <w:noProof/>
        </w:rPr>
        <w:t>2.</w:t>
      </w:r>
      <w:r w:rsidRPr="00624565">
        <w:rPr>
          <w:noProof/>
        </w:rPr>
        <w:tab/>
        <w:t>W przypadku wykazania, że istnieją znaczące rodzaje wpływu na środowisko, które nie są przedmiotem oświadczenia, ale nie istnieją powszechnie uznane dowody naukowe pozwalające dokonać oceny,</w:t>
      </w:r>
      <w:r w:rsidR="003F3D2B" w:rsidRPr="00624565">
        <w:rPr>
          <w:noProof/>
        </w:rPr>
        <w:t xml:space="preserve"> o</w:t>
      </w:r>
      <w:r w:rsidR="003F3D2B">
        <w:rPr>
          <w:noProof/>
        </w:rPr>
        <w:t> </w:t>
      </w:r>
      <w:r w:rsidR="003F3D2B" w:rsidRPr="00624565">
        <w:rPr>
          <w:noProof/>
        </w:rPr>
        <w:t>któ</w:t>
      </w:r>
      <w:r w:rsidRPr="00624565">
        <w:rPr>
          <w:noProof/>
        </w:rPr>
        <w:t>rej mowa</w:t>
      </w:r>
      <w:r w:rsidR="003F3D2B" w:rsidRPr="00624565">
        <w:rPr>
          <w:noProof/>
        </w:rPr>
        <w:t xml:space="preserve"> w</w:t>
      </w:r>
      <w:r w:rsidR="003F3D2B">
        <w:rPr>
          <w:noProof/>
        </w:rPr>
        <w:t> </w:t>
      </w:r>
      <w:r w:rsidR="003F3D2B" w:rsidRPr="003F3D2B">
        <w:rPr>
          <w:noProof/>
        </w:rPr>
        <w:t>ust</w:t>
      </w:r>
      <w:r w:rsidRPr="003F3D2B">
        <w:rPr>
          <w:noProof/>
        </w:rPr>
        <w:t>.</w:t>
      </w:r>
      <w:r w:rsidR="003F3D2B" w:rsidRPr="003F3D2B">
        <w:rPr>
          <w:noProof/>
        </w:rPr>
        <w:t> </w:t>
      </w:r>
      <w:r w:rsidRPr="003F3D2B">
        <w:rPr>
          <w:noProof/>
        </w:rPr>
        <w:t>1</w:t>
      </w:r>
      <w:r w:rsidRPr="00624565">
        <w:rPr>
          <w:noProof/>
        </w:rPr>
        <w:t xml:space="preserve"> </w:t>
      </w:r>
      <w:r w:rsidRPr="003F3D2B">
        <w:rPr>
          <w:noProof/>
        </w:rPr>
        <w:t>lit.</w:t>
      </w:r>
      <w:r w:rsidR="003F3D2B" w:rsidRPr="003F3D2B">
        <w:rPr>
          <w:noProof/>
        </w:rPr>
        <w:t> </w:t>
      </w:r>
      <w:r w:rsidRPr="003F3D2B">
        <w:rPr>
          <w:noProof/>
        </w:rPr>
        <w:t>c)</w:t>
      </w:r>
      <w:r w:rsidRPr="00624565">
        <w:rPr>
          <w:noProof/>
        </w:rPr>
        <w:t>, przedsiębiorca składający oświadczenie dotyczące innego aspektu uwzględnia dostępne informacje</w:t>
      </w:r>
      <w:r w:rsidR="003F3D2B" w:rsidRPr="00624565">
        <w:rPr>
          <w:noProof/>
        </w:rPr>
        <w:t xml:space="preserve"> i</w:t>
      </w:r>
      <w:r w:rsidR="003F3D2B">
        <w:rPr>
          <w:noProof/>
        </w:rPr>
        <w:t> </w:t>
      </w:r>
      <w:r w:rsidR="003F3D2B" w:rsidRPr="00624565">
        <w:rPr>
          <w:noProof/>
        </w:rPr>
        <w:t>w</w:t>
      </w:r>
      <w:r w:rsidR="003F3D2B">
        <w:rPr>
          <w:noProof/>
        </w:rPr>
        <w:t> </w:t>
      </w:r>
      <w:r w:rsidR="003F3D2B" w:rsidRPr="00624565">
        <w:rPr>
          <w:noProof/>
        </w:rPr>
        <w:t>raz</w:t>
      </w:r>
      <w:r w:rsidRPr="00624565">
        <w:rPr>
          <w:noProof/>
        </w:rPr>
        <w:t>ie potrzeby aktualizuje ocenę zgodnie</w:t>
      </w:r>
      <w:r w:rsidR="003F3D2B" w:rsidRPr="00624565">
        <w:rPr>
          <w:noProof/>
        </w:rPr>
        <w:t xml:space="preserve"> z</w:t>
      </w:r>
      <w:r w:rsidR="003F3D2B">
        <w:rPr>
          <w:noProof/>
        </w:rPr>
        <w:t> </w:t>
      </w:r>
      <w:r w:rsidR="003F3D2B" w:rsidRPr="003F3D2B">
        <w:rPr>
          <w:noProof/>
        </w:rPr>
        <w:t>ust</w:t>
      </w:r>
      <w:r w:rsidRPr="003F3D2B">
        <w:rPr>
          <w:noProof/>
        </w:rPr>
        <w:t>.</w:t>
      </w:r>
      <w:r w:rsidR="003F3D2B" w:rsidRPr="003F3D2B">
        <w:rPr>
          <w:noProof/>
        </w:rPr>
        <w:t> </w:t>
      </w:r>
      <w:r w:rsidRPr="003F3D2B">
        <w:rPr>
          <w:noProof/>
        </w:rPr>
        <w:t>1</w:t>
      </w:r>
      <w:r w:rsidRPr="00624565">
        <w:rPr>
          <w:noProof/>
        </w:rPr>
        <w:t>, gdy dostępne będą powszechnie uznane dowody naukowe.</w:t>
      </w:r>
    </w:p>
    <w:p w14:paraId="0658231B" w14:textId="58C630FB" w:rsidR="00F44115" w:rsidRPr="00624565" w:rsidRDefault="004D161E" w:rsidP="004D161E">
      <w:pPr>
        <w:pStyle w:val="ManualNumPar1"/>
        <w:rPr>
          <w:noProof/>
        </w:rPr>
      </w:pPr>
      <w:r w:rsidRPr="00624565">
        <w:rPr>
          <w:noProof/>
        </w:rPr>
        <w:t>3.</w:t>
      </w:r>
      <w:r w:rsidRPr="00624565">
        <w:rPr>
          <w:noProof/>
        </w:rPr>
        <w:tab/>
        <w:t>Wymogi określone</w:t>
      </w:r>
      <w:r w:rsidR="003F3D2B" w:rsidRPr="00624565">
        <w:rPr>
          <w:noProof/>
        </w:rPr>
        <w:t xml:space="preserve"> w</w:t>
      </w:r>
      <w:r w:rsidR="003F3D2B">
        <w:rPr>
          <w:noProof/>
        </w:rPr>
        <w:t> </w:t>
      </w:r>
      <w:r w:rsidR="003F3D2B" w:rsidRPr="003F3D2B">
        <w:rPr>
          <w:noProof/>
        </w:rPr>
        <w:t>ust</w:t>
      </w:r>
      <w:r w:rsidRPr="003F3D2B">
        <w:rPr>
          <w:noProof/>
        </w:rPr>
        <w:t>.</w:t>
      </w:r>
      <w:r w:rsidR="003F3D2B" w:rsidRPr="003F3D2B">
        <w:rPr>
          <w:noProof/>
        </w:rPr>
        <w:t> </w:t>
      </w:r>
      <w:r w:rsidRPr="003F3D2B">
        <w:rPr>
          <w:noProof/>
        </w:rPr>
        <w:t>1</w:t>
      </w:r>
      <w:r w:rsidR="003F3D2B" w:rsidRPr="00624565">
        <w:rPr>
          <w:noProof/>
        </w:rPr>
        <w:t xml:space="preserve"> i</w:t>
      </w:r>
      <w:r w:rsidR="003F3D2B">
        <w:rPr>
          <w:noProof/>
        </w:rPr>
        <w:t> </w:t>
      </w:r>
      <w:r w:rsidR="003F3D2B" w:rsidRPr="00624565">
        <w:rPr>
          <w:noProof/>
        </w:rPr>
        <w:t>2</w:t>
      </w:r>
      <w:r w:rsidRPr="00624565">
        <w:rPr>
          <w:noProof/>
        </w:rPr>
        <w:t xml:space="preserve"> nie mają zastosowania do przedsiębiorców będących mikroprzedsiębiorstwami</w:t>
      </w:r>
      <w:r w:rsidR="003F3D2B" w:rsidRPr="00624565">
        <w:rPr>
          <w:noProof/>
        </w:rPr>
        <w:t xml:space="preserve"> w</w:t>
      </w:r>
      <w:r w:rsidR="003F3D2B">
        <w:rPr>
          <w:noProof/>
        </w:rPr>
        <w:t> </w:t>
      </w:r>
      <w:r w:rsidR="003F3D2B" w:rsidRPr="00624565">
        <w:rPr>
          <w:noProof/>
        </w:rPr>
        <w:t>roz</w:t>
      </w:r>
      <w:r w:rsidRPr="00624565">
        <w:rPr>
          <w:noProof/>
        </w:rPr>
        <w:t>umieniu zalecenia Komisji 2003/361/WE</w:t>
      </w:r>
      <w:r w:rsidRPr="00624565">
        <w:rPr>
          <w:rStyle w:val="FootnoteReference"/>
          <w:noProof/>
        </w:rPr>
        <w:footnoteReference w:id="111"/>
      </w:r>
      <w:r w:rsidRPr="00624565">
        <w:rPr>
          <w:noProof/>
        </w:rPr>
        <w:t>, chyba że zażądają oni dokonania weryfikacji</w:t>
      </w:r>
      <w:r w:rsidR="003F3D2B" w:rsidRPr="00624565">
        <w:rPr>
          <w:noProof/>
        </w:rPr>
        <w:t xml:space="preserve"> w</w:t>
      </w:r>
      <w:r w:rsidR="003F3D2B">
        <w:rPr>
          <w:noProof/>
        </w:rPr>
        <w:t> </w:t>
      </w:r>
      <w:r w:rsidR="003F3D2B" w:rsidRPr="00624565">
        <w:rPr>
          <w:noProof/>
        </w:rPr>
        <w:t>cel</w:t>
      </w:r>
      <w:r w:rsidRPr="00624565">
        <w:rPr>
          <w:noProof/>
        </w:rPr>
        <w:t>u otrzymania certyfikatu zgodności zgodnie</w:t>
      </w:r>
      <w:r w:rsidR="003F3D2B" w:rsidRPr="00624565">
        <w:rPr>
          <w:noProof/>
        </w:rPr>
        <w:t xml:space="preserve"> z</w:t>
      </w:r>
      <w:r w:rsidR="003F3D2B">
        <w:rPr>
          <w:noProof/>
        </w:rPr>
        <w:t> </w:t>
      </w:r>
      <w:r w:rsidR="003F3D2B" w:rsidRPr="003F3D2B">
        <w:rPr>
          <w:noProof/>
        </w:rPr>
        <w:t>art</w:t>
      </w:r>
      <w:r w:rsidRPr="003F3D2B">
        <w:rPr>
          <w:noProof/>
        </w:rPr>
        <w:t>.</w:t>
      </w:r>
      <w:r w:rsidR="003F3D2B" w:rsidRPr="003F3D2B">
        <w:rPr>
          <w:noProof/>
        </w:rPr>
        <w:t> </w:t>
      </w:r>
      <w:r w:rsidRPr="003F3D2B">
        <w:rPr>
          <w:noProof/>
        </w:rPr>
        <w:t>1</w:t>
      </w:r>
      <w:r w:rsidRPr="00624565">
        <w:rPr>
          <w:noProof/>
        </w:rPr>
        <w:t>0.</w:t>
      </w:r>
    </w:p>
    <w:p w14:paraId="7E47680B" w14:textId="5D5900C1" w:rsidR="00F44115" w:rsidRPr="00624565" w:rsidRDefault="004D161E" w:rsidP="004D161E">
      <w:pPr>
        <w:pStyle w:val="ManualNumPar1"/>
        <w:rPr>
          <w:noProof/>
        </w:rPr>
      </w:pPr>
      <w:r w:rsidRPr="00624565">
        <w:rPr>
          <w:noProof/>
        </w:rPr>
        <w:t>4.</w:t>
      </w:r>
      <w:r w:rsidRPr="00624565">
        <w:rPr>
          <w:noProof/>
        </w:rPr>
        <w:tab/>
        <w:t>W przypadku gdy regularne monitorowanie zmian</w:t>
      </w:r>
      <w:r w:rsidR="003F3D2B" w:rsidRPr="00624565">
        <w:rPr>
          <w:noProof/>
        </w:rPr>
        <w:t xml:space="preserve"> w</w:t>
      </w:r>
      <w:r w:rsidR="003F3D2B">
        <w:rPr>
          <w:noProof/>
        </w:rPr>
        <w:t> </w:t>
      </w:r>
      <w:r w:rsidR="003F3D2B" w:rsidRPr="00624565">
        <w:rPr>
          <w:noProof/>
        </w:rPr>
        <w:t>zak</w:t>
      </w:r>
      <w:r w:rsidRPr="00624565">
        <w:rPr>
          <w:noProof/>
        </w:rPr>
        <w:t>resie oświadczeń środowiskowych,</w:t>
      </w:r>
      <w:r w:rsidR="003F3D2B" w:rsidRPr="00624565">
        <w:rPr>
          <w:noProof/>
        </w:rPr>
        <w:t xml:space="preserve"> o</w:t>
      </w:r>
      <w:r w:rsidR="003F3D2B">
        <w:rPr>
          <w:noProof/>
        </w:rPr>
        <w:t> </w:t>
      </w:r>
      <w:r w:rsidR="003F3D2B" w:rsidRPr="00624565">
        <w:rPr>
          <w:noProof/>
        </w:rPr>
        <w:t>któ</w:t>
      </w:r>
      <w:r w:rsidRPr="00624565">
        <w:rPr>
          <w:noProof/>
        </w:rPr>
        <w:t>rych mowa</w:t>
      </w:r>
      <w:r w:rsidR="003F3D2B" w:rsidRPr="00624565">
        <w:rPr>
          <w:noProof/>
        </w:rPr>
        <w:t xml:space="preserve"> w</w:t>
      </w:r>
      <w:r w:rsidR="003F3D2B">
        <w:rPr>
          <w:noProof/>
        </w:rPr>
        <w:t> </w:t>
      </w:r>
      <w:r w:rsidR="003F3D2B" w:rsidRPr="003F3D2B">
        <w:rPr>
          <w:noProof/>
        </w:rPr>
        <w:t>art</w:t>
      </w:r>
      <w:r w:rsidRPr="003F3D2B">
        <w:rPr>
          <w:noProof/>
        </w:rPr>
        <w:t>.</w:t>
      </w:r>
      <w:r w:rsidR="003F3D2B" w:rsidRPr="003F3D2B">
        <w:rPr>
          <w:noProof/>
        </w:rPr>
        <w:t> </w:t>
      </w:r>
      <w:r w:rsidRPr="003F3D2B">
        <w:rPr>
          <w:noProof/>
        </w:rPr>
        <w:t>2</w:t>
      </w:r>
      <w:r w:rsidRPr="00624565">
        <w:rPr>
          <w:noProof/>
        </w:rPr>
        <w:t>0, wskazuje na różnice</w:t>
      </w:r>
      <w:r w:rsidR="003F3D2B" w:rsidRPr="00624565">
        <w:rPr>
          <w:noProof/>
        </w:rPr>
        <w:t xml:space="preserve"> w</w:t>
      </w:r>
      <w:r w:rsidR="003F3D2B">
        <w:rPr>
          <w:noProof/>
        </w:rPr>
        <w:t> </w:t>
      </w:r>
      <w:r w:rsidR="003F3D2B" w:rsidRPr="00624565">
        <w:rPr>
          <w:noProof/>
        </w:rPr>
        <w:t>sto</w:t>
      </w:r>
      <w:r w:rsidRPr="00624565">
        <w:rPr>
          <w:noProof/>
        </w:rPr>
        <w:t>sowaniu wymogów określonych</w:t>
      </w:r>
      <w:r w:rsidR="003F3D2B" w:rsidRPr="00624565">
        <w:rPr>
          <w:noProof/>
        </w:rPr>
        <w:t xml:space="preserve"> w</w:t>
      </w:r>
      <w:r w:rsidR="003F3D2B">
        <w:rPr>
          <w:noProof/>
        </w:rPr>
        <w:t> </w:t>
      </w:r>
      <w:r w:rsidR="003F3D2B" w:rsidRPr="003F3D2B">
        <w:rPr>
          <w:noProof/>
        </w:rPr>
        <w:t>ust</w:t>
      </w:r>
      <w:r w:rsidRPr="003F3D2B">
        <w:rPr>
          <w:noProof/>
        </w:rPr>
        <w:t>.</w:t>
      </w:r>
      <w:r w:rsidR="003F3D2B" w:rsidRPr="003F3D2B">
        <w:rPr>
          <w:noProof/>
        </w:rPr>
        <w:t> </w:t>
      </w:r>
      <w:r w:rsidRPr="003F3D2B">
        <w:rPr>
          <w:noProof/>
        </w:rPr>
        <w:t>1</w:t>
      </w:r>
      <w:r w:rsidR="003F3D2B" w:rsidRPr="00624565">
        <w:rPr>
          <w:noProof/>
        </w:rPr>
        <w:t xml:space="preserve"> w</w:t>
      </w:r>
      <w:r w:rsidR="003F3D2B">
        <w:rPr>
          <w:noProof/>
        </w:rPr>
        <w:t> </w:t>
      </w:r>
      <w:r w:rsidR="003F3D2B" w:rsidRPr="00624565">
        <w:rPr>
          <w:noProof/>
        </w:rPr>
        <w:t>odn</w:t>
      </w:r>
      <w:r w:rsidRPr="00624565">
        <w:rPr>
          <w:noProof/>
        </w:rPr>
        <w:t>iesieniu do konkretnych oświadczeń</w:t>
      </w:r>
      <w:r w:rsidR="003F3D2B" w:rsidRPr="00624565">
        <w:rPr>
          <w:noProof/>
        </w:rPr>
        <w:t xml:space="preserve"> i</w:t>
      </w:r>
      <w:r w:rsidR="003F3D2B">
        <w:rPr>
          <w:noProof/>
        </w:rPr>
        <w:t> </w:t>
      </w:r>
      <w:r w:rsidR="003F3D2B" w:rsidRPr="00624565">
        <w:rPr>
          <w:noProof/>
        </w:rPr>
        <w:t>róż</w:t>
      </w:r>
      <w:r w:rsidRPr="00624565">
        <w:rPr>
          <w:noProof/>
        </w:rPr>
        <w:t>nice te stwarzają przeszkody</w:t>
      </w:r>
      <w:r w:rsidR="003F3D2B" w:rsidRPr="00624565">
        <w:rPr>
          <w:noProof/>
        </w:rPr>
        <w:t xml:space="preserve"> w</w:t>
      </w:r>
      <w:r w:rsidR="003F3D2B">
        <w:rPr>
          <w:noProof/>
        </w:rPr>
        <w:t> </w:t>
      </w:r>
      <w:r w:rsidR="003F3D2B" w:rsidRPr="00624565">
        <w:rPr>
          <w:noProof/>
        </w:rPr>
        <w:t>fun</w:t>
      </w:r>
      <w:r w:rsidRPr="00624565">
        <w:rPr>
          <w:noProof/>
        </w:rPr>
        <w:t>kcjonowaniu rynku wewnętrznego lub gdy Komisja stwierdzi, że brak wymogów dotyczących konkretnych oświadczeń prowadzi do powszechnego wprowadzania konsumentów</w:t>
      </w:r>
      <w:r w:rsidR="003F3D2B" w:rsidRPr="00624565">
        <w:rPr>
          <w:noProof/>
        </w:rPr>
        <w:t xml:space="preserve"> w</w:t>
      </w:r>
      <w:r w:rsidR="003F3D2B">
        <w:rPr>
          <w:noProof/>
        </w:rPr>
        <w:t> </w:t>
      </w:r>
      <w:r w:rsidR="003F3D2B" w:rsidRPr="00624565">
        <w:rPr>
          <w:noProof/>
        </w:rPr>
        <w:t>błą</w:t>
      </w:r>
      <w:r w:rsidRPr="00624565">
        <w:rPr>
          <w:noProof/>
        </w:rPr>
        <w:t>d, Komisja może przyjąć akty delegowane zgodnie</w:t>
      </w:r>
      <w:r w:rsidR="003F3D2B" w:rsidRPr="00624565">
        <w:rPr>
          <w:noProof/>
        </w:rPr>
        <w:t xml:space="preserve"> z</w:t>
      </w:r>
      <w:r w:rsidR="003F3D2B">
        <w:rPr>
          <w:noProof/>
        </w:rPr>
        <w:t> </w:t>
      </w:r>
      <w:r w:rsidR="003F3D2B" w:rsidRPr="003F3D2B">
        <w:rPr>
          <w:noProof/>
        </w:rPr>
        <w:t>art</w:t>
      </w:r>
      <w:r w:rsidRPr="003F3D2B">
        <w:rPr>
          <w:noProof/>
        </w:rPr>
        <w:t>.</w:t>
      </w:r>
      <w:r w:rsidR="003F3D2B" w:rsidRPr="003F3D2B">
        <w:rPr>
          <w:noProof/>
        </w:rPr>
        <w:t> </w:t>
      </w:r>
      <w:r w:rsidRPr="003F3D2B">
        <w:rPr>
          <w:noProof/>
        </w:rPr>
        <w:t>1</w:t>
      </w:r>
      <w:r w:rsidRPr="00624565">
        <w:rPr>
          <w:noProof/>
        </w:rPr>
        <w:t>8</w:t>
      </w:r>
      <w:r w:rsidR="003F3D2B" w:rsidRPr="00624565">
        <w:rPr>
          <w:noProof/>
        </w:rPr>
        <w:t xml:space="preserve"> w</w:t>
      </w:r>
      <w:r w:rsidR="003F3D2B">
        <w:rPr>
          <w:noProof/>
        </w:rPr>
        <w:t> </w:t>
      </w:r>
      <w:r w:rsidR="003F3D2B" w:rsidRPr="00624565">
        <w:rPr>
          <w:noProof/>
        </w:rPr>
        <w:t>cel</w:t>
      </w:r>
      <w:r w:rsidRPr="00624565">
        <w:rPr>
          <w:noProof/>
        </w:rPr>
        <w:t>u uzupełnienia wymogów dotyczących uzasadnienia wyraźnych oświadczeń środowiskowych określonych</w:t>
      </w:r>
      <w:r w:rsidR="003F3D2B" w:rsidRPr="00624565">
        <w:rPr>
          <w:noProof/>
        </w:rPr>
        <w:t xml:space="preserve"> w</w:t>
      </w:r>
      <w:r w:rsidR="003F3D2B">
        <w:rPr>
          <w:noProof/>
        </w:rPr>
        <w:t> </w:t>
      </w:r>
      <w:r w:rsidR="003F3D2B" w:rsidRPr="003F3D2B">
        <w:rPr>
          <w:noProof/>
        </w:rPr>
        <w:t>ust</w:t>
      </w:r>
      <w:r w:rsidRPr="003F3D2B">
        <w:rPr>
          <w:noProof/>
        </w:rPr>
        <w:t>.</w:t>
      </w:r>
      <w:r w:rsidR="003F3D2B" w:rsidRPr="003F3D2B">
        <w:rPr>
          <w:noProof/>
        </w:rPr>
        <w:t> </w:t>
      </w:r>
      <w:r w:rsidRPr="003F3D2B">
        <w:rPr>
          <w:noProof/>
        </w:rPr>
        <w:t>1</w:t>
      </w:r>
      <w:r w:rsidR="003F3D2B" w:rsidRPr="00624565">
        <w:rPr>
          <w:noProof/>
        </w:rPr>
        <w:t xml:space="preserve"> w</w:t>
      </w:r>
      <w:r w:rsidR="003F3D2B">
        <w:rPr>
          <w:noProof/>
        </w:rPr>
        <w:t> </w:t>
      </w:r>
      <w:r w:rsidR="003F3D2B" w:rsidRPr="00624565">
        <w:rPr>
          <w:noProof/>
        </w:rPr>
        <w:t>zak</w:t>
      </w:r>
      <w:r w:rsidRPr="00624565">
        <w:rPr>
          <w:noProof/>
        </w:rPr>
        <w:t>resie:</w:t>
      </w:r>
    </w:p>
    <w:p w14:paraId="146F78C4" w14:textId="1014D772" w:rsidR="00F44115" w:rsidRPr="00624565" w:rsidRDefault="00F44115" w:rsidP="00624565">
      <w:pPr>
        <w:pStyle w:val="ListNumberLevel2"/>
        <w:ind w:left="1417"/>
        <w:rPr>
          <w:noProof/>
        </w:rPr>
      </w:pPr>
      <w:r w:rsidRPr="00624565">
        <w:rPr>
          <w:noProof/>
        </w:rPr>
        <w:t>określenia przepisów dotyczących oceny aspektów środowiskowych, wpływu na środowisko</w:t>
      </w:r>
      <w:r w:rsidR="003F3D2B" w:rsidRPr="00624565">
        <w:rPr>
          <w:noProof/>
        </w:rPr>
        <w:t xml:space="preserve"> i</w:t>
      </w:r>
      <w:r w:rsidR="003F3D2B">
        <w:rPr>
          <w:noProof/>
        </w:rPr>
        <w:t> </w:t>
      </w:r>
      <w:r w:rsidR="003F3D2B" w:rsidRPr="00624565">
        <w:rPr>
          <w:noProof/>
        </w:rPr>
        <w:t>efe</w:t>
      </w:r>
      <w:r w:rsidRPr="00624565">
        <w:rPr>
          <w:noProof/>
        </w:rPr>
        <w:t>ktywności środowiskowej,</w:t>
      </w:r>
      <w:r w:rsidR="003F3D2B" w:rsidRPr="00624565">
        <w:rPr>
          <w:noProof/>
        </w:rPr>
        <w:t xml:space="preserve"> w</w:t>
      </w:r>
      <w:r w:rsidR="003F3D2B">
        <w:rPr>
          <w:noProof/>
        </w:rPr>
        <w:t> </w:t>
      </w:r>
      <w:r w:rsidR="003F3D2B" w:rsidRPr="00624565">
        <w:rPr>
          <w:noProof/>
        </w:rPr>
        <w:t>tym w</w:t>
      </w:r>
      <w:r w:rsidR="003F3D2B">
        <w:rPr>
          <w:noProof/>
        </w:rPr>
        <w:t> </w:t>
      </w:r>
      <w:r w:rsidR="003F3D2B" w:rsidRPr="00624565">
        <w:rPr>
          <w:noProof/>
        </w:rPr>
        <w:t>dro</w:t>
      </w:r>
      <w:r w:rsidRPr="00624565">
        <w:rPr>
          <w:noProof/>
        </w:rPr>
        <w:t>dze określenia działań, procesów, materiałów, emisji lub wykorzystania produktu, które</w:t>
      </w:r>
      <w:r w:rsidR="003F3D2B" w:rsidRPr="00624565">
        <w:rPr>
          <w:noProof/>
        </w:rPr>
        <w:t xml:space="preserve"> w</w:t>
      </w:r>
      <w:r w:rsidR="003F3D2B">
        <w:rPr>
          <w:noProof/>
        </w:rPr>
        <w:t> </w:t>
      </w:r>
      <w:r w:rsidR="003F3D2B" w:rsidRPr="00624565">
        <w:rPr>
          <w:noProof/>
        </w:rPr>
        <w:t>zna</w:t>
      </w:r>
      <w:r w:rsidRPr="00624565">
        <w:rPr>
          <w:noProof/>
        </w:rPr>
        <w:t xml:space="preserve">czący sposób przyczyniają się lub nie mogą przyczynić się do istotnego wpływu na środowisko, istotnych aspektów środowiskowych lub istotnej efektywności środowiskowej; </w:t>
      </w:r>
    </w:p>
    <w:p w14:paraId="1378B9F8" w14:textId="40CD1ADF" w:rsidR="00F44115" w:rsidRPr="00624565" w:rsidRDefault="00F44115" w:rsidP="00624565">
      <w:pPr>
        <w:pStyle w:val="ListNumberLevel2"/>
        <w:ind w:left="1417"/>
        <w:rPr>
          <w:noProof/>
        </w:rPr>
      </w:pPr>
      <w:r w:rsidRPr="00624565">
        <w:rPr>
          <w:noProof/>
        </w:rPr>
        <w:t>określenia,</w:t>
      </w:r>
      <w:r w:rsidR="003F3D2B" w:rsidRPr="00624565">
        <w:rPr>
          <w:noProof/>
        </w:rPr>
        <w:t xml:space="preserve"> w</w:t>
      </w:r>
      <w:r w:rsidR="003F3D2B">
        <w:rPr>
          <w:noProof/>
        </w:rPr>
        <w:t> </w:t>
      </w:r>
      <w:r w:rsidR="003F3D2B" w:rsidRPr="00624565">
        <w:rPr>
          <w:noProof/>
        </w:rPr>
        <w:t>odn</w:t>
      </w:r>
      <w:r w:rsidRPr="00624565">
        <w:rPr>
          <w:noProof/>
        </w:rPr>
        <w:t>iesieniu do których aspektów środowiskowych lub rodzajów wpływu na środowisko należy zapewnić informacje pierwotne oraz określenia kryteriów, na podstawie których można ocenić dokładność informacji pierwotnych</w:t>
      </w:r>
      <w:r w:rsidR="003F3D2B" w:rsidRPr="00624565">
        <w:rPr>
          <w:noProof/>
        </w:rPr>
        <w:t xml:space="preserve"> i</w:t>
      </w:r>
      <w:r w:rsidR="003F3D2B">
        <w:rPr>
          <w:noProof/>
        </w:rPr>
        <w:t> </w:t>
      </w:r>
      <w:r w:rsidR="003F3D2B" w:rsidRPr="00624565">
        <w:rPr>
          <w:noProof/>
        </w:rPr>
        <w:t>wtó</w:t>
      </w:r>
      <w:r w:rsidRPr="00624565">
        <w:rPr>
          <w:noProof/>
        </w:rPr>
        <w:t>rnych; lub</w:t>
      </w:r>
    </w:p>
    <w:p w14:paraId="19830C81" w14:textId="020EFC1A" w:rsidR="00F44115" w:rsidRPr="00624565" w:rsidRDefault="00F44115" w:rsidP="00624565">
      <w:pPr>
        <w:pStyle w:val="ListNumberLevel2"/>
        <w:ind w:left="1417"/>
        <w:rPr>
          <w:noProof/>
        </w:rPr>
      </w:pPr>
      <w:r w:rsidRPr="00624565">
        <w:rPr>
          <w:noProof/>
        </w:rPr>
        <w:t>ustanowienia szczegółowych przepisów opartych na cyklu życia dotyczących uzasadniania wyraźnych oświadczeń środowiskowych</w:t>
      </w:r>
      <w:r w:rsidR="003F3D2B" w:rsidRPr="00624565">
        <w:rPr>
          <w:noProof/>
        </w:rPr>
        <w:t xml:space="preserve"> w</w:t>
      </w:r>
      <w:r w:rsidR="003F3D2B">
        <w:rPr>
          <w:noProof/>
        </w:rPr>
        <w:t> </w:t>
      </w:r>
      <w:r w:rsidR="003F3D2B" w:rsidRPr="00624565">
        <w:rPr>
          <w:noProof/>
        </w:rPr>
        <w:t>prz</w:t>
      </w:r>
      <w:r w:rsidRPr="00624565">
        <w:rPr>
          <w:noProof/>
        </w:rPr>
        <w:t>ypadku określonych grup produktów</w:t>
      </w:r>
      <w:r w:rsidR="003F3D2B" w:rsidRPr="00624565">
        <w:rPr>
          <w:noProof/>
        </w:rPr>
        <w:t xml:space="preserve"> i</w:t>
      </w:r>
      <w:r w:rsidR="003F3D2B">
        <w:rPr>
          <w:noProof/>
        </w:rPr>
        <w:t> </w:t>
      </w:r>
      <w:r w:rsidR="003F3D2B" w:rsidRPr="00624565">
        <w:rPr>
          <w:noProof/>
        </w:rPr>
        <w:t>sek</w:t>
      </w:r>
      <w:r w:rsidRPr="00624565">
        <w:rPr>
          <w:noProof/>
        </w:rPr>
        <w:t>torów.</w:t>
      </w:r>
    </w:p>
    <w:p w14:paraId="5383672F" w14:textId="55A3CCA3" w:rsidR="00F44115" w:rsidRPr="00624565" w:rsidRDefault="004D161E" w:rsidP="004D161E">
      <w:pPr>
        <w:pStyle w:val="ManualNumPar1"/>
        <w:rPr>
          <w:noProof/>
        </w:rPr>
      </w:pPr>
      <w:r w:rsidRPr="00624565">
        <w:rPr>
          <w:noProof/>
        </w:rPr>
        <w:t>5.</w:t>
      </w:r>
      <w:r w:rsidRPr="00624565">
        <w:rPr>
          <w:noProof/>
        </w:rPr>
        <w:tab/>
        <w:t>Przy określaniu dalszych wymogów dotyczących uzasadniania wyraźnych oświadczeń środowiskowych zgodnie</w:t>
      </w:r>
      <w:r w:rsidR="003F3D2B" w:rsidRPr="00624565">
        <w:rPr>
          <w:noProof/>
        </w:rPr>
        <w:t xml:space="preserve"> z</w:t>
      </w:r>
      <w:r w:rsidR="003F3D2B">
        <w:rPr>
          <w:noProof/>
        </w:rPr>
        <w:t> </w:t>
      </w:r>
      <w:r w:rsidR="003F3D2B" w:rsidRPr="00624565">
        <w:rPr>
          <w:noProof/>
        </w:rPr>
        <w:t>pop</w:t>
      </w:r>
      <w:r w:rsidRPr="00624565">
        <w:rPr>
          <w:noProof/>
        </w:rPr>
        <w:t>rzednim ustępem Komisja uwzględnia informacje naukowe lub inne dostępne informacje techniczne,</w:t>
      </w:r>
      <w:r w:rsidR="003F3D2B" w:rsidRPr="00624565">
        <w:rPr>
          <w:noProof/>
        </w:rPr>
        <w:t xml:space="preserve"> w</w:t>
      </w:r>
      <w:r w:rsidR="003F3D2B">
        <w:rPr>
          <w:noProof/>
        </w:rPr>
        <w:t> </w:t>
      </w:r>
      <w:r w:rsidR="003F3D2B" w:rsidRPr="00624565">
        <w:rPr>
          <w:noProof/>
        </w:rPr>
        <w:t>tym</w:t>
      </w:r>
      <w:r w:rsidRPr="00624565">
        <w:rPr>
          <w:noProof/>
        </w:rPr>
        <w:t xml:space="preserve"> odpowiednie normy międzynarodowe,</w:t>
      </w:r>
      <w:r w:rsidR="003F3D2B" w:rsidRPr="00624565">
        <w:rPr>
          <w:noProof/>
        </w:rPr>
        <w:t xml:space="preserve"> a</w:t>
      </w:r>
      <w:r w:rsidR="003F3D2B">
        <w:rPr>
          <w:noProof/>
        </w:rPr>
        <w:t> </w:t>
      </w:r>
      <w:r w:rsidR="003F3D2B" w:rsidRPr="00624565">
        <w:rPr>
          <w:noProof/>
        </w:rPr>
        <w:t>w</w:t>
      </w:r>
      <w:r w:rsidR="003F3D2B">
        <w:rPr>
          <w:noProof/>
        </w:rPr>
        <w:t> </w:t>
      </w:r>
      <w:r w:rsidR="003F3D2B" w:rsidRPr="00624565">
        <w:rPr>
          <w:noProof/>
        </w:rPr>
        <w:t>sto</w:t>
      </w:r>
      <w:r w:rsidRPr="00624565">
        <w:rPr>
          <w:noProof/>
        </w:rPr>
        <w:t>sownych przypadkach bierze pod uwagę następujące kwestie:</w:t>
      </w:r>
    </w:p>
    <w:p w14:paraId="731A6A5C" w14:textId="31812DC3" w:rsidR="00F44115" w:rsidRPr="00624565" w:rsidRDefault="00F44115" w:rsidP="00EB2AC8">
      <w:pPr>
        <w:pStyle w:val="ListNumberLevel2"/>
        <w:numPr>
          <w:ilvl w:val="1"/>
          <w:numId w:val="21"/>
        </w:numPr>
        <w:rPr>
          <w:noProof/>
        </w:rPr>
      </w:pPr>
      <w:r w:rsidRPr="00624565">
        <w:rPr>
          <w:noProof/>
        </w:rPr>
        <w:t>specyfikę sektorów</w:t>
      </w:r>
      <w:r w:rsidR="003F3D2B" w:rsidRPr="00624565">
        <w:rPr>
          <w:noProof/>
        </w:rPr>
        <w:t xml:space="preserve"> i</w:t>
      </w:r>
      <w:r w:rsidR="003F3D2B">
        <w:rPr>
          <w:noProof/>
        </w:rPr>
        <w:t> </w:t>
      </w:r>
      <w:r w:rsidR="003F3D2B" w:rsidRPr="00624565">
        <w:rPr>
          <w:noProof/>
        </w:rPr>
        <w:t>pro</w:t>
      </w:r>
      <w:r w:rsidRPr="00624565">
        <w:rPr>
          <w:noProof/>
        </w:rPr>
        <w:t>duktów, które wymagają szczególnego podejścia metodycznego;</w:t>
      </w:r>
    </w:p>
    <w:p w14:paraId="576F4807" w14:textId="32485CFC" w:rsidR="00F44115" w:rsidRPr="00624565" w:rsidRDefault="00F44115" w:rsidP="00EB2AC8">
      <w:pPr>
        <w:pStyle w:val="ListNumberLevel2"/>
        <w:numPr>
          <w:ilvl w:val="1"/>
          <w:numId w:val="21"/>
        </w:numPr>
        <w:rPr>
          <w:noProof/>
        </w:rPr>
      </w:pPr>
      <w:r w:rsidRPr="00624565">
        <w:rPr>
          <w:noProof/>
        </w:rPr>
        <w:t>potencjalny wkład poszczególnych grup produktów lub sektorów</w:t>
      </w:r>
      <w:r w:rsidR="003F3D2B" w:rsidRPr="00624565">
        <w:rPr>
          <w:noProof/>
        </w:rPr>
        <w:t xml:space="preserve"> w</w:t>
      </w:r>
      <w:r w:rsidR="003F3D2B">
        <w:rPr>
          <w:noProof/>
        </w:rPr>
        <w:t> </w:t>
      </w:r>
      <w:r w:rsidR="003F3D2B" w:rsidRPr="00624565">
        <w:rPr>
          <w:noProof/>
        </w:rPr>
        <w:t>osi</w:t>
      </w:r>
      <w:r w:rsidRPr="00624565">
        <w:rPr>
          <w:noProof/>
        </w:rPr>
        <w:t>ąganie celów klimatycznych</w:t>
      </w:r>
      <w:r w:rsidR="003F3D2B" w:rsidRPr="00624565">
        <w:rPr>
          <w:noProof/>
        </w:rPr>
        <w:t xml:space="preserve"> i</w:t>
      </w:r>
      <w:r w:rsidR="003F3D2B">
        <w:rPr>
          <w:noProof/>
        </w:rPr>
        <w:t> </w:t>
      </w:r>
      <w:r w:rsidR="003F3D2B" w:rsidRPr="00624565">
        <w:rPr>
          <w:noProof/>
        </w:rPr>
        <w:t>śro</w:t>
      </w:r>
      <w:r w:rsidRPr="00624565">
        <w:rPr>
          <w:noProof/>
        </w:rPr>
        <w:t>dowiskowych Unii;</w:t>
      </w:r>
    </w:p>
    <w:p w14:paraId="632B1114" w14:textId="2BA6021E" w:rsidR="00F44115" w:rsidRPr="00624565" w:rsidRDefault="00F44115" w:rsidP="00624565">
      <w:pPr>
        <w:pStyle w:val="ListNumberLevel2"/>
        <w:ind w:left="1417"/>
        <w:rPr>
          <w:noProof/>
        </w:rPr>
      </w:pPr>
      <w:r w:rsidRPr="00624565">
        <w:rPr>
          <w:noProof/>
        </w:rPr>
        <w:t>wszelkie istotne informacje wynikające</w:t>
      </w:r>
      <w:r w:rsidR="003F3D2B" w:rsidRPr="00624565">
        <w:rPr>
          <w:noProof/>
        </w:rPr>
        <w:t xml:space="preserve"> z</w:t>
      </w:r>
      <w:r w:rsidR="003F3D2B">
        <w:rPr>
          <w:noProof/>
        </w:rPr>
        <w:t> </w:t>
      </w:r>
      <w:r w:rsidR="003F3D2B" w:rsidRPr="00624565">
        <w:rPr>
          <w:noProof/>
        </w:rPr>
        <w:t>prz</w:t>
      </w:r>
      <w:r w:rsidRPr="00624565">
        <w:rPr>
          <w:noProof/>
        </w:rPr>
        <w:t xml:space="preserve">episów Unii; </w:t>
      </w:r>
    </w:p>
    <w:p w14:paraId="063B129F" w14:textId="5FDBE6EC" w:rsidR="00F44115" w:rsidRPr="00624565" w:rsidRDefault="00F44115" w:rsidP="00624565">
      <w:pPr>
        <w:pStyle w:val="ListNumberLevel2"/>
        <w:ind w:left="1417"/>
        <w:rPr>
          <w:noProof/>
        </w:rPr>
      </w:pPr>
      <w:r w:rsidRPr="00624565">
        <w:rPr>
          <w:noProof/>
        </w:rPr>
        <w:t>łatwość dostępu do informacji</w:t>
      </w:r>
      <w:r w:rsidR="003F3D2B" w:rsidRPr="00624565">
        <w:rPr>
          <w:noProof/>
        </w:rPr>
        <w:t xml:space="preserve"> i</w:t>
      </w:r>
      <w:r w:rsidR="003F3D2B">
        <w:rPr>
          <w:noProof/>
        </w:rPr>
        <w:t> </w:t>
      </w:r>
      <w:r w:rsidR="003F3D2B" w:rsidRPr="00624565">
        <w:rPr>
          <w:noProof/>
        </w:rPr>
        <w:t>dan</w:t>
      </w:r>
      <w:r w:rsidRPr="00624565">
        <w:rPr>
          <w:noProof/>
        </w:rPr>
        <w:t>ych</w:t>
      </w:r>
      <w:r w:rsidR="003F3D2B" w:rsidRPr="00624565">
        <w:rPr>
          <w:noProof/>
        </w:rPr>
        <w:t xml:space="preserve"> w</w:t>
      </w:r>
      <w:r w:rsidR="003F3D2B">
        <w:rPr>
          <w:noProof/>
        </w:rPr>
        <w:t> </w:t>
      </w:r>
      <w:r w:rsidR="003F3D2B" w:rsidRPr="00624565">
        <w:rPr>
          <w:noProof/>
        </w:rPr>
        <w:t>cel</w:t>
      </w:r>
      <w:r w:rsidRPr="00624565">
        <w:rPr>
          <w:noProof/>
        </w:rPr>
        <w:t>u oceny</w:t>
      </w:r>
      <w:r w:rsidR="003F3D2B" w:rsidRPr="00624565">
        <w:rPr>
          <w:noProof/>
        </w:rPr>
        <w:t xml:space="preserve"> i</w:t>
      </w:r>
      <w:r w:rsidR="003F3D2B">
        <w:rPr>
          <w:noProof/>
        </w:rPr>
        <w:t> </w:t>
      </w:r>
      <w:r w:rsidR="003F3D2B" w:rsidRPr="00624565">
        <w:rPr>
          <w:noProof/>
        </w:rPr>
        <w:t>wyk</w:t>
      </w:r>
      <w:r w:rsidRPr="00624565">
        <w:rPr>
          <w:noProof/>
        </w:rPr>
        <w:t>orzystania tych informacji</w:t>
      </w:r>
      <w:r w:rsidR="003F3D2B" w:rsidRPr="00624565">
        <w:rPr>
          <w:noProof/>
        </w:rPr>
        <w:t xml:space="preserve"> i</w:t>
      </w:r>
      <w:r w:rsidR="003F3D2B">
        <w:rPr>
          <w:noProof/>
        </w:rPr>
        <w:t> </w:t>
      </w:r>
      <w:r w:rsidR="003F3D2B" w:rsidRPr="00624565">
        <w:rPr>
          <w:noProof/>
        </w:rPr>
        <w:t>dan</w:t>
      </w:r>
      <w:r w:rsidRPr="00624565">
        <w:rPr>
          <w:noProof/>
        </w:rPr>
        <w:t>ych przez małe</w:t>
      </w:r>
      <w:r w:rsidR="003F3D2B" w:rsidRPr="00624565">
        <w:rPr>
          <w:noProof/>
        </w:rPr>
        <w:t xml:space="preserve"> i</w:t>
      </w:r>
      <w:r w:rsidR="003F3D2B">
        <w:rPr>
          <w:noProof/>
        </w:rPr>
        <w:t> </w:t>
      </w:r>
      <w:r w:rsidR="003F3D2B" w:rsidRPr="00624565">
        <w:rPr>
          <w:noProof/>
        </w:rPr>
        <w:t>śre</w:t>
      </w:r>
      <w:r w:rsidRPr="00624565">
        <w:rPr>
          <w:noProof/>
        </w:rPr>
        <w:t>dnie przedsiębiorstwa („MŚP”).</w:t>
      </w:r>
    </w:p>
    <w:p w14:paraId="234615E3" w14:textId="77777777" w:rsidR="00137ED6" w:rsidRPr="00624565" w:rsidRDefault="00137ED6" w:rsidP="00137ED6">
      <w:pPr>
        <w:pStyle w:val="Titrearticle"/>
        <w:rPr>
          <w:noProof/>
        </w:rPr>
      </w:pPr>
      <w:r w:rsidRPr="00624565">
        <w:rPr>
          <w:noProof/>
        </w:rPr>
        <w:t>Artykuł 4</w:t>
      </w:r>
    </w:p>
    <w:p w14:paraId="52C25AD0" w14:textId="1FF722D9" w:rsidR="00137ED6" w:rsidRPr="00624565" w:rsidRDefault="00137ED6" w:rsidP="00137ED6">
      <w:pPr>
        <w:pStyle w:val="Titrearticle"/>
        <w:rPr>
          <w:noProof/>
        </w:rPr>
      </w:pPr>
      <w:r w:rsidRPr="00624565">
        <w:rPr>
          <w:noProof/>
        </w:rPr>
        <w:t>Uzasadnienie wyraźnych oświadczeń środowiskowych</w:t>
      </w:r>
      <w:r w:rsidR="003F3D2B" w:rsidRPr="00624565">
        <w:rPr>
          <w:noProof/>
        </w:rPr>
        <w:t xml:space="preserve"> o</w:t>
      </w:r>
      <w:r w:rsidR="003F3D2B">
        <w:rPr>
          <w:noProof/>
        </w:rPr>
        <w:t> </w:t>
      </w:r>
      <w:r w:rsidR="003F3D2B" w:rsidRPr="00624565">
        <w:rPr>
          <w:noProof/>
        </w:rPr>
        <w:t>cha</w:t>
      </w:r>
      <w:r w:rsidRPr="00624565">
        <w:rPr>
          <w:noProof/>
        </w:rPr>
        <w:t>rakterze porównawczym</w:t>
      </w:r>
    </w:p>
    <w:p w14:paraId="0522C3FE" w14:textId="627C3DD3" w:rsidR="00137ED6" w:rsidRPr="00624565" w:rsidRDefault="004D161E" w:rsidP="004D161E">
      <w:pPr>
        <w:pStyle w:val="ManualNumPar1"/>
        <w:rPr>
          <w:noProof/>
        </w:rPr>
      </w:pPr>
      <w:r w:rsidRPr="00624565">
        <w:rPr>
          <w:noProof/>
        </w:rPr>
        <w:t>1.</w:t>
      </w:r>
      <w:r w:rsidRPr="00624565">
        <w:rPr>
          <w:noProof/>
        </w:rPr>
        <w:tab/>
        <w:t>Uzasadnienie wyraźnych oświadczeń środowiskowych,</w:t>
      </w:r>
      <w:r w:rsidR="003F3D2B" w:rsidRPr="00624565">
        <w:rPr>
          <w:noProof/>
        </w:rPr>
        <w:t xml:space="preserve"> w</w:t>
      </w:r>
      <w:r w:rsidR="003F3D2B">
        <w:rPr>
          <w:noProof/>
        </w:rPr>
        <w:t> </w:t>
      </w:r>
      <w:r w:rsidR="003F3D2B" w:rsidRPr="00624565">
        <w:rPr>
          <w:noProof/>
        </w:rPr>
        <w:t>któ</w:t>
      </w:r>
      <w:r w:rsidRPr="00624565">
        <w:rPr>
          <w:noProof/>
        </w:rPr>
        <w:t>rych stwierdza się lub sugeruje, że dany produkt lub przedsiębiorca wywiera mniejszy wpływ na środowisko lub wykazuje większą efektywność środowiskową niż inne produkty lub inni przedsiębiorcy („oświadczenia środowiskowe</w:t>
      </w:r>
      <w:r w:rsidR="003F3D2B" w:rsidRPr="00624565">
        <w:rPr>
          <w:noProof/>
        </w:rPr>
        <w:t xml:space="preserve"> o</w:t>
      </w:r>
      <w:r w:rsidR="003F3D2B">
        <w:rPr>
          <w:noProof/>
        </w:rPr>
        <w:t> </w:t>
      </w:r>
      <w:r w:rsidR="003F3D2B" w:rsidRPr="00624565">
        <w:rPr>
          <w:noProof/>
        </w:rPr>
        <w:t>cha</w:t>
      </w:r>
      <w:r w:rsidRPr="00624565">
        <w:rPr>
          <w:noProof/>
        </w:rPr>
        <w:t>rakterze porównawczym”), oprócz wymogów określonych</w:t>
      </w:r>
      <w:r w:rsidR="003F3D2B" w:rsidRPr="00624565">
        <w:rPr>
          <w:noProof/>
        </w:rPr>
        <w:t xml:space="preserve"> w</w:t>
      </w:r>
      <w:r w:rsidR="003F3D2B">
        <w:rPr>
          <w:noProof/>
        </w:rPr>
        <w:t> </w:t>
      </w:r>
      <w:r w:rsidR="003F3D2B" w:rsidRPr="003F3D2B">
        <w:rPr>
          <w:noProof/>
        </w:rPr>
        <w:t>art</w:t>
      </w:r>
      <w:r w:rsidRPr="003F3D2B">
        <w:rPr>
          <w:noProof/>
        </w:rPr>
        <w:t>.</w:t>
      </w:r>
      <w:r w:rsidR="003F3D2B" w:rsidRPr="003F3D2B">
        <w:rPr>
          <w:noProof/>
        </w:rPr>
        <w:t> </w:t>
      </w:r>
      <w:r w:rsidRPr="003F3D2B">
        <w:rPr>
          <w:noProof/>
        </w:rPr>
        <w:t>3</w:t>
      </w:r>
      <w:r w:rsidRPr="00624565">
        <w:rPr>
          <w:noProof/>
        </w:rPr>
        <w:t>, spełnia również następujące wymogi:</w:t>
      </w:r>
    </w:p>
    <w:p w14:paraId="21C5A65D" w14:textId="2B3CE550" w:rsidR="00137ED6" w:rsidRPr="00624565" w:rsidRDefault="00137ED6" w:rsidP="00624565">
      <w:pPr>
        <w:pStyle w:val="ListNumberLevel2"/>
        <w:ind w:left="1418"/>
        <w:rPr>
          <w:noProof/>
        </w:rPr>
      </w:pPr>
      <w:r w:rsidRPr="00624565">
        <w:rPr>
          <w:noProof/>
        </w:rPr>
        <w:t>informacje</w:t>
      </w:r>
      <w:r w:rsidR="003F3D2B" w:rsidRPr="00624565">
        <w:rPr>
          <w:noProof/>
        </w:rPr>
        <w:t xml:space="preserve"> i</w:t>
      </w:r>
      <w:r w:rsidR="003F3D2B">
        <w:rPr>
          <w:noProof/>
        </w:rPr>
        <w:t> </w:t>
      </w:r>
      <w:r w:rsidR="003F3D2B" w:rsidRPr="00624565">
        <w:rPr>
          <w:noProof/>
        </w:rPr>
        <w:t>dan</w:t>
      </w:r>
      <w:r w:rsidRPr="00624565">
        <w:rPr>
          <w:noProof/>
        </w:rPr>
        <w:t>e wykorzystane do oceny wpływu na środowisko, aspektów środowiskowych lub efektywności środowiskowej produktów lub przedsiębiorców będących przedmiotem porównania są równoważne informacjom</w:t>
      </w:r>
      <w:r w:rsidR="003F3D2B" w:rsidRPr="00624565">
        <w:rPr>
          <w:noProof/>
        </w:rPr>
        <w:t xml:space="preserve"> i</w:t>
      </w:r>
      <w:r w:rsidR="003F3D2B">
        <w:rPr>
          <w:noProof/>
        </w:rPr>
        <w:t> </w:t>
      </w:r>
      <w:r w:rsidR="003F3D2B" w:rsidRPr="00624565">
        <w:rPr>
          <w:noProof/>
        </w:rPr>
        <w:t>dan</w:t>
      </w:r>
      <w:r w:rsidRPr="00624565">
        <w:rPr>
          <w:noProof/>
        </w:rPr>
        <w:t>ym wykorzystanym do oceny wpływu na środowisko, aspektów środowiskowych lub efektywności środowiskowej danego produktu lub przedsiębiorcy, który jest przedmiotem oświadczenia;</w:t>
      </w:r>
    </w:p>
    <w:p w14:paraId="368C1561" w14:textId="07388A02" w:rsidR="00137ED6" w:rsidRPr="00624565" w:rsidRDefault="00137ED6" w:rsidP="00624565">
      <w:pPr>
        <w:pStyle w:val="ListNumberLevel2"/>
        <w:ind w:left="1418"/>
        <w:rPr>
          <w:noProof/>
        </w:rPr>
      </w:pPr>
      <w:r w:rsidRPr="00624565">
        <w:rPr>
          <w:noProof/>
        </w:rPr>
        <w:t>dane wykorzystywane do oceny wpływu na środowisko, aspektów środowiskowych lub efektywności środowiskowej produktów lub przedsiębiorców są generowane lub pozyskiwane</w:t>
      </w:r>
      <w:r w:rsidR="003F3D2B" w:rsidRPr="00624565">
        <w:rPr>
          <w:noProof/>
        </w:rPr>
        <w:t xml:space="preserve"> w</w:t>
      </w:r>
      <w:r w:rsidR="003F3D2B">
        <w:rPr>
          <w:noProof/>
        </w:rPr>
        <w:t> </w:t>
      </w:r>
      <w:r w:rsidR="003F3D2B" w:rsidRPr="00624565">
        <w:rPr>
          <w:noProof/>
        </w:rPr>
        <w:t>spo</w:t>
      </w:r>
      <w:r w:rsidRPr="00624565">
        <w:rPr>
          <w:noProof/>
        </w:rPr>
        <w:t>sób równoważny, jak dane wykorzystywane do oceny wpływu na środowisko, aspektów środowiskowych lub efektywności środowiskowej produktów lub przedsiębiorców będących przedmiotem porównania;</w:t>
      </w:r>
    </w:p>
    <w:p w14:paraId="371CEAAD" w14:textId="5E0399D4" w:rsidR="00137ED6" w:rsidRPr="00624565" w:rsidRDefault="00137ED6" w:rsidP="00624565">
      <w:pPr>
        <w:pStyle w:val="ListNumberLevel2"/>
        <w:ind w:left="1418"/>
        <w:rPr>
          <w:noProof/>
        </w:rPr>
      </w:pPr>
      <w:r w:rsidRPr="00624565">
        <w:rPr>
          <w:noProof/>
        </w:rPr>
        <w:t>zakres etapów łańcucha wartości jest równoważny</w:t>
      </w:r>
      <w:r w:rsidR="003F3D2B" w:rsidRPr="00624565">
        <w:rPr>
          <w:noProof/>
        </w:rPr>
        <w:t xml:space="preserve"> w</w:t>
      </w:r>
      <w:r w:rsidR="003F3D2B">
        <w:rPr>
          <w:noProof/>
        </w:rPr>
        <w:t> </w:t>
      </w:r>
      <w:r w:rsidR="003F3D2B" w:rsidRPr="00624565">
        <w:rPr>
          <w:noProof/>
        </w:rPr>
        <w:t>odn</w:t>
      </w:r>
      <w:r w:rsidRPr="00624565">
        <w:rPr>
          <w:noProof/>
        </w:rPr>
        <w:t>iesieniu do porównywanych produktów</w:t>
      </w:r>
      <w:r w:rsidR="003F3D2B" w:rsidRPr="00624565">
        <w:rPr>
          <w:noProof/>
        </w:rPr>
        <w:t xml:space="preserve"> i</w:t>
      </w:r>
      <w:r w:rsidR="003F3D2B">
        <w:rPr>
          <w:noProof/>
        </w:rPr>
        <w:t> </w:t>
      </w:r>
      <w:r w:rsidR="003F3D2B" w:rsidRPr="00624565">
        <w:rPr>
          <w:noProof/>
        </w:rPr>
        <w:t>prz</w:t>
      </w:r>
      <w:r w:rsidRPr="00624565">
        <w:rPr>
          <w:noProof/>
        </w:rPr>
        <w:t>edsiębiorców oraz zapewnia uwzględnienie najważniejszych etapów</w:t>
      </w:r>
      <w:r w:rsidR="003F3D2B" w:rsidRPr="00624565">
        <w:rPr>
          <w:noProof/>
        </w:rPr>
        <w:t xml:space="preserve"> w</w:t>
      </w:r>
      <w:r w:rsidR="003F3D2B">
        <w:rPr>
          <w:noProof/>
        </w:rPr>
        <w:t> </w:t>
      </w:r>
      <w:r w:rsidR="003F3D2B" w:rsidRPr="00624565">
        <w:rPr>
          <w:noProof/>
        </w:rPr>
        <w:t>odn</w:t>
      </w:r>
      <w:r w:rsidRPr="00624565">
        <w:rPr>
          <w:noProof/>
        </w:rPr>
        <w:t>iesieniu do wszystkich produktów</w:t>
      </w:r>
      <w:r w:rsidR="003F3D2B" w:rsidRPr="00624565">
        <w:rPr>
          <w:noProof/>
        </w:rPr>
        <w:t xml:space="preserve"> i</w:t>
      </w:r>
      <w:r w:rsidR="003F3D2B">
        <w:rPr>
          <w:noProof/>
        </w:rPr>
        <w:t> </w:t>
      </w:r>
      <w:r w:rsidR="003F3D2B" w:rsidRPr="00624565">
        <w:rPr>
          <w:noProof/>
        </w:rPr>
        <w:t>prz</w:t>
      </w:r>
      <w:r w:rsidRPr="00624565">
        <w:rPr>
          <w:noProof/>
        </w:rPr>
        <w:t>edsiębiorców;</w:t>
      </w:r>
    </w:p>
    <w:p w14:paraId="6B63D0C7" w14:textId="00F56DB8" w:rsidR="00137ED6" w:rsidRPr="00624565" w:rsidRDefault="00137ED6" w:rsidP="00624565">
      <w:pPr>
        <w:pStyle w:val="ListNumberLevel2"/>
        <w:ind w:left="1418"/>
        <w:rPr>
          <w:noProof/>
        </w:rPr>
      </w:pPr>
      <w:r w:rsidRPr="00624565">
        <w:rPr>
          <w:noProof/>
        </w:rPr>
        <w:t>zakres wpływu na środowisko, aspektów środowiskowych lub efektywności środowiskowej jest równoważny</w:t>
      </w:r>
      <w:r w:rsidR="003F3D2B" w:rsidRPr="00624565">
        <w:rPr>
          <w:noProof/>
        </w:rPr>
        <w:t xml:space="preserve"> w</w:t>
      </w:r>
      <w:r w:rsidR="003F3D2B">
        <w:rPr>
          <w:noProof/>
        </w:rPr>
        <w:t> </w:t>
      </w:r>
      <w:r w:rsidR="003F3D2B" w:rsidRPr="00624565">
        <w:rPr>
          <w:noProof/>
        </w:rPr>
        <w:t>odn</w:t>
      </w:r>
      <w:r w:rsidRPr="00624565">
        <w:rPr>
          <w:noProof/>
        </w:rPr>
        <w:t>iesieniu do porównywanych produktów</w:t>
      </w:r>
      <w:r w:rsidR="003F3D2B" w:rsidRPr="00624565">
        <w:rPr>
          <w:noProof/>
        </w:rPr>
        <w:t xml:space="preserve"> i</w:t>
      </w:r>
      <w:r w:rsidR="003F3D2B">
        <w:rPr>
          <w:noProof/>
        </w:rPr>
        <w:t> </w:t>
      </w:r>
      <w:r w:rsidR="003F3D2B" w:rsidRPr="00624565">
        <w:rPr>
          <w:noProof/>
        </w:rPr>
        <w:t>prz</w:t>
      </w:r>
      <w:r w:rsidRPr="00624565">
        <w:rPr>
          <w:noProof/>
        </w:rPr>
        <w:t>edsiębiorców oraz zapewnia uwzględnienie najbardziej znaczącego wpływu na środowisko, aspektów środowiskowych lub efektywności środowiskowej</w:t>
      </w:r>
      <w:r w:rsidR="003F3D2B" w:rsidRPr="00624565">
        <w:rPr>
          <w:noProof/>
        </w:rPr>
        <w:t xml:space="preserve"> w</w:t>
      </w:r>
      <w:r w:rsidR="003F3D2B">
        <w:rPr>
          <w:noProof/>
        </w:rPr>
        <w:t> </w:t>
      </w:r>
      <w:r w:rsidR="003F3D2B" w:rsidRPr="00624565">
        <w:rPr>
          <w:noProof/>
        </w:rPr>
        <w:t>odn</w:t>
      </w:r>
      <w:r w:rsidRPr="00624565">
        <w:rPr>
          <w:noProof/>
        </w:rPr>
        <w:t>iesieniu do wszystkich produktów</w:t>
      </w:r>
      <w:r w:rsidR="003F3D2B" w:rsidRPr="00624565">
        <w:rPr>
          <w:noProof/>
        </w:rPr>
        <w:t xml:space="preserve"> i</w:t>
      </w:r>
      <w:r w:rsidR="003F3D2B">
        <w:rPr>
          <w:noProof/>
        </w:rPr>
        <w:t> </w:t>
      </w:r>
      <w:r w:rsidR="003F3D2B" w:rsidRPr="00624565">
        <w:rPr>
          <w:noProof/>
        </w:rPr>
        <w:t>prz</w:t>
      </w:r>
      <w:r w:rsidRPr="00624565">
        <w:rPr>
          <w:noProof/>
        </w:rPr>
        <w:t>edsiębiorców;</w:t>
      </w:r>
    </w:p>
    <w:p w14:paraId="6F4D4BA4" w14:textId="22581388" w:rsidR="00137ED6" w:rsidRPr="00624565" w:rsidRDefault="00137ED6" w:rsidP="00624565">
      <w:pPr>
        <w:pStyle w:val="ListNumberLevel2"/>
        <w:ind w:left="1418"/>
        <w:rPr>
          <w:noProof/>
        </w:rPr>
      </w:pPr>
      <w:r w:rsidRPr="00624565">
        <w:rPr>
          <w:noProof/>
        </w:rPr>
        <w:t>założenia przyjęte na potrzeby porównania ustala się</w:t>
      </w:r>
      <w:r w:rsidR="003F3D2B" w:rsidRPr="00624565">
        <w:rPr>
          <w:noProof/>
        </w:rPr>
        <w:t xml:space="preserve"> w</w:t>
      </w:r>
      <w:r w:rsidR="003F3D2B">
        <w:rPr>
          <w:noProof/>
        </w:rPr>
        <w:t> </w:t>
      </w:r>
      <w:r w:rsidR="003F3D2B" w:rsidRPr="00624565">
        <w:rPr>
          <w:noProof/>
        </w:rPr>
        <w:t>spo</w:t>
      </w:r>
      <w:r w:rsidRPr="00624565">
        <w:rPr>
          <w:noProof/>
        </w:rPr>
        <w:t>sób równoważny</w:t>
      </w:r>
      <w:r w:rsidR="003F3D2B" w:rsidRPr="00624565">
        <w:rPr>
          <w:noProof/>
        </w:rPr>
        <w:t xml:space="preserve"> w</w:t>
      </w:r>
      <w:r w:rsidR="003F3D2B">
        <w:rPr>
          <w:noProof/>
        </w:rPr>
        <w:t> </w:t>
      </w:r>
      <w:r w:rsidR="003F3D2B" w:rsidRPr="00624565">
        <w:rPr>
          <w:noProof/>
        </w:rPr>
        <w:t>odn</w:t>
      </w:r>
      <w:r w:rsidRPr="00624565">
        <w:rPr>
          <w:noProof/>
        </w:rPr>
        <w:t>iesieniu do porównywanych produktów</w:t>
      </w:r>
      <w:r w:rsidR="003F3D2B" w:rsidRPr="00624565">
        <w:rPr>
          <w:noProof/>
        </w:rPr>
        <w:t xml:space="preserve"> i</w:t>
      </w:r>
      <w:r w:rsidR="003F3D2B">
        <w:rPr>
          <w:noProof/>
        </w:rPr>
        <w:t> </w:t>
      </w:r>
      <w:r w:rsidR="003F3D2B" w:rsidRPr="00624565">
        <w:rPr>
          <w:noProof/>
        </w:rPr>
        <w:t>prz</w:t>
      </w:r>
      <w:r w:rsidRPr="00624565">
        <w:rPr>
          <w:noProof/>
        </w:rPr>
        <w:t>edsiębiorców.</w:t>
      </w:r>
    </w:p>
    <w:p w14:paraId="035BBB68" w14:textId="09EDE24B" w:rsidR="00137ED6" w:rsidRPr="00624565" w:rsidRDefault="004D161E" w:rsidP="004D161E">
      <w:pPr>
        <w:pStyle w:val="ManualNumPar1"/>
        <w:rPr>
          <w:rStyle w:val="normaltextrun"/>
          <w:noProof/>
          <w:color w:val="000000" w:themeColor="text1"/>
        </w:rPr>
      </w:pPr>
      <w:r w:rsidRPr="00624565">
        <w:rPr>
          <w:rStyle w:val="normaltextrun"/>
          <w:noProof/>
        </w:rPr>
        <w:t>2.</w:t>
      </w:r>
      <w:r w:rsidRPr="00624565">
        <w:rPr>
          <w:noProof/>
        </w:rPr>
        <w:tab/>
        <w:t>W przypadku gdy oświadczenie środowiskowe</w:t>
      </w:r>
      <w:r w:rsidR="003F3D2B" w:rsidRPr="00624565">
        <w:rPr>
          <w:noProof/>
        </w:rPr>
        <w:t xml:space="preserve"> o</w:t>
      </w:r>
      <w:r w:rsidR="003F3D2B">
        <w:rPr>
          <w:noProof/>
        </w:rPr>
        <w:t> </w:t>
      </w:r>
      <w:r w:rsidR="003F3D2B" w:rsidRPr="00624565">
        <w:rPr>
          <w:noProof/>
        </w:rPr>
        <w:t>cha</w:t>
      </w:r>
      <w:r w:rsidRPr="00624565">
        <w:rPr>
          <w:noProof/>
        </w:rPr>
        <w:t>rakterze porównawczym dotyczy poprawy</w:t>
      </w:r>
      <w:r w:rsidR="003F3D2B" w:rsidRPr="00624565">
        <w:rPr>
          <w:noProof/>
        </w:rPr>
        <w:t xml:space="preserve"> w</w:t>
      </w:r>
      <w:r w:rsidR="003F3D2B">
        <w:rPr>
          <w:noProof/>
        </w:rPr>
        <w:t> </w:t>
      </w:r>
      <w:r w:rsidR="003F3D2B" w:rsidRPr="00624565">
        <w:rPr>
          <w:noProof/>
        </w:rPr>
        <w:t>zak</w:t>
      </w:r>
      <w:r w:rsidRPr="00624565">
        <w:rPr>
          <w:noProof/>
        </w:rPr>
        <w:t>resie wpływu na środowisko</w:t>
      </w:r>
      <w:r w:rsidRPr="00624565">
        <w:rPr>
          <w:rStyle w:val="normaltextrun"/>
          <w:noProof/>
          <w:color w:val="000000" w:themeColor="text1"/>
        </w:rPr>
        <w:t>, aspektów środowiskowych lub efektywności środowiskowej produktu będącego przedmiotem oświadczenia</w:t>
      </w:r>
      <w:r w:rsidR="003F3D2B" w:rsidRPr="00624565">
        <w:rPr>
          <w:rStyle w:val="normaltextrun"/>
          <w:noProof/>
          <w:color w:val="000000" w:themeColor="text1"/>
        </w:rPr>
        <w:t xml:space="preserve"> w</w:t>
      </w:r>
      <w:r w:rsidR="003F3D2B">
        <w:rPr>
          <w:rStyle w:val="normaltextrun"/>
          <w:noProof/>
          <w:color w:val="000000" w:themeColor="text1"/>
        </w:rPr>
        <w:t> </w:t>
      </w:r>
      <w:r w:rsidR="003F3D2B" w:rsidRPr="00624565">
        <w:rPr>
          <w:rStyle w:val="normaltextrun"/>
          <w:noProof/>
          <w:color w:val="000000" w:themeColor="text1"/>
        </w:rPr>
        <w:t>por</w:t>
      </w:r>
      <w:r w:rsidRPr="00624565">
        <w:rPr>
          <w:rStyle w:val="normaltextrun"/>
          <w:noProof/>
          <w:color w:val="000000" w:themeColor="text1"/>
        </w:rPr>
        <w:t>ównaniu</w:t>
      </w:r>
      <w:r w:rsidR="003F3D2B" w:rsidRPr="00624565">
        <w:rPr>
          <w:rStyle w:val="normaltextrun"/>
          <w:noProof/>
          <w:color w:val="000000" w:themeColor="text1"/>
        </w:rPr>
        <w:t xml:space="preserve"> z</w:t>
      </w:r>
      <w:r w:rsidR="003F3D2B">
        <w:rPr>
          <w:rStyle w:val="normaltextrun"/>
          <w:noProof/>
          <w:color w:val="000000" w:themeColor="text1"/>
        </w:rPr>
        <w:t> </w:t>
      </w:r>
      <w:r w:rsidR="003F3D2B" w:rsidRPr="00624565">
        <w:rPr>
          <w:rStyle w:val="normaltextrun"/>
          <w:noProof/>
          <w:color w:val="000000" w:themeColor="text1"/>
        </w:rPr>
        <w:t>wpł</w:t>
      </w:r>
      <w:r w:rsidRPr="00624565">
        <w:rPr>
          <w:rStyle w:val="normaltextrun"/>
          <w:noProof/>
          <w:color w:val="000000" w:themeColor="text1"/>
        </w:rPr>
        <w:t>ywem na środowisko, aspektami środowiskowymi lub efektywnością środowiskową innego produktu pochodzącego od tego samego przedsiębiorcy, od konkurującego</w:t>
      </w:r>
      <w:r w:rsidR="003F3D2B" w:rsidRPr="00624565">
        <w:rPr>
          <w:rStyle w:val="normaltextrun"/>
          <w:noProof/>
          <w:color w:val="000000" w:themeColor="text1"/>
        </w:rPr>
        <w:t xml:space="preserve"> z</w:t>
      </w:r>
      <w:r w:rsidR="003F3D2B">
        <w:rPr>
          <w:rStyle w:val="normaltextrun"/>
          <w:noProof/>
          <w:color w:val="000000" w:themeColor="text1"/>
        </w:rPr>
        <w:t> </w:t>
      </w:r>
      <w:r w:rsidR="003F3D2B" w:rsidRPr="00624565">
        <w:rPr>
          <w:rStyle w:val="normaltextrun"/>
          <w:noProof/>
          <w:color w:val="000000" w:themeColor="text1"/>
        </w:rPr>
        <w:t>nim</w:t>
      </w:r>
      <w:r w:rsidRPr="00624565">
        <w:rPr>
          <w:rStyle w:val="normaltextrun"/>
          <w:noProof/>
          <w:color w:val="000000" w:themeColor="text1"/>
        </w:rPr>
        <w:t xml:space="preserve"> przedsiębiorcy, który nie prowadzi już działalności na rynku lub od przedsiębiorcy, który nie prowadzi już sprzedaży na rzecz konsumentów, uzasadnienie oświadczenia zawiera wyjaśnienie sposobu,</w:t>
      </w:r>
      <w:r w:rsidR="003F3D2B" w:rsidRPr="00624565">
        <w:rPr>
          <w:rStyle w:val="normaltextrun"/>
          <w:noProof/>
          <w:color w:val="000000" w:themeColor="text1"/>
        </w:rPr>
        <w:t xml:space="preserve"> w</w:t>
      </w:r>
      <w:r w:rsidR="003F3D2B">
        <w:rPr>
          <w:rStyle w:val="normaltextrun"/>
          <w:noProof/>
          <w:color w:val="000000" w:themeColor="text1"/>
        </w:rPr>
        <w:t> </w:t>
      </w:r>
      <w:r w:rsidR="003F3D2B" w:rsidRPr="00624565">
        <w:rPr>
          <w:rStyle w:val="normaltextrun"/>
          <w:noProof/>
          <w:color w:val="000000" w:themeColor="text1"/>
        </w:rPr>
        <w:t>jak</w:t>
      </w:r>
      <w:r w:rsidRPr="00624565">
        <w:rPr>
          <w:rStyle w:val="normaltextrun"/>
          <w:noProof/>
          <w:color w:val="000000" w:themeColor="text1"/>
        </w:rPr>
        <w:t>i poprawa ta oddziałuje na inne istotne rodzaje wpływu na środowisko, aspekty środowiskowe lub efektywność środowiskową produktu będącego przedmiotem oświadczenia oraz wyraźne wskazanie roku odniesienia na potrzeby porównania.</w:t>
      </w:r>
    </w:p>
    <w:p w14:paraId="71313CC0" w14:textId="69F562DF" w:rsidR="00137ED6" w:rsidRPr="00624565" w:rsidRDefault="004D161E" w:rsidP="004D161E">
      <w:pPr>
        <w:pStyle w:val="ManualNumPar1"/>
        <w:rPr>
          <w:noProof/>
        </w:rPr>
      </w:pPr>
      <w:r w:rsidRPr="00624565">
        <w:rPr>
          <w:noProof/>
        </w:rPr>
        <w:t>3.</w:t>
      </w:r>
      <w:r w:rsidRPr="00624565">
        <w:rPr>
          <w:noProof/>
        </w:rPr>
        <w:tab/>
        <w:t>Wymogi określone</w:t>
      </w:r>
      <w:r w:rsidR="003F3D2B" w:rsidRPr="00624565">
        <w:rPr>
          <w:noProof/>
        </w:rPr>
        <w:t xml:space="preserve"> w</w:t>
      </w:r>
      <w:r w:rsidR="003F3D2B">
        <w:rPr>
          <w:noProof/>
        </w:rPr>
        <w:t> </w:t>
      </w:r>
      <w:r w:rsidR="003F3D2B" w:rsidRPr="00624565">
        <w:rPr>
          <w:noProof/>
        </w:rPr>
        <w:t>nin</w:t>
      </w:r>
      <w:r w:rsidRPr="00624565">
        <w:rPr>
          <w:noProof/>
        </w:rPr>
        <w:t>iejszym artykule nie mają zastosowania do przedsiębiorców będących mikroprzedsiębiorstwami</w:t>
      </w:r>
      <w:r w:rsidR="003F3D2B" w:rsidRPr="00624565">
        <w:rPr>
          <w:noProof/>
        </w:rPr>
        <w:t xml:space="preserve"> w</w:t>
      </w:r>
      <w:r w:rsidR="003F3D2B">
        <w:rPr>
          <w:noProof/>
        </w:rPr>
        <w:t> </w:t>
      </w:r>
      <w:r w:rsidR="003F3D2B" w:rsidRPr="00624565">
        <w:rPr>
          <w:noProof/>
        </w:rPr>
        <w:t>roz</w:t>
      </w:r>
      <w:r w:rsidRPr="00624565">
        <w:rPr>
          <w:noProof/>
        </w:rPr>
        <w:t>umieniu zalecenia Komisji 2003/361/WE</w:t>
      </w:r>
      <w:r w:rsidRPr="00624565">
        <w:rPr>
          <w:rStyle w:val="FootnoteReference"/>
          <w:noProof/>
        </w:rPr>
        <w:footnoteReference w:id="112"/>
      </w:r>
      <w:r w:rsidRPr="00624565">
        <w:rPr>
          <w:noProof/>
        </w:rPr>
        <w:t>, chyba że zażądają oni dokonania weryfikacji</w:t>
      </w:r>
      <w:r w:rsidR="003F3D2B" w:rsidRPr="00624565">
        <w:rPr>
          <w:noProof/>
        </w:rPr>
        <w:t xml:space="preserve"> w</w:t>
      </w:r>
      <w:r w:rsidR="003F3D2B">
        <w:rPr>
          <w:noProof/>
        </w:rPr>
        <w:t> </w:t>
      </w:r>
      <w:r w:rsidR="003F3D2B" w:rsidRPr="00624565">
        <w:rPr>
          <w:noProof/>
        </w:rPr>
        <w:t>cel</w:t>
      </w:r>
      <w:r w:rsidRPr="00624565">
        <w:rPr>
          <w:noProof/>
        </w:rPr>
        <w:t>u otrzymania certyfikatu zgodności zgodnie</w:t>
      </w:r>
      <w:r w:rsidR="003F3D2B" w:rsidRPr="00624565">
        <w:rPr>
          <w:noProof/>
        </w:rPr>
        <w:t xml:space="preserve"> z</w:t>
      </w:r>
      <w:r w:rsidR="003F3D2B">
        <w:rPr>
          <w:noProof/>
        </w:rPr>
        <w:t> </w:t>
      </w:r>
      <w:r w:rsidR="003F3D2B" w:rsidRPr="003F3D2B">
        <w:rPr>
          <w:noProof/>
        </w:rPr>
        <w:t>art</w:t>
      </w:r>
      <w:r w:rsidRPr="003F3D2B">
        <w:rPr>
          <w:noProof/>
        </w:rPr>
        <w:t>.</w:t>
      </w:r>
      <w:r w:rsidR="003F3D2B" w:rsidRPr="003F3D2B">
        <w:rPr>
          <w:noProof/>
        </w:rPr>
        <w:t> </w:t>
      </w:r>
      <w:r w:rsidRPr="003F3D2B">
        <w:rPr>
          <w:noProof/>
        </w:rPr>
        <w:t>1</w:t>
      </w:r>
      <w:r w:rsidRPr="00624565">
        <w:rPr>
          <w:noProof/>
        </w:rPr>
        <w:t>0.</w:t>
      </w:r>
    </w:p>
    <w:p w14:paraId="08F485E4" w14:textId="77777777" w:rsidR="00137ED6" w:rsidRPr="00624565" w:rsidRDefault="00137ED6" w:rsidP="00137ED6">
      <w:pPr>
        <w:pStyle w:val="Titrearticle"/>
        <w:rPr>
          <w:noProof/>
        </w:rPr>
      </w:pPr>
      <w:r w:rsidRPr="00624565">
        <w:rPr>
          <w:noProof/>
        </w:rPr>
        <w:t>Artykuł 5</w:t>
      </w:r>
    </w:p>
    <w:p w14:paraId="27C14449" w14:textId="5A68A21D" w:rsidR="00137ED6" w:rsidRPr="00624565" w:rsidRDefault="00137ED6" w:rsidP="00137ED6">
      <w:pPr>
        <w:pStyle w:val="Titrearticle"/>
        <w:rPr>
          <w:noProof/>
        </w:rPr>
      </w:pPr>
      <w:r w:rsidRPr="00624565">
        <w:rPr>
          <w:noProof/>
        </w:rPr>
        <w:t>Informowanie</w:t>
      </w:r>
      <w:r w:rsidR="003F3D2B" w:rsidRPr="00624565">
        <w:rPr>
          <w:noProof/>
        </w:rPr>
        <w:t xml:space="preserve"> o</w:t>
      </w:r>
      <w:r w:rsidR="003F3D2B">
        <w:rPr>
          <w:noProof/>
        </w:rPr>
        <w:t> </w:t>
      </w:r>
      <w:r w:rsidR="003F3D2B" w:rsidRPr="00624565">
        <w:rPr>
          <w:noProof/>
        </w:rPr>
        <w:t>wyr</w:t>
      </w:r>
      <w:r w:rsidRPr="00624565">
        <w:rPr>
          <w:noProof/>
        </w:rPr>
        <w:t>aźnych oświadczeniach środowiskowych</w:t>
      </w:r>
    </w:p>
    <w:p w14:paraId="3C6570CC" w14:textId="3D688FCD" w:rsidR="00137ED6" w:rsidRPr="00624565" w:rsidRDefault="004D161E" w:rsidP="004D161E">
      <w:pPr>
        <w:pStyle w:val="ManualNumPar1"/>
        <w:rPr>
          <w:noProof/>
        </w:rPr>
      </w:pPr>
      <w:r w:rsidRPr="00624565">
        <w:rPr>
          <w:noProof/>
        </w:rPr>
        <w:t>1.</w:t>
      </w:r>
      <w:r w:rsidRPr="00624565">
        <w:rPr>
          <w:noProof/>
        </w:rPr>
        <w:tab/>
        <w:t>Państwa członkowskie zapewniają, aby przedsiębiorca był zobowiązany do informowania</w:t>
      </w:r>
      <w:r w:rsidR="003F3D2B" w:rsidRPr="00624565">
        <w:rPr>
          <w:noProof/>
        </w:rPr>
        <w:t xml:space="preserve"> o</w:t>
      </w:r>
      <w:r w:rsidR="003F3D2B">
        <w:rPr>
          <w:noProof/>
        </w:rPr>
        <w:t> </w:t>
      </w:r>
      <w:r w:rsidR="003F3D2B" w:rsidRPr="00624565">
        <w:rPr>
          <w:noProof/>
        </w:rPr>
        <w:t>wyr</w:t>
      </w:r>
      <w:r w:rsidRPr="00624565">
        <w:rPr>
          <w:noProof/>
        </w:rPr>
        <w:t>aźnym oświadczeniu środowiskowym zgodnie</w:t>
      </w:r>
      <w:r w:rsidR="003F3D2B" w:rsidRPr="00624565">
        <w:rPr>
          <w:noProof/>
        </w:rPr>
        <w:t xml:space="preserve"> z</w:t>
      </w:r>
      <w:r w:rsidR="003F3D2B">
        <w:rPr>
          <w:noProof/>
        </w:rPr>
        <w:t> </w:t>
      </w:r>
      <w:r w:rsidR="003F3D2B" w:rsidRPr="00624565">
        <w:rPr>
          <w:noProof/>
        </w:rPr>
        <w:t>wym</w:t>
      </w:r>
      <w:r w:rsidRPr="00624565">
        <w:rPr>
          <w:noProof/>
        </w:rPr>
        <w:t>ogami określonymi</w:t>
      </w:r>
      <w:r w:rsidR="003F3D2B" w:rsidRPr="00624565">
        <w:rPr>
          <w:noProof/>
        </w:rPr>
        <w:t xml:space="preserve"> w</w:t>
      </w:r>
      <w:r w:rsidR="003F3D2B">
        <w:rPr>
          <w:noProof/>
        </w:rPr>
        <w:t> </w:t>
      </w:r>
      <w:r w:rsidR="003F3D2B" w:rsidRPr="00624565">
        <w:rPr>
          <w:noProof/>
        </w:rPr>
        <w:t>nin</w:t>
      </w:r>
      <w:r w:rsidRPr="00624565">
        <w:rPr>
          <w:noProof/>
        </w:rPr>
        <w:t>iejszym artykule.</w:t>
      </w:r>
    </w:p>
    <w:p w14:paraId="1AA51881" w14:textId="76835E33" w:rsidR="00137ED6" w:rsidRPr="00624565" w:rsidRDefault="004D161E" w:rsidP="004D161E">
      <w:pPr>
        <w:pStyle w:val="ManualNumPar1"/>
        <w:rPr>
          <w:noProof/>
        </w:rPr>
      </w:pPr>
      <w:r w:rsidRPr="00624565">
        <w:rPr>
          <w:noProof/>
        </w:rPr>
        <w:t>2.</w:t>
      </w:r>
      <w:r w:rsidRPr="00624565">
        <w:rPr>
          <w:noProof/>
        </w:rPr>
        <w:tab/>
        <w:t>Wyraźne oświadczenia środowiskowe mogą obejmować wyłącznie rodzaje wpływu na środowisko, aspekty środowiskowe lub efektywność środowiskową, które są uzasadnione zgodnie</w:t>
      </w:r>
      <w:r w:rsidR="003F3D2B" w:rsidRPr="00624565">
        <w:rPr>
          <w:noProof/>
        </w:rPr>
        <w:t xml:space="preserve"> z</w:t>
      </w:r>
      <w:r w:rsidR="003F3D2B">
        <w:rPr>
          <w:noProof/>
        </w:rPr>
        <w:t> </w:t>
      </w:r>
      <w:r w:rsidR="003F3D2B" w:rsidRPr="00624565">
        <w:rPr>
          <w:noProof/>
        </w:rPr>
        <w:t>wym</w:t>
      </w:r>
      <w:r w:rsidRPr="00624565">
        <w:rPr>
          <w:noProof/>
        </w:rPr>
        <w:t>ogami określonymi</w:t>
      </w:r>
      <w:r w:rsidR="003F3D2B" w:rsidRPr="00624565">
        <w:rPr>
          <w:noProof/>
        </w:rPr>
        <w:t xml:space="preserve"> w</w:t>
      </w:r>
      <w:r w:rsidR="003F3D2B">
        <w:rPr>
          <w:noProof/>
        </w:rPr>
        <w:t> </w:t>
      </w:r>
      <w:r w:rsidR="003F3D2B" w:rsidRPr="003F3D2B">
        <w:rPr>
          <w:noProof/>
        </w:rPr>
        <w:t>art</w:t>
      </w:r>
      <w:r w:rsidRPr="003F3D2B">
        <w:rPr>
          <w:noProof/>
        </w:rPr>
        <w:t>.</w:t>
      </w:r>
      <w:r w:rsidR="003F3D2B" w:rsidRPr="003F3D2B">
        <w:rPr>
          <w:noProof/>
        </w:rPr>
        <w:t> </w:t>
      </w:r>
      <w:r w:rsidRPr="003F3D2B">
        <w:rPr>
          <w:noProof/>
        </w:rPr>
        <w:t>3</w:t>
      </w:r>
      <w:r w:rsidRPr="00624565">
        <w:rPr>
          <w:noProof/>
        </w:rPr>
        <w:t>, 4</w:t>
      </w:r>
      <w:r w:rsidR="003F3D2B" w:rsidRPr="00624565">
        <w:rPr>
          <w:noProof/>
        </w:rPr>
        <w:t xml:space="preserve"> i</w:t>
      </w:r>
      <w:r w:rsidR="003F3D2B">
        <w:rPr>
          <w:noProof/>
        </w:rPr>
        <w:t> </w:t>
      </w:r>
      <w:r w:rsidR="003F3D2B" w:rsidRPr="00624565">
        <w:rPr>
          <w:noProof/>
        </w:rPr>
        <w:t>5 i</w:t>
      </w:r>
      <w:r w:rsidR="003F3D2B">
        <w:rPr>
          <w:noProof/>
        </w:rPr>
        <w:t> </w:t>
      </w:r>
      <w:r w:rsidR="003F3D2B" w:rsidRPr="00624565">
        <w:rPr>
          <w:noProof/>
        </w:rPr>
        <w:t>któ</w:t>
      </w:r>
      <w:r w:rsidRPr="00624565">
        <w:rPr>
          <w:noProof/>
        </w:rPr>
        <w:t>re uznano za istotne dla danego produktu lub przedsiębiorcy zgodnie</w:t>
      </w:r>
      <w:r w:rsidR="003F3D2B" w:rsidRPr="00624565">
        <w:rPr>
          <w:noProof/>
        </w:rPr>
        <w:t xml:space="preserve"> z</w:t>
      </w:r>
      <w:r w:rsidR="003F3D2B">
        <w:rPr>
          <w:noProof/>
        </w:rPr>
        <w:t> </w:t>
      </w:r>
      <w:r w:rsidR="003F3D2B" w:rsidRPr="003F3D2B">
        <w:rPr>
          <w:noProof/>
        </w:rPr>
        <w:t>art</w:t>
      </w:r>
      <w:r w:rsidRPr="003F3D2B">
        <w:rPr>
          <w:noProof/>
        </w:rPr>
        <w:t>.</w:t>
      </w:r>
      <w:r w:rsidR="003F3D2B" w:rsidRPr="003F3D2B">
        <w:rPr>
          <w:noProof/>
        </w:rPr>
        <w:t> </w:t>
      </w:r>
      <w:r w:rsidRPr="003F3D2B">
        <w:rPr>
          <w:noProof/>
        </w:rPr>
        <w:t>3</w:t>
      </w:r>
      <w:r w:rsidRPr="00624565">
        <w:rPr>
          <w:noProof/>
        </w:rPr>
        <w:t xml:space="preserve"> </w:t>
      </w:r>
      <w:r w:rsidRPr="003F3D2B">
        <w:rPr>
          <w:noProof/>
        </w:rPr>
        <w:t>ust.</w:t>
      </w:r>
      <w:r w:rsidR="003F3D2B" w:rsidRPr="003F3D2B">
        <w:rPr>
          <w:noProof/>
        </w:rPr>
        <w:t> </w:t>
      </w:r>
      <w:r w:rsidRPr="003F3D2B">
        <w:rPr>
          <w:noProof/>
        </w:rPr>
        <w:t>1</w:t>
      </w:r>
      <w:r w:rsidRPr="00624565">
        <w:rPr>
          <w:noProof/>
        </w:rPr>
        <w:t xml:space="preserve"> </w:t>
      </w:r>
      <w:r w:rsidRPr="003F3D2B">
        <w:rPr>
          <w:noProof/>
        </w:rPr>
        <w:t>lit.</w:t>
      </w:r>
      <w:r w:rsidR="003F3D2B" w:rsidRPr="003F3D2B">
        <w:rPr>
          <w:noProof/>
        </w:rPr>
        <w:t> </w:t>
      </w:r>
      <w:r w:rsidRPr="003F3D2B">
        <w:rPr>
          <w:noProof/>
        </w:rPr>
        <w:t>c)</w:t>
      </w:r>
      <w:r w:rsidRPr="00624565">
        <w:rPr>
          <w:noProof/>
        </w:rPr>
        <w:t xml:space="preserve"> lub d).</w:t>
      </w:r>
    </w:p>
    <w:p w14:paraId="4AA9D0E6" w14:textId="62EC650B" w:rsidR="00137ED6" w:rsidRPr="00624565" w:rsidRDefault="004D161E" w:rsidP="004D161E">
      <w:pPr>
        <w:pStyle w:val="ManualNumPar1"/>
        <w:rPr>
          <w:noProof/>
        </w:rPr>
      </w:pPr>
      <w:r w:rsidRPr="00624565">
        <w:rPr>
          <w:noProof/>
        </w:rPr>
        <w:t>3.</w:t>
      </w:r>
      <w:r w:rsidRPr="00624565">
        <w:rPr>
          <w:noProof/>
        </w:rPr>
        <w:tab/>
        <w:t>W przypadku gdy wyraźne oświadczenie środowiskowe dotyczy produktu końcowego,</w:t>
      </w:r>
      <w:r w:rsidR="003F3D2B" w:rsidRPr="00624565">
        <w:rPr>
          <w:noProof/>
        </w:rPr>
        <w:t xml:space="preserve"> a</w:t>
      </w:r>
      <w:r w:rsidR="003F3D2B">
        <w:rPr>
          <w:noProof/>
        </w:rPr>
        <w:t> </w:t>
      </w:r>
      <w:r w:rsidR="003F3D2B" w:rsidRPr="00624565">
        <w:rPr>
          <w:noProof/>
        </w:rPr>
        <w:t>eta</w:t>
      </w:r>
      <w:r w:rsidRPr="00624565">
        <w:rPr>
          <w:noProof/>
        </w:rPr>
        <w:t>p użytkowania należy do najbardziej istotnych etapów cyklu życia tego produktu, oświadczenie zawiera informacje</w:t>
      </w:r>
      <w:r w:rsidR="003F3D2B" w:rsidRPr="00624565">
        <w:rPr>
          <w:noProof/>
        </w:rPr>
        <w:t xml:space="preserve"> o</w:t>
      </w:r>
      <w:r w:rsidR="003F3D2B">
        <w:rPr>
          <w:noProof/>
        </w:rPr>
        <w:t> </w:t>
      </w:r>
      <w:r w:rsidR="003F3D2B" w:rsidRPr="00624565">
        <w:rPr>
          <w:noProof/>
        </w:rPr>
        <w:t>tym</w:t>
      </w:r>
      <w:r w:rsidRPr="00624565">
        <w:rPr>
          <w:noProof/>
        </w:rPr>
        <w:t>,</w:t>
      </w:r>
      <w:r w:rsidR="003F3D2B" w:rsidRPr="00624565">
        <w:rPr>
          <w:noProof/>
        </w:rPr>
        <w:t xml:space="preserve"> w</w:t>
      </w:r>
      <w:r w:rsidR="003F3D2B">
        <w:rPr>
          <w:noProof/>
        </w:rPr>
        <w:t> </w:t>
      </w:r>
      <w:r w:rsidR="003F3D2B" w:rsidRPr="00624565">
        <w:rPr>
          <w:noProof/>
        </w:rPr>
        <w:t>jak</w:t>
      </w:r>
      <w:r w:rsidRPr="00624565">
        <w:rPr>
          <w:noProof/>
        </w:rPr>
        <w:t>i sposób konsument powinien używać produktu, aby osiągnąć oczekiwany poziom efektywności środowiskowej tego produktu. Informacje te udostępnia się wraz</w:t>
      </w:r>
      <w:r w:rsidR="003F3D2B" w:rsidRPr="00624565">
        <w:rPr>
          <w:noProof/>
        </w:rPr>
        <w:t xml:space="preserve"> z</w:t>
      </w:r>
      <w:r w:rsidR="003F3D2B">
        <w:rPr>
          <w:noProof/>
        </w:rPr>
        <w:t> </w:t>
      </w:r>
      <w:r w:rsidR="003F3D2B" w:rsidRPr="00624565">
        <w:rPr>
          <w:noProof/>
        </w:rPr>
        <w:t>ośw</w:t>
      </w:r>
      <w:r w:rsidRPr="00624565">
        <w:rPr>
          <w:noProof/>
        </w:rPr>
        <w:t>iadczeniem.</w:t>
      </w:r>
    </w:p>
    <w:p w14:paraId="6FBFDEB2" w14:textId="4B56621A" w:rsidR="00137ED6" w:rsidRPr="00624565" w:rsidRDefault="004D161E" w:rsidP="004D161E">
      <w:pPr>
        <w:pStyle w:val="ManualNumPar1"/>
        <w:rPr>
          <w:noProof/>
        </w:rPr>
      </w:pPr>
      <w:r w:rsidRPr="00624565">
        <w:rPr>
          <w:noProof/>
        </w:rPr>
        <w:t>4.</w:t>
      </w:r>
      <w:r w:rsidRPr="00624565">
        <w:rPr>
          <w:noProof/>
        </w:rPr>
        <w:tab/>
        <w:t>W przypadku gdy wyraźne oświadczenie środowiskowe dotyczy przyszłego poziomu efektywności środowiskowej produktu lub przedsiębiorcy, zawiera ono określone</w:t>
      </w:r>
      <w:r w:rsidR="003F3D2B" w:rsidRPr="00624565">
        <w:rPr>
          <w:noProof/>
        </w:rPr>
        <w:t xml:space="preserve"> w</w:t>
      </w:r>
      <w:r w:rsidR="003F3D2B">
        <w:rPr>
          <w:noProof/>
        </w:rPr>
        <w:t> </w:t>
      </w:r>
      <w:r w:rsidR="003F3D2B" w:rsidRPr="00624565">
        <w:rPr>
          <w:noProof/>
        </w:rPr>
        <w:t>cza</w:t>
      </w:r>
      <w:r w:rsidRPr="00624565">
        <w:rPr>
          <w:noProof/>
        </w:rPr>
        <w:t>sie zobowiązanie do wprowadzenia usprawnień</w:t>
      </w:r>
      <w:r w:rsidR="003F3D2B" w:rsidRPr="00624565">
        <w:rPr>
          <w:noProof/>
        </w:rPr>
        <w:t xml:space="preserve"> w</w:t>
      </w:r>
      <w:r w:rsidR="003F3D2B">
        <w:rPr>
          <w:noProof/>
        </w:rPr>
        <w:t> </w:t>
      </w:r>
      <w:r w:rsidR="003F3D2B" w:rsidRPr="00624565">
        <w:rPr>
          <w:noProof/>
        </w:rPr>
        <w:t>ram</w:t>
      </w:r>
      <w:r w:rsidRPr="00624565">
        <w:rPr>
          <w:noProof/>
        </w:rPr>
        <w:t>ach prowadzonej działalności</w:t>
      </w:r>
      <w:r w:rsidR="003F3D2B" w:rsidRPr="00624565">
        <w:rPr>
          <w:noProof/>
        </w:rPr>
        <w:t xml:space="preserve"> i</w:t>
      </w:r>
      <w:r w:rsidR="003F3D2B">
        <w:rPr>
          <w:noProof/>
        </w:rPr>
        <w:t> </w:t>
      </w:r>
      <w:r w:rsidR="003F3D2B" w:rsidRPr="00624565">
        <w:rPr>
          <w:noProof/>
        </w:rPr>
        <w:t>łań</w:t>
      </w:r>
      <w:r w:rsidRPr="00624565">
        <w:rPr>
          <w:noProof/>
        </w:rPr>
        <w:t>cuchów wartości.</w:t>
      </w:r>
    </w:p>
    <w:p w14:paraId="2ECF3605" w14:textId="53A6B870" w:rsidR="00137ED6" w:rsidRPr="00624565" w:rsidRDefault="004D161E" w:rsidP="004D161E">
      <w:pPr>
        <w:pStyle w:val="ManualNumPar1"/>
        <w:rPr>
          <w:noProof/>
        </w:rPr>
      </w:pPr>
      <w:r w:rsidRPr="00624565">
        <w:rPr>
          <w:noProof/>
        </w:rPr>
        <w:t>5.</w:t>
      </w:r>
      <w:r w:rsidRPr="00624565">
        <w:rPr>
          <w:noProof/>
        </w:rPr>
        <w:tab/>
        <w:t>Wyraźne oświadczenia środowiskowe dotyczące skumulowanego wpływu produktu lub przedsiębiorcy na środowisko, oparte na zagregowanym wskaźniku wpływu na środowisko, można formułować wyłącznie na podstawie przepisów dotyczących obliczania takiego zagregowanego wskaźnika ustanowionych</w:t>
      </w:r>
      <w:r w:rsidR="003F3D2B" w:rsidRPr="00624565">
        <w:rPr>
          <w:noProof/>
        </w:rPr>
        <w:t xml:space="preserve"> w</w:t>
      </w:r>
      <w:r w:rsidR="003F3D2B">
        <w:rPr>
          <w:noProof/>
        </w:rPr>
        <w:t> </w:t>
      </w:r>
      <w:r w:rsidR="003F3D2B" w:rsidRPr="00624565">
        <w:rPr>
          <w:noProof/>
        </w:rPr>
        <w:t>pra</w:t>
      </w:r>
      <w:r w:rsidRPr="00624565">
        <w:rPr>
          <w:noProof/>
        </w:rPr>
        <w:t>wie Unii.</w:t>
      </w:r>
    </w:p>
    <w:p w14:paraId="5E583242" w14:textId="2FF520D6" w:rsidR="00137ED6" w:rsidRPr="00624565" w:rsidRDefault="004D161E" w:rsidP="004D161E">
      <w:pPr>
        <w:pStyle w:val="ManualNumPar1"/>
        <w:rPr>
          <w:noProof/>
        </w:rPr>
      </w:pPr>
      <w:r w:rsidRPr="00624565">
        <w:rPr>
          <w:noProof/>
        </w:rPr>
        <w:t>6.</w:t>
      </w:r>
      <w:r w:rsidRPr="00624565">
        <w:rPr>
          <w:noProof/>
        </w:rPr>
        <w:tab/>
        <w:t>Informacje na temat produktu lub przedsiębiorcy, który jest przedmiotem wyraźnego oświadczenia środowiskowego oraz na temat uzasadnienia udostępnia się wraz</w:t>
      </w:r>
      <w:r w:rsidR="003F3D2B" w:rsidRPr="00624565">
        <w:rPr>
          <w:noProof/>
        </w:rPr>
        <w:t xml:space="preserve"> z</w:t>
      </w:r>
      <w:r w:rsidR="003F3D2B">
        <w:rPr>
          <w:noProof/>
        </w:rPr>
        <w:t> </w:t>
      </w:r>
      <w:r w:rsidR="003F3D2B" w:rsidRPr="00624565">
        <w:rPr>
          <w:noProof/>
        </w:rPr>
        <w:t>ośw</w:t>
      </w:r>
      <w:r w:rsidRPr="00624565">
        <w:rPr>
          <w:noProof/>
        </w:rPr>
        <w:t>iadczeniem</w:t>
      </w:r>
      <w:r w:rsidR="003F3D2B" w:rsidRPr="00624565">
        <w:rPr>
          <w:noProof/>
        </w:rPr>
        <w:t xml:space="preserve"> w</w:t>
      </w:r>
      <w:r w:rsidR="003F3D2B">
        <w:rPr>
          <w:noProof/>
        </w:rPr>
        <w:t> </w:t>
      </w:r>
      <w:r w:rsidR="003F3D2B" w:rsidRPr="00624565">
        <w:rPr>
          <w:noProof/>
        </w:rPr>
        <w:t>for</w:t>
      </w:r>
      <w:r w:rsidRPr="00624565">
        <w:rPr>
          <w:noProof/>
        </w:rPr>
        <w:t>mie fizycznej lub</w:t>
      </w:r>
      <w:r w:rsidR="003F3D2B" w:rsidRPr="00624565">
        <w:rPr>
          <w:noProof/>
        </w:rPr>
        <w:t xml:space="preserve"> w</w:t>
      </w:r>
      <w:r w:rsidR="003F3D2B">
        <w:rPr>
          <w:noProof/>
        </w:rPr>
        <w:t> </w:t>
      </w:r>
      <w:r w:rsidR="003F3D2B" w:rsidRPr="00624565">
        <w:rPr>
          <w:noProof/>
        </w:rPr>
        <w:t>pos</w:t>
      </w:r>
      <w:r w:rsidRPr="00624565">
        <w:rPr>
          <w:noProof/>
        </w:rPr>
        <w:t xml:space="preserve">taci hiperłącza, kodu QR lub równoważnego środka. </w:t>
      </w:r>
    </w:p>
    <w:p w14:paraId="788D0303" w14:textId="77777777" w:rsidR="00137ED6" w:rsidRPr="00624565" w:rsidRDefault="00137ED6" w:rsidP="00137ED6">
      <w:pPr>
        <w:pStyle w:val="Text2"/>
        <w:ind w:left="130" w:firstLine="720"/>
        <w:rPr>
          <w:noProof/>
        </w:rPr>
      </w:pPr>
      <w:r w:rsidRPr="00624565">
        <w:rPr>
          <w:noProof/>
        </w:rPr>
        <w:t>Informacje te obejmują co najmniej następujące elementy:</w:t>
      </w:r>
    </w:p>
    <w:p w14:paraId="54B97FA7" w14:textId="77777777" w:rsidR="00137ED6" w:rsidRPr="00624565" w:rsidRDefault="00137ED6" w:rsidP="00624565">
      <w:pPr>
        <w:pStyle w:val="ListNumberLevel2"/>
        <w:ind w:left="1417"/>
        <w:rPr>
          <w:noProof/>
        </w:rPr>
      </w:pPr>
      <w:r w:rsidRPr="00624565">
        <w:rPr>
          <w:noProof/>
        </w:rPr>
        <w:t xml:space="preserve">aspekty środowiskowe, rodzaje wpływu na środowisko lub efektywność środowiskową objęte oświadczeniem; </w:t>
      </w:r>
    </w:p>
    <w:p w14:paraId="6B63035B" w14:textId="77777777" w:rsidR="00137ED6" w:rsidRPr="00624565" w:rsidRDefault="00137ED6" w:rsidP="00624565">
      <w:pPr>
        <w:pStyle w:val="ListNumberLevel2"/>
        <w:ind w:left="1417"/>
        <w:rPr>
          <w:noProof/>
        </w:rPr>
      </w:pPr>
      <w:r w:rsidRPr="00624565">
        <w:rPr>
          <w:noProof/>
        </w:rPr>
        <w:t>w stosownych przypadkach – odpowiednie normy unijne lub międzynarodowe;</w:t>
      </w:r>
    </w:p>
    <w:p w14:paraId="5084A428" w14:textId="052A42CC" w:rsidR="00137ED6" w:rsidRPr="00624565" w:rsidRDefault="00137ED6" w:rsidP="00624565">
      <w:pPr>
        <w:pStyle w:val="ListNumberLevel2"/>
        <w:ind w:left="1417"/>
        <w:rPr>
          <w:noProof/>
        </w:rPr>
      </w:pPr>
      <w:r w:rsidRPr="00624565">
        <w:rPr>
          <w:noProof/>
        </w:rPr>
        <w:t>podstawowe badania lub obliczenia wykorzystane na potrzeby dokonania oceny, pomiaru</w:t>
      </w:r>
      <w:r w:rsidR="003F3D2B" w:rsidRPr="00624565">
        <w:rPr>
          <w:noProof/>
        </w:rPr>
        <w:t xml:space="preserve"> i</w:t>
      </w:r>
      <w:r w:rsidR="003F3D2B">
        <w:rPr>
          <w:noProof/>
        </w:rPr>
        <w:t> </w:t>
      </w:r>
      <w:r w:rsidR="003F3D2B" w:rsidRPr="00624565">
        <w:rPr>
          <w:noProof/>
        </w:rPr>
        <w:t>mon</w:t>
      </w:r>
      <w:r w:rsidRPr="00624565">
        <w:rPr>
          <w:noProof/>
        </w:rPr>
        <w:t>itorowania wszelkiego wpływu na środowisko, aspektów środowiskowych lub efektywności środowiskowej objętych oświadczeniem, bez pomijania wyników takich badań lub obliczeń oraz wyjaśnień dotyczących ich zakresu, założeń</w:t>
      </w:r>
      <w:r w:rsidR="003F3D2B" w:rsidRPr="00624565">
        <w:rPr>
          <w:noProof/>
        </w:rPr>
        <w:t xml:space="preserve"> i</w:t>
      </w:r>
      <w:r w:rsidR="003F3D2B">
        <w:rPr>
          <w:noProof/>
        </w:rPr>
        <w:t> </w:t>
      </w:r>
      <w:r w:rsidR="003F3D2B" w:rsidRPr="00624565">
        <w:rPr>
          <w:noProof/>
        </w:rPr>
        <w:t>ogr</w:t>
      </w:r>
      <w:r w:rsidRPr="00624565">
        <w:rPr>
          <w:noProof/>
        </w:rPr>
        <w:t>aniczeń, chyba że informacje te stanowią tajemnicę przedsiębiorstwa zgodnie</w:t>
      </w:r>
      <w:r w:rsidR="003F3D2B" w:rsidRPr="00624565">
        <w:rPr>
          <w:noProof/>
        </w:rPr>
        <w:t xml:space="preserve"> z</w:t>
      </w:r>
      <w:r w:rsidR="003F3D2B">
        <w:rPr>
          <w:noProof/>
        </w:rPr>
        <w:t> </w:t>
      </w:r>
      <w:r w:rsidR="003F3D2B" w:rsidRPr="003F3D2B">
        <w:rPr>
          <w:noProof/>
        </w:rPr>
        <w:t>art</w:t>
      </w:r>
      <w:r w:rsidRPr="003F3D2B">
        <w:rPr>
          <w:noProof/>
        </w:rPr>
        <w:t>.</w:t>
      </w:r>
      <w:r w:rsidR="003F3D2B" w:rsidRPr="003F3D2B">
        <w:rPr>
          <w:noProof/>
        </w:rPr>
        <w:t> </w:t>
      </w:r>
      <w:r w:rsidRPr="003F3D2B">
        <w:rPr>
          <w:noProof/>
        </w:rPr>
        <w:t>2</w:t>
      </w:r>
      <w:r w:rsidRPr="00624565">
        <w:rPr>
          <w:noProof/>
        </w:rPr>
        <w:t xml:space="preserve"> </w:t>
      </w:r>
      <w:r w:rsidRPr="003F3D2B">
        <w:rPr>
          <w:noProof/>
        </w:rPr>
        <w:t>pkt</w:t>
      </w:r>
      <w:r w:rsidR="003F3D2B" w:rsidRPr="003F3D2B">
        <w:rPr>
          <w:noProof/>
        </w:rPr>
        <w:t> </w:t>
      </w:r>
      <w:r w:rsidRPr="003F3D2B">
        <w:rPr>
          <w:noProof/>
        </w:rPr>
        <w:t>1</w:t>
      </w:r>
      <w:r w:rsidRPr="00624565">
        <w:rPr>
          <w:noProof/>
        </w:rPr>
        <w:t xml:space="preserve"> dyrektywy (UE) 2016/943</w:t>
      </w:r>
      <w:r w:rsidRPr="00624565">
        <w:rPr>
          <w:rStyle w:val="FootnoteReference"/>
          <w:noProof/>
        </w:rPr>
        <w:footnoteReference w:id="113"/>
      </w:r>
      <w:r w:rsidRPr="00624565">
        <w:rPr>
          <w:noProof/>
        </w:rPr>
        <w:t>;</w:t>
      </w:r>
    </w:p>
    <w:p w14:paraId="0B9A742B" w14:textId="32493B2A" w:rsidR="00137ED6" w:rsidRPr="00624565" w:rsidRDefault="00137ED6" w:rsidP="00624565">
      <w:pPr>
        <w:pStyle w:val="ListNumberLevel2"/>
        <w:ind w:left="1417"/>
        <w:rPr>
          <w:noProof/>
        </w:rPr>
      </w:pPr>
      <w:r w:rsidRPr="00624565">
        <w:rPr>
          <w:noProof/>
        </w:rPr>
        <w:t>krótkie wyjaśnienie sposobu,</w:t>
      </w:r>
      <w:r w:rsidR="003F3D2B" w:rsidRPr="00624565">
        <w:rPr>
          <w:noProof/>
        </w:rPr>
        <w:t xml:space="preserve"> w</w:t>
      </w:r>
      <w:r w:rsidR="003F3D2B">
        <w:rPr>
          <w:noProof/>
        </w:rPr>
        <w:t> </w:t>
      </w:r>
      <w:r w:rsidR="003F3D2B" w:rsidRPr="00624565">
        <w:rPr>
          <w:noProof/>
        </w:rPr>
        <w:t>jak</w:t>
      </w:r>
      <w:r w:rsidRPr="00624565">
        <w:rPr>
          <w:noProof/>
        </w:rPr>
        <w:t xml:space="preserve">i dokonano usprawnień będących przedmiotem oświadczenia; </w:t>
      </w:r>
    </w:p>
    <w:p w14:paraId="3F673CBC" w14:textId="7743DEDF" w:rsidR="00137ED6" w:rsidRPr="00624565" w:rsidRDefault="00137ED6" w:rsidP="00624565">
      <w:pPr>
        <w:pStyle w:val="ListNumberLevel2"/>
        <w:ind w:left="1417"/>
        <w:rPr>
          <w:noProof/>
        </w:rPr>
      </w:pPr>
      <w:r w:rsidRPr="00624565">
        <w:rPr>
          <w:noProof/>
        </w:rPr>
        <w:t>certyfikat zgodności,</w:t>
      </w:r>
      <w:r w:rsidR="003F3D2B" w:rsidRPr="00624565">
        <w:rPr>
          <w:noProof/>
        </w:rPr>
        <w:t xml:space="preserve"> o</w:t>
      </w:r>
      <w:r w:rsidR="003F3D2B">
        <w:rPr>
          <w:noProof/>
        </w:rPr>
        <w:t> </w:t>
      </w:r>
      <w:r w:rsidR="003F3D2B" w:rsidRPr="00624565">
        <w:rPr>
          <w:noProof/>
        </w:rPr>
        <w:t>któ</w:t>
      </w:r>
      <w:r w:rsidRPr="00624565">
        <w:rPr>
          <w:noProof/>
        </w:rPr>
        <w:t>rym mowa</w:t>
      </w:r>
      <w:r w:rsidR="003F3D2B" w:rsidRPr="00624565">
        <w:rPr>
          <w:noProof/>
        </w:rPr>
        <w:t xml:space="preserve"> w</w:t>
      </w:r>
      <w:r w:rsidR="003F3D2B">
        <w:rPr>
          <w:noProof/>
        </w:rPr>
        <w:t> </w:t>
      </w:r>
      <w:r w:rsidR="003F3D2B" w:rsidRPr="003F3D2B">
        <w:rPr>
          <w:noProof/>
        </w:rPr>
        <w:t>art</w:t>
      </w:r>
      <w:r w:rsidRPr="003F3D2B">
        <w:rPr>
          <w:noProof/>
        </w:rPr>
        <w:t>.</w:t>
      </w:r>
      <w:r w:rsidR="003F3D2B" w:rsidRPr="003F3D2B">
        <w:rPr>
          <w:noProof/>
        </w:rPr>
        <w:t> </w:t>
      </w:r>
      <w:r w:rsidRPr="003F3D2B">
        <w:rPr>
          <w:noProof/>
        </w:rPr>
        <w:t>1</w:t>
      </w:r>
      <w:r w:rsidRPr="00624565">
        <w:rPr>
          <w:noProof/>
        </w:rPr>
        <w:t>0, dotyczący uzasadnienia oświadczenia oraz informacje kontaktowe weryfikatora, który wystawił ten certyfikat;</w:t>
      </w:r>
    </w:p>
    <w:p w14:paraId="7691CB17" w14:textId="7FD0FC92" w:rsidR="00137ED6" w:rsidRPr="00624565" w:rsidRDefault="00137ED6" w:rsidP="00624565">
      <w:pPr>
        <w:pStyle w:val="ListNumberLevel2"/>
        <w:ind w:left="1417"/>
        <w:rPr>
          <w:noProof/>
        </w:rPr>
      </w:pPr>
      <w:r w:rsidRPr="00624565">
        <w:rPr>
          <w:noProof/>
        </w:rPr>
        <w:t>w przypadku wyraźnych oświadczeń środowiskowych dotyczących klimatu, które opierają się na kompensowaniu emisji gazów cieplarnianych – informacje na temat zakresu,</w:t>
      </w:r>
      <w:r w:rsidR="003F3D2B" w:rsidRPr="00624565">
        <w:rPr>
          <w:noProof/>
        </w:rPr>
        <w:t xml:space="preserve"> w</w:t>
      </w:r>
      <w:r w:rsidR="003F3D2B">
        <w:rPr>
          <w:noProof/>
        </w:rPr>
        <w:t> </w:t>
      </w:r>
      <w:r w:rsidR="003F3D2B" w:rsidRPr="00624565">
        <w:rPr>
          <w:noProof/>
        </w:rPr>
        <w:t>jak</w:t>
      </w:r>
      <w:r w:rsidRPr="00624565">
        <w:rPr>
          <w:noProof/>
        </w:rPr>
        <w:t>im opierają się one na takim kompensowaniu</w:t>
      </w:r>
      <w:r w:rsidR="003F3D2B" w:rsidRPr="00624565">
        <w:rPr>
          <w:noProof/>
        </w:rPr>
        <w:t xml:space="preserve"> i</w:t>
      </w:r>
      <w:r w:rsidR="003F3D2B">
        <w:rPr>
          <w:noProof/>
        </w:rPr>
        <w:t> </w:t>
      </w:r>
      <w:r w:rsidR="003F3D2B" w:rsidRPr="00624565">
        <w:rPr>
          <w:noProof/>
        </w:rPr>
        <w:t>czy</w:t>
      </w:r>
      <w:r w:rsidRPr="00624565">
        <w:rPr>
          <w:noProof/>
        </w:rPr>
        <w:t xml:space="preserve"> dotyczą redukcji lub pochłaniania emisji;</w:t>
      </w:r>
    </w:p>
    <w:p w14:paraId="5229268B" w14:textId="56A0D107" w:rsidR="00137ED6" w:rsidRPr="00624565" w:rsidRDefault="00137ED6" w:rsidP="00624565">
      <w:pPr>
        <w:pStyle w:val="ListNumberLevel2"/>
        <w:ind w:left="1417"/>
        <w:rPr>
          <w:noProof/>
        </w:rPr>
      </w:pPr>
      <w:r w:rsidRPr="00624565">
        <w:rPr>
          <w:noProof/>
        </w:rPr>
        <w:t>podsumowanie oceny obejmujące elementy wymienione</w:t>
      </w:r>
      <w:r w:rsidR="003F3D2B" w:rsidRPr="00624565">
        <w:rPr>
          <w:noProof/>
        </w:rPr>
        <w:t xml:space="preserve"> w</w:t>
      </w:r>
      <w:r w:rsidR="003F3D2B">
        <w:rPr>
          <w:noProof/>
        </w:rPr>
        <w:t> </w:t>
      </w:r>
      <w:r w:rsidR="003F3D2B" w:rsidRPr="00624565">
        <w:rPr>
          <w:noProof/>
        </w:rPr>
        <w:t>nin</w:t>
      </w:r>
      <w:r w:rsidRPr="00624565">
        <w:rPr>
          <w:noProof/>
        </w:rPr>
        <w:t>iejszym ustępie, które jest jasne</w:t>
      </w:r>
      <w:r w:rsidR="003F3D2B" w:rsidRPr="00624565">
        <w:rPr>
          <w:noProof/>
        </w:rPr>
        <w:t xml:space="preserve"> i</w:t>
      </w:r>
      <w:r w:rsidR="003F3D2B">
        <w:rPr>
          <w:noProof/>
        </w:rPr>
        <w:t> </w:t>
      </w:r>
      <w:r w:rsidR="003F3D2B" w:rsidRPr="00624565">
        <w:rPr>
          <w:noProof/>
        </w:rPr>
        <w:t>zro</w:t>
      </w:r>
      <w:r w:rsidRPr="00624565">
        <w:rPr>
          <w:noProof/>
        </w:rPr>
        <w:t>zumiałe dla konsumentów, do których skierowane jest oświadczenie,</w:t>
      </w:r>
      <w:r w:rsidR="003F3D2B" w:rsidRPr="00624565">
        <w:rPr>
          <w:noProof/>
        </w:rPr>
        <w:t xml:space="preserve"> i</w:t>
      </w:r>
      <w:r w:rsidR="003F3D2B">
        <w:rPr>
          <w:noProof/>
        </w:rPr>
        <w:t> </w:t>
      </w:r>
      <w:r w:rsidR="003F3D2B" w:rsidRPr="00624565">
        <w:rPr>
          <w:noProof/>
        </w:rPr>
        <w:t>któ</w:t>
      </w:r>
      <w:r w:rsidRPr="00624565">
        <w:rPr>
          <w:noProof/>
        </w:rPr>
        <w:t>re jest sporządzone w co najmniej jednym</w:t>
      </w:r>
      <w:r w:rsidR="003F3D2B" w:rsidRPr="00624565">
        <w:rPr>
          <w:noProof/>
        </w:rPr>
        <w:t xml:space="preserve"> z</w:t>
      </w:r>
      <w:r w:rsidR="003F3D2B">
        <w:rPr>
          <w:noProof/>
        </w:rPr>
        <w:t> </w:t>
      </w:r>
      <w:r w:rsidR="003F3D2B" w:rsidRPr="00624565">
        <w:rPr>
          <w:noProof/>
        </w:rPr>
        <w:t>jęz</w:t>
      </w:r>
      <w:r w:rsidRPr="00624565">
        <w:rPr>
          <w:noProof/>
        </w:rPr>
        <w:t>yków urzędowych państwa członkowskiego,</w:t>
      </w:r>
      <w:r w:rsidR="003F3D2B" w:rsidRPr="00624565">
        <w:rPr>
          <w:noProof/>
        </w:rPr>
        <w:t xml:space="preserve"> w</w:t>
      </w:r>
      <w:r w:rsidR="003F3D2B">
        <w:rPr>
          <w:noProof/>
        </w:rPr>
        <w:t> </w:t>
      </w:r>
      <w:r w:rsidR="003F3D2B" w:rsidRPr="00624565">
        <w:rPr>
          <w:noProof/>
        </w:rPr>
        <w:t>któ</w:t>
      </w:r>
      <w:r w:rsidRPr="00624565">
        <w:rPr>
          <w:noProof/>
        </w:rPr>
        <w:t>rym składa się oświadczenie.</w:t>
      </w:r>
    </w:p>
    <w:p w14:paraId="0FB87FA3" w14:textId="07438448" w:rsidR="00137ED6" w:rsidRPr="00624565" w:rsidRDefault="004D161E" w:rsidP="004D161E">
      <w:pPr>
        <w:pStyle w:val="ManualNumPar1"/>
        <w:rPr>
          <w:noProof/>
        </w:rPr>
      </w:pPr>
      <w:r w:rsidRPr="00624565">
        <w:rPr>
          <w:noProof/>
        </w:rPr>
        <w:t>7.</w:t>
      </w:r>
      <w:r w:rsidRPr="00624565">
        <w:rPr>
          <w:noProof/>
        </w:rPr>
        <w:tab/>
        <w:t>Wymogi określone</w:t>
      </w:r>
      <w:r w:rsidR="003F3D2B" w:rsidRPr="00624565">
        <w:rPr>
          <w:noProof/>
        </w:rPr>
        <w:t xml:space="preserve"> w</w:t>
      </w:r>
      <w:r w:rsidR="003F3D2B">
        <w:rPr>
          <w:noProof/>
        </w:rPr>
        <w:t> </w:t>
      </w:r>
      <w:r w:rsidR="003F3D2B" w:rsidRPr="003F3D2B">
        <w:rPr>
          <w:noProof/>
        </w:rPr>
        <w:t>ust</w:t>
      </w:r>
      <w:r w:rsidRPr="003F3D2B">
        <w:rPr>
          <w:noProof/>
        </w:rPr>
        <w:t>.</w:t>
      </w:r>
      <w:r w:rsidR="003F3D2B" w:rsidRPr="003F3D2B">
        <w:rPr>
          <w:noProof/>
        </w:rPr>
        <w:t> </w:t>
      </w:r>
      <w:r w:rsidRPr="003F3D2B">
        <w:rPr>
          <w:noProof/>
        </w:rPr>
        <w:t>2</w:t>
      </w:r>
      <w:r w:rsidRPr="00624565">
        <w:rPr>
          <w:noProof/>
        </w:rPr>
        <w:t>, 3</w:t>
      </w:r>
      <w:r w:rsidR="003F3D2B" w:rsidRPr="00624565">
        <w:rPr>
          <w:noProof/>
        </w:rPr>
        <w:t xml:space="preserve"> i</w:t>
      </w:r>
      <w:r w:rsidR="003F3D2B">
        <w:rPr>
          <w:noProof/>
        </w:rPr>
        <w:t> </w:t>
      </w:r>
      <w:r w:rsidR="003F3D2B" w:rsidRPr="00624565">
        <w:rPr>
          <w:noProof/>
        </w:rPr>
        <w:t>6</w:t>
      </w:r>
      <w:r w:rsidRPr="00624565">
        <w:rPr>
          <w:noProof/>
        </w:rPr>
        <w:t xml:space="preserve"> nie mają zastosowania do przedsiębiorców będących mikroprzedsiębiorstwami</w:t>
      </w:r>
      <w:r w:rsidR="003F3D2B" w:rsidRPr="00624565">
        <w:rPr>
          <w:noProof/>
        </w:rPr>
        <w:t xml:space="preserve"> w</w:t>
      </w:r>
      <w:r w:rsidR="003F3D2B">
        <w:rPr>
          <w:noProof/>
        </w:rPr>
        <w:t> </w:t>
      </w:r>
      <w:r w:rsidR="003F3D2B" w:rsidRPr="00624565">
        <w:rPr>
          <w:noProof/>
        </w:rPr>
        <w:t>roz</w:t>
      </w:r>
      <w:r w:rsidRPr="00624565">
        <w:rPr>
          <w:noProof/>
        </w:rPr>
        <w:t>umieniu zalecenia Komisji 2003/361/WE, chyba że zażądają oni dokonania weryfikacji</w:t>
      </w:r>
      <w:r w:rsidR="003F3D2B" w:rsidRPr="00624565">
        <w:rPr>
          <w:noProof/>
        </w:rPr>
        <w:t xml:space="preserve"> w</w:t>
      </w:r>
      <w:r w:rsidR="003F3D2B">
        <w:rPr>
          <w:noProof/>
        </w:rPr>
        <w:t> </w:t>
      </w:r>
      <w:r w:rsidR="003F3D2B" w:rsidRPr="00624565">
        <w:rPr>
          <w:noProof/>
        </w:rPr>
        <w:t>cel</w:t>
      </w:r>
      <w:r w:rsidRPr="00624565">
        <w:rPr>
          <w:noProof/>
        </w:rPr>
        <w:t>u otrzymania certyfikatu zgodności zgodnie</w:t>
      </w:r>
      <w:r w:rsidR="003F3D2B" w:rsidRPr="00624565">
        <w:rPr>
          <w:noProof/>
        </w:rPr>
        <w:t xml:space="preserve"> z</w:t>
      </w:r>
      <w:r w:rsidR="003F3D2B">
        <w:rPr>
          <w:noProof/>
        </w:rPr>
        <w:t> </w:t>
      </w:r>
      <w:r w:rsidR="003F3D2B" w:rsidRPr="003F3D2B">
        <w:rPr>
          <w:noProof/>
        </w:rPr>
        <w:t>art</w:t>
      </w:r>
      <w:r w:rsidRPr="003F3D2B">
        <w:rPr>
          <w:noProof/>
        </w:rPr>
        <w:t>.</w:t>
      </w:r>
      <w:r w:rsidR="003F3D2B" w:rsidRPr="003F3D2B">
        <w:rPr>
          <w:noProof/>
        </w:rPr>
        <w:t> </w:t>
      </w:r>
      <w:r w:rsidRPr="003F3D2B">
        <w:rPr>
          <w:noProof/>
        </w:rPr>
        <w:t>1</w:t>
      </w:r>
      <w:r w:rsidRPr="00624565">
        <w:rPr>
          <w:noProof/>
        </w:rPr>
        <w:t>0.</w:t>
      </w:r>
    </w:p>
    <w:p w14:paraId="34053B3A" w14:textId="5CDD3F89" w:rsidR="00F70417" w:rsidRPr="00624565" w:rsidRDefault="004D161E" w:rsidP="004D161E">
      <w:pPr>
        <w:pStyle w:val="ManualNumPar1"/>
        <w:rPr>
          <w:noProof/>
        </w:rPr>
      </w:pPr>
      <w:r w:rsidRPr="00624565">
        <w:rPr>
          <w:noProof/>
        </w:rPr>
        <w:t>8.</w:t>
      </w:r>
      <w:r w:rsidRPr="00624565">
        <w:rPr>
          <w:noProof/>
        </w:rPr>
        <w:tab/>
        <w:t>W przypadku gdy uzasadnienie niektórych rodzajów wpływu na środowisko, aspektów środowiskowych lub efektywności środowiskowej podlega przepisom ustanowionym</w:t>
      </w:r>
      <w:r w:rsidR="003F3D2B" w:rsidRPr="00624565">
        <w:rPr>
          <w:noProof/>
        </w:rPr>
        <w:t xml:space="preserve"> w</w:t>
      </w:r>
      <w:r w:rsidR="003F3D2B">
        <w:rPr>
          <w:noProof/>
        </w:rPr>
        <w:t> </w:t>
      </w:r>
      <w:r w:rsidR="003F3D2B" w:rsidRPr="00624565">
        <w:rPr>
          <w:noProof/>
        </w:rPr>
        <w:t>akt</w:t>
      </w:r>
      <w:r w:rsidRPr="00624565">
        <w:rPr>
          <w:noProof/>
        </w:rPr>
        <w:t>ach delegowanych,</w:t>
      </w:r>
      <w:r w:rsidR="003F3D2B" w:rsidRPr="00624565">
        <w:rPr>
          <w:noProof/>
        </w:rPr>
        <w:t xml:space="preserve"> o</w:t>
      </w:r>
      <w:r w:rsidR="003F3D2B">
        <w:rPr>
          <w:noProof/>
        </w:rPr>
        <w:t> </w:t>
      </w:r>
      <w:r w:rsidR="003F3D2B" w:rsidRPr="00624565">
        <w:rPr>
          <w:noProof/>
        </w:rPr>
        <w:t>któ</w:t>
      </w:r>
      <w:r w:rsidRPr="00624565">
        <w:rPr>
          <w:noProof/>
        </w:rPr>
        <w:t>rych mowa</w:t>
      </w:r>
      <w:r w:rsidR="003F3D2B" w:rsidRPr="00624565">
        <w:rPr>
          <w:noProof/>
        </w:rPr>
        <w:t xml:space="preserve"> w</w:t>
      </w:r>
      <w:r w:rsidR="003F3D2B">
        <w:rPr>
          <w:noProof/>
        </w:rPr>
        <w:t> </w:t>
      </w:r>
      <w:r w:rsidR="003F3D2B" w:rsidRPr="003F3D2B">
        <w:rPr>
          <w:noProof/>
        </w:rPr>
        <w:t>art</w:t>
      </w:r>
      <w:r w:rsidRPr="003F3D2B">
        <w:rPr>
          <w:noProof/>
        </w:rPr>
        <w:t>.</w:t>
      </w:r>
      <w:r w:rsidR="003F3D2B" w:rsidRPr="003F3D2B">
        <w:rPr>
          <w:noProof/>
        </w:rPr>
        <w:t> </w:t>
      </w:r>
      <w:r w:rsidRPr="003F3D2B">
        <w:rPr>
          <w:noProof/>
        </w:rPr>
        <w:t>3</w:t>
      </w:r>
      <w:r w:rsidRPr="00624565">
        <w:rPr>
          <w:noProof/>
        </w:rPr>
        <w:t xml:space="preserve"> </w:t>
      </w:r>
      <w:r w:rsidRPr="003F3D2B">
        <w:rPr>
          <w:noProof/>
        </w:rPr>
        <w:t>ust.</w:t>
      </w:r>
      <w:r w:rsidR="003F3D2B" w:rsidRPr="003F3D2B">
        <w:rPr>
          <w:noProof/>
        </w:rPr>
        <w:t> </w:t>
      </w:r>
      <w:r w:rsidRPr="003F3D2B">
        <w:rPr>
          <w:noProof/>
        </w:rPr>
        <w:t>4</w:t>
      </w:r>
      <w:r w:rsidRPr="00624565">
        <w:rPr>
          <w:noProof/>
        </w:rPr>
        <w:t xml:space="preserve"> </w:t>
      </w:r>
      <w:r w:rsidRPr="003F3D2B">
        <w:rPr>
          <w:noProof/>
        </w:rPr>
        <w:t>lit.</w:t>
      </w:r>
      <w:r w:rsidR="003F3D2B" w:rsidRPr="003F3D2B">
        <w:rPr>
          <w:noProof/>
        </w:rPr>
        <w:t> </w:t>
      </w:r>
      <w:r w:rsidRPr="003F3D2B">
        <w:rPr>
          <w:noProof/>
        </w:rPr>
        <w:t>a)</w:t>
      </w:r>
      <w:r w:rsidR="003F3D2B" w:rsidRPr="00624565">
        <w:rPr>
          <w:noProof/>
        </w:rPr>
        <w:t xml:space="preserve"> i</w:t>
      </w:r>
      <w:r w:rsidR="003F3D2B">
        <w:rPr>
          <w:noProof/>
        </w:rPr>
        <w:t> </w:t>
      </w:r>
      <w:r w:rsidR="003F3D2B" w:rsidRPr="003F3D2B">
        <w:rPr>
          <w:noProof/>
        </w:rPr>
        <w:t>ust</w:t>
      </w:r>
      <w:r w:rsidRPr="003F3D2B">
        <w:rPr>
          <w:noProof/>
        </w:rPr>
        <w:t>.</w:t>
      </w:r>
      <w:r w:rsidR="003F3D2B" w:rsidRPr="003F3D2B">
        <w:rPr>
          <w:noProof/>
        </w:rPr>
        <w:t> </w:t>
      </w:r>
      <w:r w:rsidRPr="003F3D2B">
        <w:rPr>
          <w:noProof/>
        </w:rPr>
        <w:t>4</w:t>
      </w:r>
      <w:r w:rsidRPr="00624565">
        <w:rPr>
          <w:noProof/>
        </w:rPr>
        <w:t xml:space="preserve"> </w:t>
      </w:r>
      <w:r w:rsidRPr="003F3D2B">
        <w:rPr>
          <w:noProof/>
        </w:rPr>
        <w:t>lit.</w:t>
      </w:r>
      <w:r w:rsidR="003F3D2B" w:rsidRPr="003F3D2B">
        <w:rPr>
          <w:noProof/>
        </w:rPr>
        <w:t> </w:t>
      </w:r>
      <w:r w:rsidRPr="003F3D2B">
        <w:rPr>
          <w:noProof/>
        </w:rPr>
        <w:t>c)</w:t>
      </w:r>
      <w:r w:rsidRPr="00624565">
        <w:rPr>
          <w:noProof/>
        </w:rPr>
        <w:t>, Komisja może przyjąć akty delegowane zgodnie</w:t>
      </w:r>
      <w:r w:rsidR="003F3D2B" w:rsidRPr="00624565">
        <w:rPr>
          <w:noProof/>
        </w:rPr>
        <w:t xml:space="preserve"> z</w:t>
      </w:r>
      <w:r w:rsidR="003F3D2B">
        <w:rPr>
          <w:noProof/>
        </w:rPr>
        <w:t> </w:t>
      </w:r>
      <w:r w:rsidR="003F3D2B" w:rsidRPr="003F3D2B">
        <w:rPr>
          <w:noProof/>
        </w:rPr>
        <w:t>art</w:t>
      </w:r>
      <w:r w:rsidRPr="003F3D2B">
        <w:rPr>
          <w:noProof/>
        </w:rPr>
        <w:t>.</w:t>
      </w:r>
      <w:r w:rsidR="003F3D2B" w:rsidRPr="003F3D2B">
        <w:rPr>
          <w:noProof/>
        </w:rPr>
        <w:t> </w:t>
      </w:r>
      <w:r w:rsidRPr="003F3D2B">
        <w:rPr>
          <w:noProof/>
        </w:rPr>
        <w:t>1</w:t>
      </w:r>
      <w:r w:rsidRPr="00624565">
        <w:rPr>
          <w:noProof/>
        </w:rPr>
        <w:t>8, aby uzupełnić wymogi dotyczące informowania</w:t>
      </w:r>
      <w:r w:rsidR="003F3D2B" w:rsidRPr="00624565">
        <w:rPr>
          <w:noProof/>
        </w:rPr>
        <w:t xml:space="preserve"> o</w:t>
      </w:r>
      <w:r w:rsidR="003F3D2B">
        <w:rPr>
          <w:noProof/>
        </w:rPr>
        <w:t> </w:t>
      </w:r>
      <w:r w:rsidR="003F3D2B" w:rsidRPr="00624565">
        <w:rPr>
          <w:noProof/>
        </w:rPr>
        <w:t>wyr</w:t>
      </w:r>
      <w:r w:rsidRPr="00624565">
        <w:rPr>
          <w:noProof/>
        </w:rPr>
        <w:t>aźnych oświadczeniach środowiskowych określone</w:t>
      </w:r>
      <w:r w:rsidR="003F3D2B" w:rsidRPr="00624565">
        <w:rPr>
          <w:noProof/>
        </w:rPr>
        <w:t xml:space="preserve"> w</w:t>
      </w:r>
      <w:r w:rsidR="003F3D2B">
        <w:rPr>
          <w:noProof/>
        </w:rPr>
        <w:t> </w:t>
      </w:r>
      <w:r w:rsidR="003F3D2B" w:rsidRPr="003F3D2B">
        <w:rPr>
          <w:noProof/>
        </w:rPr>
        <w:t>art</w:t>
      </w:r>
      <w:r w:rsidRPr="003F3D2B">
        <w:rPr>
          <w:noProof/>
        </w:rPr>
        <w:t>.</w:t>
      </w:r>
      <w:r w:rsidR="003F3D2B" w:rsidRPr="003F3D2B">
        <w:rPr>
          <w:noProof/>
        </w:rPr>
        <w:t> </w:t>
      </w:r>
      <w:r w:rsidRPr="003F3D2B">
        <w:rPr>
          <w:noProof/>
        </w:rPr>
        <w:t>5</w:t>
      </w:r>
      <w:r w:rsidRPr="00624565">
        <w:rPr>
          <w:noProof/>
        </w:rPr>
        <w:t xml:space="preserve"> poprzez doprecyzowanie informacji, które mogą być lub są udostępniane</w:t>
      </w:r>
      <w:r w:rsidR="003F3D2B" w:rsidRPr="00624565">
        <w:rPr>
          <w:noProof/>
        </w:rPr>
        <w:t xml:space="preserve"> w</w:t>
      </w:r>
      <w:r w:rsidR="003F3D2B">
        <w:rPr>
          <w:noProof/>
        </w:rPr>
        <w:t> </w:t>
      </w:r>
      <w:r w:rsidR="003F3D2B" w:rsidRPr="00624565">
        <w:rPr>
          <w:noProof/>
        </w:rPr>
        <w:t>odn</w:t>
      </w:r>
      <w:r w:rsidRPr="00624565">
        <w:rPr>
          <w:noProof/>
        </w:rPr>
        <w:t>iesieniu do takich rodzajów wpływu na środowisko, aspektów środowiskowych lub efektywności środowiskowej, aby upewnić się, że konsumenci nie są wprowadzani</w:t>
      </w:r>
      <w:r w:rsidR="003F3D2B" w:rsidRPr="00624565">
        <w:rPr>
          <w:noProof/>
        </w:rPr>
        <w:t xml:space="preserve"> w</w:t>
      </w:r>
      <w:r w:rsidR="003F3D2B">
        <w:rPr>
          <w:noProof/>
        </w:rPr>
        <w:t> </w:t>
      </w:r>
      <w:r w:rsidR="003F3D2B" w:rsidRPr="00624565">
        <w:rPr>
          <w:noProof/>
        </w:rPr>
        <w:t>błą</w:t>
      </w:r>
      <w:r w:rsidRPr="00624565">
        <w:rPr>
          <w:noProof/>
        </w:rPr>
        <w:t>d.</w:t>
      </w:r>
    </w:p>
    <w:p w14:paraId="47BDDD96" w14:textId="77777777" w:rsidR="00137ED6" w:rsidRPr="00624565" w:rsidRDefault="00137ED6" w:rsidP="00137ED6">
      <w:pPr>
        <w:pStyle w:val="Titrearticle"/>
        <w:rPr>
          <w:noProof/>
        </w:rPr>
      </w:pPr>
      <w:r w:rsidRPr="00624565">
        <w:rPr>
          <w:noProof/>
        </w:rPr>
        <w:t>Artykuł 6</w:t>
      </w:r>
    </w:p>
    <w:p w14:paraId="59EAA233" w14:textId="7C5523F3" w:rsidR="00137ED6" w:rsidRPr="00624565" w:rsidRDefault="00137ED6" w:rsidP="00137ED6">
      <w:pPr>
        <w:pStyle w:val="Titrearticle"/>
        <w:rPr>
          <w:noProof/>
        </w:rPr>
      </w:pPr>
      <w:r w:rsidRPr="00624565">
        <w:rPr>
          <w:noProof/>
        </w:rPr>
        <w:t>Informowanie</w:t>
      </w:r>
      <w:r w:rsidR="003F3D2B" w:rsidRPr="00624565">
        <w:rPr>
          <w:noProof/>
        </w:rPr>
        <w:t xml:space="preserve"> o</w:t>
      </w:r>
      <w:r w:rsidR="003F3D2B">
        <w:rPr>
          <w:noProof/>
        </w:rPr>
        <w:t> </w:t>
      </w:r>
      <w:r w:rsidR="003F3D2B" w:rsidRPr="00624565">
        <w:rPr>
          <w:noProof/>
        </w:rPr>
        <w:t>ośw</w:t>
      </w:r>
      <w:r w:rsidRPr="00624565">
        <w:rPr>
          <w:noProof/>
        </w:rPr>
        <w:t>iadczeniach środowiskowych</w:t>
      </w:r>
      <w:r w:rsidR="003F3D2B" w:rsidRPr="00624565">
        <w:rPr>
          <w:noProof/>
        </w:rPr>
        <w:t xml:space="preserve"> o</w:t>
      </w:r>
      <w:r w:rsidR="003F3D2B">
        <w:rPr>
          <w:noProof/>
        </w:rPr>
        <w:t> </w:t>
      </w:r>
      <w:r w:rsidR="003F3D2B" w:rsidRPr="00624565">
        <w:rPr>
          <w:noProof/>
        </w:rPr>
        <w:t>cha</w:t>
      </w:r>
      <w:r w:rsidRPr="00624565">
        <w:rPr>
          <w:noProof/>
        </w:rPr>
        <w:t>rakterze porównawczym</w:t>
      </w:r>
    </w:p>
    <w:p w14:paraId="195D6F26" w14:textId="79A3094C" w:rsidR="00137ED6" w:rsidRPr="00624565" w:rsidRDefault="00137ED6" w:rsidP="00137ED6">
      <w:pPr>
        <w:rPr>
          <w:noProof/>
        </w:rPr>
      </w:pPr>
      <w:r w:rsidRPr="00624565">
        <w:rPr>
          <w:noProof/>
        </w:rPr>
        <w:t>Oświadczenia środowiskowe</w:t>
      </w:r>
      <w:r w:rsidR="003F3D2B" w:rsidRPr="00624565">
        <w:rPr>
          <w:noProof/>
        </w:rPr>
        <w:t xml:space="preserve"> o</w:t>
      </w:r>
      <w:r w:rsidR="003F3D2B">
        <w:rPr>
          <w:noProof/>
        </w:rPr>
        <w:t> </w:t>
      </w:r>
      <w:r w:rsidR="003F3D2B" w:rsidRPr="00624565">
        <w:rPr>
          <w:noProof/>
        </w:rPr>
        <w:t>cha</w:t>
      </w:r>
      <w:r w:rsidRPr="00624565">
        <w:rPr>
          <w:noProof/>
        </w:rPr>
        <w:t>rakterze porównawczym nie dotyczą poprawy</w:t>
      </w:r>
      <w:r w:rsidR="003F3D2B" w:rsidRPr="00624565">
        <w:rPr>
          <w:noProof/>
        </w:rPr>
        <w:t xml:space="preserve"> w</w:t>
      </w:r>
      <w:r w:rsidR="003F3D2B">
        <w:rPr>
          <w:noProof/>
        </w:rPr>
        <w:t> </w:t>
      </w:r>
      <w:r w:rsidR="003F3D2B" w:rsidRPr="00624565">
        <w:rPr>
          <w:noProof/>
        </w:rPr>
        <w:t>zak</w:t>
      </w:r>
      <w:r w:rsidRPr="00624565">
        <w:rPr>
          <w:noProof/>
        </w:rPr>
        <w:t>resie wpływu na środowisko, aspektów środowiskowych lub efektywności środowiskowej produktu będącego przedmiotem oświadczenia</w:t>
      </w:r>
      <w:r w:rsidR="003F3D2B" w:rsidRPr="00624565">
        <w:rPr>
          <w:noProof/>
        </w:rPr>
        <w:t xml:space="preserve"> w</w:t>
      </w:r>
      <w:r w:rsidR="003F3D2B">
        <w:rPr>
          <w:noProof/>
        </w:rPr>
        <w:t> </w:t>
      </w:r>
      <w:r w:rsidR="003F3D2B" w:rsidRPr="00624565">
        <w:rPr>
          <w:noProof/>
        </w:rPr>
        <w:t>por</w:t>
      </w:r>
      <w:r w:rsidRPr="00624565">
        <w:rPr>
          <w:noProof/>
        </w:rPr>
        <w:t>ównaniu</w:t>
      </w:r>
      <w:r w:rsidR="003F3D2B" w:rsidRPr="00624565">
        <w:rPr>
          <w:noProof/>
        </w:rPr>
        <w:t xml:space="preserve"> z</w:t>
      </w:r>
      <w:r w:rsidR="003F3D2B">
        <w:rPr>
          <w:noProof/>
        </w:rPr>
        <w:t> </w:t>
      </w:r>
      <w:r w:rsidR="003F3D2B" w:rsidRPr="00624565">
        <w:rPr>
          <w:noProof/>
        </w:rPr>
        <w:t>wpł</w:t>
      </w:r>
      <w:r w:rsidRPr="00624565">
        <w:rPr>
          <w:noProof/>
        </w:rPr>
        <w:t>ywem na środowisko, aspektami środowiskowymi lub efektywnością środowiskową innego produktu pochodzącego od tego samego przedsiębiorcy lub od konkurującego</w:t>
      </w:r>
      <w:r w:rsidR="003F3D2B" w:rsidRPr="00624565">
        <w:rPr>
          <w:noProof/>
        </w:rPr>
        <w:t xml:space="preserve"> z</w:t>
      </w:r>
      <w:r w:rsidR="003F3D2B">
        <w:rPr>
          <w:noProof/>
        </w:rPr>
        <w:t> </w:t>
      </w:r>
      <w:r w:rsidR="003F3D2B" w:rsidRPr="00624565">
        <w:rPr>
          <w:noProof/>
        </w:rPr>
        <w:t>nim</w:t>
      </w:r>
      <w:r w:rsidRPr="00624565">
        <w:rPr>
          <w:noProof/>
        </w:rPr>
        <w:t xml:space="preserve"> przedsiębiorcy, który nie prowadzi już działalności na rynku </w:t>
      </w:r>
      <w:r w:rsidRPr="00624565">
        <w:rPr>
          <w:rStyle w:val="normaltextrun"/>
          <w:noProof/>
          <w:color w:val="000000" w:themeColor="text1"/>
        </w:rPr>
        <w:t>lub od przedsiębiorcy, który nie prowadzi już sprzedaży na rzecz konsumentów</w:t>
      </w:r>
      <w:r w:rsidRPr="00624565">
        <w:rPr>
          <w:noProof/>
        </w:rPr>
        <w:t>, chyba że opierają się one na dowodach świadczących</w:t>
      </w:r>
      <w:r w:rsidR="003F3D2B" w:rsidRPr="00624565">
        <w:rPr>
          <w:noProof/>
        </w:rPr>
        <w:t xml:space="preserve"> o</w:t>
      </w:r>
      <w:r w:rsidR="003F3D2B">
        <w:rPr>
          <w:noProof/>
        </w:rPr>
        <w:t> </w:t>
      </w:r>
      <w:r w:rsidR="003F3D2B" w:rsidRPr="00624565">
        <w:rPr>
          <w:noProof/>
        </w:rPr>
        <w:t>tym</w:t>
      </w:r>
      <w:r w:rsidRPr="00624565">
        <w:rPr>
          <w:noProof/>
        </w:rPr>
        <w:t>, że poprawa jest znacząca</w:t>
      </w:r>
      <w:r w:rsidR="003F3D2B" w:rsidRPr="00624565">
        <w:rPr>
          <w:noProof/>
        </w:rPr>
        <w:t xml:space="preserve"> i</w:t>
      </w:r>
      <w:r w:rsidR="003F3D2B">
        <w:rPr>
          <w:noProof/>
        </w:rPr>
        <w:t> </w:t>
      </w:r>
      <w:r w:rsidR="003F3D2B" w:rsidRPr="00624565">
        <w:rPr>
          <w:noProof/>
        </w:rPr>
        <w:t>zos</w:t>
      </w:r>
      <w:r w:rsidRPr="00624565">
        <w:rPr>
          <w:noProof/>
        </w:rPr>
        <w:t>tała osiągnięta</w:t>
      </w:r>
      <w:r w:rsidR="003F3D2B" w:rsidRPr="00624565">
        <w:rPr>
          <w:noProof/>
        </w:rPr>
        <w:t xml:space="preserve"> w</w:t>
      </w:r>
      <w:r w:rsidR="003F3D2B">
        <w:rPr>
          <w:noProof/>
        </w:rPr>
        <w:t> </w:t>
      </w:r>
      <w:r w:rsidR="003F3D2B" w:rsidRPr="00624565">
        <w:rPr>
          <w:noProof/>
        </w:rPr>
        <w:t>cią</w:t>
      </w:r>
      <w:r w:rsidRPr="00624565">
        <w:rPr>
          <w:noProof/>
        </w:rPr>
        <w:t>gu ostatnich pięciu lat.</w:t>
      </w:r>
    </w:p>
    <w:p w14:paraId="307DB882" w14:textId="77777777" w:rsidR="00927E8F" w:rsidRPr="00624565" w:rsidRDefault="00927E8F" w:rsidP="00927E8F">
      <w:pPr>
        <w:pStyle w:val="Titrearticle"/>
        <w:ind w:left="425"/>
        <w:rPr>
          <w:noProof/>
        </w:rPr>
      </w:pPr>
      <w:r w:rsidRPr="00624565">
        <w:rPr>
          <w:noProof/>
        </w:rPr>
        <w:t>Artykuł 7</w:t>
      </w:r>
    </w:p>
    <w:p w14:paraId="621C1370" w14:textId="77777777" w:rsidR="00927E8F" w:rsidRPr="00624565" w:rsidRDefault="00927E8F" w:rsidP="00927E8F">
      <w:pPr>
        <w:pStyle w:val="Titrearticle"/>
        <w:ind w:left="425"/>
        <w:rPr>
          <w:noProof/>
        </w:rPr>
      </w:pPr>
      <w:r w:rsidRPr="00624565">
        <w:rPr>
          <w:noProof/>
        </w:rPr>
        <w:t>Oznakowania ekologiczne</w:t>
      </w:r>
    </w:p>
    <w:p w14:paraId="6A22A313" w14:textId="45F7FA1C" w:rsidR="00927E8F" w:rsidRPr="003F3D2B" w:rsidRDefault="004D161E" w:rsidP="004D161E">
      <w:pPr>
        <w:pStyle w:val="ManualNumPar1"/>
        <w:rPr>
          <w:noProof/>
        </w:rPr>
      </w:pPr>
      <w:r w:rsidRPr="00624565">
        <w:rPr>
          <w:noProof/>
        </w:rPr>
        <w:t>1.</w:t>
      </w:r>
      <w:r w:rsidRPr="00624565">
        <w:rPr>
          <w:noProof/>
        </w:rPr>
        <w:tab/>
        <w:t>Państwa członkowskie zapewniają, by oznakowania ekologiczne spełniały wymogi określone</w:t>
      </w:r>
      <w:r w:rsidR="003F3D2B" w:rsidRPr="00624565">
        <w:rPr>
          <w:noProof/>
        </w:rPr>
        <w:t xml:space="preserve"> w</w:t>
      </w:r>
      <w:r w:rsidR="003F3D2B">
        <w:rPr>
          <w:noProof/>
        </w:rPr>
        <w:t> </w:t>
      </w:r>
      <w:r w:rsidR="003F3D2B" w:rsidRPr="003F3D2B">
        <w:rPr>
          <w:noProof/>
        </w:rPr>
        <w:t>art</w:t>
      </w:r>
      <w:r w:rsidRPr="003F3D2B">
        <w:rPr>
          <w:noProof/>
        </w:rPr>
        <w:t>.</w:t>
      </w:r>
      <w:r w:rsidR="003F3D2B" w:rsidRPr="003F3D2B">
        <w:rPr>
          <w:noProof/>
        </w:rPr>
        <w:t> </w:t>
      </w:r>
      <w:r w:rsidRPr="003F3D2B">
        <w:rPr>
          <w:noProof/>
        </w:rPr>
        <w:t>3</w:t>
      </w:r>
      <w:r w:rsidRPr="00624565">
        <w:rPr>
          <w:noProof/>
        </w:rPr>
        <w:t>–6</w:t>
      </w:r>
      <w:r w:rsidR="003F3D2B" w:rsidRPr="00624565">
        <w:rPr>
          <w:noProof/>
        </w:rPr>
        <w:t xml:space="preserve"> i</w:t>
      </w:r>
      <w:r w:rsidR="003F3D2B">
        <w:rPr>
          <w:noProof/>
        </w:rPr>
        <w:t> </w:t>
      </w:r>
      <w:r w:rsidR="003F3D2B" w:rsidRPr="00624565">
        <w:rPr>
          <w:noProof/>
        </w:rPr>
        <w:t>pod</w:t>
      </w:r>
      <w:r w:rsidRPr="00624565">
        <w:rPr>
          <w:noProof/>
        </w:rPr>
        <w:t>legały weryfikacji zgodnie</w:t>
      </w:r>
      <w:r w:rsidR="003F3D2B" w:rsidRPr="00624565">
        <w:rPr>
          <w:noProof/>
        </w:rPr>
        <w:t xml:space="preserve"> z</w:t>
      </w:r>
      <w:r w:rsidR="003F3D2B">
        <w:rPr>
          <w:noProof/>
        </w:rPr>
        <w:t> </w:t>
      </w:r>
      <w:r w:rsidR="003F3D2B" w:rsidRPr="003F3D2B">
        <w:rPr>
          <w:noProof/>
        </w:rPr>
        <w:t>art</w:t>
      </w:r>
      <w:r w:rsidRPr="003F3D2B">
        <w:rPr>
          <w:noProof/>
        </w:rPr>
        <w:t>.</w:t>
      </w:r>
      <w:r w:rsidR="003F3D2B" w:rsidRPr="003F3D2B">
        <w:rPr>
          <w:noProof/>
        </w:rPr>
        <w:t> </w:t>
      </w:r>
      <w:r w:rsidRPr="003F3D2B">
        <w:rPr>
          <w:noProof/>
        </w:rPr>
        <w:t>1</w:t>
      </w:r>
      <w:r w:rsidRPr="00624565">
        <w:rPr>
          <w:noProof/>
        </w:rPr>
        <w:t>0</w:t>
      </w:r>
      <w:r w:rsidRPr="003F3D2B">
        <w:rPr>
          <w:noProof/>
        </w:rPr>
        <w:t>.</w:t>
      </w:r>
      <w:r w:rsidR="003F3D2B" w:rsidRPr="003F3D2B">
        <w:rPr>
          <w:noProof/>
        </w:rPr>
        <w:t xml:space="preserve"> </w:t>
      </w:r>
    </w:p>
    <w:p w14:paraId="4DD7059D" w14:textId="1D1B3F05" w:rsidR="00927E8F" w:rsidRPr="00624565" w:rsidRDefault="004D161E" w:rsidP="004D161E">
      <w:pPr>
        <w:pStyle w:val="ManualNumPar1"/>
        <w:rPr>
          <w:noProof/>
        </w:rPr>
      </w:pPr>
      <w:r w:rsidRPr="00624565">
        <w:rPr>
          <w:noProof/>
        </w:rPr>
        <w:t>2.</w:t>
      </w:r>
      <w:r w:rsidRPr="00624565">
        <w:rPr>
          <w:noProof/>
        </w:rPr>
        <w:tab/>
        <w:t>Jedynie oznakowania ekologiczne wydawane</w:t>
      </w:r>
      <w:r w:rsidR="003F3D2B" w:rsidRPr="00624565">
        <w:rPr>
          <w:noProof/>
        </w:rPr>
        <w:t xml:space="preserve"> w</w:t>
      </w:r>
      <w:r w:rsidR="003F3D2B">
        <w:rPr>
          <w:noProof/>
        </w:rPr>
        <w:t> </w:t>
      </w:r>
      <w:r w:rsidR="003F3D2B" w:rsidRPr="00624565">
        <w:rPr>
          <w:noProof/>
        </w:rPr>
        <w:t>ram</w:t>
      </w:r>
      <w:r w:rsidRPr="00624565">
        <w:rPr>
          <w:noProof/>
        </w:rPr>
        <w:t>ach systemów oznakowania ekologicznego ustanowionych na mocy prawa Unii mogą zawierać ocenę lub punktację produktu lub przedsiębiorcy opracowane na podstawie zagregowanego wskaźnika wpływu produktu lub przedsiębiorcy na środowisko.</w:t>
      </w:r>
    </w:p>
    <w:p w14:paraId="4CFF3F96" w14:textId="77777777" w:rsidR="00927E8F" w:rsidRPr="00624565" w:rsidRDefault="00927E8F" w:rsidP="00927E8F">
      <w:pPr>
        <w:pStyle w:val="Titrearticle"/>
        <w:rPr>
          <w:noProof/>
        </w:rPr>
      </w:pPr>
      <w:r w:rsidRPr="00624565">
        <w:rPr>
          <w:noProof/>
        </w:rPr>
        <w:t>Artykuł 8</w:t>
      </w:r>
    </w:p>
    <w:p w14:paraId="77373861" w14:textId="77777777" w:rsidR="00927E8F" w:rsidRPr="00624565" w:rsidRDefault="00927E8F" w:rsidP="00927E8F">
      <w:pPr>
        <w:pStyle w:val="Titrearticle"/>
        <w:rPr>
          <w:noProof/>
        </w:rPr>
      </w:pPr>
      <w:r w:rsidRPr="00624565">
        <w:rPr>
          <w:noProof/>
        </w:rPr>
        <w:t>Wymogi dotyczące systemu oznakowania ekologicznego</w:t>
      </w:r>
    </w:p>
    <w:p w14:paraId="1C7AC7BE" w14:textId="1972D7C2" w:rsidR="00927E8F" w:rsidRPr="00624565" w:rsidRDefault="004D161E" w:rsidP="004D161E">
      <w:pPr>
        <w:pStyle w:val="ManualNumPar1"/>
        <w:rPr>
          <w:noProof/>
        </w:rPr>
      </w:pPr>
      <w:r w:rsidRPr="00624565">
        <w:rPr>
          <w:noProof/>
        </w:rPr>
        <w:t>1.</w:t>
      </w:r>
      <w:r w:rsidRPr="00624565">
        <w:rPr>
          <w:noProof/>
        </w:rPr>
        <w:tab/>
        <w:t>System oznakowania ekologicznego oznacza system certyfikacji, za pośrednictwem którego zaświadcza się, że dany produkt, proces lub przedsiębiorca spełnia wymogi dotyczące oznakowania ekologicznego.</w:t>
      </w:r>
    </w:p>
    <w:p w14:paraId="2D4D8A15" w14:textId="64C94BEE" w:rsidR="00927E8F" w:rsidRPr="00624565" w:rsidRDefault="004D161E" w:rsidP="004D161E">
      <w:pPr>
        <w:pStyle w:val="ManualNumPar1"/>
        <w:rPr>
          <w:noProof/>
        </w:rPr>
      </w:pPr>
      <w:r w:rsidRPr="00624565">
        <w:rPr>
          <w:noProof/>
        </w:rPr>
        <w:t>2.</w:t>
      </w:r>
      <w:r w:rsidRPr="00624565">
        <w:rPr>
          <w:noProof/>
        </w:rPr>
        <w:tab/>
        <w:t>Systemy oznakowania ekologicznego muszą spełniać następujące wymogi:</w:t>
      </w:r>
    </w:p>
    <w:p w14:paraId="12B71B1A" w14:textId="75B43175" w:rsidR="00927E8F" w:rsidRPr="00624565" w:rsidRDefault="00927E8F" w:rsidP="00624565">
      <w:pPr>
        <w:pStyle w:val="ListNumberLevel2"/>
        <w:ind w:left="1417"/>
        <w:rPr>
          <w:noProof/>
        </w:rPr>
      </w:pPr>
      <w:r w:rsidRPr="00624565">
        <w:rPr>
          <w:noProof/>
        </w:rPr>
        <w:t>informacje na temat własności</w:t>
      </w:r>
      <w:r w:rsidR="003F3D2B" w:rsidRPr="00624565">
        <w:rPr>
          <w:noProof/>
        </w:rPr>
        <w:t xml:space="preserve"> i</w:t>
      </w:r>
      <w:r w:rsidR="003F3D2B">
        <w:rPr>
          <w:noProof/>
        </w:rPr>
        <w:t> </w:t>
      </w:r>
      <w:r w:rsidR="003F3D2B" w:rsidRPr="00624565">
        <w:rPr>
          <w:noProof/>
        </w:rPr>
        <w:t>org</w:t>
      </w:r>
      <w:r w:rsidRPr="00624565">
        <w:rPr>
          <w:noProof/>
        </w:rPr>
        <w:t>anów decyzyjnych odpowiedzialnych za system oznakowania ekologicznego są przejrzyste, dostępne nieodpłatnie, łatwe do zrozumienia</w:t>
      </w:r>
      <w:r w:rsidR="003F3D2B" w:rsidRPr="00624565">
        <w:rPr>
          <w:noProof/>
        </w:rPr>
        <w:t xml:space="preserve"> i</w:t>
      </w:r>
      <w:r w:rsidR="003F3D2B">
        <w:rPr>
          <w:noProof/>
        </w:rPr>
        <w:t> </w:t>
      </w:r>
      <w:r w:rsidR="003F3D2B" w:rsidRPr="00624565">
        <w:rPr>
          <w:noProof/>
        </w:rPr>
        <w:t>wys</w:t>
      </w:r>
      <w:r w:rsidRPr="00624565">
        <w:rPr>
          <w:noProof/>
        </w:rPr>
        <w:t>tarczająco szczegółowe;</w:t>
      </w:r>
    </w:p>
    <w:p w14:paraId="15977543" w14:textId="5243B03C" w:rsidR="00927E8F" w:rsidRPr="00624565" w:rsidRDefault="00927E8F" w:rsidP="00624565">
      <w:pPr>
        <w:pStyle w:val="ListNumberLevel2"/>
        <w:ind w:left="1417"/>
        <w:rPr>
          <w:noProof/>
        </w:rPr>
      </w:pPr>
      <w:r w:rsidRPr="00624565">
        <w:rPr>
          <w:noProof/>
        </w:rPr>
        <w:t>informacje na temat celów systemu oznakowania ekologicznego oraz wymogów</w:t>
      </w:r>
      <w:r w:rsidR="003F3D2B" w:rsidRPr="00624565">
        <w:rPr>
          <w:noProof/>
        </w:rPr>
        <w:t xml:space="preserve"> i</w:t>
      </w:r>
      <w:r w:rsidR="003F3D2B">
        <w:rPr>
          <w:noProof/>
        </w:rPr>
        <w:t> </w:t>
      </w:r>
      <w:r w:rsidR="003F3D2B" w:rsidRPr="00624565">
        <w:rPr>
          <w:noProof/>
        </w:rPr>
        <w:t>pro</w:t>
      </w:r>
      <w:r w:rsidRPr="00624565">
        <w:rPr>
          <w:noProof/>
        </w:rPr>
        <w:t>cedur monitorowania zgodności</w:t>
      </w:r>
      <w:r w:rsidR="003F3D2B" w:rsidRPr="00624565">
        <w:rPr>
          <w:noProof/>
        </w:rPr>
        <w:t xml:space="preserve"> z</w:t>
      </w:r>
      <w:r w:rsidR="003F3D2B">
        <w:rPr>
          <w:noProof/>
        </w:rPr>
        <w:t> </w:t>
      </w:r>
      <w:r w:rsidR="003F3D2B" w:rsidRPr="00624565">
        <w:rPr>
          <w:noProof/>
        </w:rPr>
        <w:t>tym</w:t>
      </w:r>
      <w:r w:rsidRPr="00624565">
        <w:rPr>
          <w:noProof/>
        </w:rPr>
        <w:t xml:space="preserve"> systemem są przejrzyste, dostępne nieodpłatnie, łatwe do zrozumienia</w:t>
      </w:r>
      <w:r w:rsidR="003F3D2B" w:rsidRPr="00624565">
        <w:rPr>
          <w:noProof/>
        </w:rPr>
        <w:t xml:space="preserve"> i</w:t>
      </w:r>
      <w:r w:rsidR="003F3D2B">
        <w:rPr>
          <w:noProof/>
        </w:rPr>
        <w:t> </w:t>
      </w:r>
      <w:r w:rsidR="003F3D2B" w:rsidRPr="00624565">
        <w:rPr>
          <w:noProof/>
        </w:rPr>
        <w:t>wys</w:t>
      </w:r>
      <w:r w:rsidRPr="00624565">
        <w:rPr>
          <w:noProof/>
        </w:rPr>
        <w:t>tarczająco szczegółowe;</w:t>
      </w:r>
    </w:p>
    <w:p w14:paraId="6E7A4362" w14:textId="0769B755" w:rsidR="00927E8F" w:rsidRPr="00624565" w:rsidRDefault="00927E8F" w:rsidP="00624565">
      <w:pPr>
        <w:pStyle w:val="ListNumberLevel2"/>
        <w:ind w:left="1417"/>
        <w:rPr>
          <w:noProof/>
        </w:rPr>
      </w:pPr>
      <w:r w:rsidRPr="00624565">
        <w:rPr>
          <w:noProof/>
        </w:rPr>
        <w:t>warunki przystąpienia do systemów oznakowania ekologicznego są proporcjonalne do wielkości</w:t>
      </w:r>
      <w:r w:rsidR="003F3D2B" w:rsidRPr="00624565">
        <w:rPr>
          <w:noProof/>
        </w:rPr>
        <w:t xml:space="preserve"> i</w:t>
      </w:r>
      <w:r w:rsidR="003F3D2B">
        <w:rPr>
          <w:noProof/>
        </w:rPr>
        <w:t> </w:t>
      </w:r>
      <w:r w:rsidR="003F3D2B" w:rsidRPr="00624565">
        <w:rPr>
          <w:noProof/>
        </w:rPr>
        <w:t>obr</w:t>
      </w:r>
      <w:r w:rsidRPr="00624565">
        <w:rPr>
          <w:noProof/>
        </w:rPr>
        <w:t>otu przedsiębiorstw tak, aby nie wykluczać małych</w:t>
      </w:r>
      <w:r w:rsidR="003F3D2B" w:rsidRPr="00624565">
        <w:rPr>
          <w:noProof/>
        </w:rPr>
        <w:t xml:space="preserve"> i</w:t>
      </w:r>
      <w:r w:rsidR="003F3D2B">
        <w:rPr>
          <w:noProof/>
        </w:rPr>
        <w:t> </w:t>
      </w:r>
      <w:r w:rsidR="003F3D2B" w:rsidRPr="00624565">
        <w:rPr>
          <w:noProof/>
        </w:rPr>
        <w:t>śre</w:t>
      </w:r>
      <w:r w:rsidRPr="00624565">
        <w:rPr>
          <w:noProof/>
        </w:rPr>
        <w:t>dnich przedsiębiorstw;</w:t>
      </w:r>
    </w:p>
    <w:p w14:paraId="637801B5" w14:textId="73CE7555" w:rsidR="00927E8F" w:rsidRPr="00624565" w:rsidRDefault="00927E8F" w:rsidP="00624565">
      <w:pPr>
        <w:pStyle w:val="ListNumberLevel2"/>
        <w:ind w:left="1417"/>
        <w:rPr>
          <w:noProof/>
        </w:rPr>
      </w:pPr>
      <w:r w:rsidRPr="00624565">
        <w:rPr>
          <w:noProof/>
        </w:rPr>
        <w:t>wymogi dotyczące systemu oznakowania ekologicznego zostały opracowane przez ekspertów, którzy mogą zapewnić ich solidność naukową,</w:t>
      </w:r>
      <w:r w:rsidR="003F3D2B" w:rsidRPr="00624565">
        <w:rPr>
          <w:noProof/>
        </w:rPr>
        <w:t xml:space="preserve"> i</w:t>
      </w:r>
      <w:r w:rsidR="003F3D2B">
        <w:rPr>
          <w:noProof/>
        </w:rPr>
        <w:t> </w:t>
      </w:r>
      <w:r w:rsidR="003F3D2B" w:rsidRPr="00624565">
        <w:rPr>
          <w:noProof/>
        </w:rPr>
        <w:t>zos</w:t>
      </w:r>
      <w:r w:rsidRPr="00624565">
        <w:rPr>
          <w:noProof/>
        </w:rPr>
        <w:t>tały przedłożone do konsultacji niejednorodnej grupie zainteresowanych stron, która dokonała ich przeglądu</w:t>
      </w:r>
      <w:r w:rsidR="003F3D2B" w:rsidRPr="00624565">
        <w:rPr>
          <w:noProof/>
        </w:rPr>
        <w:t xml:space="preserve"> i</w:t>
      </w:r>
      <w:r w:rsidR="003F3D2B">
        <w:rPr>
          <w:noProof/>
        </w:rPr>
        <w:t> </w:t>
      </w:r>
      <w:r w:rsidR="003F3D2B" w:rsidRPr="00624565">
        <w:rPr>
          <w:noProof/>
        </w:rPr>
        <w:t>zap</w:t>
      </w:r>
      <w:r w:rsidRPr="00624565">
        <w:rPr>
          <w:noProof/>
        </w:rPr>
        <w:t>ewniła ich przydatność</w:t>
      </w:r>
      <w:r w:rsidR="003F3D2B" w:rsidRPr="00624565">
        <w:rPr>
          <w:noProof/>
        </w:rPr>
        <w:t xml:space="preserve"> z</w:t>
      </w:r>
      <w:r w:rsidR="003F3D2B">
        <w:rPr>
          <w:noProof/>
        </w:rPr>
        <w:t> </w:t>
      </w:r>
      <w:r w:rsidR="003F3D2B" w:rsidRPr="00624565">
        <w:rPr>
          <w:noProof/>
        </w:rPr>
        <w:t>per</w:t>
      </w:r>
      <w:r w:rsidRPr="00624565">
        <w:rPr>
          <w:noProof/>
        </w:rPr>
        <w:t xml:space="preserve">spektywy społecznej; </w:t>
      </w:r>
    </w:p>
    <w:p w14:paraId="0DE66761" w14:textId="4A315595" w:rsidR="00927E8F" w:rsidRPr="00624565" w:rsidRDefault="00927E8F" w:rsidP="00624565">
      <w:pPr>
        <w:pStyle w:val="ListNumberLevel2"/>
        <w:ind w:left="1417"/>
        <w:rPr>
          <w:noProof/>
        </w:rPr>
      </w:pPr>
      <w:r w:rsidRPr="00624565">
        <w:rPr>
          <w:noProof/>
        </w:rPr>
        <w:t>w ramach systemu oznakowania ekologicznego funkcjonuje mechanizm rozpatrywania skarg</w:t>
      </w:r>
      <w:r w:rsidR="003F3D2B" w:rsidRPr="00624565">
        <w:rPr>
          <w:noProof/>
        </w:rPr>
        <w:t xml:space="preserve"> i</w:t>
      </w:r>
      <w:r w:rsidR="003F3D2B">
        <w:rPr>
          <w:noProof/>
        </w:rPr>
        <w:t> </w:t>
      </w:r>
      <w:r w:rsidR="003F3D2B" w:rsidRPr="00624565">
        <w:rPr>
          <w:noProof/>
        </w:rPr>
        <w:t>roz</w:t>
      </w:r>
      <w:r w:rsidRPr="00624565">
        <w:rPr>
          <w:noProof/>
        </w:rPr>
        <w:t>strzygania sporów;</w:t>
      </w:r>
    </w:p>
    <w:p w14:paraId="5B18B9EC" w14:textId="4C91012F" w:rsidR="00927E8F" w:rsidRPr="00624565" w:rsidRDefault="00927E8F" w:rsidP="00624565">
      <w:pPr>
        <w:pStyle w:val="ListNumberLevel2"/>
        <w:ind w:left="1417"/>
        <w:rPr>
          <w:noProof/>
        </w:rPr>
      </w:pPr>
      <w:r w:rsidRPr="00624565">
        <w:rPr>
          <w:noProof/>
        </w:rPr>
        <w:t>w systemie oznakowania ekologicznego określono procedury postępowania</w:t>
      </w:r>
      <w:r w:rsidR="003F3D2B" w:rsidRPr="00624565">
        <w:rPr>
          <w:noProof/>
        </w:rPr>
        <w:t xml:space="preserve"> w</w:t>
      </w:r>
      <w:r w:rsidR="003F3D2B">
        <w:rPr>
          <w:noProof/>
        </w:rPr>
        <w:t> </w:t>
      </w:r>
      <w:r w:rsidR="003F3D2B" w:rsidRPr="00624565">
        <w:rPr>
          <w:noProof/>
        </w:rPr>
        <w:t>prz</w:t>
      </w:r>
      <w:r w:rsidRPr="00624565">
        <w:rPr>
          <w:noProof/>
        </w:rPr>
        <w:t>ypadku niespełniania wymogów</w:t>
      </w:r>
      <w:r w:rsidR="003F3D2B" w:rsidRPr="00624565">
        <w:rPr>
          <w:noProof/>
        </w:rPr>
        <w:t xml:space="preserve"> i</w:t>
      </w:r>
      <w:r w:rsidR="003F3D2B">
        <w:rPr>
          <w:noProof/>
        </w:rPr>
        <w:t> </w:t>
      </w:r>
      <w:r w:rsidR="003F3D2B" w:rsidRPr="00624565">
        <w:rPr>
          <w:noProof/>
        </w:rPr>
        <w:t>prz</w:t>
      </w:r>
      <w:r w:rsidRPr="00624565">
        <w:rPr>
          <w:noProof/>
        </w:rPr>
        <w:t>ewidziano wycofanie lub zawieszenie oznakowania ekologicznego</w:t>
      </w:r>
      <w:r w:rsidR="003F3D2B" w:rsidRPr="00624565">
        <w:rPr>
          <w:noProof/>
        </w:rPr>
        <w:t xml:space="preserve"> w</w:t>
      </w:r>
      <w:r w:rsidR="003F3D2B">
        <w:rPr>
          <w:noProof/>
        </w:rPr>
        <w:t> </w:t>
      </w:r>
      <w:r w:rsidR="003F3D2B" w:rsidRPr="00624565">
        <w:rPr>
          <w:noProof/>
        </w:rPr>
        <w:t>prz</w:t>
      </w:r>
      <w:r w:rsidRPr="00624565">
        <w:rPr>
          <w:noProof/>
        </w:rPr>
        <w:t>ypadku uporczywego</w:t>
      </w:r>
      <w:r w:rsidR="003F3D2B" w:rsidRPr="00624565">
        <w:rPr>
          <w:noProof/>
        </w:rPr>
        <w:t xml:space="preserve"> i</w:t>
      </w:r>
      <w:r w:rsidR="003F3D2B">
        <w:rPr>
          <w:noProof/>
        </w:rPr>
        <w:t> </w:t>
      </w:r>
      <w:r w:rsidR="003F3D2B" w:rsidRPr="00624565">
        <w:rPr>
          <w:noProof/>
        </w:rPr>
        <w:t>raż</w:t>
      </w:r>
      <w:r w:rsidRPr="00624565">
        <w:rPr>
          <w:noProof/>
        </w:rPr>
        <w:t>ącego niespełniania wymogów systemu.</w:t>
      </w:r>
    </w:p>
    <w:p w14:paraId="5EA169B9" w14:textId="5B317CEF" w:rsidR="00927E8F" w:rsidRPr="00624565" w:rsidRDefault="004D161E" w:rsidP="004D161E">
      <w:pPr>
        <w:pStyle w:val="ManualNumPar1"/>
        <w:rPr>
          <w:noProof/>
        </w:rPr>
      </w:pPr>
      <w:r w:rsidRPr="00624565">
        <w:rPr>
          <w:noProof/>
        </w:rPr>
        <w:t>3.</w:t>
      </w:r>
      <w:r w:rsidRPr="00624565">
        <w:rPr>
          <w:noProof/>
        </w:rPr>
        <w:tab/>
        <w:t>Od [Urząd Publikacji: proszę wstawić datę</w:t>
      </w:r>
      <w:r w:rsidRPr="00624565">
        <w:rPr>
          <w:i/>
          <w:noProof/>
        </w:rPr>
        <w:t xml:space="preserve"> </w:t>
      </w:r>
      <w:r w:rsidRPr="00624565">
        <w:rPr>
          <w:noProof/>
        </w:rPr>
        <w:t xml:space="preserve">= </w:t>
      </w:r>
      <w:r w:rsidRPr="00624565">
        <w:rPr>
          <w:i/>
          <w:noProof/>
        </w:rPr>
        <w:t>data transpozycji niniejszej dyrektywy</w:t>
      </w:r>
      <w:r w:rsidRPr="00624565">
        <w:rPr>
          <w:noProof/>
        </w:rPr>
        <w:t>] organy publiczne państw członkowskich nie ustanawiają żadnych nowych krajowych ani regionalnych systemów oznakowania ekologicznego. Krajowe lub regionalne systemy oznakowania ekologicznego ustanowione przed tą datą nadal mogą jednak umożliwiać wydawanie oznakowań ekologicznych na rynku Unii, pod warunkiem że spełniają one wymogi niniejszej dyrektywy.</w:t>
      </w:r>
    </w:p>
    <w:p w14:paraId="7161D9FC" w14:textId="63B8EA62" w:rsidR="00927E8F" w:rsidRPr="00624565" w:rsidRDefault="00927E8F" w:rsidP="003A3ED5">
      <w:pPr>
        <w:pStyle w:val="Text1"/>
        <w:rPr>
          <w:noProof/>
        </w:rPr>
      </w:pPr>
      <w:r w:rsidRPr="00624565">
        <w:rPr>
          <w:noProof/>
        </w:rPr>
        <w:t>Od daty,</w:t>
      </w:r>
      <w:r w:rsidR="003F3D2B" w:rsidRPr="00624565">
        <w:rPr>
          <w:noProof/>
        </w:rPr>
        <w:t xml:space="preserve"> o</w:t>
      </w:r>
      <w:r w:rsidR="003F3D2B">
        <w:rPr>
          <w:noProof/>
        </w:rPr>
        <w:t> </w:t>
      </w:r>
      <w:r w:rsidR="003F3D2B" w:rsidRPr="00624565">
        <w:rPr>
          <w:noProof/>
        </w:rPr>
        <w:t>któ</w:t>
      </w:r>
      <w:r w:rsidRPr="00624565">
        <w:rPr>
          <w:noProof/>
        </w:rPr>
        <w:t>rej mowa</w:t>
      </w:r>
      <w:r w:rsidR="003F3D2B" w:rsidRPr="00624565">
        <w:rPr>
          <w:noProof/>
        </w:rPr>
        <w:t xml:space="preserve"> w</w:t>
      </w:r>
      <w:r w:rsidR="003F3D2B">
        <w:rPr>
          <w:noProof/>
        </w:rPr>
        <w:t> </w:t>
      </w:r>
      <w:r w:rsidR="003F3D2B" w:rsidRPr="00624565">
        <w:rPr>
          <w:noProof/>
        </w:rPr>
        <w:t>aka</w:t>
      </w:r>
      <w:r w:rsidRPr="00624565">
        <w:rPr>
          <w:noProof/>
        </w:rPr>
        <w:t xml:space="preserve">picie pierwszym, systemy oznakowania ekologicznego można ustanawiać wyłącznie na podstawie prawa Unii. </w:t>
      </w:r>
    </w:p>
    <w:p w14:paraId="51F49B72" w14:textId="6F313F90" w:rsidR="00927E8F" w:rsidRPr="00624565" w:rsidRDefault="004D161E" w:rsidP="004D161E">
      <w:pPr>
        <w:pStyle w:val="ManualNumPar1"/>
        <w:rPr>
          <w:noProof/>
        </w:rPr>
      </w:pPr>
      <w:r w:rsidRPr="00624565">
        <w:rPr>
          <w:noProof/>
        </w:rPr>
        <w:t>4.</w:t>
      </w:r>
      <w:r w:rsidRPr="00624565">
        <w:rPr>
          <w:noProof/>
        </w:rPr>
        <w:tab/>
        <w:t>Od [Urząd Publikacji: proszę wstawić datę</w:t>
      </w:r>
      <w:r w:rsidRPr="00624565">
        <w:rPr>
          <w:i/>
          <w:noProof/>
        </w:rPr>
        <w:t xml:space="preserve"> </w:t>
      </w:r>
      <w:r w:rsidRPr="00624565">
        <w:rPr>
          <w:noProof/>
        </w:rPr>
        <w:t xml:space="preserve">= </w:t>
      </w:r>
      <w:r w:rsidRPr="00624565">
        <w:rPr>
          <w:i/>
          <w:noProof/>
        </w:rPr>
        <w:t>data transpozycji niniejszej dyrektywy</w:t>
      </w:r>
      <w:r w:rsidRPr="00624565">
        <w:rPr>
          <w:noProof/>
        </w:rPr>
        <w:t>] wszelkie nowe systemy oznakowania ekologicznego ustanowione przez organy publiczne</w:t>
      </w:r>
      <w:r w:rsidR="003F3D2B" w:rsidRPr="00624565">
        <w:rPr>
          <w:noProof/>
        </w:rPr>
        <w:t xml:space="preserve"> w</w:t>
      </w:r>
      <w:r w:rsidR="003F3D2B">
        <w:rPr>
          <w:noProof/>
        </w:rPr>
        <w:t> </w:t>
      </w:r>
      <w:r w:rsidR="003F3D2B" w:rsidRPr="00624565">
        <w:rPr>
          <w:noProof/>
        </w:rPr>
        <w:t>pań</w:t>
      </w:r>
      <w:r w:rsidRPr="00624565">
        <w:rPr>
          <w:noProof/>
        </w:rPr>
        <w:t>stwach trzecich umożliwiające wydawanie oznakowań ekologicznych, które mają być stosowane na rynku Unii, podlegają zatwierdzeniu przez Komisję przed ich wprowadzeniem na rynek Unii</w:t>
      </w:r>
      <w:r w:rsidR="003F3D2B" w:rsidRPr="00624565">
        <w:rPr>
          <w:noProof/>
        </w:rPr>
        <w:t xml:space="preserve"> w</w:t>
      </w:r>
      <w:r w:rsidR="003F3D2B">
        <w:rPr>
          <w:noProof/>
        </w:rPr>
        <w:t> </w:t>
      </w:r>
      <w:r w:rsidR="003F3D2B" w:rsidRPr="00624565">
        <w:rPr>
          <w:noProof/>
        </w:rPr>
        <w:t>cel</w:t>
      </w:r>
      <w:r w:rsidRPr="00624565">
        <w:rPr>
          <w:noProof/>
        </w:rPr>
        <w:t>u zapewnienia, by oznakowania te wnosiły wartość dodaną pod względem ich celów środowiskowych,</w:t>
      </w:r>
      <w:r w:rsidR="003F3D2B" w:rsidRPr="00624565">
        <w:rPr>
          <w:noProof/>
        </w:rPr>
        <w:t xml:space="preserve"> w</w:t>
      </w:r>
      <w:r w:rsidR="003F3D2B">
        <w:rPr>
          <w:noProof/>
        </w:rPr>
        <w:t> </w:t>
      </w:r>
      <w:r w:rsidR="003F3D2B" w:rsidRPr="00624565">
        <w:rPr>
          <w:noProof/>
        </w:rPr>
        <w:t>tym w</w:t>
      </w:r>
      <w:r w:rsidR="003F3D2B">
        <w:rPr>
          <w:noProof/>
        </w:rPr>
        <w:t> </w:t>
      </w:r>
      <w:r w:rsidR="003F3D2B" w:rsidRPr="00624565">
        <w:rPr>
          <w:noProof/>
        </w:rPr>
        <w:t>szc</w:t>
      </w:r>
      <w:r w:rsidRPr="00624565">
        <w:rPr>
          <w:noProof/>
        </w:rPr>
        <w:t>zególności objętego nimi wpływu na środowisko, aspektów środowiskowych lub efektywności środowiskowej, lub objętej nimi określonej grupy produktów lub określonego sektora,</w:t>
      </w:r>
      <w:r w:rsidR="003F3D2B" w:rsidRPr="00624565">
        <w:rPr>
          <w:noProof/>
        </w:rPr>
        <w:t xml:space="preserve"> w</w:t>
      </w:r>
      <w:r w:rsidR="003F3D2B">
        <w:rPr>
          <w:noProof/>
        </w:rPr>
        <w:t> </w:t>
      </w:r>
      <w:r w:rsidR="003F3D2B" w:rsidRPr="00624565">
        <w:rPr>
          <w:noProof/>
        </w:rPr>
        <w:t>por</w:t>
      </w:r>
      <w:r w:rsidRPr="00624565">
        <w:rPr>
          <w:noProof/>
        </w:rPr>
        <w:t>ównaniu</w:t>
      </w:r>
      <w:r w:rsidR="003F3D2B" w:rsidRPr="00624565">
        <w:rPr>
          <w:noProof/>
        </w:rPr>
        <w:t xml:space="preserve"> z</w:t>
      </w:r>
      <w:r w:rsidR="003F3D2B">
        <w:rPr>
          <w:noProof/>
        </w:rPr>
        <w:t> </w:t>
      </w:r>
      <w:r w:rsidR="003F3D2B" w:rsidRPr="00624565">
        <w:rPr>
          <w:noProof/>
        </w:rPr>
        <w:t>ist</w:t>
      </w:r>
      <w:r w:rsidRPr="00624565">
        <w:rPr>
          <w:noProof/>
        </w:rPr>
        <w:t>niejącymi systemami unijnymi, krajowymi lub regionalnymi,</w:t>
      </w:r>
      <w:r w:rsidR="003F3D2B" w:rsidRPr="00624565">
        <w:rPr>
          <w:noProof/>
        </w:rPr>
        <w:t xml:space="preserve"> o</w:t>
      </w:r>
      <w:r w:rsidR="003F3D2B">
        <w:rPr>
          <w:noProof/>
        </w:rPr>
        <w:t> </w:t>
      </w:r>
      <w:r w:rsidR="003F3D2B" w:rsidRPr="00624565">
        <w:rPr>
          <w:noProof/>
        </w:rPr>
        <w:t>któ</w:t>
      </w:r>
      <w:r w:rsidRPr="00624565">
        <w:rPr>
          <w:noProof/>
        </w:rPr>
        <w:t>rych mowa</w:t>
      </w:r>
      <w:r w:rsidR="003F3D2B" w:rsidRPr="00624565">
        <w:rPr>
          <w:noProof/>
        </w:rPr>
        <w:t xml:space="preserve"> w</w:t>
      </w:r>
      <w:r w:rsidR="003F3D2B">
        <w:rPr>
          <w:noProof/>
        </w:rPr>
        <w:t> </w:t>
      </w:r>
      <w:r w:rsidR="003F3D2B" w:rsidRPr="003F3D2B">
        <w:rPr>
          <w:noProof/>
        </w:rPr>
        <w:t>ust</w:t>
      </w:r>
      <w:r w:rsidRPr="003F3D2B">
        <w:rPr>
          <w:noProof/>
        </w:rPr>
        <w:t>.</w:t>
      </w:r>
      <w:r w:rsidR="003F3D2B" w:rsidRPr="003F3D2B">
        <w:rPr>
          <w:noProof/>
        </w:rPr>
        <w:t> </w:t>
      </w:r>
      <w:r w:rsidRPr="003F3D2B">
        <w:rPr>
          <w:noProof/>
        </w:rPr>
        <w:t>3</w:t>
      </w:r>
      <w:r w:rsidRPr="00624565">
        <w:rPr>
          <w:noProof/>
        </w:rPr>
        <w:t>, oraz spełniały wymogi niniejszej dyrektywy</w:t>
      </w:r>
      <w:r w:rsidR="003F3D2B" w:rsidRPr="00624565">
        <w:rPr>
          <w:noProof/>
        </w:rPr>
        <w:t>. W</w:t>
      </w:r>
      <w:r w:rsidR="003F3D2B">
        <w:rPr>
          <w:noProof/>
        </w:rPr>
        <w:t> </w:t>
      </w:r>
      <w:r w:rsidR="003F3D2B" w:rsidRPr="00624565">
        <w:rPr>
          <w:noProof/>
        </w:rPr>
        <w:t>ram</w:t>
      </w:r>
      <w:r w:rsidRPr="00624565">
        <w:rPr>
          <w:noProof/>
        </w:rPr>
        <w:t>ach systemów oznakowania ekologicznego ustanowionych przez organy publiczne</w:t>
      </w:r>
      <w:r w:rsidR="003F3D2B" w:rsidRPr="00624565">
        <w:rPr>
          <w:noProof/>
        </w:rPr>
        <w:t xml:space="preserve"> w</w:t>
      </w:r>
      <w:r w:rsidR="003F3D2B">
        <w:rPr>
          <w:noProof/>
        </w:rPr>
        <w:t> </w:t>
      </w:r>
      <w:r w:rsidR="003F3D2B" w:rsidRPr="00624565">
        <w:rPr>
          <w:noProof/>
        </w:rPr>
        <w:t>pań</w:t>
      </w:r>
      <w:r w:rsidRPr="00624565">
        <w:rPr>
          <w:noProof/>
        </w:rPr>
        <w:t>stwach trzecich przed tą datą nadal można wydawać oznakowania ekologiczne, które mają być stosowane na rynku Unii, pod warunkiem że spełniają one wymogi niniejszej dyrektywy.</w:t>
      </w:r>
    </w:p>
    <w:p w14:paraId="2FFC4AD8" w14:textId="10F97C67" w:rsidR="00927E8F" w:rsidRPr="00624565" w:rsidRDefault="004D161E" w:rsidP="004D161E">
      <w:pPr>
        <w:pStyle w:val="ManualNumPar1"/>
        <w:rPr>
          <w:noProof/>
        </w:rPr>
      </w:pPr>
      <w:r w:rsidRPr="00624565">
        <w:rPr>
          <w:noProof/>
        </w:rPr>
        <w:t>5.</w:t>
      </w:r>
      <w:r w:rsidRPr="00624565">
        <w:rPr>
          <w:noProof/>
        </w:rPr>
        <w:tab/>
        <w:t xml:space="preserve">Państwa członkowskie zapewniają, by systemy oznakowania ekologicznego ustanowione przez podmioty prywatne po [Urząd Publikacji: proszę wstawić datę = </w:t>
      </w:r>
      <w:r w:rsidRPr="00624565">
        <w:rPr>
          <w:i/>
          <w:noProof/>
        </w:rPr>
        <w:t>data transpozycji niniejszej dyrektywy</w:t>
      </w:r>
      <w:r w:rsidRPr="00624565">
        <w:rPr>
          <w:noProof/>
        </w:rPr>
        <w:t>] były zatwierdzane tylko</w:t>
      </w:r>
      <w:r w:rsidR="003F3D2B" w:rsidRPr="00624565">
        <w:rPr>
          <w:noProof/>
        </w:rPr>
        <w:t xml:space="preserve"> w</w:t>
      </w:r>
      <w:r w:rsidR="003F3D2B">
        <w:rPr>
          <w:noProof/>
        </w:rPr>
        <w:t> </w:t>
      </w:r>
      <w:r w:rsidR="003F3D2B" w:rsidRPr="00624565">
        <w:rPr>
          <w:noProof/>
        </w:rPr>
        <w:t>prz</w:t>
      </w:r>
      <w:r w:rsidRPr="00624565">
        <w:rPr>
          <w:noProof/>
        </w:rPr>
        <w:t>ypadku gdy systemy te wnoszą wartość dodaną pod względem ich celów środowiskowych,</w:t>
      </w:r>
      <w:r w:rsidR="003F3D2B" w:rsidRPr="00624565">
        <w:rPr>
          <w:noProof/>
        </w:rPr>
        <w:t xml:space="preserve"> w</w:t>
      </w:r>
      <w:r w:rsidR="003F3D2B">
        <w:rPr>
          <w:noProof/>
        </w:rPr>
        <w:t> </w:t>
      </w:r>
      <w:r w:rsidR="003F3D2B" w:rsidRPr="00624565">
        <w:rPr>
          <w:noProof/>
        </w:rPr>
        <w:t>tym w</w:t>
      </w:r>
      <w:r w:rsidR="003F3D2B">
        <w:rPr>
          <w:noProof/>
        </w:rPr>
        <w:t> </w:t>
      </w:r>
      <w:r w:rsidR="003F3D2B" w:rsidRPr="00624565">
        <w:rPr>
          <w:noProof/>
        </w:rPr>
        <w:t>szc</w:t>
      </w:r>
      <w:r w:rsidRPr="00624565">
        <w:rPr>
          <w:noProof/>
        </w:rPr>
        <w:t>zególności zakresu obejmującego ich wpływ na środowisko, aspekty środowiskowe lub efektywność środowiskową, lub określonej grupy produktów lub określonego sektora oraz ich zdolności do wspierania zielonej transformacji MŚP</w:t>
      </w:r>
      <w:r w:rsidR="003F3D2B" w:rsidRPr="00624565">
        <w:rPr>
          <w:noProof/>
        </w:rPr>
        <w:t xml:space="preserve"> w</w:t>
      </w:r>
      <w:r w:rsidR="003F3D2B">
        <w:rPr>
          <w:noProof/>
        </w:rPr>
        <w:t> </w:t>
      </w:r>
      <w:r w:rsidR="003F3D2B" w:rsidRPr="00624565">
        <w:rPr>
          <w:noProof/>
        </w:rPr>
        <w:t>por</w:t>
      </w:r>
      <w:r w:rsidRPr="00624565">
        <w:rPr>
          <w:noProof/>
        </w:rPr>
        <w:t>ównaniu</w:t>
      </w:r>
      <w:r w:rsidR="003F3D2B" w:rsidRPr="00624565">
        <w:rPr>
          <w:noProof/>
        </w:rPr>
        <w:t xml:space="preserve"> z</w:t>
      </w:r>
      <w:r w:rsidR="003F3D2B">
        <w:rPr>
          <w:noProof/>
        </w:rPr>
        <w:t> </w:t>
      </w:r>
      <w:r w:rsidR="003F3D2B" w:rsidRPr="00624565">
        <w:rPr>
          <w:noProof/>
        </w:rPr>
        <w:t>ist</w:t>
      </w:r>
      <w:r w:rsidRPr="00624565">
        <w:rPr>
          <w:noProof/>
        </w:rPr>
        <w:t>niejącymi systemami unijnymi, krajowymi lub regionalnymi,</w:t>
      </w:r>
      <w:r w:rsidR="003F3D2B" w:rsidRPr="00624565">
        <w:rPr>
          <w:noProof/>
        </w:rPr>
        <w:t xml:space="preserve"> o</w:t>
      </w:r>
      <w:r w:rsidR="003F3D2B">
        <w:rPr>
          <w:noProof/>
        </w:rPr>
        <w:t> </w:t>
      </w:r>
      <w:r w:rsidR="003F3D2B" w:rsidRPr="00624565">
        <w:rPr>
          <w:noProof/>
        </w:rPr>
        <w:t>któ</w:t>
      </w:r>
      <w:r w:rsidRPr="00624565">
        <w:rPr>
          <w:noProof/>
        </w:rPr>
        <w:t>rych mowa</w:t>
      </w:r>
      <w:r w:rsidR="003F3D2B" w:rsidRPr="00624565">
        <w:rPr>
          <w:noProof/>
        </w:rPr>
        <w:t xml:space="preserve"> w</w:t>
      </w:r>
      <w:r w:rsidR="003F3D2B">
        <w:rPr>
          <w:noProof/>
        </w:rPr>
        <w:t> </w:t>
      </w:r>
      <w:r w:rsidR="003F3D2B" w:rsidRPr="003F3D2B">
        <w:rPr>
          <w:noProof/>
        </w:rPr>
        <w:t>ust</w:t>
      </w:r>
      <w:r w:rsidRPr="003F3D2B">
        <w:rPr>
          <w:noProof/>
        </w:rPr>
        <w:t>.</w:t>
      </w:r>
      <w:r w:rsidR="003F3D2B" w:rsidRPr="003F3D2B">
        <w:rPr>
          <w:noProof/>
        </w:rPr>
        <w:t> </w:t>
      </w:r>
      <w:r w:rsidRPr="003F3D2B">
        <w:rPr>
          <w:noProof/>
        </w:rPr>
        <w:t>3</w:t>
      </w:r>
      <w:r w:rsidRPr="00624565">
        <w:rPr>
          <w:noProof/>
        </w:rPr>
        <w:t>, oraz spełniają wymogi niniejszej dyrektywy.</w:t>
      </w:r>
    </w:p>
    <w:p w14:paraId="7CCFFF8E" w14:textId="6E347B61" w:rsidR="00927E8F" w:rsidRPr="00624565" w:rsidRDefault="00927E8F" w:rsidP="00F0480F">
      <w:pPr>
        <w:pStyle w:val="Text1"/>
        <w:rPr>
          <w:noProof/>
        </w:rPr>
      </w:pPr>
      <w:r w:rsidRPr="00624565">
        <w:rPr>
          <w:noProof/>
        </w:rPr>
        <w:t>Niniejsza procedura zatwierdzania nowych systemów oznakowania ekologicznego ma zastosowanie do systemów ustanowionych przez podmioty prywatne</w:t>
      </w:r>
      <w:r w:rsidR="003F3D2B" w:rsidRPr="00624565">
        <w:rPr>
          <w:noProof/>
        </w:rPr>
        <w:t xml:space="preserve"> w</w:t>
      </w:r>
      <w:r w:rsidR="003F3D2B">
        <w:rPr>
          <w:noProof/>
        </w:rPr>
        <w:t> </w:t>
      </w:r>
      <w:r w:rsidR="003F3D2B" w:rsidRPr="00624565">
        <w:rPr>
          <w:noProof/>
        </w:rPr>
        <w:t>Uni</w:t>
      </w:r>
      <w:r w:rsidRPr="00624565">
        <w:rPr>
          <w:noProof/>
        </w:rPr>
        <w:t>i</w:t>
      </w:r>
      <w:r w:rsidR="003F3D2B" w:rsidRPr="00624565">
        <w:rPr>
          <w:noProof/>
        </w:rPr>
        <w:t xml:space="preserve"> i</w:t>
      </w:r>
      <w:r w:rsidR="003F3D2B">
        <w:rPr>
          <w:noProof/>
        </w:rPr>
        <w:t> </w:t>
      </w:r>
      <w:r w:rsidR="003F3D2B" w:rsidRPr="00624565">
        <w:rPr>
          <w:noProof/>
        </w:rPr>
        <w:t>w</w:t>
      </w:r>
      <w:r w:rsidR="003F3D2B">
        <w:rPr>
          <w:noProof/>
        </w:rPr>
        <w:t> </w:t>
      </w:r>
      <w:r w:rsidR="003F3D2B" w:rsidRPr="00624565">
        <w:rPr>
          <w:noProof/>
        </w:rPr>
        <w:t>pań</w:t>
      </w:r>
      <w:r w:rsidRPr="00624565">
        <w:rPr>
          <w:noProof/>
        </w:rPr>
        <w:t>stwach trzecich.</w:t>
      </w:r>
    </w:p>
    <w:p w14:paraId="528BE88A" w14:textId="37FDC358" w:rsidR="00927E8F" w:rsidRPr="00624565" w:rsidRDefault="00927E8F" w:rsidP="00F0480F">
      <w:pPr>
        <w:pStyle w:val="Text1"/>
        <w:rPr>
          <w:noProof/>
        </w:rPr>
      </w:pPr>
      <w:r w:rsidRPr="00624565">
        <w:rPr>
          <w:noProof/>
        </w:rPr>
        <w:t>Państwa członkowskie powiadamiają Komisję</w:t>
      </w:r>
      <w:r w:rsidR="003F3D2B" w:rsidRPr="00624565">
        <w:rPr>
          <w:noProof/>
        </w:rPr>
        <w:t xml:space="preserve"> o</w:t>
      </w:r>
      <w:r w:rsidR="003F3D2B">
        <w:rPr>
          <w:noProof/>
        </w:rPr>
        <w:t> </w:t>
      </w:r>
      <w:r w:rsidR="003F3D2B" w:rsidRPr="00624565">
        <w:rPr>
          <w:noProof/>
        </w:rPr>
        <w:t>zat</w:t>
      </w:r>
      <w:r w:rsidRPr="00624565">
        <w:rPr>
          <w:noProof/>
        </w:rPr>
        <w:t>wierdzeniu nowych systemów prywatnych.</w:t>
      </w:r>
    </w:p>
    <w:p w14:paraId="5C64DD02" w14:textId="53E6ADE8" w:rsidR="00927E8F" w:rsidRPr="00624565" w:rsidRDefault="004D161E" w:rsidP="004D161E">
      <w:pPr>
        <w:pStyle w:val="ManualNumPar1"/>
        <w:rPr>
          <w:noProof/>
        </w:rPr>
      </w:pPr>
      <w:r w:rsidRPr="00624565">
        <w:rPr>
          <w:noProof/>
        </w:rPr>
        <w:t>6.</w:t>
      </w:r>
      <w:r w:rsidRPr="00624565">
        <w:rPr>
          <w:noProof/>
        </w:rPr>
        <w:tab/>
        <w:t>W celu uzyskania zatwierdzeń,</w:t>
      </w:r>
      <w:r w:rsidR="003F3D2B" w:rsidRPr="00624565">
        <w:rPr>
          <w:noProof/>
        </w:rPr>
        <w:t xml:space="preserve"> o</w:t>
      </w:r>
      <w:r w:rsidR="003F3D2B">
        <w:rPr>
          <w:noProof/>
        </w:rPr>
        <w:t> </w:t>
      </w:r>
      <w:r w:rsidR="003F3D2B" w:rsidRPr="00624565">
        <w:rPr>
          <w:noProof/>
        </w:rPr>
        <w:t>któ</w:t>
      </w:r>
      <w:r w:rsidRPr="00624565">
        <w:rPr>
          <w:noProof/>
        </w:rPr>
        <w:t>rych mowa</w:t>
      </w:r>
      <w:r w:rsidR="003F3D2B" w:rsidRPr="00624565">
        <w:rPr>
          <w:noProof/>
        </w:rPr>
        <w:t xml:space="preserve"> w</w:t>
      </w:r>
      <w:r w:rsidR="003F3D2B">
        <w:rPr>
          <w:noProof/>
        </w:rPr>
        <w:t> </w:t>
      </w:r>
      <w:r w:rsidR="003F3D2B" w:rsidRPr="003F3D2B">
        <w:rPr>
          <w:noProof/>
        </w:rPr>
        <w:t>ust</w:t>
      </w:r>
      <w:r w:rsidRPr="003F3D2B">
        <w:rPr>
          <w:noProof/>
        </w:rPr>
        <w:t>.</w:t>
      </w:r>
      <w:r w:rsidR="003F3D2B" w:rsidRPr="003F3D2B">
        <w:rPr>
          <w:noProof/>
        </w:rPr>
        <w:t> </w:t>
      </w:r>
      <w:r w:rsidRPr="003F3D2B">
        <w:rPr>
          <w:noProof/>
        </w:rPr>
        <w:t>4</w:t>
      </w:r>
      <w:r w:rsidR="003F3D2B" w:rsidRPr="00624565">
        <w:rPr>
          <w:noProof/>
        </w:rPr>
        <w:t xml:space="preserve"> i</w:t>
      </w:r>
      <w:r w:rsidR="003F3D2B">
        <w:rPr>
          <w:noProof/>
        </w:rPr>
        <w:t> </w:t>
      </w:r>
      <w:r w:rsidR="003F3D2B" w:rsidRPr="00624565">
        <w:rPr>
          <w:noProof/>
        </w:rPr>
        <w:t>5</w:t>
      </w:r>
      <w:r w:rsidRPr="00624565">
        <w:rPr>
          <w:noProof/>
        </w:rPr>
        <w:t>, operatorzy nowych systemów oznakowania ekologicznego dostarczają dokumenty uzupełniające, zawierające następujące informacje:</w:t>
      </w:r>
    </w:p>
    <w:p w14:paraId="247F7EA1" w14:textId="77777777" w:rsidR="00927E8F" w:rsidRPr="00624565" w:rsidRDefault="00927E8F" w:rsidP="00624565">
      <w:pPr>
        <w:pStyle w:val="ListNumberLevel2"/>
        <w:ind w:left="1417"/>
        <w:rPr>
          <w:noProof/>
        </w:rPr>
      </w:pPr>
      <w:r w:rsidRPr="00624565">
        <w:rPr>
          <w:noProof/>
        </w:rPr>
        <w:t xml:space="preserve">powody opracowania systemu; </w:t>
      </w:r>
    </w:p>
    <w:p w14:paraId="4A29A55A" w14:textId="77777777" w:rsidR="00927E8F" w:rsidRPr="00624565" w:rsidRDefault="00927E8F" w:rsidP="00624565">
      <w:pPr>
        <w:pStyle w:val="ListNumberLevel2"/>
        <w:ind w:left="1417"/>
        <w:rPr>
          <w:noProof/>
        </w:rPr>
      </w:pPr>
      <w:r w:rsidRPr="00624565">
        <w:rPr>
          <w:noProof/>
        </w:rPr>
        <w:t xml:space="preserve">proponowany zakres systemu; </w:t>
      </w:r>
    </w:p>
    <w:p w14:paraId="3AB956BF" w14:textId="2648A940" w:rsidR="00927E8F" w:rsidRPr="00624565" w:rsidRDefault="00927E8F" w:rsidP="00624565">
      <w:pPr>
        <w:pStyle w:val="ListNumberLevel2"/>
        <w:ind w:left="1417"/>
        <w:rPr>
          <w:noProof/>
        </w:rPr>
      </w:pPr>
      <w:r w:rsidRPr="00624565">
        <w:rPr>
          <w:noProof/>
        </w:rPr>
        <w:t>dowody świadczące</w:t>
      </w:r>
      <w:r w:rsidR="003F3D2B" w:rsidRPr="00624565">
        <w:rPr>
          <w:noProof/>
        </w:rPr>
        <w:t xml:space="preserve"> o</w:t>
      </w:r>
      <w:r w:rsidR="003F3D2B">
        <w:rPr>
          <w:noProof/>
        </w:rPr>
        <w:t> </w:t>
      </w:r>
      <w:r w:rsidR="003F3D2B" w:rsidRPr="00624565">
        <w:rPr>
          <w:noProof/>
        </w:rPr>
        <w:t>tym</w:t>
      </w:r>
      <w:r w:rsidRPr="00624565">
        <w:rPr>
          <w:noProof/>
        </w:rPr>
        <w:t>, że system wniesie wartość dodaną</w:t>
      </w:r>
      <w:r w:rsidR="003F3D2B" w:rsidRPr="00624565">
        <w:rPr>
          <w:noProof/>
        </w:rPr>
        <w:t xml:space="preserve"> w</w:t>
      </w:r>
      <w:r w:rsidR="003F3D2B">
        <w:rPr>
          <w:noProof/>
        </w:rPr>
        <w:t> </w:t>
      </w:r>
      <w:r w:rsidR="003F3D2B" w:rsidRPr="00624565">
        <w:rPr>
          <w:noProof/>
        </w:rPr>
        <w:t>odn</w:t>
      </w:r>
      <w:r w:rsidRPr="00624565">
        <w:rPr>
          <w:noProof/>
        </w:rPr>
        <w:t>iesieniu do systemów oznakowania ekologicznego ustanowionych przez organy publiczne</w:t>
      </w:r>
      <w:r w:rsidR="003F3D2B" w:rsidRPr="00624565">
        <w:rPr>
          <w:noProof/>
        </w:rPr>
        <w:t xml:space="preserve"> w</w:t>
      </w:r>
      <w:r w:rsidR="003F3D2B">
        <w:rPr>
          <w:noProof/>
        </w:rPr>
        <w:t> </w:t>
      </w:r>
      <w:r w:rsidR="003F3D2B" w:rsidRPr="00624565">
        <w:rPr>
          <w:noProof/>
        </w:rPr>
        <w:t>pań</w:t>
      </w:r>
      <w:r w:rsidRPr="00624565">
        <w:rPr>
          <w:noProof/>
        </w:rPr>
        <w:t>stwach trzecich, jak określono</w:t>
      </w:r>
      <w:r w:rsidR="003F3D2B" w:rsidRPr="00624565">
        <w:rPr>
          <w:noProof/>
        </w:rPr>
        <w:t xml:space="preserve"> w</w:t>
      </w:r>
      <w:r w:rsidR="003F3D2B">
        <w:rPr>
          <w:noProof/>
        </w:rPr>
        <w:t> </w:t>
      </w:r>
      <w:r w:rsidR="003F3D2B" w:rsidRPr="003F3D2B">
        <w:rPr>
          <w:noProof/>
        </w:rPr>
        <w:t>ust</w:t>
      </w:r>
      <w:r w:rsidRPr="003F3D2B">
        <w:rPr>
          <w:noProof/>
        </w:rPr>
        <w:t>.</w:t>
      </w:r>
      <w:r w:rsidR="003F3D2B" w:rsidRPr="003F3D2B">
        <w:rPr>
          <w:noProof/>
        </w:rPr>
        <w:t> </w:t>
      </w:r>
      <w:r w:rsidRPr="003F3D2B">
        <w:rPr>
          <w:noProof/>
        </w:rPr>
        <w:t>4</w:t>
      </w:r>
      <w:r w:rsidRPr="00624565">
        <w:rPr>
          <w:noProof/>
        </w:rPr>
        <w:t>, lub</w:t>
      </w:r>
      <w:r w:rsidR="003F3D2B" w:rsidRPr="00624565">
        <w:rPr>
          <w:noProof/>
        </w:rPr>
        <w:t xml:space="preserve"> w</w:t>
      </w:r>
      <w:r w:rsidR="003F3D2B">
        <w:rPr>
          <w:noProof/>
        </w:rPr>
        <w:t> </w:t>
      </w:r>
      <w:r w:rsidR="003F3D2B" w:rsidRPr="00624565">
        <w:rPr>
          <w:noProof/>
        </w:rPr>
        <w:t>odn</w:t>
      </w:r>
      <w:r w:rsidRPr="00624565">
        <w:rPr>
          <w:noProof/>
        </w:rPr>
        <w:t>iesieniu do systemów oznakowania ekologicznego ustanowionych przez podmioty prywatne, jak określono</w:t>
      </w:r>
      <w:r w:rsidR="003F3D2B" w:rsidRPr="00624565">
        <w:rPr>
          <w:noProof/>
        </w:rPr>
        <w:t xml:space="preserve"> w</w:t>
      </w:r>
      <w:r w:rsidR="003F3D2B">
        <w:rPr>
          <w:noProof/>
        </w:rPr>
        <w:t> </w:t>
      </w:r>
      <w:r w:rsidR="003F3D2B" w:rsidRPr="003F3D2B">
        <w:rPr>
          <w:noProof/>
        </w:rPr>
        <w:t>ust</w:t>
      </w:r>
      <w:r w:rsidRPr="003F3D2B">
        <w:rPr>
          <w:noProof/>
        </w:rPr>
        <w:t>.</w:t>
      </w:r>
      <w:r w:rsidR="003F3D2B" w:rsidRPr="003F3D2B">
        <w:rPr>
          <w:noProof/>
        </w:rPr>
        <w:t> </w:t>
      </w:r>
      <w:r w:rsidRPr="003F3D2B">
        <w:rPr>
          <w:noProof/>
        </w:rPr>
        <w:t>5</w:t>
      </w:r>
      <w:r w:rsidRPr="00624565">
        <w:rPr>
          <w:noProof/>
        </w:rPr>
        <w:t>;</w:t>
      </w:r>
    </w:p>
    <w:p w14:paraId="7341AA2F" w14:textId="2A23CFE1" w:rsidR="00927E8F" w:rsidRPr="00624565" w:rsidRDefault="00927E8F" w:rsidP="00624565">
      <w:pPr>
        <w:pStyle w:val="ListNumberLevel2"/>
        <w:ind w:left="1417"/>
        <w:rPr>
          <w:noProof/>
        </w:rPr>
      </w:pPr>
      <w:r w:rsidRPr="00624565">
        <w:rPr>
          <w:noProof/>
        </w:rPr>
        <w:t>propozycję projektu kryteriów</w:t>
      </w:r>
      <w:r w:rsidR="003F3D2B" w:rsidRPr="00624565">
        <w:rPr>
          <w:noProof/>
        </w:rPr>
        <w:t xml:space="preserve"> i</w:t>
      </w:r>
      <w:r w:rsidR="003F3D2B">
        <w:rPr>
          <w:noProof/>
        </w:rPr>
        <w:t> </w:t>
      </w:r>
      <w:r w:rsidR="003F3D2B" w:rsidRPr="00624565">
        <w:rPr>
          <w:noProof/>
        </w:rPr>
        <w:t>met</w:t>
      </w:r>
      <w:r w:rsidRPr="00624565">
        <w:rPr>
          <w:noProof/>
        </w:rPr>
        <w:t>odyki stosowanej przy opracowywaniu</w:t>
      </w:r>
      <w:r w:rsidR="003F3D2B" w:rsidRPr="00624565">
        <w:rPr>
          <w:noProof/>
        </w:rPr>
        <w:t xml:space="preserve"> i</w:t>
      </w:r>
      <w:r w:rsidR="003F3D2B">
        <w:rPr>
          <w:noProof/>
        </w:rPr>
        <w:t> </w:t>
      </w:r>
      <w:r w:rsidR="003F3D2B" w:rsidRPr="00624565">
        <w:rPr>
          <w:noProof/>
        </w:rPr>
        <w:t>wyd</w:t>
      </w:r>
      <w:r w:rsidRPr="00624565">
        <w:rPr>
          <w:noProof/>
        </w:rPr>
        <w:t>awaniu oznakowania ekologicznego oraz przewidywane skutki dla rynku;</w:t>
      </w:r>
    </w:p>
    <w:p w14:paraId="392AD43F" w14:textId="2B767432" w:rsidR="00927E8F" w:rsidRPr="00624565" w:rsidRDefault="00927E8F" w:rsidP="00624565">
      <w:pPr>
        <w:pStyle w:val="ListNumberLevel2"/>
        <w:ind w:left="1417"/>
        <w:rPr>
          <w:noProof/>
        </w:rPr>
      </w:pPr>
      <w:r w:rsidRPr="00624565">
        <w:rPr>
          <w:noProof/>
        </w:rPr>
        <w:t>szczegółowy opis własności</w:t>
      </w:r>
      <w:r w:rsidR="003F3D2B" w:rsidRPr="00624565">
        <w:rPr>
          <w:noProof/>
        </w:rPr>
        <w:t xml:space="preserve"> i</w:t>
      </w:r>
      <w:r w:rsidR="003F3D2B">
        <w:rPr>
          <w:noProof/>
        </w:rPr>
        <w:t> </w:t>
      </w:r>
      <w:r w:rsidR="003F3D2B" w:rsidRPr="00624565">
        <w:rPr>
          <w:noProof/>
        </w:rPr>
        <w:t>org</w:t>
      </w:r>
      <w:r w:rsidRPr="00624565">
        <w:rPr>
          <w:noProof/>
        </w:rPr>
        <w:t>anów decyzyjnych odpowiedzialnych za system oznakowania ekologicznego.</w:t>
      </w:r>
    </w:p>
    <w:p w14:paraId="3B1D4270" w14:textId="592900F7" w:rsidR="00BA1206" w:rsidRPr="00624565" w:rsidRDefault="00927E8F" w:rsidP="00F0480F">
      <w:pPr>
        <w:pStyle w:val="Text1"/>
        <w:rPr>
          <w:noProof/>
        </w:rPr>
      </w:pPr>
      <w:r w:rsidRPr="00624565">
        <w:rPr>
          <w:noProof/>
        </w:rPr>
        <w:t>Dokumenty,</w:t>
      </w:r>
      <w:r w:rsidR="003F3D2B" w:rsidRPr="00624565">
        <w:rPr>
          <w:noProof/>
        </w:rPr>
        <w:t xml:space="preserve"> o</w:t>
      </w:r>
      <w:r w:rsidR="003F3D2B">
        <w:rPr>
          <w:noProof/>
        </w:rPr>
        <w:t> </w:t>
      </w:r>
      <w:r w:rsidR="003F3D2B" w:rsidRPr="00624565">
        <w:rPr>
          <w:noProof/>
        </w:rPr>
        <w:t>któ</w:t>
      </w:r>
      <w:r w:rsidRPr="00624565">
        <w:rPr>
          <w:noProof/>
        </w:rPr>
        <w:t>rych mowa</w:t>
      </w:r>
      <w:r w:rsidR="003F3D2B" w:rsidRPr="00624565">
        <w:rPr>
          <w:noProof/>
        </w:rPr>
        <w:t xml:space="preserve"> w</w:t>
      </w:r>
      <w:r w:rsidR="003F3D2B">
        <w:rPr>
          <w:noProof/>
        </w:rPr>
        <w:t> </w:t>
      </w:r>
      <w:r w:rsidR="003F3D2B" w:rsidRPr="00624565">
        <w:rPr>
          <w:noProof/>
        </w:rPr>
        <w:t>aka</w:t>
      </w:r>
      <w:r w:rsidRPr="00624565">
        <w:rPr>
          <w:noProof/>
        </w:rPr>
        <w:t>picie pierwszym, są przedkładane Komisji</w:t>
      </w:r>
      <w:r w:rsidR="003F3D2B" w:rsidRPr="00624565">
        <w:rPr>
          <w:noProof/>
        </w:rPr>
        <w:t xml:space="preserve"> w</w:t>
      </w:r>
      <w:r w:rsidR="003F3D2B">
        <w:rPr>
          <w:noProof/>
        </w:rPr>
        <w:t> </w:t>
      </w:r>
      <w:r w:rsidR="003F3D2B" w:rsidRPr="00624565">
        <w:rPr>
          <w:noProof/>
        </w:rPr>
        <w:t>prz</w:t>
      </w:r>
      <w:r w:rsidRPr="00624565">
        <w:rPr>
          <w:noProof/>
        </w:rPr>
        <w:t>ypadku systemów,</w:t>
      </w:r>
      <w:r w:rsidR="003F3D2B" w:rsidRPr="00624565">
        <w:rPr>
          <w:noProof/>
        </w:rPr>
        <w:t xml:space="preserve"> o</w:t>
      </w:r>
      <w:r w:rsidR="003F3D2B">
        <w:rPr>
          <w:noProof/>
        </w:rPr>
        <w:t> </w:t>
      </w:r>
      <w:r w:rsidR="003F3D2B" w:rsidRPr="00624565">
        <w:rPr>
          <w:noProof/>
        </w:rPr>
        <w:t>któ</w:t>
      </w:r>
      <w:r w:rsidRPr="00624565">
        <w:rPr>
          <w:noProof/>
        </w:rPr>
        <w:t>rych mowa</w:t>
      </w:r>
      <w:r w:rsidR="003F3D2B" w:rsidRPr="00624565">
        <w:rPr>
          <w:noProof/>
        </w:rPr>
        <w:t xml:space="preserve"> w</w:t>
      </w:r>
      <w:r w:rsidR="003F3D2B">
        <w:rPr>
          <w:noProof/>
        </w:rPr>
        <w:t> </w:t>
      </w:r>
      <w:r w:rsidR="003F3D2B" w:rsidRPr="003F3D2B">
        <w:rPr>
          <w:noProof/>
        </w:rPr>
        <w:t>ust</w:t>
      </w:r>
      <w:r w:rsidRPr="003F3D2B">
        <w:rPr>
          <w:noProof/>
        </w:rPr>
        <w:t>.</w:t>
      </w:r>
      <w:r w:rsidR="003F3D2B" w:rsidRPr="003F3D2B">
        <w:rPr>
          <w:noProof/>
        </w:rPr>
        <w:t> </w:t>
      </w:r>
      <w:r w:rsidRPr="003F3D2B">
        <w:rPr>
          <w:noProof/>
        </w:rPr>
        <w:t>4</w:t>
      </w:r>
      <w:r w:rsidRPr="00624565">
        <w:rPr>
          <w:noProof/>
        </w:rPr>
        <w:t>, lub organom państw członkowskich</w:t>
      </w:r>
      <w:r w:rsidR="003F3D2B" w:rsidRPr="00624565">
        <w:rPr>
          <w:noProof/>
        </w:rPr>
        <w:t xml:space="preserve"> w</w:t>
      </w:r>
      <w:r w:rsidR="003F3D2B">
        <w:rPr>
          <w:noProof/>
        </w:rPr>
        <w:t> </w:t>
      </w:r>
      <w:r w:rsidR="003F3D2B" w:rsidRPr="00624565">
        <w:rPr>
          <w:noProof/>
        </w:rPr>
        <w:t>prz</w:t>
      </w:r>
      <w:r w:rsidRPr="00624565">
        <w:rPr>
          <w:noProof/>
        </w:rPr>
        <w:t>ypadku systemów,</w:t>
      </w:r>
      <w:r w:rsidR="003F3D2B" w:rsidRPr="00624565">
        <w:rPr>
          <w:noProof/>
        </w:rPr>
        <w:t xml:space="preserve"> o</w:t>
      </w:r>
      <w:r w:rsidR="003F3D2B">
        <w:rPr>
          <w:noProof/>
        </w:rPr>
        <w:t> </w:t>
      </w:r>
      <w:r w:rsidR="003F3D2B" w:rsidRPr="00624565">
        <w:rPr>
          <w:noProof/>
        </w:rPr>
        <w:t>któ</w:t>
      </w:r>
      <w:r w:rsidRPr="00624565">
        <w:rPr>
          <w:noProof/>
        </w:rPr>
        <w:t>rych mowa</w:t>
      </w:r>
      <w:r w:rsidR="003F3D2B" w:rsidRPr="00624565">
        <w:rPr>
          <w:noProof/>
        </w:rPr>
        <w:t xml:space="preserve"> w</w:t>
      </w:r>
      <w:r w:rsidR="003F3D2B">
        <w:rPr>
          <w:noProof/>
        </w:rPr>
        <w:t> </w:t>
      </w:r>
      <w:r w:rsidR="003F3D2B" w:rsidRPr="003F3D2B">
        <w:rPr>
          <w:noProof/>
        </w:rPr>
        <w:t>ust</w:t>
      </w:r>
      <w:r w:rsidRPr="003F3D2B">
        <w:rPr>
          <w:noProof/>
        </w:rPr>
        <w:t>.</w:t>
      </w:r>
      <w:r w:rsidR="003F3D2B" w:rsidRPr="003F3D2B">
        <w:rPr>
          <w:noProof/>
        </w:rPr>
        <w:t> </w:t>
      </w:r>
      <w:r w:rsidRPr="003F3D2B">
        <w:rPr>
          <w:noProof/>
        </w:rPr>
        <w:t>5</w:t>
      </w:r>
      <w:r w:rsidRPr="00624565">
        <w:rPr>
          <w:noProof/>
        </w:rPr>
        <w:t>, wraz</w:t>
      </w:r>
      <w:r w:rsidR="003F3D2B" w:rsidRPr="00624565">
        <w:rPr>
          <w:noProof/>
        </w:rPr>
        <w:t xml:space="preserve"> z</w:t>
      </w:r>
      <w:r w:rsidR="003F3D2B">
        <w:rPr>
          <w:noProof/>
        </w:rPr>
        <w:t> </w:t>
      </w:r>
      <w:r w:rsidR="003F3D2B" w:rsidRPr="00624565">
        <w:rPr>
          <w:noProof/>
        </w:rPr>
        <w:t>cer</w:t>
      </w:r>
      <w:r w:rsidRPr="00624565">
        <w:rPr>
          <w:noProof/>
        </w:rPr>
        <w:t>tyfikatem zgodności dla systemów oznakowania ekologicznego wystawionym zgodnie</w:t>
      </w:r>
      <w:r w:rsidR="003F3D2B" w:rsidRPr="00624565">
        <w:rPr>
          <w:noProof/>
        </w:rPr>
        <w:t xml:space="preserve"> z</w:t>
      </w:r>
      <w:r w:rsidR="003F3D2B">
        <w:rPr>
          <w:noProof/>
        </w:rPr>
        <w:t> </w:t>
      </w:r>
      <w:r w:rsidR="003F3D2B" w:rsidRPr="003F3D2B">
        <w:rPr>
          <w:noProof/>
        </w:rPr>
        <w:t>art</w:t>
      </w:r>
      <w:r w:rsidRPr="003F3D2B">
        <w:rPr>
          <w:noProof/>
        </w:rPr>
        <w:t>.</w:t>
      </w:r>
      <w:r w:rsidR="003F3D2B" w:rsidRPr="003F3D2B">
        <w:rPr>
          <w:noProof/>
        </w:rPr>
        <w:t> </w:t>
      </w:r>
      <w:r w:rsidRPr="003F3D2B">
        <w:rPr>
          <w:noProof/>
        </w:rPr>
        <w:t>1</w:t>
      </w:r>
      <w:r w:rsidRPr="00624565">
        <w:rPr>
          <w:noProof/>
        </w:rPr>
        <w:t>0.</w:t>
      </w:r>
    </w:p>
    <w:p w14:paraId="6C8A9C73" w14:textId="5DADBD70" w:rsidR="00927E8F" w:rsidRPr="00624565" w:rsidRDefault="004D161E" w:rsidP="004D161E">
      <w:pPr>
        <w:pStyle w:val="ManualNumPar1"/>
        <w:rPr>
          <w:noProof/>
        </w:rPr>
      </w:pPr>
      <w:r w:rsidRPr="00624565">
        <w:rPr>
          <w:noProof/>
        </w:rPr>
        <w:t>7.</w:t>
      </w:r>
      <w:r w:rsidRPr="00624565">
        <w:rPr>
          <w:noProof/>
        </w:rPr>
        <w:tab/>
        <w:t>Komisja publikuje</w:t>
      </w:r>
      <w:r w:rsidR="003F3D2B" w:rsidRPr="00624565">
        <w:rPr>
          <w:noProof/>
        </w:rPr>
        <w:t xml:space="preserve"> i</w:t>
      </w:r>
      <w:r w:rsidR="003F3D2B">
        <w:rPr>
          <w:noProof/>
        </w:rPr>
        <w:t> </w:t>
      </w:r>
      <w:r w:rsidR="003F3D2B" w:rsidRPr="00624565">
        <w:rPr>
          <w:noProof/>
        </w:rPr>
        <w:t>akt</w:t>
      </w:r>
      <w:r w:rsidRPr="00624565">
        <w:rPr>
          <w:noProof/>
        </w:rPr>
        <w:t xml:space="preserve">ualizuje wykaz oficjalnie uznanych oznakowań ekologicznych, które można stosować na rynku Unii po [Urząd Publikacji: proszę wstawić datę = </w:t>
      </w:r>
      <w:r w:rsidRPr="00624565">
        <w:rPr>
          <w:i/>
          <w:noProof/>
        </w:rPr>
        <w:t>data transpozycji niniejszej dyrektywy</w:t>
      </w:r>
      <w:r w:rsidRPr="00624565">
        <w:rPr>
          <w:noProof/>
        </w:rPr>
        <w:t>] zgodnie</w:t>
      </w:r>
      <w:r w:rsidR="003F3D2B" w:rsidRPr="00624565">
        <w:rPr>
          <w:noProof/>
        </w:rPr>
        <w:t xml:space="preserve"> z</w:t>
      </w:r>
      <w:r w:rsidR="003F3D2B">
        <w:rPr>
          <w:noProof/>
        </w:rPr>
        <w:t> </w:t>
      </w:r>
      <w:r w:rsidR="003F3D2B" w:rsidRPr="003F3D2B">
        <w:rPr>
          <w:noProof/>
        </w:rPr>
        <w:t>ust</w:t>
      </w:r>
      <w:r w:rsidRPr="003F3D2B">
        <w:rPr>
          <w:noProof/>
        </w:rPr>
        <w:t>.</w:t>
      </w:r>
      <w:r w:rsidR="003F3D2B" w:rsidRPr="003F3D2B">
        <w:rPr>
          <w:noProof/>
        </w:rPr>
        <w:t> </w:t>
      </w:r>
      <w:r w:rsidRPr="003F3D2B">
        <w:rPr>
          <w:noProof/>
        </w:rPr>
        <w:t>3</w:t>
      </w:r>
      <w:r w:rsidRPr="00624565">
        <w:rPr>
          <w:noProof/>
        </w:rPr>
        <w:t>, 4</w:t>
      </w:r>
      <w:r w:rsidR="003F3D2B" w:rsidRPr="00624565">
        <w:rPr>
          <w:noProof/>
        </w:rPr>
        <w:t xml:space="preserve"> i</w:t>
      </w:r>
      <w:r w:rsidR="003F3D2B">
        <w:rPr>
          <w:noProof/>
        </w:rPr>
        <w:t> </w:t>
      </w:r>
      <w:r w:rsidR="003F3D2B" w:rsidRPr="00624565">
        <w:rPr>
          <w:noProof/>
        </w:rPr>
        <w:t>5</w:t>
      </w:r>
      <w:r w:rsidRPr="00624565">
        <w:rPr>
          <w:noProof/>
        </w:rPr>
        <w:t>.</w:t>
      </w:r>
    </w:p>
    <w:p w14:paraId="1CA0D8D9" w14:textId="1B82189C" w:rsidR="00FC3C84" w:rsidRPr="00624565" w:rsidRDefault="004D161E" w:rsidP="004D161E">
      <w:pPr>
        <w:pStyle w:val="ManualNumPar1"/>
        <w:rPr>
          <w:b/>
          <w:noProof/>
        </w:rPr>
      </w:pPr>
      <w:r w:rsidRPr="00624565">
        <w:rPr>
          <w:noProof/>
        </w:rPr>
        <w:t>8.</w:t>
      </w:r>
      <w:r w:rsidRPr="00624565">
        <w:rPr>
          <w:noProof/>
        </w:rPr>
        <w:tab/>
        <w:t>Aby zapewnić jednolite stosowanie</w:t>
      </w:r>
      <w:r w:rsidR="003F3D2B" w:rsidRPr="00624565">
        <w:rPr>
          <w:noProof/>
        </w:rPr>
        <w:t xml:space="preserve"> w</w:t>
      </w:r>
      <w:r w:rsidR="003F3D2B">
        <w:rPr>
          <w:noProof/>
        </w:rPr>
        <w:t> </w:t>
      </w:r>
      <w:r w:rsidR="003F3D2B" w:rsidRPr="00624565">
        <w:rPr>
          <w:noProof/>
        </w:rPr>
        <w:t>cał</w:t>
      </w:r>
      <w:r w:rsidRPr="00624565">
        <w:rPr>
          <w:noProof/>
        </w:rPr>
        <w:t>ej Unii, Komisja przyjmuje akty wykonawcze</w:t>
      </w:r>
      <w:r w:rsidR="003F3D2B" w:rsidRPr="00624565">
        <w:rPr>
          <w:noProof/>
        </w:rPr>
        <w:t xml:space="preserve"> w</w:t>
      </w:r>
      <w:r w:rsidR="003F3D2B">
        <w:rPr>
          <w:noProof/>
        </w:rPr>
        <w:t> </w:t>
      </w:r>
      <w:r w:rsidR="003F3D2B" w:rsidRPr="00624565">
        <w:rPr>
          <w:noProof/>
        </w:rPr>
        <w:t>cel</w:t>
      </w:r>
      <w:r w:rsidRPr="00624565">
        <w:rPr>
          <w:noProof/>
        </w:rPr>
        <w:t xml:space="preserve">u: </w:t>
      </w:r>
    </w:p>
    <w:p w14:paraId="61ABB40D" w14:textId="14BCA196" w:rsidR="00FC3C84" w:rsidRPr="00624565" w:rsidRDefault="00CE0074" w:rsidP="00624565">
      <w:pPr>
        <w:pStyle w:val="ListNumberLevel2"/>
        <w:ind w:left="1417"/>
        <w:rPr>
          <w:b/>
          <w:noProof/>
        </w:rPr>
      </w:pPr>
      <w:r w:rsidRPr="00624565">
        <w:rPr>
          <w:noProof/>
        </w:rPr>
        <w:t>przedstawienia szczegółowych wymogów dotyczących zatwierdzania systemów oznakowania ekologicznego zgodnie</w:t>
      </w:r>
      <w:r w:rsidR="003F3D2B" w:rsidRPr="00624565">
        <w:rPr>
          <w:noProof/>
        </w:rPr>
        <w:t xml:space="preserve"> z</w:t>
      </w:r>
      <w:r w:rsidR="003F3D2B">
        <w:rPr>
          <w:noProof/>
        </w:rPr>
        <w:t> </w:t>
      </w:r>
      <w:r w:rsidR="003F3D2B" w:rsidRPr="00624565">
        <w:rPr>
          <w:noProof/>
        </w:rPr>
        <w:t>kry</w:t>
      </w:r>
      <w:r w:rsidRPr="00624565">
        <w:rPr>
          <w:noProof/>
        </w:rPr>
        <w:t>teriami,</w:t>
      </w:r>
      <w:r w:rsidR="003F3D2B" w:rsidRPr="00624565">
        <w:rPr>
          <w:noProof/>
        </w:rPr>
        <w:t xml:space="preserve"> o</w:t>
      </w:r>
      <w:r w:rsidR="003F3D2B">
        <w:rPr>
          <w:noProof/>
        </w:rPr>
        <w:t> </w:t>
      </w:r>
      <w:r w:rsidR="003F3D2B" w:rsidRPr="00624565">
        <w:rPr>
          <w:noProof/>
        </w:rPr>
        <w:t>któ</w:t>
      </w:r>
      <w:r w:rsidRPr="00624565">
        <w:rPr>
          <w:noProof/>
        </w:rPr>
        <w:t>rych mowa</w:t>
      </w:r>
      <w:r w:rsidR="003F3D2B" w:rsidRPr="00624565">
        <w:rPr>
          <w:noProof/>
        </w:rPr>
        <w:t xml:space="preserve"> w</w:t>
      </w:r>
      <w:r w:rsidR="003F3D2B">
        <w:rPr>
          <w:noProof/>
        </w:rPr>
        <w:t> </w:t>
      </w:r>
      <w:r w:rsidR="003F3D2B" w:rsidRPr="003F3D2B">
        <w:rPr>
          <w:noProof/>
        </w:rPr>
        <w:t>ust</w:t>
      </w:r>
      <w:r w:rsidRPr="003F3D2B">
        <w:rPr>
          <w:noProof/>
        </w:rPr>
        <w:t>.</w:t>
      </w:r>
      <w:r w:rsidR="003F3D2B" w:rsidRPr="003F3D2B">
        <w:rPr>
          <w:noProof/>
        </w:rPr>
        <w:t> </w:t>
      </w:r>
      <w:r w:rsidRPr="003F3D2B">
        <w:rPr>
          <w:noProof/>
        </w:rPr>
        <w:t>4</w:t>
      </w:r>
      <w:r w:rsidR="003F3D2B" w:rsidRPr="00624565">
        <w:rPr>
          <w:noProof/>
        </w:rPr>
        <w:t xml:space="preserve"> i</w:t>
      </w:r>
      <w:r w:rsidR="003F3D2B">
        <w:rPr>
          <w:noProof/>
        </w:rPr>
        <w:t> </w:t>
      </w:r>
      <w:r w:rsidR="003F3D2B" w:rsidRPr="00624565">
        <w:rPr>
          <w:noProof/>
        </w:rPr>
        <w:t>5</w:t>
      </w:r>
      <w:r w:rsidRPr="00624565">
        <w:rPr>
          <w:noProof/>
        </w:rPr>
        <w:t xml:space="preserve">; </w:t>
      </w:r>
    </w:p>
    <w:p w14:paraId="132751E8" w14:textId="41892F3C" w:rsidR="00FC3C84" w:rsidRPr="00624565" w:rsidRDefault="00FC3C84" w:rsidP="00624565">
      <w:pPr>
        <w:pStyle w:val="ListNumberLevel2"/>
        <w:ind w:left="1417"/>
        <w:rPr>
          <w:b/>
          <w:noProof/>
        </w:rPr>
      </w:pPr>
      <w:r w:rsidRPr="00624565">
        <w:rPr>
          <w:noProof/>
        </w:rPr>
        <w:t>szczegółowego określenia formatu</w:t>
      </w:r>
      <w:r w:rsidR="003F3D2B" w:rsidRPr="00624565">
        <w:rPr>
          <w:noProof/>
        </w:rPr>
        <w:t xml:space="preserve"> i</w:t>
      </w:r>
      <w:r w:rsidR="003F3D2B">
        <w:rPr>
          <w:noProof/>
        </w:rPr>
        <w:t> </w:t>
      </w:r>
      <w:r w:rsidR="003F3D2B" w:rsidRPr="00624565">
        <w:rPr>
          <w:noProof/>
        </w:rPr>
        <w:t>tre</w:t>
      </w:r>
      <w:r w:rsidRPr="00624565">
        <w:rPr>
          <w:noProof/>
        </w:rPr>
        <w:t>ści dokumentów uzupełniających,</w:t>
      </w:r>
      <w:r w:rsidR="003F3D2B" w:rsidRPr="00624565">
        <w:rPr>
          <w:noProof/>
        </w:rPr>
        <w:t xml:space="preserve"> o</w:t>
      </w:r>
      <w:r w:rsidR="003F3D2B">
        <w:rPr>
          <w:noProof/>
        </w:rPr>
        <w:t> </w:t>
      </w:r>
      <w:r w:rsidR="003F3D2B" w:rsidRPr="00624565">
        <w:rPr>
          <w:noProof/>
        </w:rPr>
        <w:t>któ</w:t>
      </w:r>
      <w:r w:rsidRPr="00624565">
        <w:rPr>
          <w:noProof/>
        </w:rPr>
        <w:t>rych mowa</w:t>
      </w:r>
      <w:r w:rsidR="003F3D2B" w:rsidRPr="00624565">
        <w:rPr>
          <w:noProof/>
        </w:rPr>
        <w:t xml:space="preserve"> w</w:t>
      </w:r>
      <w:r w:rsidR="003F3D2B">
        <w:rPr>
          <w:noProof/>
        </w:rPr>
        <w:t> </w:t>
      </w:r>
      <w:r w:rsidR="003F3D2B" w:rsidRPr="00624565">
        <w:rPr>
          <w:noProof/>
        </w:rPr>
        <w:t>ust</w:t>
      </w:r>
      <w:r w:rsidRPr="00624565">
        <w:rPr>
          <w:noProof/>
        </w:rPr>
        <w:t xml:space="preserve">. 6; </w:t>
      </w:r>
    </w:p>
    <w:p w14:paraId="667DFC6F" w14:textId="175BFF66" w:rsidR="00FC3C84" w:rsidRPr="00624565" w:rsidRDefault="00927E8F" w:rsidP="00624565">
      <w:pPr>
        <w:pStyle w:val="ListNumberLevel2"/>
        <w:ind w:left="1417"/>
        <w:rPr>
          <w:b/>
          <w:noProof/>
        </w:rPr>
      </w:pPr>
      <w:r w:rsidRPr="00624565">
        <w:rPr>
          <w:noProof/>
        </w:rPr>
        <w:t>przedstawienia szczegółowych przepisów dotyczących procedury zatwierdzania,</w:t>
      </w:r>
      <w:r w:rsidR="003F3D2B" w:rsidRPr="00624565">
        <w:rPr>
          <w:noProof/>
        </w:rPr>
        <w:t xml:space="preserve"> o</w:t>
      </w:r>
      <w:r w:rsidR="003F3D2B">
        <w:rPr>
          <w:noProof/>
        </w:rPr>
        <w:t> </w:t>
      </w:r>
      <w:r w:rsidR="003F3D2B" w:rsidRPr="00624565">
        <w:rPr>
          <w:noProof/>
        </w:rPr>
        <w:t>któ</w:t>
      </w:r>
      <w:r w:rsidRPr="00624565">
        <w:rPr>
          <w:noProof/>
        </w:rPr>
        <w:t>rej mowa</w:t>
      </w:r>
      <w:r w:rsidR="003F3D2B" w:rsidRPr="00624565">
        <w:rPr>
          <w:noProof/>
        </w:rPr>
        <w:t xml:space="preserve"> w</w:t>
      </w:r>
      <w:r w:rsidR="003F3D2B">
        <w:rPr>
          <w:noProof/>
        </w:rPr>
        <w:t> </w:t>
      </w:r>
      <w:r w:rsidR="003F3D2B" w:rsidRPr="003F3D2B">
        <w:rPr>
          <w:noProof/>
        </w:rPr>
        <w:t>ust</w:t>
      </w:r>
      <w:r w:rsidRPr="003F3D2B">
        <w:rPr>
          <w:noProof/>
        </w:rPr>
        <w:t>.</w:t>
      </w:r>
      <w:r w:rsidR="003F3D2B" w:rsidRPr="003F3D2B">
        <w:rPr>
          <w:noProof/>
        </w:rPr>
        <w:t> </w:t>
      </w:r>
      <w:r w:rsidRPr="003F3D2B">
        <w:rPr>
          <w:noProof/>
        </w:rPr>
        <w:t>4</w:t>
      </w:r>
      <w:r w:rsidRPr="00624565">
        <w:rPr>
          <w:noProof/>
        </w:rPr>
        <w:t>.</w:t>
      </w:r>
    </w:p>
    <w:p w14:paraId="0A4A0F49" w14:textId="254E91EA" w:rsidR="00137ED6" w:rsidRPr="00624565" w:rsidRDefault="00927E8F" w:rsidP="00FC3C84">
      <w:pPr>
        <w:pStyle w:val="Text1"/>
        <w:rPr>
          <w:b/>
          <w:noProof/>
        </w:rPr>
      </w:pPr>
      <w:r w:rsidRPr="00624565">
        <w:rPr>
          <w:noProof/>
        </w:rPr>
        <w:t>Te akty wykonawcze przyjmuje się zgodnie</w:t>
      </w:r>
      <w:r w:rsidR="003F3D2B" w:rsidRPr="00624565">
        <w:rPr>
          <w:noProof/>
        </w:rPr>
        <w:t xml:space="preserve"> z</w:t>
      </w:r>
      <w:r w:rsidR="003F3D2B">
        <w:rPr>
          <w:noProof/>
        </w:rPr>
        <w:t> </w:t>
      </w:r>
      <w:r w:rsidR="003F3D2B" w:rsidRPr="00624565">
        <w:rPr>
          <w:noProof/>
        </w:rPr>
        <w:t>pro</w:t>
      </w:r>
      <w:r w:rsidRPr="00624565">
        <w:rPr>
          <w:noProof/>
        </w:rPr>
        <w:t>cedurą sprawdzającą,</w:t>
      </w:r>
      <w:r w:rsidR="003F3D2B" w:rsidRPr="00624565">
        <w:rPr>
          <w:noProof/>
        </w:rPr>
        <w:t xml:space="preserve"> o</w:t>
      </w:r>
      <w:r w:rsidR="003F3D2B">
        <w:rPr>
          <w:noProof/>
        </w:rPr>
        <w:t> </w:t>
      </w:r>
      <w:r w:rsidR="003F3D2B" w:rsidRPr="00624565">
        <w:rPr>
          <w:noProof/>
        </w:rPr>
        <w:t>któ</w:t>
      </w:r>
      <w:r w:rsidRPr="00624565">
        <w:rPr>
          <w:noProof/>
        </w:rPr>
        <w:t>rej mowa</w:t>
      </w:r>
      <w:r w:rsidR="003F3D2B" w:rsidRPr="00624565">
        <w:rPr>
          <w:noProof/>
        </w:rPr>
        <w:t xml:space="preserve"> w</w:t>
      </w:r>
      <w:r w:rsidR="003F3D2B">
        <w:rPr>
          <w:noProof/>
        </w:rPr>
        <w:t> </w:t>
      </w:r>
      <w:r w:rsidR="003F3D2B" w:rsidRPr="003F3D2B">
        <w:rPr>
          <w:noProof/>
        </w:rPr>
        <w:t>art</w:t>
      </w:r>
      <w:r w:rsidRPr="003F3D2B">
        <w:rPr>
          <w:noProof/>
        </w:rPr>
        <w:t>.</w:t>
      </w:r>
      <w:r w:rsidR="003F3D2B" w:rsidRPr="003F3D2B">
        <w:rPr>
          <w:noProof/>
        </w:rPr>
        <w:t> </w:t>
      </w:r>
      <w:r w:rsidRPr="003F3D2B">
        <w:rPr>
          <w:noProof/>
        </w:rPr>
        <w:t>1</w:t>
      </w:r>
      <w:r w:rsidRPr="00624565">
        <w:rPr>
          <w:noProof/>
        </w:rPr>
        <w:t>9.</w:t>
      </w:r>
    </w:p>
    <w:p w14:paraId="563918A5" w14:textId="77777777" w:rsidR="008C57BB" w:rsidRPr="00624565" w:rsidRDefault="008C57BB" w:rsidP="008C57BB">
      <w:pPr>
        <w:pStyle w:val="Titrearticle"/>
        <w:rPr>
          <w:noProof/>
        </w:rPr>
      </w:pPr>
      <w:r w:rsidRPr="00624565">
        <w:rPr>
          <w:noProof/>
        </w:rPr>
        <w:t>Artykuł 9</w:t>
      </w:r>
    </w:p>
    <w:p w14:paraId="67734376" w14:textId="77777777" w:rsidR="008C57BB" w:rsidRPr="00624565" w:rsidRDefault="008C57BB" w:rsidP="008C57BB">
      <w:pPr>
        <w:pStyle w:val="Titrearticle"/>
        <w:rPr>
          <w:noProof/>
        </w:rPr>
      </w:pPr>
      <w:r w:rsidRPr="00624565">
        <w:rPr>
          <w:noProof/>
        </w:rPr>
        <w:t>Przegląd uzasadnienia wyraźnych oświadczeń środowiskowych</w:t>
      </w:r>
    </w:p>
    <w:p w14:paraId="4BEFF7AF" w14:textId="79A3FC15" w:rsidR="008C57BB" w:rsidRPr="00624565" w:rsidRDefault="008C57BB" w:rsidP="008C57BB">
      <w:pPr>
        <w:rPr>
          <w:noProof/>
        </w:rPr>
      </w:pPr>
      <w:r w:rsidRPr="00624565">
        <w:rPr>
          <w:noProof/>
        </w:rPr>
        <w:t>Państwa członkowskie zapewniają, by informacje wykorzystywane do uzasadnienia wyraźnych oświadczeń środowiskowych były poddawane przeglądowi</w:t>
      </w:r>
      <w:r w:rsidR="003F3D2B" w:rsidRPr="00624565">
        <w:rPr>
          <w:noProof/>
        </w:rPr>
        <w:t xml:space="preserve"> i</w:t>
      </w:r>
      <w:r w:rsidR="003F3D2B">
        <w:rPr>
          <w:noProof/>
        </w:rPr>
        <w:t> </w:t>
      </w:r>
      <w:r w:rsidR="003F3D2B" w:rsidRPr="00624565">
        <w:rPr>
          <w:noProof/>
        </w:rPr>
        <w:t>akt</w:t>
      </w:r>
      <w:r w:rsidRPr="00624565">
        <w:rPr>
          <w:noProof/>
        </w:rPr>
        <w:t>ualizowane przez przedsiębiorców</w:t>
      </w:r>
      <w:r w:rsidR="003F3D2B" w:rsidRPr="00624565">
        <w:rPr>
          <w:noProof/>
        </w:rPr>
        <w:t xml:space="preserve"> w</w:t>
      </w:r>
      <w:r w:rsidR="003F3D2B">
        <w:rPr>
          <w:noProof/>
        </w:rPr>
        <w:t> </w:t>
      </w:r>
      <w:r w:rsidR="003F3D2B" w:rsidRPr="00624565">
        <w:rPr>
          <w:noProof/>
        </w:rPr>
        <w:t>prz</w:t>
      </w:r>
      <w:r w:rsidRPr="00624565">
        <w:rPr>
          <w:noProof/>
        </w:rPr>
        <w:t>ypadku zaistnienia okoliczności, które mogą wpłynąć na dokładność oświadczenia,</w:t>
      </w:r>
      <w:r w:rsidR="003F3D2B" w:rsidRPr="00624565">
        <w:rPr>
          <w:noProof/>
        </w:rPr>
        <w:t xml:space="preserve"> i</w:t>
      </w:r>
      <w:r w:rsidR="003F3D2B">
        <w:rPr>
          <w:noProof/>
        </w:rPr>
        <w:t> </w:t>
      </w:r>
      <w:r w:rsidR="003F3D2B" w:rsidRPr="00624565">
        <w:rPr>
          <w:noProof/>
        </w:rPr>
        <w:t>nie</w:t>
      </w:r>
      <w:r w:rsidRPr="00624565">
        <w:rPr>
          <w:noProof/>
        </w:rPr>
        <w:t xml:space="preserve"> później niż</w:t>
      </w:r>
      <w:r w:rsidR="003F3D2B" w:rsidRPr="00624565">
        <w:rPr>
          <w:noProof/>
        </w:rPr>
        <w:t xml:space="preserve"> w</w:t>
      </w:r>
      <w:r w:rsidR="003F3D2B">
        <w:rPr>
          <w:noProof/>
        </w:rPr>
        <w:t> </w:t>
      </w:r>
      <w:r w:rsidR="003F3D2B" w:rsidRPr="00624565">
        <w:rPr>
          <w:noProof/>
        </w:rPr>
        <w:t>cią</w:t>
      </w:r>
      <w:r w:rsidRPr="00624565">
        <w:rPr>
          <w:noProof/>
        </w:rPr>
        <w:t>gu 5 lat od daty przekazania informacji,</w:t>
      </w:r>
      <w:r w:rsidR="003F3D2B" w:rsidRPr="00624565">
        <w:rPr>
          <w:noProof/>
        </w:rPr>
        <w:t xml:space="preserve"> o</w:t>
      </w:r>
      <w:r w:rsidR="003F3D2B">
        <w:rPr>
          <w:noProof/>
        </w:rPr>
        <w:t> </w:t>
      </w:r>
      <w:r w:rsidR="003F3D2B" w:rsidRPr="00624565">
        <w:rPr>
          <w:noProof/>
        </w:rPr>
        <w:t>któ</w:t>
      </w:r>
      <w:r w:rsidRPr="00624565">
        <w:rPr>
          <w:noProof/>
        </w:rPr>
        <w:t>rych mowa</w:t>
      </w:r>
      <w:r w:rsidR="003F3D2B" w:rsidRPr="00624565">
        <w:rPr>
          <w:noProof/>
        </w:rPr>
        <w:t xml:space="preserve"> w</w:t>
      </w:r>
      <w:r w:rsidR="003F3D2B">
        <w:rPr>
          <w:noProof/>
        </w:rPr>
        <w:t> </w:t>
      </w:r>
      <w:r w:rsidR="003F3D2B" w:rsidRPr="003F3D2B">
        <w:rPr>
          <w:noProof/>
        </w:rPr>
        <w:t>art</w:t>
      </w:r>
      <w:r w:rsidRPr="003F3D2B">
        <w:rPr>
          <w:noProof/>
        </w:rPr>
        <w:t>.</w:t>
      </w:r>
      <w:r w:rsidR="003F3D2B" w:rsidRPr="003F3D2B">
        <w:rPr>
          <w:noProof/>
        </w:rPr>
        <w:t> </w:t>
      </w:r>
      <w:r w:rsidRPr="003F3D2B">
        <w:rPr>
          <w:noProof/>
        </w:rPr>
        <w:t>5</w:t>
      </w:r>
      <w:r w:rsidRPr="00624565">
        <w:rPr>
          <w:noProof/>
        </w:rPr>
        <w:t xml:space="preserve"> </w:t>
      </w:r>
      <w:r w:rsidRPr="003F3D2B">
        <w:rPr>
          <w:noProof/>
        </w:rPr>
        <w:t>ust.</w:t>
      </w:r>
      <w:r w:rsidR="003F3D2B" w:rsidRPr="003F3D2B">
        <w:rPr>
          <w:noProof/>
        </w:rPr>
        <w:t> </w:t>
      </w:r>
      <w:r w:rsidRPr="003F3D2B">
        <w:rPr>
          <w:noProof/>
        </w:rPr>
        <w:t>6</w:t>
      </w:r>
      <w:r w:rsidR="003F3D2B" w:rsidRPr="00624565">
        <w:rPr>
          <w:noProof/>
        </w:rPr>
        <w:t>. W</w:t>
      </w:r>
      <w:r w:rsidR="003F3D2B">
        <w:rPr>
          <w:noProof/>
        </w:rPr>
        <w:t> </w:t>
      </w:r>
      <w:r w:rsidR="003F3D2B" w:rsidRPr="00624565">
        <w:rPr>
          <w:noProof/>
        </w:rPr>
        <w:t>ram</w:t>
      </w:r>
      <w:r w:rsidRPr="00624565">
        <w:rPr>
          <w:noProof/>
        </w:rPr>
        <w:t>ach przeglądu przedsiębiorca analizuje wykorzystane informacje podstawowe, aby zapewnić pełną zgodność</w:t>
      </w:r>
      <w:r w:rsidR="003F3D2B" w:rsidRPr="00624565">
        <w:rPr>
          <w:noProof/>
        </w:rPr>
        <w:t xml:space="preserve"> z</w:t>
      </w:r>
      <w:r w:rsidR="003F3D2B">
        <w:rPr>
          <w:noProof/>
        </w:rPr>
        <w:t> </w:t>
      </w:r>
      <w:r w:rsidR="003F3D2B" w:rsidRPr="00624565">
        <w:rPr>
          <w:noProof/>
        </w:rPr>
        <w:t>wym</w:t>
      </w:r>
      <w:r w:rsidRPr="00624565">
        <w:rPr>
          <w:noProof/>
        </w:rPr>
        <w:t xml:space="preserve">ogami </w:t>
      </w:r>
      <w:r w:rsidRPr="003F3D2B">
        <w:rPr>
          <w:noProof/>
        </w:rPr>
        <w:t>art.</w:t>
      </w:r>
      <w:r w:rsidR="003F3D2B" w:rsidRPr="003F3D2B">
        <w:rPr>
          <w:noProof/>
        </w:rPr>
        <w:t> </w:t>
      </w:r>
      <w:r w:rsidRPr="003F3D2B">
        <w:rPr>
          <w:noProof/>
        </w:rPr>
        <w:t>3</w:t>
      </w:r>
      <w:r w:rsidR="003F3D2B" w:rsidRPr="00624565">
        <w:rPr>
          <w:noProof/>
        </w:rPr>
        <w:t xml:space="preserve"> i</w:t>
      </w:r>
      <w:r w:rsidR="003F3D2B">
        <w:rPr>
          <w:noProof/>
        </w:rPr>
        <w:t> </w:t>
      </w:r>
      <w:r w:rsidR="003F3D2B" w:rsidRPr="00624565">
        <w:rPr>
          <w:noProof/>
        </w:rPr>
        <w:t>4</w:t>
      </w:r>
      <w:r w:rsidRPr="00624565">
        <w:rPr>
          <w:noProof/>
        </w:rPr>
        <w:t>.</w:t>
      </w:r>
    </w:p>
    <w:p w14:paraId="4FFDCB0A" w14:textId="3D4C1507" w:rsidR="0020139D" w:rsidRPr="00624565" w:rsidRDefault="0020139D" w:rsidP="008C57BB">
      <w:pPr>
        <w:rPr>
          <w:noProof/>
        </w:rPr>
      </w:pPr>
      <w:r w:rsidRPr="00624565">
        <w:rPr>
          <w:noProof/>
        </w:rPr>
        <w:t>Zaktualizowane wyraźne oświadczenie środowiskowe podlega weryfikacji zgodnie</w:t>
      </w:r>
      <w:r w:rsidR="003F3D2B" w:rsidRPr="00624565">
        <w:rPr>
          <w:noProof/>
        </w:rPr>
        <w:t xml:space="preserve"> z</w:t>
      </w:r>
      <w:r w:rsidR="003F3D2B">
        <w:rPr>
          <w:noProof/>
        </w:rPr>
        <w:t> </w:t>
      </w:r>
      <w:r w:rsidR="003F3D2B" w:rsidRPr="003F3D2B">
        <w:rPr>
          <w:noProof/>
        </w:rPr>
        <w:t>art</w:t>
      </w:r>
      <w:r w:rsidRPr="003F3D2B">
        <w:rPr>
          <w:noProof/>
        </w:rPr>
        <w:t>.</w:t>
      </w:r>
      <w:r w:rsidR="003F3D2B" w:rsidRPr="003F3D2B">
        <w:rPr>
          <w:noProof/>
        </w:rPr>
        <w:t> </w:t>
      </w:r>
      <w:r w:rsidRPr="003F3D2B">
        <w:rPr>
          <w:noProof/>
        </w:rPr>
        <w:t>1</w:t>
      </w:r>
      <w:r w:rsidRPr="00624565">
        <w:rPr>
          <w:noProof/>
        </w:rPr>
        <w:t>0.</w:t>
      </w:r>
    </w:p>
    <w:p w14:paraId="56633000" w14:textId="77777777" w:rsidR="008C57BB" w:rsidRPr="00624565" w:rsidRDefault="008C57BB" w:rsidP="008C57BB">
      <w:pPr>
        <w:pStyle w:val="Titrearticle"/>
        <w:rPr>
          <w:noProof/>
        </w:rPr>
      </w:pPr>
      <w:r w:rsidRPr="00624565">
        <w:rPr>
          <w:noProof/>
        </w:rPr>
        <w:t>Art. 10</w:t>
      </w:r>
    </w:p>
    <w:p w14:paraId="36354305" w14:textId="2852D73C" w:rsidR="008C57BB" w:rsidRPr="00624565" w:rsidRDefault="008C57BB" w:rsidP="008C57BB">
      <w:pPr>
        <w:pStyle w:val="Titrearticle"/>
        <w:rPr>
          <w:noProof/>
        </w:rPr>
      </w:pPr>
      <w:r w:rsidRPr="00624565">
        <w:rPr>
          <w:noProof/>
        </w:rPr>
        <w:t>Weryfikacja</w:t>
      </w:r>
      <w:r w:rsidR="003F3D2B" w:rsidRPr="00624565">
        <w:rPr>
          <w:noProof/>
        </w:rPr>
        <w:t xml:space="preserve"> i</w:t>
      </w:r>
      <w:r w:rsidR="003F3D2B">
        <w:rPr>
          <w:noProof/>
        </w:rPr>
        <w:t> </w:t>
      </w:r>
      <w:r w:rsidR="003F3D2B" w:rsidRPr="00624565">
        <w:rPr>
          <w:noProof/>
        </w:rPr>
        <w:t>cer</w:t>
      </w:r>
      <w:r w:rsidRPr="00624565">
        <w:rPr>
          <w:noProof/>
        </w:rPr>
        <w:t>tyfikacja uzasadnienia oświadczeń środowiskowych</w:t>
      </w:r>
      <w:r w:rsidR="003F3D2B" w:rsidRPr="00624565">
        <w:rPr>
          <w:noProof/>
        </w:rPr>
        <w:t xml:space="preserve"> i</w:t>
      </w:r>
      <w:r w:rsidR="003F3D2B">
        <w:rPr>
          <w:noProof/>
        </w:rPr>
        <w:t> </w:t>
      </w:r>
      <w:r w:rsidR="003F3D2B" w:rsidRPr="00624565">
        <w:rPr>
          <w:noProof/>
        </w:rPr>
        <w:t>sys</w:t>
      </w:r>
      <w:r w:rsidRPr="00624565">
        <w:rPr>
          <w:noProof/>
        </w:rPr>
        <w:t>temów oznakowania ekologicznego oraz informowania</w:t>
      </w:r>
      <w:r w:rsidR="003F3D2B" w:rsidRPr="00624565">
        <w:rPr>
          <w:noProof/>
        </w:rPr>
        <w:t xml:space="preserve"> o</w:t>
      </w:r>
      <w:r w:rsidR="003F3D2B">
        <w:rPr>
          <w:noProof/>
        </w:rPr>
        <w:t> </w:t>
      </w:r>
      <w:r w:rsidR="003F3D2B" w:rsidRPr="00624565">
        <w:rPr>
          <w:noProof/>
        </w:rPr>
        <w:t>nic</w:t>
      </w:r>
      <w:r w:rsidRPr="00624565">
        <w:rPr>
          <w:noProof/>
        </w:rPr>
        <w:t>h</w:t>
      </w:r>
    </w:p>
    <w:p w14:paraId="3458FA8C" w14:textId="5E6E6823" w:rsidR="008C57BB" w:rsidRPr="00624565" w:rsidRDefault="004D161E" w:rsidP="004D161E">
      <w:pPr>
        <w:pStyle w:val="ManualNumPar1"/>
        <w:rPr>
          <w:noProof/>
        </w:rPr>
      </w:pPr>
      <w:r w:rsidRPr="00624565">
        <w:rPr>
          <w:noProof/>
        </w:rPr>
        <w:t>1.</w:t>
      </w:r>
      <w:r w:rsidRPr="00624565">
        <w:rPr>
          <w:noProof/>
        </w:rPr>
        <w:tab/>
        <w:t>Państwa członkowskie ustanawiają procedury weryfikacji uzasadnienia wyraźnych oświadczeń środowiskowych</w:t>
      </w:r>
      <w:r w:rsidR="003F3D2B" w:rsidRPr="00624565">
        <w:rPr>
          <w:noProof/>
        </w:rPr>
        <w:t xml:space="preserve"> i</w:t>
      </w:r>
      <w:r w:rsidR="003F3D2B">
        <w:rPr>
          <w:noProof/>
        </w:rPr>
        <w:t> </w:t>
      </w:r>
      <w:r w:rsidR="003F3D2B" w:rsidRPr="00624565">
        <w:rPr>
          <w:noProof/>
        </w:rPr>
        <w:t>inf</w:t>
      </w:r>
      <w:r w:rsidRPr="00624565">
        <w:rPr>
          <w:noProof/>
        </w:rPr>
        <w:t>ormowania</w:t>
      </w:r>
      <w:r w:rsidR="003F3D2B" w:rsidRPr="00624565">
        <w:rPr>
          <w:noProof/>
        </w:rPr>
        <w:t xml:space="preserve"> o</w:t>
      </w:r>
      <w:r w:rsidR="003F3D2B">
        <w:rPr>
          <w:noProof/>
        </w:rPr>
        <w:t> </w:t>
      </w:r>
      <w:r w:rsidR="003F3D2B" w:rsidRPr="00624565">
        <w:rPr>
          <w:noProof/>
        </w:rPr>
        <w:t>nic</w:t>
      </w:r>
      <w:r w:rsidRPr="00624565">
        <w:rPr>
          <w:noProof/>
        </w:rPr>
        <w:t>h pod kątem wymogów określonych</w:t>
      </w:r>
      <w:r w:rsidR="003F3D2B" w:rsidRPr="00624565">
        <w:rPr>
          <w:noProof/>
        </w:rPr>
        <w:t xml:space="preserve"> w</w:t>
      </w:r>
      <w:r w:rsidR="003F3D2B">
        <w:rPr>
          <w:noProof/>
        </w:rPr>
        <w:t> </w:t>
      </w:r>
      <w:r w:rsidR="003F3D2B" w:rsidRPr="003F3D2B">
        <w:rPr>
          <w:noProof/>
        </w:rPr>
        <w:t>art</w:t>
      </w:r>
      <w:r w:rsidRPr="003F3D2B">
        <w:rPr>
          <w:noProof/>
        </w:rPr>
        <w:t>.</w:t>
      </w:r>
      <w:r w:rsidR="003F3D2B" w:rsidRPr="003F3D2B">
        <w:rPr>
          <w:noProof/>
        </w:rPr>
        <w:t> </w:t>
      </w:r>
      <w:r w:rsidRPr="003F3D2B">
        <w:rPr>
          <w:noProof/>
        </w:rPr>
        <w:t>3</w:t>
      </w:r>
      <w:r w:rsidRPr="00624565">
        <w:rPr>
          <w:noProof/>
        </w:rPr>
        <w:t>–7.</w:t>
      </w:r>
    </w:p>
    <w:p w14:paraId="54909DA2" w14:textId="1379C1A2" w:rsidR="0020139D" w:rsidRPr="00624565" w:rsidRDefault="004D161E" w:rsidP="004D161E">
      <w:pPr>
        <w:pStyle w:val="ManualNumPar1"/>
        <w:rPr>
          <w:noProof/>
        </w:rPr>
      </w:pPr>
      <w:r w:rsidRPr="00624565">
        <w:rPr>
          <w:noProof/>
        </w:rPr>
        <w:t>2.</w:t>
      </w:r>
      <w:r w:rsidRPr="00624565">
        <w:rPr>
          <w:noProof/>
        </w:rPr>
        <w:tab/>
        <w:t>Państwa członkowskie ustanawiają procedury weryfikacji zgodności systemów oznakowania ekologicznego</w:t>
      </w:r>
      <w:r w:rsidR="003F3D2B" w:rsidRPr="00624565">
        <w:rPr>
          <w:noProof/>
        </w:rPr>
        <w:t xml:space="preserve"> z</w:t>
      </w:r>
      <w:r w:rsidR="003F3D2B">
        <w:rPr>
          <w:noProof/>
        </w:rPr>
        <w:t> </w:t>
      </w:r>
      <w:r w:rsidR="003F3D2B" w:rsidRPr="00624565">
        <w:rPr>
          <w:noProof/>
        </w:rPr>
        <w:t>wym</w:t>
      </w:r>
      <w:r w:rsidRPr="00624565">
        <w:rPr>
          <w:noProof/>
        </w:rPr>
        <w:t>ogami określonymi</w:t>
      </w:r>
      <w:r w:rsidR="003F3D2B" w:rsidRPr="00624565">
        <w:rPr>
          <w:noProof/>
        </w:rPr>
        <w:t xml:space="preserve"> w</w:t>
      </w:r>
      <w:r w:rsidR="003F3D2B">
        <w:rPr>
          <w:noProof/>
        </w:rPr>
        <w:t> </w:t>
      </w:r>
      <w:r w:rsidR="003F3D2B" w:rsidRPr="003F3D2B">
        <w:rPr>
          <w:noProof/>
        </w:rPr>
        <w:t>art</w:t>
      </w:r>
      <w:r w:rsidRPr="003F3D2B">
        <w:rPr>
          <w:noProof/>
        </w:rPr>
        <w:t>.</w:t>
      </w:r>
      <w:r w:rsidR="003F3D2B" w:rsidRPr="003F3D2B">
        <w:rPr>
          <w:noProof/>
        </w:rPr>
        <w:t> </w:t>
      </w:r>
      <w:r w:rsidRPr="003F3D2B">
        <w:rPr>
          <w:noProof/>
        </w:rPr>
        <w:t>8</w:t>
      </w:r>
      <w:r w:rsidRPr="00624565">
        <w:rPr>
          <w:noProof/>
        </w:rPr>
        <w:t>.</w:t>
      </w:r>
    </w:p>
    <w:p w14:paraId="4AFC2259" w14:textId="3A1938F7" w:rsidR="008C57BB" w:rsidRPr="00624565" w:rsidRDefault="004D161E" w:rsidP="004D161E">
      <w:pPr>
        <w:pStyle w:val="ManualNumPar1"/>
        <w:rPr>
          <w:noProof/>
        </w:rPr>
      </w:pPr>
      <w:r w:rsidRPr="00624565">
        <w:rPr>
          <w:noProof/>
        </w:rPr>
        <w:t>3.</w:t>
      </w:r>
      <w:r w:rsidRPr="00624565">
        <w:rPr>
          <w:noProof/>
        </w:rPr>
        <w:tab/>
        <w:t>Wymogi dotyczące weryfikacji</w:t>
      </w:r>
      <w:r w:rsidR="003F3D2B" w:rsidRPr="00624565">
        <w:rPr>
          <w:noProof/>
        </w:rPr>
        <w:t xml:space="preserve"> i</w:t>
      </w:r>
      <w:r w:rsidR="003F3D2B">
        <w:rPr>
          <w:noProof/>
        </w:rPr>
        <w:t> </w:t>
      </w:r>
      <w:r w:rsidR="003F3D2B" w:rsidRPr="00624565">
        <w:rPr>
          <w:noProof/>
        </w:rPr>
        <w:t>cer</w:t>
      </w:r>
      <w:r w:rsidRPr="00624565">
        <w:rPr>
          <w:noProof/>
        </w:rPr>
        <w:t>tyfikacji mają zastosowanie do przedsiębiorców będących mikroprzedsiębiorstwami</w:t>
      </w:r>
      <w:r w:rsidR="003F3D2B" w:rsidRPr="00624565">
        <w:rPr>
          <w:noProof/>
        </w:rPr>
        <w:t xml:space="preserve"> w</w:t>
      </w:r>
      <w:r w:rsidR="003F3D2B">
        <w:rPr>
          <w:noProof/>
        </w:rPr>
        <w:t> </w:t>
      </w:r>
      <w:r w:rsidR="003F3D2B" w:rsidRPr="00624565">
        <w:rPr>
          <w:noProof/>
        </w:rPr>
        <w:t>roz</w:t>
      </w:r>
      <w:r w:rsidRPr="00624565">
        <w:rPr>
          <w:noProof/>
        </w:rPr>
        <w:t>umieniu zalecenia Komisji 2003/361/WE jedynie na ich wniosek.</w:t>
      </w:r>
    </w:p>
    <w:p w14:paraId="45BE89A6" w14:textId="5F085B95" w:rsidR="008C57BB" w:rsidRPr="00624565" w:rsidRDefault="004D161E" w:rsidP="004D161E">
      <w:pPr>
        <w:pStyle w:val="ManualNumPar1"/>
        <w:rPr>
          <w:noProof/>
        </w:rPr>
      </w:pPr>
      <w:r w:rsidRPr="00624565">
        <w:rPr>
          <w:noProof/>
        </w:rPr>
        <w:t>4.</w:t>
      </w:r>
      <w:r w:rsidRPr="00624565">
        <w:rPr>
          <w:noProof/>
        </w:rPr>
        <w:tab/>
        <w:t>Weryfikacji dokonuje weryfikator spełniający wymogi określone</w:t>
      </w:r>
      <w:r w:rsidR="003F3D2B" w:rsidRPr="00624565">
        <w:rPr>
          <w:noProof/>
        </w:rPr>
        <w:t xml:space="preserve"> w</w:t>
      </w:r>
      <w:r w:rsidR="003F3D2B">
        <w:rPr>
          <w:noProof/>
        </w:rPr>
        <w:t> </w:t>
      </w:r>
      <w:r w:rsidR="003F3D2B" w:rsidRPr="003F3D2B">
        <w:rPr>
          <w:noProof/>
        </w:rPr>
        <w:t>art</w:t>
      </w:r>
      <w:r w:rsidRPr="003F3D2B">
        <w:rPr>
          <w:noProof/>
        </w:rPr>
        <w:t>.</w:t>
      </w:r>
      <w:r w:rsidR="003F3D2B" w:rsidRPr="003F3D2B">
        <w:rPr>
          <w:noProof/>
        </w:rPr>
        <w:t> </w:t>
      </w:r>
      <w:r w:rsidRPr="003F3D2B">
        <w:rPr>
          <w:noProof/>
        </w:rPr>
        <w:t>1</w:t>
      </w:r>
      <w:r w:rsidRPr="00624565">
        <w:rPr>
          <w:noProof/>
        </w:rPr>
        <w:t>1 zgodnie</w:t>
      </w:r>
      <w:r w:rsidR="003F3D2B" w:rsidRPr="00624565">
        <w:rPr>
          <w:noProof/>
        </w:rPr>
        <w:t xml:space="preserve"> z</w:t>
      </w:r>
      <w:r w:rsidR="003F3D2B">
        <w:rPr>
          <w:noProof/>
        </w:rPr>
        <w:t> </w:t>
      </w:r>
      <w:r w:rsidR="003F3D2B" w:rsidRPr="00624565">
        <w:rPr>
          <w:noProof/>
        </w:rPr>
        <w:t>pro</w:t>
      </w:r>
      <w:r w:rsidRPr="00624565">
        <w:rPr>
          <w:noProof/>
        </w:rPr>
        <w:t>cedurami,</w:t>
      </w:r>
      <w:r w:rsidR="003F3D2B" w:rsidRPr="00624565">
        <w:rPr>
          <w:noProof/>
        </w:rPr>
        <w:t xml:space="preserve"> o</w:t>
      </w:r>
      <w:r w:rsidR="003F3D2B">
        <w:rPr>
          <w:noProof/>
        </w:rPr>
        <w:t> </w:t>
      </w:r>
      <w:r w:rsidR="003F3D2B" w:rsidRPr="00624565">
        <w:rPr>
          <w:noProof/>
        </w:rPr>
        <w:t>któ</w:t>
      </w:r>
      <w:r w:rsidRPr="00624565">
        <w:rPr>
          <w:noProof/>
        </w:rPr>
        <w:t>rych mowa</w:t>
      </w:r>
      <w:r w:rsidR="003F3D2B" w:rsidRPr="00624565">
        <w:rPr>
          <w:noProof/>
        </w:rPr>
        <w:t xml:space="preserve"> w</w:t>
      </w:r>
      <w:r w:rsidR="003F3D2B">
        <w:rPr>
          <w:noProof/>
        </w:rPr>
        <w:t> </w:t>
      </w:r>
      <w:r w:rsidR="003F3D2B" w:rsidRPr="003F3D2B">
        <w:rPr>
          <w:noProof/>
        </w:rPr>
        <w:t>ust</w:t>
      </w:r>
      <w:r w:rsidRPr="003F3D2B">
        <w:rPr>
          <w:noProof/>
        </w:rPr>
        <w:t>.</w:t>
      </w:r>
      <w:r w:rsidR="003F3D2B" w:rsidRPr="003F3D2B">
        <w:rPr>
          <w:noProof/>
        </w:rPr>
        <w:t> </w:t>
      </w:r>
      <w:r w:rsidRPr="003F3D2B">
        <w:rPr>
          <w:noProof/>
        </w:rPr>
        <w:t>1</w:t>
      </w:r>
      <w:r w:rsidR="003F3D2B" w:rsidRPr="00624565">
        <w:rPr>
          <w:noProof/>
        </w:rPr>
        <w:t xml:space="preserve"> i</w:t>
      </w:r>
      <w:r w:rsidR="003F3D2B">
        <w:rPr>
          <w:noProof/>
        </w:rPr>
        <w:t> </w:t>
      </w:r>
      <w:r w:rsidR="003F3D2B" w:rsidRPr="00624565">
        <w:rPr>
          <w:noProof/>
        </w:rPr>
        <w:t>2</w:t>
      </w:r>
      <w:r w:rsidRPr="00624565">
        <w:rPr>
          <w:noProof/>
        </w:rPr>
        <w:t>, zanim oświadczenie środowiskowe zostanie podane do publicznej wiadomości lub oznakowanie ekologiczne zostanie zaprezentowane przez przedsiębiorcę.</w:t>
      </w:r>
    </w:p>
    <w:p w14:paraId="39B36C90" w14:textId="3C74F972" w:rsidR="008C57BB" w:rsidRPr="00624565" w:rsidRDefault="004D161E" w:rsidP="004D161E">
      <w:pPr>
        <w:pStyle w:val="ManualNumPar1"/>
        <w:rPr>
          <w:noProof/>
        </w:rPr>
      </w:pPr>
      <w:r w:rsidRPr="00624565">
        <w:rPr>
          <w:noProof/>
        </w:rPr>
        <w:t>5.</w:t>
      </w:r>
      <w:r w:rsidRPr="00624565">
        <w:rPr>
          <w:noProof/>
        </w:rPr>
        <w:tab/>
        <w:t>Do celów weryfikacji weryfikator bierze pod uwagę charakter</w:t>
      </w:r>
      <w:r w:rsidR="003F3D2B" w:rsidRPr="00624565">
        <w:rPr>
          <w:noProof/>
        </w:rPr>
        <w:t xml:space="preserve"> i</w:t>
      </w:r>
      <w:r w:rsidR="003F3D2B">
        <w:rPr>
          <w:noProof/>
        </w:rPr>
        <w:t> </w:t>
      </w:r>
      <w:r w:rsidR="003F3D2B" w:rsidRPr="00624565">
        <w:rPr>
          <w:noProof/>
        </w:rPr>
        <w:t>tre</w:t>
      </w:r>
      <w:r w:rsidRPr="00624565">
        <w:rPr>
          <w:noProof/>
        </w:rPr>
        <w:t>ść wyraźnego oświadczenia środowiskowego lub oznakowania ekologicznego.</w:t>
      </w:r>
    </w:p>
    <w:p w14:paraId="3358A030" w14:textId="57FD8BBA" w:rsidR="008C57BB" w:rsidRPr="00624565" w:rsidRDefault="004D161E" w:rsidP="004D161E">
      <w:pPr>
        <w:pStyle w:val="ManualNumPar1"/>
        <w:rPr>
          <w:noProof/>
        </w:rPr>
      </w:pPr>
      <w:r w:rsidRPr="00624565">
        <w:rPr>
          <w:noProof/>
        </w:rPr>
        <w:t>6.</w:t>
      </w:r>
      <w:r w:rsidRPr="00624565">
        <w:rPr>
          <w:noProof/>
        </w:rPr>
        <w:tab/>
        <w:t>Po zakończeniu weryfikacji weryfikator wystawia,</w:t>
      </w:r>
      <w:r w:rsidR="003F3D2B" w:rsidRPr="00624565">
        <w:rPr>
          <w:noProof/>
        </w:rPr>
        <w:t xml:space="preserve"> w</w:t>
      </w:r>
      <w:r w:rsidR="003F3D2B">
        <w:rPr>
          <w:noProof/>
        </w:rPr>
        <w:t> </w:t>
      </w:r>
      <w:r w:rsidR="003F3D2B" w:rsidRPr="00624565">
        <w:rPr>
          <w:noProof/>
        </w:rPr>
        <w:t>sto</w:t>
      </w:r>
      <w:r w:rsidRPr="00624565">
        <w:rPr>
          <w:noProof/>
        </w:rPr>
        <w:t>sownych przypadkach, certyfikat zgodności poświadczający, że wyraźne oświadczenie środowiskowe lub oznakowanie ekologiczne spełnia wymogi określone</w:t>
      </w:r>
      <w:r w:rsidR="003F3D2B" w:rsidRPr="00624565">
        <w:rPr>
          <w:noProof/>
        </w:rPr>
        <w:t xml:space="preserve"> w</w:t>
      </w:r>
      <w:r w:rsidR="003F3D2B">
        <w:rPr>
          <w:noProof/>
        </w:rPr>
        <w:t> </w:t>
      </w:r>
      <w:r w:rsidR="003F3D2B" w:rsidRPr="00624565">
        <w:rPr>
          <w:noProof/>
        </w:rPr>
        <w:t>nin</w:t>
      </w:r>
      <w:r w:rsidRPr="00624565">
        <w:rPr>
          <w:noProof/>
        </w:rPr>
        <w:t xml:space="preserve">iejszej dyrektywie. </w:t>
      </w:r>
    </w:p>
    <w:p w14:paraId="6A061D0A" w14:textId="4CB565DD" w:rsidR="008C57BB" w:rsidRPr="00624565" w:rsidRDefault="004D161E" w:rsidP="004D161E">
      <w:pPr>
        <w:pStyle w:val="ManualNumPar1"/>
        <w:rPr>
          <w:noProof/>
        </w:rPr>
      </w:pPr>
      <w:r w:rsidRPr="00624565">
        <w:rPr>
          <w:noProof/>
        </w:rPr>
        <w:t>7.</w:t>
      </w:r>
      <w:r w:rsidRPr="00624565">
        <w:rPr>
          <w:noProof/>
        </w:rPr>
        <w:tab/>
        <w:t>Certyfikat zgodności jest uznawany przez właściwe organy odpowiedzialne za stosowanie</w:t>
      </w:r>
      <w:r w:rsidR="003F3D2B" w:rsidRPr="00624565">
        <w:rPr>
          <w:noProof/>
        </w:rPr>
        <w:t xml:space="preserve"> i</w:t>
      </w:r>
      <w:r w:rsidR="003F3D2B">
        <w:rPr>
          <w:noProof/>
        </w:rPr>
        <w:t> </w:t>
      </w:r>
      <w:r w:rsidR="003F3D2B" w:rsidRPr="00624565">
        <w:rPr>
          <w:noProof/>
        </w:rPr>
        <w:t>egz</w:t>
      </w:r>
      <w:r w:rsidRPr="00624565">
        <w:rPr>
          <w:noProof/>
        </w:rPr>
        <w:t xml:space="preserve">ekwowanie przepisów niniejszej dyrektywy. Państwa członkowskie przekazują wykaz certyfikatów zgodności za pośrednictwem systemu wymiany informacji na rynku wewnętrznym ustanowionego rozporządzeniem (UE) </w:t>
      </w:r>
      <w:r w:rsidRPr="003F3D2B">
        <w:rPr>
          <w:noProof/>
        </w:rPr>
        <w:t>nr</w:t>
      </w:r>
      <w:r w:rsidR="003F3D2B" w:rsidRPr="003F3D2B">
        <w:rPr>
          <w:noProof/>
        </w:rPr>
        <w:t> </w:t>
      </w:r>
      <w:r w:rsidRPr="003F3D2B">
        <w:rPr>
          <w:noProof/>
        </w:rPr>
        <w:t>1</w:t>
      </w:r>
      <w:r w:rsidRPr="00624565">
        <w:rPr>
          <w:noProof/>
        </w:rPr>
        <w:t>024/2012.</w:t>
      </w:r>
    </w:p>
    <w:p w14:paraId="0794ED0A" w14:textId="61CD70F5" w:rsidR="0020139D" w:rsidRPr="00624565" w:rsidRDefault="004D161E" w:rsidP="004D161E">
      <w:pPr>
        <w:pStyle w:val="ManualNumPar1"/>
        <w:rPr>
          <w:noProof/>
        </w:rPr>
      </w:pPr>
      <w:r w:rsidRPr="00624565">
        <w:rPr>
          <w:noProof/>
        </w:rPr>
        <w:t>8.</w:t>
      </w:r>
      <w:r w:rsidRPr="00624565">
        <w:rPr>
          <w:noProof/>
        </w:rPr>
        <w:tab/>
        <w:t>Certyfikat zgodności nie przesądza</w:t>
      </w:r>
      <w:r w:rsidR="003F3D2B" w:rsidRPr="00624565">
        <w:rPr>
          <w:noProof/>
        </w:rPr>
        <w:t xml:space="preserve"> o</w:t>
      </w:r>
      <w:r w:rsidR="003F3D2B">
        <w:rPr>
          <w:noProof/>
        </w:rPr>
        <w:t> </w:t>
      </w:r>
      <w:r w:rsidR="003F3D2B" w:rsidRPr="00624565">
        <w:rPr>
          <w:noProof/>
        </w:rPr>
        <w:t>oce</w:t>
      </w:r>
      <w:r w:rsidRPr="00624565">
        <w:rPr>
          <w:noProof/>
        </w:rPr>
        <w:t>nie oświadczenia środowiskowego dokonywanej przez organy krajowe lub sądy zgodnie</w:t>
      </w:r>
      <w:r w:rsidR="003F3D2B" w:rsidRPr="00624565">
        <w:rPr>
          <w:noProof/>
        </w:rPr>
        <w:t xml:space="preserve"> z</w:t>
      </w:r>
      <w:r w:rsidR="003F3D2B">
        <w:rPr>
          <w:noProof/>
        </w:rPr>
        <w:t> </w:t>
      </w:r>
      <w:r w:rsidR="003F3D2B" w:rsidRPr="00624565">
        <w:rPr>
          <w:noProof/>
        </w:rPr>
        <w:t>dyr</w:t>
      </w:r>
      <w:r w:rsidRPr="00624565">
        <w:rPr>
          <w:noProof/>
        </w:rPr>
        <w:t xml:space="preserve">ektywą 2005/29/WE. </w:t>
      </w:r>
    </w:p>
    <w:p w14:paraId="77565B64" w14:textId="6D916986" w:rsidR="008C57BB" w:rsidRPr="00624565" w:rsidRDefault="004D161E" w:rsidP="004D161E">
      <w:pPr>
        <w:pStyle w:val="ManualNumPar1"/>
        <w:rPr>
          <w:noProof/>
        </w:rPr>
      </w:pPr>
      <w:r w:rsidRPr="00624565">
        <w:rPr>
          <w:noProof/>
        </w:rPr>
        <w:t>9.</w:t>
      </w:r>
      <w:r w:rsidRPr="00624565">
        <w:rPr>
          <w:noProof/>
        </w:rPr>
        <w:tab/>
        <w:t>Komisja przyjmuje akty wykonawcze</w:t>
      </w:r>
      <w:r w:rsidR="003F3D2B" w:rsidRPr="00624565">
        <w:rPr>
          <w:noProof/>
        </w:rPr>
        <w:t xml:space="preserve"> w</w:t>
      </w:r>
      <w:r w:rsidR="003F3D2B">
        <w:rPr>
          <w:noProof/>
        </w:rPr>
        <w:t> </w:t>
      </w:r>
      <w:r w:rsidR="003F3D2B" w:rsidRPr="00624565">
        <w:rPr>
          <w:noProof/>
        </w:rPr>
        <w:t>cel</w:t>
      </w:r>
      <w:r w:rsidRPr="00624565">
        <w:rPr>
          <w:noProof/>
        </w:rPr>
        <w:t>u określenia informacji szczegółowych dotyczących formy certyfikatu zgodności,</w:t>
      </w:r>
      <w:r w:rsidR="003F3D2B" w:rsidRPr="00624565">
        <w:rPr>
          <w:noProof/>
        </w:rPr>
        <w:t xml:space="preserve"> o</w:t>
      </w:r>
      <w:r w:rsidR="003F3D2B">
        <w:rPr>
          <w:noProof/>
        </w:rPr>
        <w:t> </w:t>
      </w:r>
      <w:r w:rsidR="003F3D2B" w:rsidRPr="00624565">
        <w:rPr>
          <w:noProof/>
        </w:rPr>
        <w:t>któ</w:t>
      </w:r>
      <w:r w:rsidRPr="00624565">
        <w:rPr>
          <w:noProof/>
        </w:rPr>
        <w:t>rym mowa</w:t>
      </w:r>
      <w:r w:rsidR="003F3D2B" w:rsidRPr="00624565">
        <w:rPr>
          <w:noProof/>
        </w:rPr>
        <w:t xml:space="preserve"> w</w:t>
      </w:r>
      <w:r w:rsidR="003F3D2B">
        <w:rPr>
          <w:noProof/>
        </w:rPr>
        <w:t> </w:t>
      </w:r>
      <w:r w:rsidR="003F3D2B" w:rsidRPr="003F3D2B">
        <w:rPr>
          <w:noProof/>
        </w:rPr>
        <w:t>ust</w:t>
      </w:r>
      <w:r w:rsidRPr="003F3D2B">
        <w:rPr>
          <w:noProof/>
        </w:rPr>
        <w:t>.</w:t>
      </w:r>
      <w:r w:rsidR="003F3D2B" w:rsidRPr="003F3D2B">
        <w:rPr>
          <w:noProof/>
        </w:rPr>
        <w:t> </w:t>
      </w:r>
      <w:r w:rsidRPr="003F3D2B">
        <w:rPr>
          <w:noProof/>
        </w:rPr>
        <w:t>5</w:t>
      </w:r>
      <w:r w:rsidRPr="00624565">
        <w:rPr>
          <w:noProof/>
        </w:rPr>
        <w:t>, oraz środków technicznych służących do wystawienia takiego certyfikatu. Te akty wykonawcze przyjmuje się zgodnie</w:t>
      </w:r>
      <w:r w:rsidR="003F3D2B" w:rsidRPr="00624565">
        <w:rPr>
          <w:noProof/>
        </w:rPr>
        <w:t xml:space="preserve"> z</w:t>
      </w:r>
      <w:r w:rsidR="003F3D2B">
        <w:rPr>
          <w:noProof/>
        </w:rPr>
        <w:t> </w:t>
      </w:r>
      <w:r w:rsidR="003F3D2B" w:rsidRPr="00624565">
        <w:rPr>
          <w:noProof/>
        </w:rPr>
        <w:t>pro</w:t>
      </w:r>
      <w:r w:rsidRPr="00624565">
        <w:rPr>
          <w:noProof/>
        </w:rPr>
        <w:t>cedurą sprawdzającą,</w:t>
      </w:r>
      <w:r w:rsidR="003F3D2B" w:rsidRPr="00624565">
        <w:rPr>
          <w:noProof/>
        </w:rPr>
        <w:t xml:space="preserve"> o</w:t>
      </w:r>
      <w:r w:rsidR="003F3D2B">
        <w:rPr>
          <w:noProof/>
        </w:rPr>
        <w:t> </w:t>
      </w:r>
      <w:r w:rsidR="003F3D2B" w:rsidRPr="00624565">
        <w:rPr>
          <w:noProof/>
        </w:rPr>
        <w:t>któ</w:t>
      </w:r>
      <w:r w:rsidRPr="00624565">
        <w:rPr>
          <w:noProof/>
        </w:rPr>
        <w:t>rej mowa</w:t>
      </w:r>
      <w:r w:rsidR="003F3D2B" w:rsidRPr="00624565">
        <w:rPr>
          <w:noProof/>
        </w:rPr>
        <w:t xml:space="preserve"> w</w:t>
      </w:r>
      <w:r w:rsidR="003F3D2B">
        <w:rPr>
          <w:noProof/>
        </w:rPr>
        <w:t> </w:t>
      </w:r>
      <w:r w:rsidR="003F3D2B" w:rsidRPr="003F3D2B">
        <w:rPr>
          <w:noProof/>
        </w:rPr>
        <w:t>art</w:t>
      </w:r>
      <w:r w:rsidRPr="003F3D2B">
        <w:rPr>
          <w:noProof/>
        </w:rPr>
        <w:t>.</w:t>
      </w:r>
      <w:r w:rsidR="003F3D2B" w:rsidRPr="003F3D2B">
        <w:rPr>
          <w:noProof/>
        </w:rPr>
        <w:t> </w:t>
      </w:r>
      <w:r w:rsidRPr="003F3D2B">
        <w:rPr>
          <w:noProof/>
        </w:rPr>
        <w:t>1</w:t>
      </w:r>
      <w:r w:rsidRPr="00624565">
        <w:rPr>
          <w:noProof/>
        </w:rPr>
        <w:t>9.</w:t>
      </w:r>
    </w:p>
    <w:p w14:paraId="46FD0576" w14:textId="77777777" w:rsidR="001F21F9" w:rsidRPr="00624565" w:rsidRDefault="001F21F9" w:rsidP="001F21F9">
      <w:pPr>
        <w:pStyle w:val="Titrearticle"/>
        <w:rPr>
          <w:noProof/>
        </w:rPr>
      </w:pPr>
      <w:r w:rsidRPr="00624565">
        <w:rPr>
          <w:noProof/>
        </w:rPr>
        <w:t>Artykuł 11</w:t>
      </w:r>
    </w:p>
    <w:p w14:paraId="73C75CB3" w14:textId="77777777" w:rsidR="001F21F9" w:rsidRPr="00624565" w:rsidRDefault="001F21F9" w:rsidP="001F21F9">
      <w:pPr>
        <w:pStyle w:val="Titrearticle"/>
        <w:rPr>
          <w:noProof/>
        </w:rPr>
      </w:pPr>
      <w:r w:rsidRPr="00624565">
        <w:rPr>
          <w:noProof/>
        </w:rPr>
        <w:t>Weryfikator</w:t>
      </w:r>
    </w:p>
    <w:p w14:paraId="423C4141" w14:textId="2AD66E01" w:rsidR="001F21F9" w:rsidRPr="00624565" w:rsidRDefault="004D161E" w:rsidP="004D161E">
      <w:pPr>
        <w:pStyle w:val="ManualNumPar1"/>
        <w:rPr>
          <w:noProof/>
        </w:rPr>
      </w:pPr>
      <w:r w:rsidRPr="00624565">
        <w:rPr>
          <w:noProof/>
        </w:rPr>
        <w:t>1.</w:t>
      </w:r>
      <w:r w:rsidRPr="00624565">
        <w:rPr>
          <w:noProof/>
        </w:rPr>
        <w:tab/>
        <w:t>Weryfikator jest zewnętrzną jednostką oceniającą zgodność, akredytowaną zgodnie</w:t>
      </w:r>
      <w:r w:rsidR="003F3D2B" w:rsidRPr="00624565">
        <w:rPr>
          <w:noProof/>
        </w:rPr>
        <w:t xml:space="preserve"> z</w:t>
      </w:r>
      <w:r w:rsidR="003F3D2B">
        <w:rPr>
          <w:noProof/>
        </w:rPr>
        <w:t> </w:t>
      </w:r>
      <w:r w:rsidR="003F3D2B" w:rsidRPr="00624565">
        <w:rPr>
          <w:noProof/>
        </w:rPr>
        <w:t>roz</w:t>
      </w:r>
      <w:r w:rsidRPr="00624565">
        <w:rPr>
          <w:noProof/>
        </w:rPr>
        <w:t xml:space="preserve">porządzeniem (WE) </w:t>
      </w:r>
      <w:r w:rsidRPr="003F3D2B">
        <w:rPr>
          <w:noProof/>
        </w:rPr>
        <w:t>nr</w:t>
      </w:r>
      <w:r w:rsidR="003F3D2B" w:rsidRPr="003F3D2B">
        <w:rPr>
          <w:noProof/>
        </w:rPr>
        <w:t> </w:t>
      </w:r>
      <w:r w:rsidRPr="003F3D2B">
        <w:rPr>
          <w:noProof/>
        </w:rPr>
        <w:t>7</w:t>
      </w:r>
      <w:r w:rsidRPr="00624565">
        <w:rPr>
          <w:noProof/>
        </w:rPr>
        <w:t>65/2008</w:t>
      </w:r>
      <w:r w:rsidRPr="00624565">
        <w:rPr>
          <w:rStyle w:val="FootnoteReference"/>
          <w:noProof/>
        </w:rPr>
        <w:footnoteReference w:id="114"/>
      </w:r>
      <w:r w:rsidRPr="00624565">
        <w:rPr>
          <w:noProof/>
        </w:rPr>
        <w:t>.</w:t>
      </w:r>
    </w:p>
    <w:p w14:paraId="1CA028C4" w14:textId="20481909" w:rsidR="001F21F9" w:rsidRPr="00624565" w:rsidRDefault="004D161E" w:rsidP="004D161E">
      <w:pPr>
        <w:pStyle w:val="ManualNumPar1"/>
        <w:rPr>
          <w:noProof/>
        </w:rPr>
      </w:pPr>
      <w:r w:rsidRPr="00624565">
        <w:rPr>
          <w:noProof/>
        </w:rPr>
        <w:t>2.</w:t>
      </w:r>
      <w:r w:rsidRPr="00624565">
        <w:rPr>
          <w:noProof/>
        </w:rPr>
        <w:tab/>
        <w:t>Akredytacja obejmuje</w:t>
      </w:r>
      <w:r w:rsidR="003F3D2B" w:rsidRPr="00624565">
        <w:rPr>
          <w:noProof/>
        </w:rPr>
        <w:t xml:space="preserve"> w</w:t>
      </w:r>
      <w:r w:rsidR="003F3D2B">
        <w:rPr>
          <w:noProof/>
        </w:rPr>
        <w:t> </w:t>
      </w:r>
      <w:r w:rsidR="003F3D2B" w:rsidRPr="00624565">
        <w:rPr>
          <w:noProof/>
        </w:rPr>
        <w:t>szc</w:t>
      </w:r>
      <w:r w:rsidRPr="00624565">
        <w:rPr>
          <w:noProof/>
        </w:rPr>
        <w:t>zególności ocenę zgodności</w:t>
      </w:r>
      <w:r w:rsidR="003F3D2B" w:rsidRPr="00624565">
        <w:rPr>
          <w:noProof/>
        </w:rPr>
        <w:t xml:space="preserve"> z</w:t>
      </w:r>
      <w:r w:rsidR="003F3D2B">
        <w:rPr>
          <w:noProof/>
        </w:rPr>
        <w:t> </w:t>
      </w:r>
      <w:r w:rsidR="003F3D2B" w:rsidRPr="00624565">
        <w:rPr>
          <w:noProof/>
        </w:rPr>
        <w:t>wym</w:t>
      </w:r>
      <w:r w:rsidRPr="00624565">
        <w:rPr>
          <w:noProof/>
        </w:rPr>
        <w:t>ogami określonymi</w:t>
      </w:r>
      <w:r w:rsidR="003F3D2B" w:rsidRPr="00624565">
        <w:rPr>
          <w:noProof/>
        </w:rPr>
        <w:t xml:space="preserve"> w</w:t>
      </w:r>
      <w:r w:rsidR="003F3D2B">
        <w:rPr>
          <w:noProof/>
        </w:rPr>
        <w:t> </w:t>
      </w:r>
      <w:r w:rsidR="003F3D2B" w:rsidRPr="003F3D2B">
        <w:rPr>
          <w:noProof/>
        </w:rPr>
        <w:t>ust</w:t>
      </w:r>
      <w:r w:rsidRPr="003F3D2B">
        <w:rPr>
          <w:noProof/>
        </w:rPr>
        <w:t>.</w:t>
      </w:r>
      <w:r w:rsidR="003F3D2B" w:rsidRPr="003F3D2B">
        <w:rPr>
          <w:noProof/>
        </w:rPr>
        <w:t> </w:t>
      </w:r>
      <w:r w:rsidRPr="003F3D2B">
        <w:rPr>
          <w:noProof/>
        </w:rPr>
        <w:t>3</w:t>
      </w:r>
      <w:r w:rsidRPr="00624565">
        <w:rPr>
          <w:noProof/>
        </w:rPr>
        <w:t>.</w:t>
      </w:r>
    </w:p>
    <w:p w14:paraId="4748ABFD" w14:textId="63F54E5A" w:rsidR="001F21F9" w:rsidRPr="00624565" w:rsidRDefault="004D161E" w:rsidP="004D161E">
      <w:pPr>
        <w:pStyle w:val="ManualNumPar1"/>
        <w:rPr>
          <w:noProof/>
        </w:rPr>
      </w:pPr>
      <w:r w:rsidRPr="00624565">
        <w:rPr>
          <w:noProof/>
        </w:rPr>
        <w:t>3.</w:t>
      </w:r>
      <w:r w:rsidRPr="00624565">
        <w:rPr>
          <w:noProof/>
        </w:rPr>
        <w:tab/>
        <w:t>Weryfikator spełnia następujące wymogi:</w:t>
      </w:r>
    </w:p>
    <w:p w14:paraId="49FAD902" w14:textId="6A106A09" w:rsidR="001F21F9" w:rsidRPr="00624565" w:rsidRDefault="001F21F9" w:rsidP="006E3743">
      <w:pPr>
        <w:pStyle w:val="ListNumberLevel2"/>
        <w:numPr>
          <w:ilvl w:val="1"/>
          <w:numId w:val="27"/>
        </w:numPr>
        <w:tabs>
          <w:tab w:val="clear" w:pos="1417"/>
        </w:tabs>
        <w:rPr>
          <w:noProof/>
        </w:rPr>
      </w:pPr>
      <w:r w:rsidRPr="00624565">
        <w:rPr>
          <w:noProof/>
        </w:rPr>
        <w:t>jest osobą niezależną od produktu, którego dotyczy oświadczenie środowiskowe, lub od przedsiębiorcy związanego</w:t>
      </w:r>
      <w:r w:rsidR="003F3D2B" w:rsidRPr="00624565">
        <w:rPr>
          <w:noProof/>
        </w:rPr>
        <w:t xml:space="preserve"> z</w:t>
      </w:r>
      <w:r w:rsidR="003F3D2B">
        <w:rPr>
          <w:noProof/>
        </w:rPr>
        <w:t> </w:t>
      </w:r>
      <w:r w:rsidR="003F3D2B" w:rsidRPr="00624565">
        <w:rPr>
          <w:noProof/>
        </w:rPr>
        <w:t>tym</w:t>
      </w:r>
      <w:r w:rsidRPr="00624565">
        <w:rPr>
          <w:noProof/>
        </w:rPr>
        <w:t xml:space="preserve"> oświadczeniem;</w:t>
      </w:r>
    </w:p>
    <w:p w14:paraId="3764023C" w14:textId="49DAB8A2" w:rsidR="001F21F9" w:rsidRPr="00624565" w:rsidRDefault="001F21F9" w:rsidP="00624565">
      <w:pPr>
        <w:pStyle w:val="ListNumberLevel2"/>
        <w:numPr>
          <w:ilvl w:val="1"/>
          <w:numId w:val="6"/>
        </w:numPr>
        <w:ind w:left="1418"/>
        <w:rPr>
          <w:noProof/>
        </w:rPr>
      </w:pPr>
      <w:r w:rsidRPr="00624565">
        <w:rPr>
          <w:noProof/>
        </w:rPr>
        <w:t>weryfikator, jego kierownictwo najwyższego szczebla oraz pracownicy odpowiedzialni za realizację zadań związanych</w:t>
      </w:r>
      <w:r w:rsidR="003F3D2B" w:rsidRPr="00624565">
        <w:rPr>
          <w:noProof/>
        </w:rPr>
        <w:t xml:space="preserve"> z</w:t>
      </w:r>
      <w:r w:rsidR="003F3D2B">
        <w:rPr>
          <w:noProof/>
        </w:rPr>
        <w:t> </w:t>
      </w:r>
      <w:r w:rsidR="003F3D2B" w:rsidRPr="00624565">
        <w:rPr>
          <w:noProof/>
        </w:rPr>
        <w:t>wer</w:t>
      </w:r>
      <w:r w:rsidRPr="00624565">
        <w:rPr>
          <w:noProof/>
        </w:rPr>
        <w:t>yfikacją nie mogą brać udziału</w:t>
      </w:r>
      <w:r w:rsidR="003F3D2B" w:rsidRPr="00624565">
        <w:rPr>
          <w:noProof/>
        </w:rPr>
        <w:t xml:space="preserve"> w</w:t>
      </w:r>
      <w:r w:rsidR="003F3D2B">
        <w:rPr>
          <w:noProof/>
        </w:rPr>
        <w:t> </w:t>
      </w:r>
      <w:r w:rsidR="003F3D2B" w:rsidRPr="00624565">
        <w:rPr>
          <w:noProof/>
        </w:rPr>
        <w:t>dzi</w:t>
      </w:r>
      <w:r w:rsidRPr="00624565">
        <w:rPr>
          <w:noProof/>
        </w:rPr>
        <w:t>ałalności, która może zagrażać niezależności ich osądów lub wiarygodności</w:t>
      </w:r>
      <w:r w:rsidR="003F3D2B" w:rsidRPr="00624565">
        <w:rPr>
          <w:noProof/>
        </w:rPr>
        <w:t xml:space="preserve"> w</w:t>
      </w:r>
      <w:r w:rsidR="003F3D2B">
        <w:rPr>
          <w:noProof/>
        </w:rPr>
        <w:t> </w:t>
      </w:r>
      <w:r w:rsidR="003F3D2B" w:rsidRPr="00624565">
        <w:rPr>
          <w:noProof/>
        </w:rPr>
        <w:t>odn</w:t>
      </w:r>
      <w:r w:rsidRPr="00624565">
        <w:rPr>
          <w:noProof/>
        </w:rPr>
        <w:t xml:space="preserve">iesieniu do działań weryfikacyjnych; </w:t>
      </w:r>
    </w:p>
    <w:p w14:paraId="12B68FD7" w14:textId="1C82D33B" w:rsidR="001F21F9" w:rsidRPr="00624565" w:rsidRDefault="001F21F9" w:rsidP="00624565">
      <w:pPr>
        <w:pStyle w:val="ListNumberLevel2"/>
        <w:numPr>
          <w:ilvl w:val="1"/>
          <w:numId w:val="6"/>
        </w:numPr>
        <w:ind w:left="1418"/>
        <w:rPr>
          <w:noProof/>
        </w:rPr>
      </w:pPr>
      <w:r w:rsidRPr="00624565">
        <w:rPr>
          <w:noProof/>
        </w:rPr>
        <w:t>weryfikator</w:t>
      </w:r>
      <w:r w:rsidR="003F3D2B" w:rsidRPr="00624565">
        <w:rPr>
          <w:noProof/>
        </w:rPr>
        <w:t xml:space="preserve"> i</w:t>
      </w:r>
      <w:r w:rsidR="003F3D2B">
        <w:rPr>
          <w:noProof/>
        </w:rPr>
        <w:t> </w:t>
      </w:r>
      <w:r w:rsidR="003F3D2B" w:rsidRPr="00624565">
        <w:rPr>
          <w:noProof/>
        </w:rPr>
        <w:t>jeg</w:t>
      </w:r>
      <w:r w:rsidRPr="00624565">
        <w:rPr>
          <w:noProof/>
        </w:rPr>
        <w:t>o pracownicy wykonują zadania związane</w:t>
      </w:r>
      <w:r w:rsidR="003F3D2B" w:rsidRPr="00624565">
        <w:rPr>
          <w:noProof/>
        </w:rPr>
        <w:t xml:space="preserve"> z</w:t>
      </w:r>
      <w:r w:rsidR="003F3D2B">
        <w:rPr>
          <w:noProof/>
        </w:rPr>
        <w:t> </w:t>
      </w:r>
      <w:r w:rsidR="003F3D2B" w:rsidRPr="00624565">
        <w:rPr>
          <w:noProof/>
        </w:rPr>
        <w:t>oce</w:t>
      </w:r>
      <w:r w:rsidRPr="00624565">
        <w:rPr>
          <w:noProof/>
        </w:rPr>
        <w:t>ną zgodności</w:t>
      </w:r>
      <w:r w:rsidR="003F3D2B" w:rsidRPr="00624565">
        <w:rPr>
          <w:noProof/>
        </w:rPr>
        <w:t xml:space="preserve"> z</w:t>
      </w:r>
      <w:r w:rsidR="003F3D2B">
        <w:rPr>
          <w:noProof/>
        </w:rPr>
        <w:t> </w:t>
      </w:r>
      <w:r w:rsidR="003F3D2B" w:rsidRPr="00624565">
        <w:rPr>
          <w:noProof/>
        </w:rPr>
        <w:t>naj</w:t>
      </w:r>
      <w:r w:rsidRPr="00624565">
        <w:rPr>
          <w:noProof/>
        </w:rPr>
        <w:t xml:space="preserve">wyższym stopniem rzetelności zawodowej, muszą posiadać konieczne kwalifikacje techniczne oraz nie mogą być poddawani żadnym naciskom ani zachętom, zwłaszcza finansowym, które mogłyby wpływać na ich osąd lub wyniki działań weryfikacyjnych, </w:t>
      </w:r>
    </w:p>
    <w:p w14:paraId="00B8EEFF" w14:textId="7EF62CCC" w:rsidR="001F21F9" w:rsidRPr="00624565" w:rsidRDefault="001F21F9" w:rsidP="00624565">
      <w:pPr>
        <w:pStyle w:val="ListNumberLevel2"/>
        <w:numPr>
          <w:ilvl w:val="1"/>
          <w:numId w:val="6"/>
        </w:numPr>
        <w:rPr>
          <w:noProof/>
        </w:rPr>
      </w:pPr>
      <w:r w:rsidRPr="00624565">
        <w:rPr>
          <w:noProof/>
        </w:rPr>
        <w:t>weryfikator dysponuje wiedzą fachową, sprzętem</w:t>
      </w:r>
      <w:r w:rsidR="003F3D2B" w:rsidRPr="00624565">
        <w:rPr>
          <w:noProof/>
        </w:rPr>
        <w:t xml:space="preserve"> i</w:t>
      </w:r>
      <w:r w:rsidR="003F3D2B">
        <w:rPr>
          <w:noProof/>
        </w:rPr>
        <w:t> </w:t>
      </w:r>
      <w:r w:rsidR="003F3D2B" w:rsidRPr="00624565">
        <w:rPr>
          <w:noProof/>
        </w:rPr>
        <w:t>inf</w:t>
      </w:r>
      <w:r w:rsidRPr="00624565">
        <w:rPr>
          <w:noProof/>
        </w:rPr>
        <w:t>rastrukturą wymaganymi do przeprowadzania działań weryfikacyjnych,</w:t>
      </w:r>
      <w:r w:rsidR="003F3D2B" w:rsidRPr="00624565">
        <w:rPr>
          <w:noProof/>
        </w:rPr>
        <w:t xml:space="preserve"> w</w:t>
      </w:r>
      <w:r w:rsidR="003F3D2B">
        <w:rPr>
          <w:noProof/>
        </w:rPr>
        <w:t> </w:t>
      </w:r>
      <w:r w:rsidR="003F3D2B" w:rsidRPr="00624565">
        <w:rPr>
          <w:noProof/>
        </w:rPr>
        <w:t>odn</w:t>
      </w:r>
      <w:r w:rsidRPr="00624565">
        <w:rPr>
          <w:noProof/>
        </w:rPr>
        <w:t>iesieniu do których został akredytowany;</w:t>
      </w:r>
    </w:p>
    <w:p w14:paraId="51B54F7A" w14:textId="5EE697E3" w:rsidR="001F21F9" w:rsidRPr="00624565" w:rsidRDefault="001F21F9" w:rsidP="00624565">
      <w:pPr>
        <w:pStyle w:val="ListNumberLevel2"/>
        <w:numPr>
          <w:ilvl w:val="1"/>
          <w:numId w:val="6"/>
        </w:numPr>
        <w:rPr>
          <w:noProof/>
        </w:rPr>
      </w:pPr>
      <w:r w:rsidRPr="00624565">
        <w:rPr>
          <w:noProof/>
        </w:rPr>
        <w:t>weryfikator dysponuje wystarczającą liczbą odpowiednio wykwalifikowanego</w:t>
      </w:r>
      <w:r w:rsidR="003F3D2B" w:rsidRPr="00624565">
        <w:rPr>
          <w:noProof/>
        </w:rPr>
        <w:t xml:space="preserve"> i</w:t>
      </w:r>
      <w:r w:rsidR="003F3D2B">
        <w:rPr>
          <w:noProof/>
        </w:rPr>
        <w:t> </w:t>
      </w:r>
      <w:r w:rsidR="003F3D2B" w:rsidRPr="00624565">
        <w:rPr>
          <w:noProof/>
        </w:rPr>
        <w:t>doś</w:t>
      </w:r>
      <w:r w:rsidRPr="00624565">
        <w:rPr>
          <w:noProof/>
        </w:rPr>
        <w:t>wiadczonego personelu odpowiedzialnego za wykonywanie działań weryfikacyjnych;</w:t>
      </w:r>
    </w:p>
    <w:p w14:paraId="33B6E6EB" w14:textId="41686A21" w:rsidR="001F21F9" w:rsidRPr="00624565" w:rsidRDefault="001F21F9" w:rsidP="00624565">
      <w:pPr>
        <w:pStyle w:val="ListNumberLevel2"/>
        <w:numPr>
          <w:ilvl w:val="1"/>
          <w:numId w:val="6"/>
        </w:numPr>
        <w:rPr>
          <w:noProof/>
        </w:rPr>
      </w:pPr>
      <w:r w:rsidRPr="00624565">
        <w:rPr>
          <w:noProof/>
        </w:rPr>
        <w:t>pracownicy weryfikatora dochowują tajemnicy zawodowej</w:t>
      </w:r>
      <w:r w:rsidR="003F3D2B" w:rsidRPr="00624565">
        <w:rPr>
          <w:noProof/>
        </w:rPr>
        <w:t xml:space="preserve"> w</w:t>
      </w:r>
      <w:r w:rsidR="003F3D2B">
        <w:rPr>
          <w:noProof/>
        </w:rPr>
        <w:t> </w:t>
      </w:r>
      <w:r w:rsidR="003F3D2B" w:rsidRPr="00624565">
        <w:rPr>
          <w:noProof/>
        </w:rPr>
        <w:t>odn</w:t>
      </w:r>
      <w:r w:rsidRPr="00624565">
        <w:rPr>
          <w:noProof/>
        </w:rPr>
        <w:t>iesieniu do wszystkich informacji uzyskanych podczas wykonywania działań weryfikacyjnych;</w:t>
      </w:r>
    </w:p>
    <w:p w14:paraId="0AC5A462" w14:textId="2E4DA0ED" w:rsidR="001F21F9" w:rsidRPr="00624565" w:rsidRDefault="001F21F9" w:rsidP="00624565">
      <w:pPr>
        <w:pStyle w:val="ListNumberLevel2"/>
        <w:numPr>
          <w:ilvl w:val="1"/>
          <w:numId w:val="6"/>
        </w:numPr>
        <w:rPr>
          <w:noProof/>
        </w:rPr>
      </w:pPr>
      <w:r w:rsidRPr="00624565">
        <w:rPr>
          <w:noProof/>
        </w:rPr>
        <w:t>jeżeli weryfikator zleca podwykonawstwo określonych zadań związanych</w:t>
      </w:r>
      <w:r w:rsidR="003F3D2B" w:rsidRPr="00624565">
        <w:rPr>
          <w:noProof/>
        </w:rPr>
        <w:t xml:space="preserve"> z</w:t>
      </w:r>
      <w:r w:rsidR="003F3D2B">
        <w:rPr>
          <w:noProof/>
        </w:rPr>
        <w:t> </w:t>
      </w:r>
      <w:r w:rsidR="003F3D2B" w:rsidRPr="00624565">
        <w:rPr>
          <w:noProof/>
        </w:rPr>
        <w:t>wer</w:t>
      </w:r>
      <w:r w:rsidRPr="00624565">
        <w:rPr>
          <w:noProof/>
        </w:rPr>
        <w:t>yfikacją lub korzysta</w:t>
      </w:r>
      <w:r w:rsidR="003F3D2B" w:rsidRPr="00624565">
        <w:rPr>
          <w:noProof/>
        </w:rPr>
        <w:t xml:space="preserve"> z</w:t>
      </w:r>
      <w:r w:rsidR="003F3D2B">
        <w:rPr>
          <w:noProof/>
        </w:rPr>
        <w:t> </w:t>
      </w:r>
      <w:r w:rsidR="003F3D2B" w:rsidRPr="00624565">
        <w:rPr>
          <w:noProof/>
        </w:rPr>
        <w:t>usł</w:t>
      </w:r>
      <w:r w:rsidRPr="00624565">
        <w:rPr>
          <w:noProof/>
        </w:rPr>
        <w:t>ug jednostki zależnej, ponosi pełną odpowiedzialność za zadania wykonywane przez podwykonawców lub jednostki zależne,</w:t>
      </w:r>
      <w:r w:rsidR="003F3D2B" w:rsidRPr="00624565">
        <w:rPr>
          <w:noProof/>
        </w:rPr>
        <w:t xml:space="preserve"> a</w:t>
      </w:r>
      <w:r w:rsidR="003F3D2B">
        <w:rPr>
          <w:noProof/>
        </w:rPr>
        <w:t> </w:t>
      </w:r>
      <w:r w:rsidR="003F3D2B" w:rsidRPr="00624565">
        <w:rPr>
          <w:noProof/>
        </w:rPr>
        <w:t>tak</w:t>
      </w:r>
      <w:r w:rsidRPr="00624565">
        <w:rPr>
          <w:noProof/>
        </w:rPr>
        <w:t>że ocenia</w:t>
      </w:r>
      <w:r w:rsidR="003F3D2B" w:rsidRPr="00624565">
        <w:rPr>
          <w:noProof/>
        </w:rPr>
        <w:t xml:space="preserve"> i</w:t>
      </w:r>
      <w:r w:rsidR="003F3D2B">
        <w:rPr>
          <w:noProof/>
        </w:rPr>
        <w:t> </w:t>
      </w:r>
      <w:r w:rsidR="003F3D2B" w:rsidRPr="00624565">
        <w:rPr>
          <w:noProof/>
        </w:rPr>
        <w:t>mon</w:t>
      </w:r>
      <w:r w:rsidRPr="00624565">
        <w:rPr>
          <w:noProof/>
        </w:rPr>
        <w:t>itoruje kwalifikacje podwykonawcy lub jednostki zależnej oraz wykonywane przez nich zadania.</w:t>
      </w:r>
    </w:p>
    <w:p w14:paraId="5B40035D" w14:textId="77777777" w:rsidR="001F21F9" w:rsidRPr="00624565" w:rsidRDefault="001F21F9" w:rsidP="001F21F9">
      <w:pPr>
        <w:pStyle w:val="Titrearticle"/>
        <w:rPr>
          <w:noProof/>
        </w:rPr>
      </w:pPr>
      <w:r w:rsidRPr="00624565">
        <w:rPr>
          <w:noProof/>
        </w:rPr>
        <w:t>Artykuł 12</w:t>
      </w:r>
    </w:p>
    <w:p w14:paraId="41CDF6BA" w14:textId="6C7EDDFA" w:rsidR="001F21F9" w:rsidRPr="00624565" w:rsidRDefault="001F21F9" w:rsidP="001F21F9">
      <w:pPr>
        <w:pStyle w:val="Titrearticle"/>
        <w:rPr>
          <w:noProof/>
        </w:rPr>
      </w:pPr>
      <w:r w:rsidRPr="00624565">
        <w:rPr>
          <w:noProof/>
        </w:rPr>
        <w:t>Małe</w:t>
      </w:r>
      <w:r w:rsidR="003F3D2B" w:rsidRPr="00624565">
        <w:rPr>
          <w:noProof/>
        </w:rPr>
        <w:t xml:space="preserve"> i</w:t>
      </w:r>
      <w:r w:rsidR="003F3D2B">
        <w:rPr>
          <w:noProof/>
        </w:rPr>
        <w:t> </w:t>
      </w:r>
      <w:r w:rsidR="003F3D2B" w:rsidRPr="00624565">
        <w:rPr>
          <w:noProof/>
        </w:rPr>
        <w:t>śre</w:t>
      </w:r>
      <w:r w:rsidRPr="00624565">
        <w:rPr>
          <w:noProof/>
        </w:rPr>
        <w:t>dnie przedsiębiorstwa</w:t>
      </w:r>
    </w:p>
    <w:p w14:paraId="157F25A6" w14:textId="168B25AE" w:rsidR="001F21F9" w:rsidRPr="00624565" w:rsidRDefault="001F21F9" w:rsidP="00AD3EAD">
      <w:pPr>
        <w:rPr>
          <w:noProof/>
        </w:rPr>
      </w:pPr>
      <w:r w:rsidRPr="00624565">
        <w:rPr>
          <w:noProof/>
        </w:rPr>
        <w:t>Państwa członkowskie przyjmują odpowiednie środki, aby pomóc małym</w:t>
      </w:r>
      <w:r w:rsidR="003F3D2B" w:rsidRPr="00624565">
        <w:rPr>
          <w:noProof/>
        </w:rPr>
        <w:t xml:space="preserve"> i</w:t>
      </w:r>
      <w:r w:rsidR="003F3D2B">
        <w:rPr>
          <w:noProof/>
        </w:rPr>
        <w:t> </w:t>
      </w:r>
      <w:r w:rsidR="003F3D2B" w:rsidRPr="00624565">
        <w:rPr>
          <w:noProof/>
        </w:rPr>
        <w:t>śre</w:t>
      </w:r>
      <w:r w:rsidRPr="00624565">
        <w:rPr>
          <w:noProof/>
        </w:rPr>
        <w:t>dnim przedsiębiorstwom</w:t>
      </w:r>
      <w:r w:rsidR="003F3D2B" w:rsidRPr="00624565">
        <w:rPr>
          <w:noProof/>
        </w:rPr>
        <w:t xml:space="preserve"> w</w:t>
      </w:r>
      <w:r w:rsidR="003F3D2B">
        <w:rPr>
          <w:noProof/>
        </w:rPr>
        <w:t> </w:t>
      </w:r>
      <w:r w:rsidR="003F3D2B" w:rsidRPr="00624565">
        <w:rPr>
          <w:noProof/>
        </w:rPr>
        <w:t>sto</w:t>
      </w:r>
      <w:r w:rsidRPr="00624565">
        <w:rPr>
          <w:noProof/>
        </w:rPr>
        <w:t>sowaniu wymogów dotyczących ekoprojektu określonych</w:t>
      </w:r>
      <w:r w:rsidR="003F3D2B" w:rsidRPr="00624565">
        <w:rPr>
          <w:noProof/>
        </w:rPr>
        <w:t xml:space="preserve"> w</w:t>
      </w:r>
      <w:r w:rsidR="003F3D2B">
        <w:rPr>
          <w:noProof/>
        </w:rPr>
        <w:t> </w:t>
      </w:r>
      <w:r w:rsidR="003F3D2B" w:rsidRPr="00624565">
        <w:rPr>
          <w:noProof/>
        </w:rPr>
        <w:t>nin</w:t>
      </w:r>
      <w:r w:rsidRPr="00624565">
        <w:rPr>
          <w:noProof/>
        </w:rPr>
        <w:t xml:space="preserve">iejszej dyrektywie. Środki te obejmują co najmniej wytyczne lub podobne mechanizmy mające na celu podniesienie świadomości na temat sposobów spełnienia wymogów dotyczących wyraźnych oświadczeń środowiskowych. Ponadto, bez uszczerbku dla obowiązujących zasad pomocy państwa, środki takie mogą obejmować: </w:t>
      </w:r>
    </w:p>
    <w:p w14:paraId="49D4103F" w14:textId="4641C37C" w:rsidR="001F21F9" w:rsidRPr="00624565" w:rsidRDefault="004D161E" w:rsidP="004D161E">
      <w:pPr>
        <w:pStyle w:val="Point1"/>
        <w:rPr>
          <w:noProof/>
        </w:rPr>
      </w:pPr>
      <w:r w:rsidRPr="00624565">
        <w:rPr>
          <w:noProof/>
        </w:rPr>
        <w:t>a)</w:t>
      </w:r>
      <w:r w:rsidRPr="00624565">
        <w:rPr>
          <w:noProof/>
        </w:rPr>
        <w:tab/>
        <w:t xml:space="preserve">wsparcie finansowe; </w:t>
      </w:r>
    </w:p>
    <w:p w14:paraId="67800A8A" w14:textId="5EBAFB26" w:rsidR="001F21F9" w:rsidRPr="00624565" w:rsidRDefault="004D161E" w:rsidP="004D161E">
      <w:pPr>
        <w:pStyle w:val="Point1"/>
        <w:rPr>
          <w:noProof/>
        </w:rPr>
      </w:pPr>
      <w:r w:rsidRPr="00624565">
        <w:rPr>
          <w:noProof/>
        </w:rPr>
        <w:t>b)</w:t>
      </w:r>
      <w:r w:rsidRPr="00624565">
        <w:rPr>
          <w:noProof/>
        </w:rPr>
        <w:tab/>
        <w:t xml:space="preserve">dostęp do finansowania; </w:t>
      </w:r>
    </w:p>
    <w:p w14:paraId="36213F2D" w14:textId="3AADBC50" w:rsidR="001F21F9" w:rsidRPr="00624565" w:rsidRDefault="004D161E" w:rsidP="004D161E">
      <w:pPr>
        <w:pStyle w:val="Point1"/>
        <w:rPr>
          <w:noProof/>
        </w:rPr>
      </w:pPr>
      <w:r w:rsidRPr="00624565">
        <w:rPr>
          <w:noProof/>
        </w:rPr>
        <w:t>c)</w:t>
      </w:r>
      <w:r w:rsidRPr="00624565">
        <w:rPr>
          <w:noProof/>
        </w:rPr>
        <w:tab/>
        <w:t>specjalistyczne szkolenia dla kadry kierowniczej</w:t>
      </w:r>
      <w:r w:rsidR="003F3D2B" w:rsidRPr="00624565">
        <w:rPr>
          <w:noProof/>
        </w:rPr>
        <w:t xml:space="preserve"> i</w:t>
      </w:r>
      <w:r w:rsidR="003F3D2B">
        <w:rPr>
          <w:noProof/>
        </w:rPr>
        <w:t> </w:t>
      </w:r>
      <w:r w:rsidR="003F3D2B" w:rsidRPr="00624565">
        <w:rPr>
          <w:noProof/>
        </w:rPr>
        <w:t>pra</w:t>
      </w:r>
      <w:r w:rsidRPr="00624565">
        <w:rPr>
          <w:noProof/>
        </w:rPr>
        <w:t xml:space="preserve">cowników; </w:t>
      </w:r>
    </w:p>
    <w:p w14:paraId="34818288" w14:textId="1276A2E0" w:rsidR="001F21F9" w:rsidRPr="00624565" w:rsidRDefault="004D161E" w:rsidP="004D161E">
      <w:pPr>
        <w:pStyle w:val="Point1"/>
        <w:rPr>
          <w:noProof/>
        </w:rPr>
      </w:pPr>
      <w:r w:rsidRPr="00624565">
        <w:rPr>
          <w:noProof/>
        </w:rPr>
        <w:t>d)</w:t>
      </w:r>
      <w:r w:rsidRPr="00624565">
        <w:rPr>
          <w:noProof/>
        </w:rPr>
        <w:tab/>
        <w:t>pomoc organizacyjną</w:t>
      </w:r>
      <w:r w:rsidR="003F3D2B" w:rsidRPr="00624565">
        <w:rPr>
          <w:noProof/>
        </w:rPr>
        <w:t xml:space="preserve"> i</w:t>
      </w:r>
      <w:r w:rsidR="003F3D2B">
        <w:rPr>
          <w:noProof/>
        </w:rPr>
        <w:t> </w:t>
      </w:r>
      <w:r w:rsidR="003F3D2B" w:rsidRPr="00624565">
        <w:rPr>
          <w:noProof/>
        </w:rPr>
        <w:t>tec</w:t>
      </w:r>
      <w:r w:rsidRPr="00624565">
        <w:rPr>
          <w:noProof/>
        </w:rPr>
        <w:t>hniczną.</w:t>
      </w:r>
    </w:p>
    <w:p w14:paraId="6779656F" w14:textId="77777777" w:rsidR="00AB4912" w:rsidRPr="00624565" w:rsidRDefault="00AB4912" w:rsidP="00AB4912">
      <w:pPr>
        <w:pStyle w:val="Titrearticle"/>
        <w:rPr>
          <w:noProof/>
        </w:rPr>
      </w:pPr>
      <w:r w:rsidRPr="00624565">
        <w:rPr>
          <w:noProof/>
        </w:rPr>
        <w:t>Artykuł 13</w:t>
      </w:r>
    </w:p>
    <w:p w14:paraId="37353ED9" w14:textId="77777777" w:rsidR="00AB4912" w:rsidRPr="00624565" w:rsidRDefault="00AB4912" w:rsidP="00AB4912">
      <w:pPr>
        <w:pStyle w:val="Titrearticle"/>
        <w:rPr>
          <w:noProof/>
        </w:rPr>
      </w:pPr>
      <w:r w:rsidRPr="00624565">
        <w:rPr>
          <w:noProof/>
        </w:rPr>
        <w:t>Wyznaczanie właściwych organów oraz mechanizmów koordynacji</w:t>
      </w:r>
    </w:p>
    <w:p w14:paraId="3F348B78" w14:textId="3240E80B" w:rsidR="00613F99" w:rsidRPr="00624565" w:rsidRDefault="004D161E" w:rsidP="00C86E1E">
      <w:pPr>
        <w:pStyle w:val="ManualNumPar1"/>
        <w:rPr>
          <w:noProof/>
        </w:rPr>
      </w:pPr>
      <w:r w:rsidRPr="00624565">
        <w:rPr>
          <w:noProof/>
        </w:rPr>
        <w:t>1.</w:t>
      </w:r>
      <w:r w:rsidRPr="00624565">
        <w:rPr>
          <w:noProof/>
        </w:rPr>
        <w:tab/>
        <w:t>Państwa członkowskie wyznaczają właściwy organ lub właściwe organy odpowiedzialne za stosowanie</w:t>
      </w:r>
      <w:r w:rsidR="003F3D2B" w:rsidRPr="00624565">
        <w:rPr>
          <w:noProof/>
        </w:rPr>
        <w:t xml:space="preserve"> i</w:t>
      </w:r>
      <w:r w:rsidR="003F3D2B">
        <w:rPr>
          <w:noProof/>
        </w:rPr>
        <w:t> </w:t>
      </w:r>
      <w:r w:rsidR="003F3D2B" w:rsidRPr="00624565">
        <w:rPr>
          <w:noProof/>
        </w:rPr>
        <w:t>wdr</w:t>
      </w:r>
      <w:r w:rsidRPr="00624565">
        <w:rPr>
          <w:noProof/>
        </w:rPr>
        <w:t xml:space="preserve">ażanie niniejszej dyrektywy. </w:t>
      </w:r>
    </w:p>
    <w:p w14:paraId="7A61D47B" w14:textId="2B3F12B9" w:rsidR="00613F99" w:rsidRPr="00624565" w:rsidRDefault="004D161E" w:rsidP="004D161E">
      <w:pPr>
        <w:pStyle w:val="ManualNumPar1"/>
        <w:rPr>
          <w:noProof/>
        </w:rPr>
      </w:pPr>
      <w:r w:rsidRPr="00624565">
        <w:rPr>
          <w:noProof/>
        </w:rPr>
        <w:t>2.</w:t>
      </w:r>
      <w:r w:rsidRPr="00624565">
        <w:rPr>
          <w:noProof/>
        </w:rPr>
        <w:tab/>
        <w:t xml:space="preserve">Do celów wykonania </w:t>
      </w:r>
      <w:r w:rsidRPr="003F3D2B">
        <w:rPr>
          <w:noProof/>
        </w:rPr>
        <w:t>art.</w:t>
      </w:r>
      <w:r w:rsidR="003F3D2B" w:rsidRPr="003F3D2B">
        <w:rPr>
          <w:noProof/>
        </w:rPr>
        <w:t> </w:t>
      </w:r>
      <w:r w:rsidRPr="003F3D2B">
        <w:rPr>
          <w:noProof/>
        </w:rPr>
        <w:t>5</w:t>
      </w:r>
      <w:r w:rsidR="003F3D2B" w:rsidRPr="00624565">
        <w:rPr>
          <w:noProof/>
        </w:rPr>
        <w:t xml:space="preserve"> i</w:t>
      </w:r>
      <w:r w:rsidR="003F3D2B">
        <w:rPr>
          <w:noProof/>
        </w:rPr>
        <w:t> </w:t>
      </w:r>
      <w:r w:rsidR="003F3D2B" w:rsidRPr="00624565">
        <w:rPr>
          <w:noProof/>
        </w:rPr>
        <w:t>6</w:t>
      </w:r>
      <w:r w:rsidRPr="00624565">
        <w:rPr>
          <w:noProof/>
        </w:rPr>
        <w:t xml:space="preserve"> państwa członkowskie mogą wyznaczyć organy krajowe lub sądy odpowiedzialne za egzekwowanie przepisów dyrektywy 2005/29/WE</w:t>
      </w:r>
      <w:r w:rsidR="003F3D2B" w:rsidRPr="00624565">
        <w:rPr>
          <w:noProof/>
        </w:rPr>
        <w:t>. W</w:t>
      </w:r>
      <w:r w:rsidR="003F3D2B">
        <w:rPr>
          <w:noProof/>
        </w:rPr>
        <w:t> </w:t>
      </w:r>
      <w:r w:rsidR="003F3D2B" w:rsidRPr="00624565">
        <w:rPr>
          <w:noProof/>
        </w:rPr>
        <w:t>tak</w:t>
      </w:r>
      <w:r w:rsidRPr="00624565">
        <w:rPr>
          <w:noProof/>
        </w:rPr>
        <w:t xml:space="preserve">im przypadku państwa członkowskie mogą odstąpić od stosowania </w:t>
      </w:r>
      <w:r w:rsidRPr="003F3D2B">
        <w:rPr>
          <w:noProof/>
        </w:rPr>
        <w:t>art.</w:t>
      </w:r>
      <w:r w:rsidR="003F3D2B" w:rsidRPr="003F3D2B">
        <w:rPr>
          <w:noProof/>
        </w:rPr>
        <w:t> </w:t>
      </w:r>
      <w:r w:rsidRPr="003F3D2B">
        <w:rPr>
          <w:noProof/>
        </w:rPr>
        <w:t>1</w:t>
      </w:r>
      <w:r w:rsidRPr="00624565">
        <w:rPr>
          <w:noProof/>
        </w:rPr>
        <w:t>4–17 niniejszej dyrektywy</w:t>
      </w:r>
      <w:r w:rsidR="003F3D2B" w:rsidRPr="00624565">
        <w:rPr>
          <w:noProof/>
        </w:rPr>
        <w:t xml:space="preserve"> i</w:t>
      </w:r>
      <w:r w:rsidR="003F3D2B">
        <w:rPr>
          <w:noProof/>
        </w:rPr>
        <w:t> </w:t>
      </w:r>
      <w:r w:rsidR="003F3D2B" w:rsidRPr="00624565">
        <w:rPr>
          <w:noProof/>
        </w:rPr>
        <w:t>sto</w:t>
      </w:r>
      <w:r w:rsidRPr="00624565">
        <w:rPr>
          <w:noProof/>
        </w:rPr>
        <w:t xml:space="preserve">sować przepisy dotyczące egzekwowania przyjęte na podstawie </w:t>
      </w:r>
      <w:r w:rsidRPr="003F3D2B">
        <w:rPr>
          <w:noProof/>
        </w:rPr>
        <w:t>art.</w:t>
      </w:r>
      <w:r w:rsidR="003F3D2B" w:rsidRPr="003F3D2B">
        <w:rPr>
          <w:noProof/>
        </w:rPr>
        <w:t> </w:t>
      </w:r>
      <w:r w:rsidRPr="003F3D2B">
        <w:rPr>
          <w:noProof/>
        </w:rPr>
        <w:t>1</w:t>
      </w:r>
      <w:r w:rsidRPr="00624565">
        <w:rPr>
          <w:noProof/>
        </w:rPr>
        <w:t xml:space="preserve">1–13 dyrektywy 2005/29/WE. </w:t>
      </w:r>
    </w:p>
    <w:p w14:paraId="5E709F11" w14:textId="1B7014D2" w:rsidR="00AB4912" w:rsidRPr="00624565" w:rsidRDefault="00716CA9" w:rsidP="004D161E">
      <w:pPr>
        <w:pStyle w:val="ManualNumPar1"/>
        <w:rPr>
          <w:noProof/>
        </w:rPr>
      </w:pPr>
      <w:r w:rsidRPr="00624565">
        <w:rPr>
          <w:noProof/>
        </w:rPr>
        <w:t>3.</w:t>
      </w:r>
      <w:r w:rsidRPr="00624565">
        <w:rPr>
          <w:noProof/>
        </w:rPr>
        <w:tab/>
        <w:t>Jeżeli na terytorium państwa członkowskiego istnieje więcej niż jeden właściwy organ, państwo członkowskie zapewnia, aby zakres obowiązków każdego</w:t>
      </w:r>
      <w:r w:rsidR="003F3D2B" w:rsidRPr="00624565">
        <w:rPr>
          <w:noProof/>
        </w:rPr>
        <w:t xml:space="preserve"> z</w:t>
      </w:r>
      <w:r w:rsidR="003F3D2B">
        <w:rPr>
          <w:noProof/>
        </w:rPr>
        <w:t> </w:t>
      </w:r>
      <w:r w:rsidR="003F3D2B" w:rsidRPr="00624565">
        <w:rPr>
          <w:noProof/>
        </w:rPr>
        <w:t>tyc</w:t>
      </w:r>
      <w:r w:rsidRPr="00624565">
        <w:rPr>
          <w:noProof/>
        </w:rPr>
        <w:t>h organów był jasno określony</w:t>
      </w:r>
      <w:r w:rsidR="003F3D2B" w:rsidRPr="00624565">
        <w:rPr>
          <w:noProof/>
        </w:rPr>
        <w:t xml:space="preserve"> i</w:t>
      </w:r>
      <w:r w:rsidR="003F3D2B">
        <w:rPr>
          <w:noProof/>
        </w:rPr>
        <w:t> </w:t>
      </w:r>
      <w:r w:rsidR="003F3D2B" w:rsidRPr="00624565">
        <w:rPr>
          <w:noProof/>
        </w:rPr>
        <w:t>aby</w:t>
      </w:r>
      <w:r w:rsidRPr="00624565">
        <w:rPr>
          <w:noProof/>
        </w:rPr>
        <w:t xml:space="preserve"> ustanowione zostały odpowiednie mechanizmy komunikacji</w:t>
      </w:r>
      <w:r w:rsidR="003F3D2B" w:rsidRPr="00624565">
        <w:rPr>
          <w:noProof/>
        </w:rPr>
        <w:t xml:space="preserve"> i</w:t>
      </w:r>
      <w:r w:rsidR="003F3D2B">
        <w:rPr>
          <w:noProof/>
        </w:rPr>
        <w:t> </w:t>
      </w:r>
      <w:r w:rsidR="003F3D2B" w:rsidRPr="00624565">
        <w:rPr>
          <w:noProof/>
        </w:rPr>
        <w:t>koo</w:t>
      </w:r>
      <w:r w:rsidRPr="00624565">
        <w:rPr>
          <w:noProof/>
        </w:rPr>
        <w:t xml:space="preserve">rdynacji. </w:t>
      </w:r>
    </w:p>
    <w:p w14:paraId="21934ACF" w14:textId="4EF6F483" w:rsidR="001F21F9" w:rsidRPr="00624565" w:rsidRDefault="00716CA9" w:rsidP="004D161E">
      <w:pPr>
        <w:pStyle w:val="ManualNumPar1"/>
        <w:rPr>
          <w:noProof/>
        </w:rPr>
      </w:pPr>
      <w:r w:rsidRPr="00624565">
        <w:rPr>
          <w:noProof/>
        </w:rPr>
        <w:t>4.</w:t>
      </w:r>
      <w:r w:rsidRPr="00624565">
        <w:rPr>
          <w:noProof/>
        </w:rPr>
        <w:tab/>
        <w:t>Państwa członkowskie bezzwłocznie powiadamiają Komisję</w:t>
      </w:r>
      <w:r w:rsidR="003F3D2B" w:rsidRPr="00624565">
        <w:rPr>
          <w:noProof/>
        </w:rPr>
        <w:t xml:space="preserve"> i</w:t>
      </w:r>
      <w:r w:rsidR="003F3D2B">
        <w:rPr>
          <w:noProof/>
        </w:rPr>
        <w:t> </w:t>
      </w:r>
      <w:r w:rsidR="003F3D2B" w:rsidRPr="00624565">
        <w:rPr>
          <w:noProof/>
        </w:rPr>
        <w:t>inn</w:t>
      </w:r>
      <w:r w:rsidRPr="00624565">
        <w:rPr>
          <w:noProof/>
        </w:rPr>
        <w:t>e państwa członkowskie</w:t>
      </w:r>
      <w:r w:rsidR="003F3D2B" w:rsidRPr="00624565">
        <w:rPr>
          <w:noProof/>
        </w:rPr>
        <w:t xml:space="preserve"> o</w:t>
      </w:r>
      <w:r w:rsidR="003F3D2B">
        <w:rPr>
          <w:noProof/>
        </w:rPr>
        <w:t> </w:t>
      </w:r>
      <w:r w:rsidR="003F3D2B" w:rsidRPr="00624565">
        <w:rPr>
          <w:noProof/>
        </w:rPr>
        <w:t>toż</w:t>
      </w:r>
      <w:r w:rsidRPr="00624565">
        <w:rPr>
          <w:noProof/>
        </w:rPr>
        <w:t>samości właściwych organów</w:t>
      </w:r>
      <w:r w:rsidR="003F3D2B" w:rsidRPr="00624565">
        <w:rPr>
          <w:noProof/>
        </w:rPr>
        <w:t xml:space="preserve"> w</w:t>
      </w:r>
      <w:r w:rsidR="003F3D2B">
        <w:rPr>
          <w:noProof/>
        </w:rPr>
        <w:t> </w:t>
      </w:r>
      <w:r w:rsidR="003F3D2B" w:rsidRPr="00624565">
        <w:rPr>
          <w:noProof/>
        </w:rPr>
        <w:t>ich</w:t>
      </w:r>
      <w:r w:rsidRPr="00624565">
        <w:rPr>
          <w:noProof/>
        </w:rPr>
        <w:t xml:space="preserve"> państwie członkowskim oraz</w:t>
      </w:r>
      <w:r w:rsidR="003F3D2B" w:rsidRPr="00624565">
        <w:rPr>
          <w:noProof/>
        </w:rPr>
        <w:t xml:space="preserve"> o</w:t>
      </w:r>
      <w:r w:rsidR="003F3D2B">
        <w:rPr>
          <w:noProof/>
        </w:rPr>
        <w:t> </w:t>
      </w:r>
      <w:r w:rsidR="003F3D2B" w:rsidRPr="00624565">
        <w:rPr>
          <w:noProof/>
        </w:rPr>
        <w:t>zak</w:t>
      </w:r>
      <w:r w:rsidRPr="00624565">
        <w:rPr>
          <w:noProof/>
        </w:rPr>
        <w:t>resie kompetencji tych organów.</w:t>
      </w:r>
    </w:p>
    <w:p w14:paraId="2AA9B5CD" w14:textId="77777777" w:rsidR="00103250" w:rsidRPr="00624565" w:rsidRDefault="00103250" w:rsidP="00103250">
      <w:pPr>
        <w:pStyle w:val="Titrearticle"/>
        <w:rPr>
          <w:noProof/>
        </w:rPr>
      </w:pPr>
      <w:r w:rsidRPr="00624565">
        <w:rPr>
          <w:noProof/>
        </w:rPr>
        <w:t>Artykuł 14</w:t>
      </w:r>
    </w:p>
    <w:p w14:paraId="4BB041B4" w14:textId="77777777" w:rsidR="00103250" w:rsidRPr="00624565" w:rsidRDefault="00103250" w:rsidP="00103250">
      <w:pPr>
        <w:pStyle w:val="Titrearticle"/>
        <w:rPr>
          <w:noProof/>
        </w:rPr>
      </w:pPr>
      <w:r w:rsidRPr="00624565">
        <w:rPr>
          <w:noProof/>
        </w:rPr>
        <w:t>Uprawnienia właściwych organów</w:t>
      </w:r>
    </w:p>
    <w:p w14:paraId="43D57420" w14:textId="6BD18478" w:rsidR="00103250" w:rsidRPr="00624565" w:rsidRDefault="004D161E" w:rsidP="004D161E">
      <w:pPr>
        <w:pStyle w:val="ManualNumPar1"/>
        <w:rPr>
          <w:i/>
          <w:noProof/>
        </w:rPr>
      </w:pPr>
      <w:r w:rsidRPr="00624565">
        <w:rPr>
          <w:noProof/>
        </w:rPr>
        <w:t>1.</w:t>
      </w:r>
      <w:r w:rsidRPr="00624565">
        <w:rPr>
          <w:noProof/>
        </w:rPr>
        <w:tab/>
        <w:t>Państwa członkowskie przyznają swoim właściwym organom uprawnienia</w:t>
      </w:r>
      <w:r w:rsidR="003F3D2B" w:rsidRPr="00624565">
        <w:rPr>
          <w:noProof/>
        </w:rPr>
        <w:t xml:space="preserve"> w</w:t>
      </w:r>
      <w:r w:rsidR="003F3D2B">
        <w:rPr>
          <w:noProof/>
        </w:rPr>
        <w:t> </w:t>
      </w:r>
      <w:r w:rsidR="003F3D2B" w:rsidRPr="00624565">
        <w:rPr>
          <w:noProof/>
        </w:rPr>
        <w:t>zak</w:t>
      </w:r>
      <w:r w:rsidRPr="00624565">
        <w:rPr>
          <w:noProof/>
        </w:rPr>
        <w:t>resie kontroli</w:t>
      </w:r>
      <w:r w:rsidR="003F3D2B" w:rsidRPr="00624565">
        <w:rPr>
          <w:noProof/>
        </w:rPr>
        <w:t xml:space="preserve"> i</w:t>
      </w:r>
      <w:r w:rsidR="003F3D2B">
        <w:rPr>
          <w:noProof/>
        </w:rPr>
        <w:t> </w:t>
      </w:r>
      <w:r w:rsidR="003F3D2B" w:rsidRPr="00624565">
        <w:rPr>
          <w:noProof/>
        </w:rPr>
        <w:t>egz</w:t>
      </w:r>
      <w:r w:rsidRPr="00624565">
        <w:rPr>
          <w:noProof/>
        </w:rPr>
        <w:t>ekwowania przepisów, niezbędne do zapewnienia zgodności</w:t>
      </w:r>
      <w:r w:rsidR="003F3D2B" w:rsidRPr="00624565">
        <w:rPr>
          <w:noProof/>
        </w:rPr>
        <w:t xml:space="preserve"> z</w:t>
      </w:r>
      <w:r w:rsidR="003F3D2B">
        <w:rPr>
          <w:noProof/>
        </w:rPr>
        <w:t> </w:t>
      </w:r>
      <w:r w:rsidR="003F3D2B" w:rsidRPr="00624565">
        <w:rPr>
          <w:noProof/>
        </w:rPr>
        <w:t>nin</w:t>
      </w:r>
      <w:r w:rsidRPr="00624565">
        <w:rPr>
          <w:noProof/>
        </w:rPr>
        <w:t>iejszą dyrektywą.</w:t>
      </w:r>
    </w:p>
    <w:p w14:paraId="6ED4D261" w14:textId="329B2F20" w:rsidR="00103250" w:rsidRPr="00624565" w:rsidRDefault="004D161E" w:rsidP="004D161E">
      <w:pPr>
        <w:pStyle w:val="ManualNumPar1"/>
        <w:rPr>
          <w:noProof/>
        </w:rPr>
      </w:pPr>
      <w:r w:rsidRPr="00624565">
        <w:rPr>
          <w:noProof/>
        </w:rPr>
        <w:t>2.</w:t>
      </w:r>
      <w:r w:rsidRPr="00624565">
        <w:rPr>
          <w:noProof/>
        </w:rPr>
        <w:tab/>
        <w:t xml:space="preserve">Uprawnienia przyznane właściwym organom na podstawie </w:t>
      </w:r>
      <w:r w:rsidRPr="003F3D2B">
        <w:rPr>
          <w:noProof/>
        </w:rPr>
        <w:t>ust.</w:t>
      </w:r>
      <w:r w:rsidR="003F3D2B" w:rsidRPr="003F3D2B">
        <w:rPr>
          <w:noProof/>
        </w:rPr>
        <w:t> </w:t>
      </w:r>
      <w:r w:rsidRPr="003F3D2B">
        <w:rPr>
          <w:noProof/>
        </w:rPr>
        <w:t>1</w:t>
      </w:r>
      <w:r w:rsidRPr="00624565">
        <w:rPr>
          <w:noProof/>
        </w:rPr>
        <w:t xml:space="preserve"> obejmują co najmniej:</w:t>
      </w:r>
    </w:p>
    <w:p w14:paraId="7597BC82" w14:textId="7EBE9D19" w:rsidR="00103250" w:rsidRPr="00624565" w:rsidRDefault="004D161E" w:rsidP="004D161E">
      <w:pPr>
        <w:pStyle w:val="Point1"/>
        <w:rPr>
          <w:noProof/>
        </w:rPr>
      </w:pPr>
      <w:r w:rsidRPr="00624565">
        <w:rPr>
          <w:noProof/>
        </w:rPr>
        <w:t>a)</w:t>
      </w:r>
      <w:r w:rsidRPr="00624565">
        <w:rPr>
          <w:noProof/>
        </w:rPr>
        <w:tab/>
        <w:t>uprawnienia dostępu do istotnych dokumentów, danych lub informacji odnoszących się do naruszenia niniejszej dyrektywy,</w:t>
      </w:r>
      <w:r w:rsidR="003F3D2B" w:rsidRPr="00624565">
        <w:rPr>
          <w:noProof/>
        </w:rPr>
        <w:t xml:space="preserve"> w</w:t>
      </w:r>
      <w:r w:rsidR="003F3D2B">
        <w:rPr>
          <w:noProof/>
        </w:rPr>
        <w:t> </w:t>
      </w:r>
      <w:r w:rsidR="003F3D2B" w:rsidRPr="00624565">
        <w:rPr>
          <w:noProof/>
        </w:rPr>
        <w:t>dow</w:t>
      </w:r>
      <w:r w:rsidRPr="00624565">
        <w:rPr>
          <w:noProof/>
        </w:rPr>
        <w:t>olnej formie lub</w:t>
      </w:r>
      <w:r w:rsidR="003F3D2B" w:rsidRPr="00624565">
        <w:rPr>
          <w:noProof/>
        </w:rPr>
        <w:t xml:space="preserve"> w</w:t>
      </w:r>
      <w:r w:rsidR="003F3D2B">
        <w:rPr>
          <w:noProof/>
        </w:rPr>
        <w:t> </w:t>
      </w:r>
      <w:r w:rsidR="003F3D2B" w:rsidRPr="00624565">
        <w:rPr>
          <w:noProof/>
        </w:rPr>
        <w:t>dow</w:t>
      </w:r>
      <w:r w:rsidRPr="00624565">
        <w:rPr>
          <w:noProof/>
        </w:rPr>
        <w:t>olnym formacie,</w:t>
      </w:r>
      <w:r w:rsidR="003F3D2B" w:rsidRPr="00624565">
        <w:rPr>
          <w:noProof/>
        </w:rPr>
        <w:t xml:space="preserve"> i</w:t>
      </w:r>
      <w:r w:rsidR="003F3D2B">
        <w:rPr>
          <w:noProof/>
        </w:rPr>
        <w:t> </w:t>
      </w:r>
      <w:r w:rsidR="003F3D2B" w:rsidRPr="00624565">
        <w:rPr>
          <w:noProof/>
        </w:rPr>
        <w:t>bez</w:t>
      </w:r>
      <w:r w:rsidRPr="00624565">
        <w:rPr>
          <w:noProof/>
        </w:rPr>
        <w:t xml:space="preserve"> względu na nośnik lub miejsce ich przechowywania,</w:t>
      </w:r>
      <w:r w:rsidR="003F3D2B" w:rsidRPr="00624565">
        <w:rPr>
          <w:noProof/>
        </w:rPr>
        <w:t xml:space="preserve"> a</w:t>
      </w:r>
      <w:r w:rsidR="003F3D2B">
        <w:rPr>
          <w:noProof/>
        </w:rPr>
        <w:t> </w:t>
      </w:r>
      <w:r w:rsidR="003F3D2B" w:rsidRPr="00624565">
        <w:rPr>
          <w:noProof/>
        </w:rPr>
        <w:t>tak</w:t>
      </w:r>
      <w:r w:rsidRPr="00624565">
        <w:rPr>
          <w:noProof/>
        </w:rPr>
        <w:t>że uprawnienia do uzyskania informacji, danych lub dokumentów lub sporządzenia ich kopii;</w:t>
      </w:r>
    </w:p>
    <w:p w14:paraId="5927CF5F" w14:textId="6E772E27" w:rsidR="00103250" w:rsidRPr="00624565" w:rsidRDefault="004D161E" w:rsidP="004D161E">
      <w:pPr>
        <w:pStyle w:val="Point1"/>
        <w:rPr>
          <w:noProof/>
        </w:rPr>
      </w:pPr>
      <w:r w:rsidRPr="00624565">
        <w:rPr>
          <w:noProof/>
        </w:rPr>
        <w:t>b)</w:t>
      </w:r>
      <w:r w:rsidRPr="00624565">
        <w:rPr>
          <w:noProof/>
        </w:rPr>
        <w:tab/>
        <w:t>uprawnienia do żądania od każdej osoby fizycznej lub prawnej dostarczenia istotnych informacji, danych lub dokumentów,</w:t>
      </w:r>
      <w:r w:rsidR="003F3D2B" w:rsidRPr="00624565">
        <w:rPr>
          <w:noProof/>
        </w:rPr>
        <w:t xml:space="preserve"> w</w:t>
      </w:r>
      <w:r w:rsidR="003F3D2B">
        <w:rPr>
          <w:noProof/>
        </w:rPr>
        <w:t> </w:t>
      </w:r>
      <w:r w:rsidR="003F3D2B" w:rsidRPr="00624565">
        <w:rPr>
          <w:noProof/>
        </w:rPr>
        <w:t>dow</w:t>
      </w:r>
      <w:r w:rsidRPr="00624565">
        <w:rPr>
          <w:noProof/>
        </w:rPr>
        <w:t>olnej formie lub</w:t>
      </w:r>
      <w:r w:rsidR="003F3D2B" w:rsidRPr="00624565">
        <w:rPr>
          <w:noProof/>
        </w:rPr>
        <w:t xml:space="preserve"> w</w:t>
      </w:r>
      <w:r w:rsidR="003F3D2B">
        <w:rPr>
          <w:noProof/>
        </w:rPr>
        <w:t> </w:t>
      </w:r>
      <w:r w:rsidR="003F3D2B" w:rsidRPr="00624565">
        <w:rPr>
          <w:noProof/>
        </w:rPr>
        <w:t>dow</w:t>
      </w:r>
      <w:r w:rsidRPr="00624565">
        <w:rPr>
          <w:noProof/>
        </w:rPr>
        <w:t>olnym formacie</w:t>
      </w:r>
      <w:r w:rsidR="003F3D2B" w:rsidRPr="00624565">
        <w:rPr>
          <w:noProof/>
        </w:rPr>
        <w:t xml:space="preserve"> i</w:t>
      </w:r>
      <w:r w:rsidR="003F3D2B">
        <w:rPr>
          <w:noProof/>
        </w:rPr>
        <w:t> </w:t>
      </w:r>
      <w:r w:rsidR="003F3D2B" w:rsidRPr="00624565">
        <w:rPr>
          <w:noProof/>
        </w:rPr>
        <w:t>bez</w:t>
      </w:r>
      <w:r w:rsidRPr="00624565">
        <w:rPr>
          <w:noProof/>
        </w:rPr>
        <w:t xml:space="preserve"> względu na nośnik lub na miejsce ich przechowywania</w:t>
      </w:r>
      <w:r w:rsidR="003F3D2B" w:rsidRPr="00624565">
        <w:rPr>
          <w:noProof/>
        </w:rPr>
        <w:t xml:space="preserve"> w</w:t>
      </w:r>
      <w:r w:rsidR="003F3D2B">
        <w:rPr>
          <w:noProof/>
        </w:rPr>
        <w:t> </w:t>
      </w:r>
      <w:r w:rsidR="003F3D2B" w:rsidRPr="00624565">
        <w:rPr>
          <w:noProof/>
        </w:rPr>
        <w:t>cel</w:t>
      </w:r>
      <w:r w:rsidRPr="00624565">
        <w:rPr>
          <w:noProof/>
        </w:rPr>
        <w:t>u ustalenia, czy doszło lub dochodzi do naruszenia niniejszej dyrektywy</w:t>
      </w:r>
      <w:r w:rsidR="003F3D2B" w:rsidRPr="00624565">
        <w:rPr>
          <w:noProof/>
        </w:rPr>
        <w:t xml:space="preserve"> i</w:t>
      </w:r>
      <w:r w:rsidR="003F3D2B">
        <w:rPr>
          <w:noProof/>
        </w:rPr>
        <w:t> </w:t>
      </w:r>
      <w:r w:rsidR="003F3D2B" w:rsidRPr="00624565">
        <w:rPr>
          <w:noProof/>
        </w:rPr>
        <w:t>w</w:t>
      </w:r>
      <w:r w:rsidR="003F3D2B">
        <w:rPr>
          <w:noProof/>
        </w:rPr>
        <w:t> </w:t>
      </w:r>
      <w:r w:rsidR="003F3D2B" w:rsidRPr="00624565">
        <w:rPr>
          <w:noProof/>
        </w:rPr>
        <w:t>cel</w:t>
      </w:r>
      <w:r w:rsidRPr="00624565">
        <w:rPr>
          <w:noProof/>
        </w:rPr>
        <w:t>u ustalenia szczegółów dotyczących tego naruszenia;</w:t>
      </w:r>
    </w:p>
    <w:p w14:paraId="674B4AFF" w14:textId="6C2DB723" w:rsidR="00103250" w:rsidRPr="00624565" w:rsidRDefault="004D161E" w:rsidP="004D161E">
      <w:pPr>
        <w:pStyle w:val="Point1"/>
        <w:rPr>
          <w:noProof/>
        </w:rPr>
      </w:pPr>
      <w:r w:rsidRPr="00624565">
        <w:rPr>
          <w:noProof/>
        </w:rPr>
        <w:t>c)</w:t>
      </w:r>
      <w:r w:rsidRPr="00624565">
        <w:rPr>
          <w:noProof/>
        </w:rPr>
        <w:tab/>
        <w:t>uprawnienia do wszczynania dochodzeń lub postępowań</w:t>
      </w:r>
      <w:r w:rsidR="003F3D2B" w:rsidRPr="00624565">
        <w:rPr>
          <w:noProof/>
        </w:rPr>
        <w:t xml:space="preserve"> z</w:t>
      </w:r>
      <w:r w:rsidR="003F3D2B">
        <w:rPr>
          <w:noProof/>
        </w:rPr>
        <w:t> </w:t>
      </w:r>
      <w:r w:rsidR="003F3D2B" w:rsidRPr="00624565">
        <w:rPr>
          <w:noProof/>
        </w:rPr>
        <w:t>wła</w:t>
      </w:r>
      <w:r w:rsidRPr="00624565">
        <w:rPr>
          <w:noProof/>
        </w:rPr>
        <w:t>snej inicjatywy</w:t>
      </w:r>
      <w:r w:rsidR="003F3D2B" w:rsidRPr="00624565">
        <w:rPr>
          <w:noProof/>
        </w:rPr>
        <w:t xml:space="preserve"> w</w:t>
      </w:r>
      <w:r w:rsidR="003F3D2B">
        <w:rPr>
          <w:noProof/>
        </w:rPr>
        <w:t> </w:t>
      </w:r>
      <w:r w:rsidR="003F3D2B" w:rsidRPr="00624565">
        <w:rPr>
          <w:noProof/>
        </w:rPr>
        <w:t>cel</w:t>
      </w:r>
      <w:r w:rsidRPr="00624565">
        <w:rPr>
          <w:noProof/>
        </w:rPr>
        <w:t>u doprowadzenia do zaprzestania naruszeń niniejszej dyrektywy lub do ich zakazania;</w:t>
      </w:r>
    </w:p>
    <w:p w14:paraId="4E891085" w14:textId="7611E55B" w:rsidR="00103250" w:rsidRPr="00624565" w:rsidRDefault="004D161E" w:rsidP="004D161E">
      <w:pPr>
        <w:pStyle w:val="Point1"/>
        <w:rPr>
          <w:noProof/>
        </w:rPr>
      </w:pPr>
      <w:r w:rsidRPr="00624565">
        <w:rPr>
          <w:noProof/>
        </w:rPr>
        <w:t>d)</w:t>
      </w:r>
      <w:r w:rsidRPr="00624565">
        <w:rPr>
          <w:noProof/>
        </w:rPr>
        <w:tab/>
        <w:t>uprawnienia do żądania od przedsiębiorców przyjęcia odpowiednich</w:t>
      </w:r>
      <w:r w:rsidR="003F3D2B" w:rsidRPr="00624565">
        <w:rPr>
          <w:noProof/>
        </w:rPr>
        <w:t xml:space="preserve"> i</w:t>
      </w:r>
      <w:r w:rsidR="003F3D2B">
        <w:rPr>
          <w:noProof/>
        </w:rPr>
        <w:t> </w:t>
      </w:r>
      <w:r w:rsidR="003F3D2B" w:rsidRPr="00624565">
        <w:rPr>
          <w:noProof/>
        </w:rPr>
        <w:t>sku</w:t>
      </w:r>
      <w:r w:rsidRPr="00624565">
        <w:rPr>
          <w:noProof/>
        </w:rPr>
        <w:t>tecznych środków zaradczych oraz podjęcia odpowiednich działań</w:t>
      </w:r>
      <w:r w:rsidR="003F3D2B" w:rsidRPr="00624565">
        <w:rPr>
          <w:noProof/>
        </w:rPr>
        <w:t xml:space="preserve"> w</w:t>
      </w:r>
      <w:r w:rsidR="003F3D2B">
        <w:rPr>
          <w:noProof/>
        </w:rPr>
        <w:t> </w:t>
      </w:r>
      <w:r w:rsidR="003F3D2B" w:rsidRPr="00624565">
        <w:rPr>
          <w:noProof/>
        </w:rPr>
        <w:t>cel</w:t>
      </w:r>
      <w:r w:rsidRPr="00624565">
        <w:rPr>
          <w:noProof/>
        </w:rPr>
        <w:t>u zaprzestania naruszenia niniejszej dyrektywy;</w:t>
      </w:r>
    </w:p>
    <w:p w14:paraId="7B4BB021" w14:textId="7CC65F01" w:rsidR="00103250" w:rsidRPr="00624565" w:rsidRDefault="004D161E" w:rsidP="004D161E">
      <w:pPr>
        <w:pStyle w:val="Point1"/>
        <w:rPr>
          <w:noProof/>
        </w:rPr>
      </w:pPr>
      <w:r w:rsidRPr="00624565">
        <w:rPr>
          <w:noProof/>
        </w:rPr>
        <w:t>e)</w:t>
      </w:r>
      <w:r w:rsidRPr="00624565">
        <w:rPr>
          <w:noProof/>
        </w:rPr>
        <w:tab/>
        <w:t>uprawnienia do przyjmowania,</w:t>
      </w:r>
      <w:r w:rsidR="003F3D2B" w:rsidRPr="00624565">
        <w:rPr>
          <w:noProof/>
        </w:rPr>
        <w:t xml:space="preserve"> w</w:t>
      </w:r>
      <w:r w:rsidR="003F3D2B">
        <w:rPr>
          <w:noProof/>
        </w:rPr>
        <w:t> </w:t>
      </w:r>
      <w:r w:rsidR="003F3D2B" w:rsidRPr="00624565">
        <w:rPr>
          <w:noProof/>
        </w:rPr>
        <w:t>sto</w:t>
      </w:r>
      <w:r w:rsidRPr="00624565">
        <w:rPr>
          <w:noProof/>
        </w:rPr>
        <w:t>sownych przypadkach, nakazów sądowych</w:t>
      </w:r>
      <w:r w:rsidR="003F3D2B" w:rsidRPr="00624565">
        <w:rPr>
          <w:noProof/>
        </w:rPr>
        <w:t xml:space="preserve"> w</w:t>
      </w:r>
      <w:r w:rsidR="003F3D2B">
        <w:rPr>
          <w:noProof/>
        </w:rPr>
        <w:t> </w:t>
      </w:r>
      <w:r w:rsidR="003F3D2B" w:rsidRPr="00624565">
        <w:rPr>
          <w:noProof/>
        </w:rPr>
        <w:t>odn</w:t>
      </w:r>
      <w:r w:rsidRPr="00624565">
        <w:rPr>
          <w:noProof/>
        </w:rPr>
        <w:t>iesieniu do naruszeń przepisów niniejszej dyrektywy;</w:t>
      </w:r>
    </w:p>
    <w:p w14:paraId="21B0DED2" w14:textId="5661CC37" w:rsidR="00103250" w:rsidRPr="00624565" w:rsidRDefault="004D161E" w:rsidP="004D161E">
      <w:pPr>
        <w:pStyle w:val="Point1"/>
        <w:rPr>
          <w:noProof/>
        </w:rPr>
      </w:pPr>
      <w:r w:rsidRPr="00624565">
        <w:rPr>
          <w:noProof/>
        </w:rPr>
        <w:t>f)</w:t>
      </w:r>
      <w:r w:rsidRPr="00624565">
        <w:rPr>
          <w:noProof/>
        </w:rPr>
        <w:tab/>
        <w:t>uprawnienia do nakładania kar za naruszenia przepisów niniejszej dyrektywy zgodnie</w:t>
      </w:r>
      <w:r w:rsidR="003F3D2B" w:rsidRPr="00624565">
        <w:rPr>
          <w:noProof/>
        </w:rPr>
        <w:t xml:space="preserve"> z</w:t>
      </w:r>
      <w:r w:rsidR="003F3D2B">
        <w:rPr>
          <w:noProof/>
        </w:rPr>
        <w:t> </w:t>
      </w:r>
      <w:r w:rsidR="003F3D2B" w:rsidRPr="003F3D2B">
        <w:rPr>
          <w:noProof/>
        </w:rPr>
        <w:t>art</w:t>
      </w:r>
      <w:r w:rsidRPr="003F3D2B">
        <w:rPr>
          <w:noProof/>
        </w:rPr>
        <w:t>.</w:t>
      </w:r>
      <w:r w:rsidR="003F3D2B" w:rsidRPr="003F3D2B">
        <w:rPr>
          <w:noProof/>
        </w:rPr>
        <w:t> </w:t>
      </w:r>
      <w:r w:rsidRPr="003F3D2B">
        <w:rPr>
          <w:noProof/>
        </w:rPr>
        <w:t>1</w:t>
      </w:r>
      <w:r w:rsidRPr="00624565">
        <w:rPr>
          <w:noProof/>
        </w:rPr>
        <w:t xml:space="preserve">7. </w:t>
      </w:r>
    </w:p>
    <w:p w14:paraId="1960E972" w14:textId="1C527783" w:rsidR="00103250" w:rsidRPr="00624565" w:rsidRDefault="004D161E" w:rsidP="004D161E">
      <w:pPr>
        <w:pStyle w:val="ManualNumPar1"/>
        <w:rPr>
          <w:noProof/>
        </w:rPr>
      </w:pPr>
      <w:r w:rsidRPr="00624565">
        <w:rPr>
          <w:noProof/>
        </w:rPr>
        <w:t>3.</w:t>
      </w:r>
      <w:r w:rsidRPr="00624565">
        <w:rPr>
          <w:noProof/>
        </w:rPr>
        <w:tab/>
        <w:t>Do celów prowadzonych postępowań właściwe organy mogą wykorzystywać jako dowody wszelkie informacje, dokumenty, ustalenia, oświadczenia lub inne pozyskane informacje, niezależnie od formatu lub nośnika, na którym są przechowywane.</w:t>
      </w:r>
    </w:p>
    <w:p w14:paraId="35E87502" w14:textId="77777777" w:rsidR="00103250" w:rsidRPr="00624565" w:rsidRDefault="00103250" w:rsidP="00103250">
      <w:pPr>
        <w:pStyle w:val="Titrearticle"/>
        <w:rPr>
          <w:noProof/>
        </w:rPr>
      </w:pPr>
      <w:r w:rsidRPr="00624565">
        <w:rPr>
          <w:noProof/>
        </w:rPr>
        <w:t>Artykuł 15</w:t>
      </w:r>
    </w:p>
    <w:p w14:paraId="31DDA937" w14:textId="77777777" w:rsidR="00103250" w:rsidRPr="00624565" w:rsidRDefault="00103250" w:rsidP="00103250">
      <w:pPr>
        <w:pStyle w:val="Titrearticle"/>
        <w:rPr>
          <w:noProof/>
        </w:rPr>
      </w:pPr>
      <w:r w:rsidRPr="00624565">
        <w:rPr>
          <w:noProof/>
        </w:rPr>
        <w:t>Środki monitorowania zgodności</w:t>
      </w:r>
    </w:p>
    <w:p w14:paraId="1FB17481" w14:textId="2C713B1B" w:rsidR="00103250" w:rsidRPr="00624565" w:rsidRDefault="004D161E" w:rsidP="004D161E">
      <w:pPr>
        <w:pStyle w:val="ManualNumPar1"/>
        <w:rPr>
          <w:noProof/>
        </w:rPr>
      </w:pPr>
      <w:r w:rsidRPr="00624565">
        <w:rPr>
          <w:noProof/>
        </w:rPr>
        <w:t>1.</w:t>
      </w:r>
      <w:r w:rsidRPr="00624565">
        <w:rPr>
          <w:noProof/>
        </w:rPr>
        <w:tab/>
        <w:t xml:space="preserve">Właściwe organy państw członkowskich wyznaczone na podstawie </w:t>
      </w:r>
      <w:r w:rsidRPr="003F3D2B">
        <w:rPr>
          <w:noProof/>
        </w:rPr>
        <w:t>art.</w:t>
      </w:r>
      <w:r w:rsidR="003F3D2B" w:rsidRPr="003F3D2B">
        <w:rPr>
          <w:noProof/>
        </w:rPr>
        <w:t> </w:t>
      </w:r>
      <w:r w:rsidRPr="003F3D2B">
        <w:rPr>
          <w:noProof/>
        </w:rPr>
        <w:t>1</w:t>
      </w:r>
      <w:r w:rsidRPr="00624565">
        <w:rPr>
          <w:noProof/>
        </w:rPr>
        <w:t>3 przeprowadzają regularne kontrole dotyczące wyraźnych oświadczeń środowiskowych</w:t>
      </w:r>
      <w:r w:rsidR="003F3D2B" w:rsidRPr="00624565">
        <w:rPr>
          <w:noProof/>
        </w:rPr>
        <w:t xml:space="preserve"> i</w:t>
      </w:r>
      <w:r w:rsidR="003F3D2B">
        <w:rPr>
          <w:noProof/>
        </w:rPr>
        <w:t> </w:t>
      </w:r>
      <w:r w:rsidR="003F3D2B" w:rsidRPr="00624565">
        <w:rPr>
          <w:noProof/>
        </w:rPr>
        <w:t>sto</w:t>
      </w:r>
      <w:r w:rsidRPr="00624565">
        <w:rPr>
          <w:noProof/>
        </w:rPr>
        <w:t>sowanych systemów oznakowania ekologicznego na rynku unijnym. Sprawozdania zawierające szczegółowe informacje dotyczące wyników tych kontroli są udostępniane publicznie</w:t>
      </w:r>
      <w:r w:rsidR="003F3D2B" w:rsidRPr="00624565">
        <w:rPr>
          <w:noProof/>
        </w:rPr>
        <w:t xml:space="preserve"> w</w:t>
      </w:r>
      <w:r w:rsidR="003F3D2B">
        <w:rPr>
          <w:noProof/>
        </w:rPr>
        <w:t> </w:t>
      </w:r>
      <w:r w:rsidR="003F3D2B" w:rsidRPr="00624565">
        <w:rPr>
          <w:noProof/>
        </w:rPr>
        <w:t>int</w:t>
      </w:r>
      <w:r w:rsidRPr="00624565">
        <w:rPr>
          <w:noProof/>
        </w:rPr>
        <w:t>ernecie.</w:t>
      </w:r>
    </w:p>
    <w:p w14:paraId="75CF4450" w14:textId="1AE9B130" w:rsidR="00103250" w:rsidRPr="00624565" w:rsidRDefault="004D161E" w:rsidP="004D161E">
      <w:pPr>
        <w:pStyle w:val="ManualNumPar1"/>
        <w:rPr>
          <w:noProof/>
        </w:rPr>
      </w:pPr>
      <w:r w:rsidRPr="00624565">
        <w:rPr>
          <w:noProof/>
        </w:rPr>
        <w:t>2.</w:t>
      </w:r>
      <w:r w:rsidRPr="00624565">
        <w:rPr>
          <w:noProof/>
        </w:rPr>
        <w:tab/>
        <w:t>W przypadku gdy właściwe organy państwa członkowskiego wykryją naruszenie zobowiązania określonego</w:t>
      </w:r>
      <w:r w:rsidR="003F3D2B" w:rsidRPr="00624565">
        <w:rPr>
          <w:noProof/>
        </w:rPr>
        <w:t xml:space="preserve"> w</w:t>
      </w:r>
      <w:r w:rsidR="003F3D2B">
        <w:rPr>
          <w:noProof/>
        </w:rPr>
        <w:t> </w:t>
      </w:r>
      <w:r w:rsidR="003F3D2B" w:rsidRPr="00624565">
        <w:rPr>
          <w:noProof/>
        </w:rPr>
        <w:t>nin</w:t>
      </w:r>
      <w:r w:rsidRPr="00624565">
        <w:rPr>
          <w:noProof/>
        </w:rPr>
        <w:t>iejszej dyrektywie, przeprowadzają ocenę obejmującą wszystkie odpowiednie wymogi ustanowione</w:t>
      </w:r>
      <w:r w:rsidR="003F3D2B" w:rsidRPr="00624565">
        <w:rPr>
          <w:noProof/>
        </w:rPr>
        <w:t xml:space="preserve"> w</w:t>
      </w:r>
      <w:r w:rsidR="003F3D2B">
        <w:rPr>
          <w:noProof/>
        </w:rPr>
        <w:t> </w:t>
      </w:r>
      <w:r w:rsidR="003F3D2B" w:rsidRPr="00624565">
        <w:rPr>
          <w:noProof/>
        </w:rPr>
        <w:t>nin</w:t>
      </w:r>
      <w:r w:rsidRPr="00624565">
        <w:rPr>
          <w:noProof/>
        </w:rPr>
        <w:t>iejszej dyrektywie.</w:t>
      </w:r>
    </w:p>
    <w:p w14:paraId="2B7CADE5" w14:textId="36FAEF79" w:rsidR="00103250" w:rsidRPr="00624565" w:rsidRDefault="004D161E" w:rsidP="004D161E">
      <w:pPr>
        <w:pStyle w:val="ManualNumPar1"/>
        <w:rPr>
          <w:noProof/>
        </w:rPr>
      </w:pPr>
      <w:r w:rsidRPr="00624565">
        <w:rPr>
          <w:noProof/>
        </w:rPr>
        <w:t>3.</w:t>
      </w:r>
      <w:r w:rsidRPr="00624565">
        <w:rPr>
          <w:noProof/>
        </w:rPr>
        <w:tab/>
        <w:t>Jeżeli</w:t>
      </w:r>
      <w:r w:rsidR="003F3D2B" w:rsidRPr="00624565">
        <w:rPr>
          <w:noProof/>
        </w:rPr>
        <w:t xml:space="preserve"> w</w:t>
      </w:r>
      <w:r w:rsidR="003F3D2B">
        <w:rPr>
          <w:noProof/>
        </w:rPr>
        <w:t> </w:t>
      </w:r>
      <w:r w:rsidR="003F3D2B" w:rsidRPr="00624565">
        <w:rPr>
          <w:noProof/>
        </w:rPr>
        <w:t>nas</w:t>
      </w:r>
      <w:r w:rsidRPr="00624565">
        <w:rPr>
          <w:noProof/>
        </w:rPr>
        <w:t>tępstwie oceny,</w:t>
      </w:r>
      <w:r w:rsidR="003F3D2B" w:rsidRPr="00624565">
        <w:rPr>
          <w:noProof/>
        </w:rPr>
        <w:t xml:space="preserve"> o</w:t>
      </w:r>
      <w:r w:rsidR="003F3D2B">
        <w:rPr>
          <w:noProof/>
        </w:rPr>
        <w:t> </w:t>
      </w:r>
      <w:r w:rsidR="003F3D2B" w:rsidRPr="00624565">
        <w:rPr>
          <w:noProof/>
        </w:rPr>
        <w:t>któ</w:t>
      </w:r>
      <w:r w:rsidRPr="00624565">
        <w:rPr>
          <w:noProof/>
        </w:rPr>
        <w:t>rej mowa</w:t>
      </w:r>
      <w:r w:rsidR="003F3D2B" w:rsidRPr="00624565">
        <w:rPr>
          <w:noProof/>
        </w:rPr>
        <w:t xml:space="preserve"> w</w:t>
      </w:r>
      <w:r w:rsidR="003F3D2B">
        <w:rPr>
          <w:noProof/>
        </w:rPr>
        <w:t> </w:t>
      </w:r>
      <w:r w:rsidR="003F3D2B" w:rsidRPr="00624565">
        <w:rPr>
          <w:noProof/>
        </w:rPr>
        <w:t>aka</w:t>
      </w:r>
      <w:r w:rsidRPr="00624565">
        <w:rPr>
          <w:noProof/>
        </w:rPr>
        <w:t>picie pierwszym, właściwe organy stwierdzą, że uzasadnienie</w:t>
      </w:r>
      <w:r w:rsidR="003F3D2B" w:rsidRPr="00624565">
        <w:rPr>
          <w:noProof/>
        </w:rPr>
        <w:t xml:space="preserve"> i</w:t>
      </w:r>
      <w:r w:rsidR="003F3D2B">
        <w:rPr>
          <w:noProof/>
        </w:rPr>
        <w:t> </w:t>
      </w:r>
      <w:r w:rsidR="003F3D2B" w:rsidRPr="00624565">
        <w:rPr>
          <w:noProof/>
        </w:rPr>
        <w:t>prz</w:t>
      </w:r>
      <w:r w:rsidRPr="00624565">
        <w:rPr>
          <w:noProof/>
        </w:rPr>
        <w:t>ekazanie wyraźnego oświadczenia środowiskowego lub system oznakowania ekologicznego nie są zgodne</w:t>
      </w:r>
      <w:r w:rsidR="003F3D2B" w:rsidRPr="00624565">
        <w:rPr>
          <w:noProof/>
        </w:rPr>
        <w:t xml:space="preserve"> z</w:t>
      </w:r>
      <w:r w:rsidR="003F3D2B">
        <w:rPr>
          <w:noProof/>
        </w:rPr>
        <w:t> </w:t>
      </w:r>
      <w:r w:rsidR="003F3D2B" w:rsidRPr="00624565">
        <w:rPr>
          <w:noProof/>
        </w:rPr>
        <w:t>wym</w:t>
      </w:r>
      <w:r w:rsidRPr="00624565">
        <w:rPr>
          <w:noProof/>
        </w:rPr>
        <w:t>ogami niniejszej dyrektywy, powiadamiają</w:t>
      </w:r>
      <w:r w:rsidR="003F3D2B" w:rsidRPr="00624565">
        <w:rPr>
          <w:noProof/>
        </w:rPr>
        <w:t xml:space="preserve"> o</w:t>
      </w:r>
      <w:r w:rsidR="003F3D2B">
        <w:rPr>
          <w:noProof/>
        </w:rPr>
        <w:t> </w:t>
      </w:r>
      <w:r w:rsidR="003F3D2B" w:rsidRPr="00624565">
        <w:rPr>
          <w:noProof/>
        </w:rPr>
        <w:t>nie</w:t>
      </w:r>
      <w:r w:rsidRPr="00624565">
        <w:rPr>
          <w:noProof/>
        </w:rPr>
        <w:t>zgodności przedsiębiorcę formułującego oświadczenie</w:t>
      </w:r>
      <w:r w:rsidR="003F3D2B" w:rsidRPr="00624565">
        <w:rPr>
          <w:noProof/>
        </w:rPr>
        <w:t xml:space="preserve"> i</w:t>
      </w:r>
      <w:r w:rsidR="003F3D2B">
        <w:rPr>
          <w:noProof/>
        </w:rPr>
        <w:t> </w:t>
      </w:r>
      <w:r w:rsidR="003F3D2B" w:rsidRPr="00624565">
        <w:rPr>
          <w:noProof/>
        </w:rPr>
        <w:t>wym</w:t>
      </w:r>
      <w:r w:rsidRPr="00624565">
        <w:rPr>
          <w:noProof/>
        </w:rPr>
        <w:t>agają od niego podjęcia</w:t>
      </w:r>
      <w:r w:rsidR="003F3D2B" w:rsidRPr="00624565">
        <w:rPr>
          <w:noProof/>
        </w:rPr>
        <w:t xml:space="preserve"> w</w:t>
      </w:r>
      <w:r w:rsidR="003F3D2B">
        <w:rPr>
          <w:noProof/>
        </w:rPr>
        <w:t> </w:t>
      </w:r>
      <w:r w:rsidR="003F3D2B" w:rsidRPr="00624565">
        <w:rPr>
          <w:noProof/>
        </w:rPr>
        <w:t>ter</w:t>
      </w:r>
      <w:r w:rsidRPr="00624565">
        <w:rPr>
          <w:noProof/>
        </w:rPr>
        <w:t>minie 30 dni wszelkich stosownych działań naprawczych</w:t>
      </w:r>
      <w:r w:rsidR="003F3D2B" w:rsidRPr="00624565">
        <w:rPr>
          <w:noProof/>
        </w:rPr>
        <w:t xml:space="preserve"> w</w:t>
      </w:r>
      <w:r w:rsidR="003F3D2B">
        <w:rPr>
          <w:noProof/>
        </w:rPr>
        <w:t> </w:t>
      </w:r>
      <w:r w:rsidR="003F3D2B" w:rsidRPr="00624565">
        <w:rPr>
          <w:noProof/>
        </w:rPr>
        <w:t>cel</w:t>
      </w:r>
      <w:r w:rsidRPr="00624565">
        <w:rPr>
          <w:noProof/>
        </w:rPr>
        <w:t>u doprowadzenia wyraźnego oświadczenia środowiskowego lub systemu etykietowania środowiskowego do zgodności</w:t>
      </w:r>
      <w:r w:rsidR="003F3D2B" w:rsidRPr="00624565">
        <w:rPr>
          <w:noProof/>
        </w:rPr>
        <w:t xml:space="preserve"> z</w:t>
      </w:r>
      <w:r w:rsidR="003F3D2B">
        <w:rPr>
          <w:noProof/>
        </w:rPr>
        <w:t> </w:t>
      </w:r>
      <w:r w:rsidR="003F3D2B" w:rsidRPr="00624565">
        <w:rPr>
          <w:noProof/>
        </w:rPr>
        <w:t>nin</w:t>
      </w:r>
      <w:r w:rsidRPr="00624565">
        <w:rPr>
          <w:noProof/>
        </w:rPr>
        <w:t>iejszą dyrektywą lub zaprzestania stosowania niezgodnego</w:t>
      </w:r>
      <w:r w:rsidR="003F3D2B" w:rsidRPr="00624565">
        <w:rPr>
          <w:noProof/>
        </w:rPr>
        <w:t xml:space="preserve"> z</w:t>
      </w:r>
      <w:r w:rsidR="003F3D2B">
        <w:rPr>
          <w:noProof/>
        </w:rPr>
        <w:t> </w:t>
      </w:r>
      <w:r w:rsidR="003F3D2B" w:rsidRPr="00624565">
        <w:rPr>
          <w:noProof/>
        </w:rPr>
        <w:t>wym</w:t>
      </w:r>
      <w:r w:rsidRPr="00624565">
        <w:rPr>
          <w:noProof/>
        </w:rPr>
        <w:t>aganiami wyraźnego oświadczenia środowiskowego</w:t>
      </w:r>
      <w:r w:rsidR="003F3D2B" w:rsidRPr="00624565">
        <w:rPr>
          <w:noProof/>
        </w:rPr>
        <w:t xml:space="preserve"> i</w:t>
      </w:r>
      <w:r w:rsidR="003F3D2B">
        <w:rPr>
          <w:noProof/>
        </w:rPr>
        <w:t> </w:t>
      </w:r>
      <w:r w:rsidR="003F3D2B" w:rsidRPr="00624565">
        <w:rPr>
          <w:noProof/>
        </w:rPr>
        <w:t>odw</w:t>
      </w:r>
      <w:r w:rsidRPr="00624565">
        <w:rPr>
          <w:noProof/>
        </w:rPr>
        <w:t>oływania się do niego. Działania te muszą być jak najbardziej skuteczne</w:t>
      </w:r>
      <w:r w:rsidR="003F3D2B" w:rsidRPr="00624565">
        <w:rPr>
          <w:noProof/>
        </w:rPr>
        <w:t xml:space="preserve"> i</w:t>
      </w:r>
      <w:r w:rsidR="003F3D2B">
        <w:rPr>
          <w:noProof/>
        </w:rPr>
        <w:t> </w:t>
      </w:r>
      <w:r w:rsidR="003F3D2B" w:rsidRPr="00624565">
        <w:rPr>
          <w:noProof/>
        </w:rPr>
        <w:t>nat</w:t>
      </w:r>
      <w:r w:rsidRPr="00624565">
        <w:rPr>
          <w:noProof/>
        </w:rPr>
        <w:t>ychmiastowe, przy zachowaniu zasady proporcjonalności</w:t>
      </w:r>
      <w:r w:rsidR="003F3D2B" w:rsidRPr="00624565">
        <w:rPr>
          <w:noProof/>
        </w:rPr>
        <w:t xml:space="preserve"> i</w:t>
      </w:r>
      <w:r w:rsidR="003F3D2B">
        <w:rPr>
          <w:noProof/>
        </w:rPr>
        <w:t> </w:t>
      </w:r>
      <w:r w:rsidR="003F3D2B" w:rsidRPr="00624565">
        <w:rPr>
          <w:noProof/>
        </w:rPr>
        <w:t>pra</w:t>
      </w:r>
      <w:r w:rsidRPr="00624565">
        <w:rPr>
          <w:noProof/>
        </w:rPr>
        <w:t>wa do bycia wysłuchanym.</w:t>
      </w:r>
    </w:p>
    <w:p w14:paraId="6927F558" w14:textId="77777777" w:rsidR="00103250" w:rsidRPr="00624565" w:rsidRDefault="00103250" w:rsidP="00103250">
      <w:pPr>
        <w:pStyle w:val="Titrearticle"/>
        <w:rPr>
          <w:noProof/>
        </w:rPr>
      </w:pPr>
      <w:r w:rsidRPr="00624565">
        <w:rPr>
          <w:noProof/>
        </w:rPr>
        <w:t>Artykuł 16</w:t>
      </w:r>
    </w:p>
    <w:p w14:paraId="3CFC11ED" w14:textId="27D6A057" w:rsidR="00103250" w:rsidRPr="00624565" w:rsidRDefault="00103250" w:rsidP="00103250">
      <w:pPr>
        <w:pStyle w:val="Titrearticle"/>
        <w:rPr>
          <w:noProof/>
        </w:rPr>
      </w:pPr>
      <w:r w:rsidRPr="00624565">
        <w:rPr>
          <w:noProof/>
        </w:rPr>
        <w:t>Rozpatrywanie skarg</w:t>
      </w:r>
      <w:r w:rsidR="003F3D2B" w:rsidRPr="00624565">
        <w:rPr>
          <w:noProof/>
        </w:rPr>
        <w:t xml:space="preserve"> i</w:t>
      </w:r>
      <w:r w:rsidR="003F3D2B">
        <w:rPr>
          <w:noProof/>
        </w:rPr>
        <w:t> </w:t>
      </w:r>
      <w:r w:rsidR="003F3D2B" w:rsidRPr="00624565">
        <w:rPr>
          <w:noProof/>
        </w:rPr>
        <w:t>dos</w:t>
      </w:r>
      <w:r w:rsidRPr="00624565">
        <w:rPr>
          <w:noProof/>
        </w:rPr>
        <w:t>tęp do wymiaru sprawiedliwości</w:t>
      </w:r>
    </w:p>
    <w:p w14:paraId="2D488C96" w14:textId="55FD67E6" w:rsidR="00103250" w:rsidRPr="00624565" w:rsidRDefault="004D161E" w:rsidP="004D161E">
      <w:pPr>
        <w:pStyle w:val="ManualNumPar1"/>
        <w:rPr>
          <w:noProof/>
        </w:rPr>
      </w:pPr>
      <w:r w:rsidRPr="00624565">
        <w:rPr>
          <w:noProof/>
        </w:rPr>
        <w:t>1.</w:t>
      </w:r>
      <w:r w:rsidRPr="00624565">
        <w:rPr>
          <w:noProof/>
        </w:rPr>
        <w:tab/>
        <w:t>Osoby fizyczne lub prawne albo organizacje uznawane na podstawie przepisów unijnych lub krajowych za mające uzasadniony interes są uprawnione do przedkładania właściwym organom uzasadnionych zastrzeżeń, jeżeli uznają, na podstawie obiektywnych okoliczności, że przedsiębiorca nie przestrzega przepisów niniejszej dyrektywy.</w:t>
      </w:r>
    </w:p>
    <w:p w14:paraId="53462803" w14:textId="7D9A8C48" w:rsidR="00103250" w:rsidRPr="00624565" w:rsidRDefault="004D161E" w:rsidP="004D161E">
      <w:pPr>
        <w:pStyle w:val="ManualNumPar1"/>
        <w:rPr>
          <w:noProof/>
        </w:rPr>
      </w:pPr>
      <w:r w:rsidRPr="00624565">
        <w:rPr>
          <w:noProof/>
        </w:rPr>
        <w:t>2.</w:t>
      </w:r>
      <w:r w:rsidRPr="00624565">
        <w:rPr>
          <w:noProof/>
        </w:rPr>
        <w:tab/>
        <w:t>Do celów akapitu pierwszego podmioty lub organizacje pozarządowe promujące ochronę zdrowia ludzkiego, środowiska lub konsumentów</w:t>
      </w:r>
      <w:r w:rsidR="003F3D2B" w:rsidRPr="00624565">
        <w:rPr>
          <w:noProof/>
        </w:rPr>
        <w:t xml:space="preserve"> i</w:t>
      </w:r>
      <w:r w:rsidR="003F3D2B">
        <w:rPr>
          <w:noProof/>
        </w:rPr>
        <w:t> </w:t>
      </w:r>
      <w:r w:rsidR="003F3D2B" w:rsidRPr="00624565">
        <w:rPr>
          <w:noProof/>
        </w:rPr>
        <w:t>spe</w:t>
      </w:r>
      <w:r w:rsidRPr="00624565">
        <w:rPr>
          <w:noProof/>
        </w:rPr>
        <w:t>łniające wszelkie kryteria prawa krajowego uznaje się za mające wystarczający interes</w:t>
      </w:r>
      <w:r w:rsidR="003F3D2B" w:rsidRPr="00624565">
        <w:rPr>
          <w:noProof/>
        </w:rPr>
        <w:t xml:space="preserve"> w</w:t>
      </w:r>
      <w:r w:rsidR="003F3D2B">
        <w:rPr>
          <w:noProof/>
        </w:rPr>
        <w:t> </w:t>
      </w:r>
      <w:r w:rsidR="003F3D2B" w:rsidRPr="00624565">
        <w:rPr>
          <w:noProof/>
        </w:rPr>
        <w:t>tym</w:t>
      </w:r>
      <w:r w:rsidRPr="00624565">
        <w:rPr>
          <w:noProof/>
        </w:rPr>
        <w:t xml:space="preserve"> zakresie.</w:t>
      </w:r>
    </w:p>
    <w:p w14:paraId="4579ECE8" w14:textId="7C3BCDB7" w:rsidR="00103250" w:rsidRPr="00624565" w:rsidRDefault="004D161E" w:rsidP="004D161E">
      <w:pPr>
        <w:pStyle w:val="ManualNumPar1"/>
        <w:rPr>
          <w:noProof/>
        </w:rPr>
      </w:pPr>
      <w:r w:rsidRPr="00624565">
        <w:rPr>
          <w:noProof/>
        </w:rPr>
        <w:t>3.</w:t>
      </w:r>
      <w:r w:rsidRPr="00624565">
        <w:rPr>
          <w:noProof/>
        </w:rPr>
        <w:tab/>
        <w:t>Właściwe organy dokonują oceny uzasadnionej skargi,</w:t>
      </w:r>
      <w:r w:rsidR="003F3D2B" w:rsidRPr="00624565">
        <w:rPr>
          <w:noProof/>
        </w:rPr>
        <w:t xml:space="preserve"> o</w:t>
      </w:r>
      <w:r w:rsidR="003F3D2B">
        <w:rPr>
          <w:noProof/>
        </w:rPr>
        <w:t> </w:t>
      </w:r>
      <w:r w:rsidR="003F3D2B" w:rsidRPr="00624565">
        <w:rPr>
          <w:noProof/>
        </w:rPr>
        <w:t>któ</w:t>
      </w:r>
      <w:r w:rsidRPr="00624565">
        <w:rPr>
          <w:noProof/>
        </w:rPr>
        <w:t>rej mowa</w:t>
      </w:r>
      <w:r w:rsidR="003F3D2B" w:rsidRPr="00624565">
        <w:rPr>
          <w:noProof/>
        </w:rPr>
        <w:t xml:space="preserve"> w</w:t>
      </w:r>
      <w:r w:rsidR="003F3D2B">
        <w:rPr>
          <w:noProof/>
        </w:rPr>
        <w:t> </w:t>
      </w:r>
      <w:r w:rsidR="003F3D2B" w:rsidRPr="003F3D2B">
        <w:rPr>
          <w:noProof/>
        </w:rPr>
        <w:t>ust</w:t>
      </w:r>
      <w:r w:rsidRPr="003F3D2B">
        <w:rPr>
          <w:noProof/>
        </w:rPr>
        <w:t>.</w:t>
      </w:r>
      <w:r w:rsidR="003F3D2B" w:rsidRPr="003F3D2B">
        <w:rPr>
          <w:noProof/>
        </w:rPr>
        <w:t> </w:t>
      </w:r>
      <w:r w:rsidRPr="003F3D2B">
        <w:rPr>
          <w:noProof/>
        </w:rPr>
        <w:t>1</w:t>
      </w:r>
      <w:r w:rsidRPr="00624565">
        <w:rPr>
          <w:noProof/>
        </w:rPr>
        <w:t>,</w:t>
      </w:r>
      <w:r w:rsidR="003F3D2B" w:rsidRPr="00624565">
        <w:rPr>
          <w:noProof/>
        </w:rPr>
        <w:t xml:space="preserve"> i</w:t>
      </w:r>
      <w:r w:rsidR="003F3D2B">
        <w:rPr>
          <w:noProof/>
        </w:rPr>
        <w:t> </w:t>
      </w:r>
      <w:r w:rsidR="003F3D2B" w:rsidRPr="00624565">
        <w:rPr>
          <w:noProof/>
        </w:rPr>
        <w:t>w</w:t>
      </w:r>
      <w:r w:rsidR="003F3D2B">
        <w:rPr>
          <w:noProof/>
        </w:rPr>
        <w:t> </w:t>
      </w:r>
      <w:r w:rsidR="003F3D2B" w:rsidRPr="00624565">
        <w:rPr>
          <w:noProof/>
        </w:rPr>
        <w:t>sto</w:t>
      </w:r>
      <w:r w:rsidRPr="00624565">
        <w:rPr>
          <w:noProof/>
        </w:rPr>
        <w:t>sownych przypadkach podejmują niezbędne kroki,</w:t>
      </w:r>
      <w:r w:rsidR="003F3D2B" w:rsidRPr="00624565">
        <w:rPr>
          <w:noProof/>
        </w:rPr>
        <w:t xml:space="preserve"> w</w:t>
      </w:r>
      <w:r w:rsidR="003F3D2B">
        <w:rPr>
          <w:noProof/>
        </w:rPr>
        <w:t> </w:t>
      </w:r>
      <w:r w:rsidR="003F3D2B" w:rsidRPr="00624565">
        <w:rPr>
          <w:noProof/>
        </w:rPr>
        <w:t>tym</w:t>
      </w:r>
      <w:r w:rsidRPr="00624565">
        <w:rPr>
          <w:noProof/>
        </w:rPr>
        <w:t xml:space="preserve"> kontrole</w:t>
      </w:r>
      <w:r w:rsidR="003F3D2B" w:rsidRPr="00624565">
        <w:rPr>
          <w:noProof/>
        </w:rPr>
        <w:t xml:space="preserve"> i</w:t>
      </w:r>
      <w:r w:rsidR="003F3D2B">
        <w:rPr>
          <w:noProof/>
        </w:rPr>
        <w:t> </w:t>
      </w:r>
      <w:r w:rsidR="003F3D2B" w:rsidRPr="00624565">
        <w:rPr>
          <w:noProof/>
        </w:rPr>
        <w:t>prz</w:t>
      </w:r>
      <w:r w:rsidRPr="00624565">
        <w:rPr>
          <w:noProof/>
        </w:rPr>
        <w:t>esłuchania osób lub organizacji,</w:t>
      </w:r>
      <w:r w:rsidR="003F3D2B" w:rsidRPr="00624565">
        <w:rPr>
          <w:noProof/>
        </w:rPr>
        <w:t xml:space="preserve"> w</w:t>
      </w:r>
      <w:r w:rsidR="003F3D2B">
        <w:rPr>
          <w:noProof/>
        </w:rPr>
        <w:t> </w:t>
      </w:r>
      <w:r w:rsidR="003F3D2B" w:rsidRPr="00624565">
        <w:rPr>
          <w:noProof/>
        </w:rPr>
        <w:t>cel</w:t>
      </w:r>
      <w:r w:rsidRPr="00624565">
        <w:rPr>
          <w:noProof/>
        </w:rPr>
        <w:t>u zweryfikowania tych skarg</w:t>
      </w:r>
      <w:r w:rsidR="003F3D2B" w:rsidRPr="00624565">
        <w:rPr>
          <w:noProof/>
        </w:rPr>
        <w:t>. W</w:t>
      </w:r>
      <w:r w:rsidR="003F3D2B">
        <w:rPr>
          <w:noProof/>
        </w:rPr>
        <w:t> </w:t>
      </w:r>
      <w:r w:rsidR="003F3D2B" w:rsidRPr="00624565">
        <w:rPr>
          <w:noProof/>
        </w:rPr>
        <w:t>prz</w:t>
      </w:r>
      <w:r w:rsidRPr="00624565">
        <w:rPr>
          <w:noProof/>
        </w:rPr>
        <w:t>ypadku pozytywnej weryfikacji właściwe organy podejmują niezbędne działania zgodnie</w:t>
      </w:r>
      <w:r w:rsidR="003F3D2B" w:rsidRPr="00624565">
        <w:rPr>
          <w:noProof/>
        </w:rPr>
        <w:t xml:space="preserve"> z</w:t>
      </w:r>
      <w:r w:rsidR="003F3D2B">
        <w:rPr>
          <w:noProof/>
        </w:rPr>
        <w:t> </w:t>
      </w:r>
      <w:r w:rsidR="003F3D2B" w:rsidRPr="003F3D2B">
        <w:rPr>
          <w:noProof/>
        </w:rPr>
        <w:t>art</w:t>
      </w:r>
      <w:r w:rsidRPr="003F3D2B">
        <w:rPr>
          <w:noProof/>
        </w:rPr>
        <w:t>.</w:t>
      </w:r>
      <w:r w:rsidR="003F3D2B" w:rsidRPr="003F3D2B">
        <w:rPr>
          <w:noProof/>
        </w:rPr>
        <w:t> </w:t>
      </w:r>
      <w:r w:rsidRPr="003F3D2B">
        <w:rPr>
          <w:noProof/>
        </w:rPr>
        <w:t>1</w:t>
      </w:r>
      <w:r w:rsidRPr="00624565">
        <w:rPr>
          <w:noProof/>
        </w:rPr>
        <w:t xml:space="preserve">5. </w:t>
      </w:r>
    </w:p>
    <w:p w14:paraId="718256BF" w14:textId="2C92DA6D" w:rsidR="00103250" w:rsidRPr="00624565" w:rsidRDefault="004D161E" w:rsidP="004D161E">
      <w:pPr>
        <w:pStyle w:val="ManualNumPar1"/>
        <w:rPr>
          <w:noProof/>
        </w:rPr>
      </w:pPr>
      <w:r w:rsidRPr="00624565">
        <w:rPr>
          <w:noProof/>
        </w:rPr>
        <w:t>4.</w:t>
      </w:r>
      <w:r w:rsidRPr="00624565">
        <w:rPr>
          <w:noProof/>
        </w:rPr>
        <w:tab/>
        <w:t>Właściwe organy informują, jak najszybciej</w:t>
      </w:r>
      <w:r w:rsidR="003F3D2B" w:rsidRPr="00624565">
        <w:rPr>
          <w:noProof/>
        </w:rPr>
        <w:t xml:space="preserve"> i</w:t>
      </w:r>
      <w:r w:rsidR="003F3D2B">
        <w:rPr>
          <w:noProof/>
        </w:rPr>
        <w:t> </w:t>
      </w:r>
      <w:r w:rsidR="003F3D2B" w:rsidRPr="00624565">
        <w:rPr>
          <w:noProof/>
        </w:rPr>
        <w:t>w</w:t>
      </w:r>
      <w:r w:rsidR="003F3D2B">
        <w:rPr>
          <w:noProof/>
        </w:rPr>
        <w:t> </w:t>
      </w:r>
      <w:r w:rsidR="003F3D2B" w:rsidRPr="00624565">
        <w:rPr>
          <w:noProof/>
        </w:rPr>
        <w:t>każ</w:t>
      </w:r>
      <w:r w:rsidRPr="00624565">
        <w:rPr>
          <w:noProof/>
        </w:rPr>
        <w:t>dym przypadku zgodnie</w:t>
      </w:r>
      <w:r w:rsidR="003F3D2B" w:rsidRPr="00624565">
        <w:rPr>
          <w:noProof/>
        </w:rPr>
        <w:t xml:space="preserve"> z</w:t>
      </w:r>
      <w:r w:rsidR="003F3D2B">
        <w:rPr>
          <w:noProof/>
        </w:rPr>
        <w:t> </w:t>
      </w:r>
      <w:r w:rsidR="003F3D2B" w:rsidRPr="00624565">
        <w:rPr>
          <w:noProof/>
        </w:rPr>
        <w:t>odp</w:t>
      </w:r>
      <w:r w:rsidRPr="00624565">
        <w:rPr>
          <w:noProof/>
        </w:rPr>
        <w:t>owiednimi przepisami prawa krajowego, osoby lub organizację określone</w:t>
      </w:r>
      <w:r w:rsidR="003F3D2B" w:rsidRPr="00624565">
        <w:rPr>
          <w:noProof/>
        </w:rPr>
        <w:t xml:space="preserve"> w</w:t>
      </w:r>
      <w:r w:rsidR="003F3D2B">
        <w:rPr>
          <w:noProof/>
        </w:rPr>
        <w:t> </w:t>
      </w:r>
      <w:r w:rsidR="003F3D2B" w:rsidRPr="003F3D2B">
        <w:rPr>
          <w:noProof/>
        </w:rPr>
        <w:t>ust</w:t>
      </w:r>
      <w:r w:rsidRPr="003F3D2B">
        <w:rPr>
          <w:noProof/>
        </w:rPr>
        <w:t>.</w:t>
      </w:r>
      <w:r w:rsidR="003F3D2B" w:rsidRPr="003F3D2B">
        <w:rPr>
          <w:noProof/>
        </w:rPr>
        <w:t> </w:t>
      </w:r>
      <w:r w:rsidRPr="003F3D2B">
        <w:rPr>
          <w:noProof/>
        </w:rPr>
        <w:t>1</w:t>
      </w:r>
      <w:r w:rsidRPr="00624565">
        <w:rPr>
          <w:noProof/>
        </w:rPr>
        <w:t>, które przedłożyły skargę,</w:t>
      </w:r>
      <w:r w:rsidR="003F3D2B" w:rsidRPr="00624565">
        <w:rPr>
          <w:noProof/>
        </w:rPr>
        <w:t xml:space="preserve"> o</w:t>
      </w:r>
      <w:r w:rsidR="003F3D2B">
        <w:rPr>
          <w:noProof/>
        </w:rPr>
        <w:t> </w:t>
      </w:r>
      <w:r w:rsidR="003F3D2B" w:rsidRPr="00624565">
        <w:rPr>
          <w:noProof/>
        </w:rPr>
        <w:t>dec</w:t>
      </w:r>
      <w:r w:rsidRPr="00624565">
        <w:rPr>
          <w:noProof/>
        </w:rPr>
        <w:t>yzji</w:t>
      </w:r>
      <w:r w:rsidR="003F3D2B" w:rsidRPr="00624565">
        <w:rPr>
          <w:noProof/>
        </w:rPr>
        <w:t xml:space="preserve"> o</w:t>
      </w:r>
      <w:r w:rsidR="003F3D2B">
        <w:rPr>
          <w:noProof/>
        </w:rPr>
        <w:t> </w:t>
      </w:r>
      <w:r w:rsidR="003F3D2B" w:rsidRPr="00624565">
        <w:rPr>
          <w:noProof/>
        </w:rPr>
        <w:t>prz</w:t>
      </w:r>
      <w:r w:rsidRPr="00624565">
        <w:rPr>
          <w:noProof/>
        </w:rPr>
        <w:t>yjęciu lub odmowie żądania podjęcia działań przedstawionego</w:t>
      </w:r>
      <w:r w:rsidR="003F3D2B" w:rsidRPr="00624565">
        <w:rPr>
          <w:noProof/>
        </w:rPr>
        <w:t xml:space="preserve"> w</w:t>
      </w:r>
      <w:r w:rsidR="003F3D2B">
        <w:rPr>
          <w:noProof/>
        </w:rPr>
        <w:t> </w:t>
      </w:r>
      <w:r w:rsidR="003F3D2B" w:rsidRPr="00624565">
        <w:rPr>
          <w:noProof/>
        </w:rPr>
        <w:t>ska</w:t>
      </w:r>
      <w:r w:rsidRPr="00624565">
        <w:rPr>
          <w:noProof/>
        </w:rPr>
        <w:t>rdze wraz</w:t>
      </w:r>
      <w:r w:rsidR="003F3D2B" w:rsidRPr="00624565">
        <w:rPr>
          <w:noProof/>
        </w:rPr>
        <w:t xml:space="preserve"> z</w:t>
      </w:r>
      <w:r w:rsidR="003F3D2B">
        <w:rPr>
          <w:noProof/>
        </w:rPr>
        <w:t> </w:t>
      </w:r>
      <w:r w:rsidR="003F3D2B" w:rsidRPr="00624565">
        <w:rPr>
          <w:noProof/>
        </w:rPr>
        <w:t>pod</w:t>
      </w:r>
      <w:r w:rsidRPr="00624565">
        <w:rPr>
          <w:noProof/>
        </w:rPr>
        <w:t>aniem przyczyn.</w:t>
      </w:r>
    </w:p>
    <w:p w14:paraId="3046CEC1" w14:textId="7B2C0E89" w:rsidR="00103250" w:rsidRPr="00624565" w:rsidRDefault="004D161E" w:rsidP="004D161E">
      <w:pPr>
        <w:pStyle w:val="ManualNumPar1"/>
        <w:rPr>
          <w:noProof/>
        </w:rPr>
      </w:pPr>
      <w:r w:rsidRPr="00624565">
        <w:rPr>
          <w:noProof/>
        </w:rPr>
        <w:t>5.</w:t>
      </w:r>
      <w:r w:rsidRPr="00624565">
        <w:rPr>
          <w:noProof/>
        </w:rPr>
        <w:tab/>
        <w:t>Państwa członkowskie zapewniają, aby każda osoba lub organizacja,</w:t>
      </w:r>
      <w:r w:rsidR="003F3D2B" w:rsidRPr="00624565">
        <w:rPr>
          <w:noProof/>
        </w:rPr>
        <w:t xml:space="preserve"> o</w:t>
      </w:r>
      <w:r w:rsidR="003F3D2B">
        <w:rPr>
          <w:noProof/>
        </w:rPr>
        <w:t> </w:t>
      </w:r>
      <w:r w:rsidR="003F3D2B" w:rsidRPr="00624565">
        <w:rPr>
          <w:noProof/>
        </w:rPr>
        <w:t>któ</w:t>
      </w:r>
      <w:r w:rsidRPr="00624565">
        <w:rPr>
          <w:noProof/>
        </w:rPr>
        <w:t>rej mowa</w:t>
      </w:r>
      <w:r w:rsidR="003F3D2B" w:rsidRPr="00624565">
        <w:rPr>
          <w:noProof/>
        </w:rPr>
        <w:t xml:space="preserve"> w</w:t>
      </w:r>
      <w:r w:rsidR="003F3D2B">
        <w:rPr>
          <w:noProof/>
        </w:rPr>
        <w:t> </w:t>
      </w:r>
      <w:r w:rsidR="003F3D2B" w:rsidRPr="003F3D2B">
        <w:rPr>
          <w:noProof/>
        </w:rPr>
        <w:t>ust</w:t>
      </w:r>
      <w:r w:rsidRPr="003F3D2B">
        <w:rPr>
          <w:noProof/>
        </w:rPr>
        <w:t>.</w:t>
      </w:r>
      <w:r w:rsidR="003F3D2B" w:rsidRPr="003F3D2B">
        <w:rPr>
          <w:noProof/>
        </w:rPr>
        <w:t> </w:t>
      </w:r>
      <w:r w:rsidRPr="003F3D2B">
        <w:rPr>
          <w:noProof/>
        </w:rPr>
        <w:t>1</w:t>
      </w:r>
      <w:r w:rsidRPr="00624565">
        <w:rPr>
          <w:noProof/>
        </w:rPr>
        <w:t>, która przedstawiła uzasadnioną skargę, miała dostęp do sądu lub innego niezależnego</w:t>
      </w:r>
      <w:r w:rsidR="003F3D2B" w:rsidRPr="00624565">
        <w:rPr>
          <w:noProof/>
        </w:rPr>
        <w:t xml:space="preserve"> i</w:t>
      </w:r>
      <w:r w:rsidR="003F3D2B">
        <w:rPr>
          <w:noProof/>
        </w:rPr>
        <w:t> </w:t>
      </w:r>
      <w:r w:rsidR="003F3D2B" w:rsidRPr="00624565">
        <w:rPr>
          <w:noProof/>
        </w:rPr>
        <w:t>bez</w:t>
      </w:r>
      <w:r w:rsidRPr="00624565">
        <w:rPr>
          <w:noProof/>
        </w:rPr>
        <w:t>stronnego podmiotu publicznego właściwego do kontroli proceduralnej</w:t>
      </w:r>
      <w:r w:rsidR="003F3D2B" w:rsidRPr="00624565">
        <w:rPr>
          <w:noProof/>
        </w:rPr>
        <w:t xml:space="preserve"> i</w:t>
      </w:r>
      <w:r w:rsidR="003F3D2B">
        <w:rPr>
          <w:noProof/>
        </w:rPr>
        <w:t> </w:t>
      </w:r>
      <w:r w:rsidR="003F3D2B" w:rsidRPr="00624565">
        <w:rPr>
          <w:noProof/>
        </w:rPr>
        <w:t>mer</w:t>
      </w:r>
      <w:r w:rsidRPr="00624565">
        <w:rPr>
          <w:noProof/>
        </w:rPr>
        <w:t>ytorycznej legalności decyzji, działań lub zaniechania działań przez właściwy organ na podstawie niniejszej dyrektywy, bez uszczerbku dla wszelkich przepisów prawa krajowego, które wymagają wyczerpania administracyjnych procedur odwoławczych przed wszczęciem postępowania sądowego. Procedury kontroli sądowej są bezstronne, oparte na zasadzie równości, terminowe</w:t>
      </w:r>
      <w:r w:rsidR="003F3D2B" w:rsidRPr="00624565">
        <w:rPr>
          <w:noProof/>
        </w:rPr>
        <w:t xml:space="preserve"> i</w:t>
      </w:r>
      <w:r w:rsidR="003F3D2B">
        <w:rPr>
          <w:noProof/>
        </w:rPr>
        <w:t> </w:t>
      </w:r>
      <w:r w:rsidR="003F3D2B" w:rsidRPr="00624565">
        <w:rPr>
          <w:noProof/>
        </w:rPr>
        <w:t>bez</w:t>
      </w:r>
      <w:r w:rsidRPr="00624565">
        <w:rPr>
          <w:noProof/>
        </w:rPr>
        <w:t>płatne lub niedyskryminacyjne ze względu na koszty oraz przewidują odpowiednie</w:t>
      </w:r>
      <w:r w:rsidR="003F3D2B" w:rsidRPr="00624565">
        <w:rPr>
          <w:noProof/>
        </w:rPr>
        <w:t xml:space="preserve"> i</w:t>
      </w:r>
      <w:r w:rsidR="003F3D2B">
        <w:rPr>
          <w:noProof/>
        </w:rPr>
        <w:t> </w:t>
      </w:r>
      <w:r w:rsidR="003F3D2B" w:rsidRPr="00624565">
        <w:rPr>
          <w:noProof/>
        </w:rPr>
        <w:t>sku</w:t>
      </w:r>
      <w:r w:rsidRPr="00624565">
        <w:rPr>
          <w:noProof/>
        </w:rPr>
        <w:t>teczne środki odwoławcze,</w:t>
      </w:r>
      <w:r w:rsidR="003F3D2B" w:rsidRPr="00624565">
        <w:rPr>
          <w:noProof/>
        </w:rPr>
        <w:t xml:space="preserve"> w</w:t>
      </w:r>
      <w:r w:rsidR="003F3D2B">
        <w:rPr>
          <w:noProof/>
        </w:rPr>
        <w:t> </w:t>
      </w:r>
      <w:r w:rsidR="003F3D2B" w:rsidRPr="00624565">
        <w:rPr>
          <w:noProof/>
        </w:rPr>
        <w:t>tym w</w:t>
      </w:r>
      <w:r w:rsidR="003F3D2B">
        <w:rPr>
          <w:noProof/>
        </w:rPr>
        <w:t> </w:t>
      </w:r>
      <w:r w:rsidR="003F3D2B" w:rsidRPr="00624565">
        <w:rPr>
          <w:noProof/>
        </w:rPr>
        <w:t>sto</w:t>
      </w:r>
      <w:r w:rsidRPr="00624565">
        <w:rPr>
          <w:noProof/>
        </w:rPr>
        <w:t xml:space="preserve">sownych przypadkach nakazy sądowe. </w:t>
      </w:r>
    </w:p>
    <w:p w14:paraId="27769536" w14:textId="00B08D02" w:rsidR="00103250" w:rsidRPr="00624565" w:rsidRDefault="004D161E" w:rsidP="004D161E">
      <w:pPr>
        <w:pStyle w:val="ManualNumPar1"/>
        <w:rPr>
          <w:noProof/>
        </w:rPr>
      </w:pPr>
      <w:r w:rsidRPr="00624565">
        <w:rPr>
          <w:noProof/>
        </w:rPr>
        <w:t>6.</w:t>
      </w:r>
      <w:r w:rsidRPr="00624565">
        <w:rPr>
          <w:noProof/>
        </w:rPr>
        <w:tab/>
        <w:t>Państwa członkowskie zapewniają społeczeństwu dostęp do praktycznych informacji na temat dostępu do procedur administracyjnych</w:t>
      </w:r>
      <w:r w:rsidR="003F3D2B" w:rsidRPr="00624565">
        <w:rPr>
          <w:noProof/>
        </w:rPr>
        <w:t xml:space="preserve"> i</w:t>
      </w:r>
      <w:r w:rsidR="003F3D2B">
        <w:rPr>
          <w:noProof/>
        </w:rPr>
        <w:t> </w:t>
      </w:r>
      <w:r w:rsidR="003F3D2B" w:rsidRPr="00624565">
        <w:rPr>
          <w:noProof/>
        </w:rPr>
        <w:t>pro</w:t>
      </w:r>
      <w:r w:rsidRPr="00624565">
        <w:rPr>
          <w:noProof/>
        </w:rPr>
        <w:t>cedur kontroli sądowej,</w:t>
      </w:r>
      <w:r w:rsidR="003F3D2B" w:rsidRPr="00624565">
        <w:rPr>
          <w:noProof/>
        </w:rPr>
        <w:t xml:space="preserve"> o</w:t>
      </w:r>
      <w:r w:rsidR="003F3D2B">
        <w:rPr>
          <w:noProof/>
        </w:rPr>
        <w:t> </w:t>
      </w:r>
      <w:r w:rsidR="003F3D2B" w:rsidRPr="00624565">
        <w:rPr>
          <w:noProof/>
        </w:rPr>
        <w:t>któ</w:t>
      </w:r>
      <w:r w:rsidRPr="00624565">
        <w:rPr>
          <w:noProof/>
        </w:rPr>
        <w:t>rych mowa</w:t>
      </w:r>
      <w:r w:rsidR="003F3D2B" w:rsidRPr="00624565">
        <w:rPr>
          <w:noProof/>
        </w:rPr>
        <w:t xml:space="preserve"> w</w:t>
      </w:r>
      <w:r w:rsidR="003F3D2B">
        <w:rPr>
          <w:noProof/>
        </w:rPr>
        <w:t> </w:t>
      </w:r>
      <w:r w:rsidR="003F3D2B" w:rsidRPr="00624565">
        <w:rPr>
          <w:noProof/>
        </w:rPr>
        <w:t>nin</w:t>
      </w:r>
      <w:r w:rsidRPr="00624565">
        <w:rPr>
          <w:noProof/>
        </w:rPr>
        <w:t>iejszym artykule.</w:t>
      </w:r>
    </w:p>
    <w:p w14:paraId="0B46FCF5" w14:textId="77777777" w:rsidR="00103250" w:rsidRPr="00624565" w:rsidRDefault="00103250" w:rsidP="00103250">
      <w:pPr>
        <w:pStyle w:val="Titrearticle"/>
        <w:rPr>
          <w:noProof/>
        </w:rPr>
      </w:pPr>
      <w:r w:rsidRPr="00624565">
        <w:rPr>
          <w:noProof/>
        </w:rPr>
        <w:t>Artykuł 17</w:t>
      </w:r>
    </w:p>
    <w:p w14:paraId="3D62E94B" w14:textId="77777777" w:rsidR="00103250" w:rsidRPr="00624565" w:rsidRDefault="00103250" w:rsidP="00103250">
      <w:pPr>
        <w:pStyle w:val="Titrearticle"/>
        <w:rPr>
          <w:noProof/>
        </w:rPr>
      </w:pPr>
      <w:r w:rsidRPr="00624565">
        <w:rPr>
          <w:noProof/>
        </w:rPr>
        <w:t>Sankcje</w:t>
      </w:r>
    </w:p>
    <w:p w14:paraId="169CB51F" w14:textId="2A48595F" w:rsidR="00103250" w:rsidRPr="00624565" w:rsidRDefault="004D161E" w:rsidP="004D161E">
      <w:pPr>
        <w:pStyle w:val="ManualNumPar1"/>
        <w:rPr>
          <w:noProof/>
        </w:rPr>
      </w:pPr>
      <w:r w:rsidRPr="00624565">
        <w:rPr>
          <w:noProof/>
        </w:rPr>
        <w:t>1.</w:t>
      </w:r>
      <w:r w:rsidRPr="00624565">
        <w:rPr>
          <w:noProof/>
        </w:rPr>
        <w:tab/>
        <w:t>Bez uszczerbku dla obowiązków państw członkowskich wynikających</w:t>
      </w:r>
      <w:r w:rsidR="003F3D2B" w:rsidRPr="00624565">
        <w:rPr>
          <w:noProof/>
        </w:rPr>
        <w:t xml:space="preserve"> z</w:t>
      </w:r>
      <w:r w:rsidR="003F3D2B">
        <w:rPr>
          <w:noProof/>
        </w:rPr>
        <w:t> </w:t>
      </w:r>
      <w:r w:rsidR="003F3D2B" w:rsidRPr="00624565">
        <w:rPr>
          <w:noProof/>
        </w:rPr>
        <w:t>dyr</w:t>
      </w:r>
      <w:r w:rsidRPr="00624565">
        <w:rPr>
          <w:noProof/>
        </w:rPr>
        <w:t>ektywy 2008/99/WE</w:t>
      </w:r>
      <w:r w:rsidRPr="00624565">
        <w:rPr>
          <w:rStyle w:val="FootnoteReference"/>
          <w:noProof/>
        </w:rPr>
        <w:footnoteReference w:id="115"/>
      </w:r>
      <w:r w:rsidRPr="00624565">
        <w:rPr>
          <w:noProof/>
        </w:rPr>
        <w:t xml:space="preserve"> państwa członkowskie ustanawiają przepisy dotyczące sankcji stosowanych</w:t>
      </w:r>
      <w:r w:rsidR="003F3D2B" w:rsidRPr="00624565">
        <w:rPr>
          <w:noProof/>
        </w:rPr>
        <w:t xml:space="preserve"> w</w:t>
      </w:r>
      <w:r w:rsidR="003F3D2B">
        <w:rPr>
          <w:noProof/>
        </w:rPr>
        <w:t> </w:t>
      </w:r>
      <w:r w:rsidR="003F3D2B" w:rsidRPr="00624565">
        <w:rPr>
          <w:noProof/>
        </w:rPr>
        <w:t>prz</w:t>
      </w:r>
      <w:r w:rsidRPr="00624565">
        <w:rPr>
          <w:noProof/>
        </w:rPr>
        <w:t>ypadku naruszeń przepisów krajowych przyjętych na podstawie niniejszej dyrektywy</w:t>
      </w:r>
      <w:r w:rsidR="003F3D2B" w:rsidRPr="00624565">
        <w:rPr>
          <w:noProof/>
        </w:rPr>
        <w:t xml:space="preserve"> i</w:t>
      </w:r>
      <w:r w:rsidR="003F3D2B">
        <w:rPr>
          <w:noProof/>
        </w:rPr>
        <w:t> </w:t>
      </w:r>
      <w:r w:rsidR="003F3D2B" w:rsidRPr="00624565">
        <w:rPr>
          <w:noProof/>
        </w:rPr>
        <w:t>wpr</w:t>
      </w:r>
      <w:r w:rsidRPr="00624565">
        <w:rPr>
          <w:noProof/>
        </w:rPr>
        <w:t>owadzają wszelkie niezbędne środki</w:t>
      </w:r>
      <w:r w:rsidR="003F3D2B" w:rsidRPr="00624565">
        <w:rPr>
          <w:noProof/>
        </w:rPr>
        <w:t xml:space="preserve"> w</w:t>
      </w:r>
      <w:r w:rsidR="003F3D2B">
        <w:rPr>
          <w:noProof/>
        </w:rPr>
        <w:t> </w:t>
      </w:r>
      <w:r w:rsidR="003F3D2B" w:rsidRPr="00624565">
        <w:rPr>
          <w:noProof/>
        </w:rPr>
        <w:t>cel</w:t>
      </w:r>
      <w:r w:rsidRPr="00624565">
        <w:rPr>
          <w:noProof/>
        </w:rPr>
        <w:t>u zapewnienia ich wykonywania. Przewidziane sankcje muszą być skuteczne, proporcjonalne</w:t>
      </w:r>
      <w:r w:rsidR="003F3D2B" w:rsidRPr="00624565">
        <w:rPr>
          <w:noProof/>
        </w:rPr>
        <w:t xml:space="preserve"> i</w:t>
      </w:r>
      <w:r w:rsidR="003F3D2B">
        <w:rPr>
          <w:noProof/>
        </w:rPr>
        <w:t> </w:t>
      </w:r>
      <w:r w:rsidR="003F3D2B" w:rsidRPr="00624565">
        <w:rPr>
          <w:noProof/>
        </w:rPr>
        <w:t>ods</w:t>
      </w:r>
      <w:r w:rsidRPr="00624565">
        <w:rPr>
          <w:noProof/>
        </w:rPr>
        <w:t>traszające.</w:t>
      </w:r>
    </w:p>
    <w:p w14:paraId="14DD15B2" w14:textId="46E90A00" w:rsidR="00103250" w:rsidRPr="00624565" w:rsidRDefault="004D161E" w:rsidP="004D161E">
      <w:pPr>
        <w:pStyle w:val="ManualNumPar1"/>
        <w:rPr>
          <w:noProof/>
        </w:rPr>
      </w:pPr>
      <w:r w:rsidRPr="00624565">
        <w:rPr>
          <w:noProof/>
        </w:rPr>
        <w:t>2.</w:t>
      </w:r>
      <w:r w:rsidRPr="00624565">
        <w:rPr>
          <w:noProof/>
        </w:rPr>
        <w:tab/>
        <w:t>Określając rodzaj</w:t>
      </w:r>
      <w:r w:rsidR="003F3D2B" w:rsidRPr="00624565">
        <w:rPr>
          <w:noProof/>
        </w:rPr>
        <w:t xml:space="preserve"> i</w:t>
      </w:r>
      <w:r w:rsidR="003F3D2B">
        <w:rPr>
          <w:noProof/>
        </w:rPr>
        <w:t> </w:t>
      </w:r>
      <w:r w:rsidR="003F3D2B" w:rsidRPr="00624565">
        <w:rPr>
          <w:noProof/>
        </w:rPr>
        <w:t>poz</w:t>
      </w:r>
      <w:r w:rsidRPr="00624565">
        <w:rPr>
          <w:noProof/>
        </w:rPr>
        <w:t>iom sankcji nakładanych</w:t>
      </w:r>
      <w:r w:rsidR="003F3D2B" w:rsidRPr="00624565">
        <w:rPr>
          <w:noProof/>
        </w:rPr>
        <w:t xml:space="preserve"> w</w:t>
      </w:r>
      <w:r w:rsidR="003F3D2B">
        <w:rPr>
          <w:noProof/>
        </w:rPr>
        <w:t> </w:t>
      </w:r>
      <w:r w:rsidR="003F3D2B" w:rsidRPr="00624565">
        <w:rPr>
          <w:noProof/>
        </w:rPr>
        <w:t>prz</w:t>
      </w:r>
      <w:r w:rsidRPr="00624565">
        <w:rPr>
          <w:noProof/>
        </w:rPr>
        <w:t>ypadku naruszeń, właściwe organy państw członkowskich należycie uwzględniają następujące kryteria:</w:t>
      </w:r>
    </w:p>
    <w:p w14:paraId="00960052" w14:textId="75895C33" w:rsidR="00103250" w:rsidRPr="00624565" w:rsidRDefault="004D161E" w:rsidP="004D161E">
      <w:pPr>
        <w:pStyle w:val="Point1"/>
        <w:rPr>
          <w:noProof/>
        </w:rPr>
      </w:pPr>
      <w:r w:rsidRPr="00624565">
        <w:rPr>
          <w:noProof/>
        </w:rPr>
        <w:t>a)</w:t>
      </w:r>
      <w:r w:rsidRPr="00624565">
        <w:rPr>
          <w:noProof/>
        </w:rPr>
        <w:tab/>
        <w:t>charakter, wagę, skalę</w:t>
      </w:r>
      <w:r w:rsidR="003F3D2B" w:rsidRPr="00624565">
        <w:rPr>
          <w:noProof/>
        </w:rPr>
        <w:t xml:space="preserve"> i</w:t>
      </w:r>
      <w:r w:rsidR="003F3D2B">
        <w:rPr>
          <w:noProof/>
        </w:rPr>
        <w:t> </w:t>
      </w:r>
      <w:r w:rsidR="003F3D2B" w:rsidRPr="00624565">
        <w:rPr>
          <w:noProof/>
        </w:rPr>
        <w:t>cza</w:t>
      </w:r>
      <w:r w:rsidRPr="00624565">
        <w:rPr>
          <w:noProof/>
        </w:rPr>
        <w:t>s trwania naruszenia;</w:t>
      </w:r>
    </w:p>
    <w:p w14:paraId="1596F52D" w14:textId="0DA9304B" w:rsidR="00103250" w:rsidRPr="00624565" w:rsidRDefault="004D161E" w:rsidP="004D161E">
      <w:pPr>
        <w:pStyle w:val="Point1"/>
        <w:rPr>
          <w:noProof/>
        </w:rPr>
      </w:pPr>
      <w:r w:rsidRPr="00624565">
        <w:rPr>
          <w:noProof/>
        </w:rPr>
        <w:t>b)</w:t>
      </w:r>
      <w:r w:rsidRPr="00624565">
        <w:rPr>
          <w:noProof/>
        </w:rPr>
        <w:tab/>
        <w:t>umyślny lub nieumyślny charakter naruszenia oraz wszelkie działania podjęte przez przedsiębiorcę</w:t>
      </w:r>
      <w:r w:rsidR="003F3D2B" w:rsidRPr="00624565">
        <w:rPr>
          <w:noProof/>
        </w:rPr>
        <w:t xml:space="preserve"> w</w:t>
      </w:r>
      <w:r w:rsidR="003F3D2B">
        <w:rPr>
          <w:noProof/>
        </w:rPr>
        <w:t> </w:t>
      </w:r>
      <w:r w:rsidR="003F3D2B" w:rsidRPr="00624565">
        <w:rPr>
          <w:noProof/>
        </w:rPr>
        <w:t>cel</w:t>
      </w:r>
      <w:r w:rsidRPr="00624565">
        <w:rPr>
          <w:noProof/>
        </w:rPr>
        <w:t>u złagodzenia lub naprawienia szkody poniesionej przez konsumentów,</w:t>
      </w:r>
      <w:r w:rsidR="003F3D2B" w:rsidRPr="00624565">
        <w:rPr>
          <w:noProof/>
        </w:rPr>
        <w:t xml:space="preserve"> w</w:t>
      </w:r>
      <w:r w:rsidR="003F3D2B">
        <w:rPr>
          <w:noProof/>
        </w:rPr>
        <w:t> </w:t>
      </w:r>
      <w:r w:rsidR="003F3D2B" w:rsidRPr="00624565">
        <w:rPr>
          <w:noProof/>
        </w:rPr>
        <w:t>sto</w:t>
      </w:r>
      <w:r w:rsidRPr="00624565">
        <w:rPr>
          <w:noProof/>
        </w:rPr>
        <w:t>sownych przypadkach;</w:t>
      </w:r>
    </w:p>
    <w:p w14:paraId="5B487958" w14:textId="5C9E2FF1" w:rsidR="00103250" w:rsidRPr="00624565" w:rsidRDefault="004D161E" w:rsidP="004D161E">
      <w:pPr>
        <w:pStyle w:val="Point1"/>
        <w:rPr>
          <w:noProof/>
        </w:rPr>
      </w:pPr>
      <w:r w:rsidRPr="00624565">
        <w:rPr>
          <w:noProof/>
        </w:rPr>
        <w:t>c)</w:t>
      </w:r>
      <w:r w:rsidRPr="00624565">
        <w:rPr>
          <w:noProof/>
        </w:rPr>
        <w:tab/>
        <w:t>sytuację finansową osoby fizycznej lub prawnej odpowiedzialnej za naruszenie, której wyznacznikiem jest na przykład wysokość całkowitych obrotów odpowiedzialnej osoby prawnej lub roczny dochód odpowiedzialnej osoby fizycznej;</w:t>
      </w:r>
    </w:p>
    <w:p w14:paraId="0663FA94" w14:textId="0F0F3117" w:rsidR="00103250" w:rsidRPr="00624565" w:rsidRDefault="004D161E" w:rsidP="004D161E">
      <w:pPr>
        <w:pStyle w:val="Point1"/>
        <w:rPr>
          <w:noProof/>
        </w:rPr>
      </w:pPr>
      <w:r w:rsidRPr="00624565">
        <w:rPr>
          <w:noProof/>
        </w:rPr>
        <w:t>d)</w:t>
      </w:r>
      <w:r w:rsidRPr="00624565">
        <w:rPr>
          <w:noProof/>
        </w:rPr>
        <w:tab/>
        <w:t>korzyści ekonomiczne uzyskane przez osoby odpowiedzialne</w:t>
      </w:r>
      <w:r w:rsidR="003F3D2B" w:rsidRPr="00624565">
        <w:rPr>
          <w:noProof/>
        </w:rPr>
        <w:t xml:space="preserve"> w</w:t>
      </w:r>
      <w:r w:rsidR="003F3D2B">
        <w:rPr>
          <w:noProof/>
        </w:rPr>
        <w:t> </w:t>
      </w:r>
      <w:r w:rsidR="003F3D2B" w:rsidRPr="00624565">
        <w:rPr>
          <w:noProof/>
        </w:rPr>
        <w:t>wyn</w:t>
      </w:r>
      <w:r w:rsidRPr="00624565">
        <w:rPr>
          <w:noProof/>
        </w:rPr>
        <w:t xml:space="preserve">iku naruszenia; </w:t>
      </w:r>
    </w:p>
    <w:p w14:paraId="4490B437" w14:textId="77068700" w:rsidR="00103250" w:rsidRPr="00624565" w:rsidRDefault="004D161E" w:rsidP="004D161E">
      <w:pPr>
        <w:pStyle w:val="Point1"/>
        <w:rPr>
          <w:noProof/>
        </w:rPr>
      </w:pPr>
      <w:r w:rsidRPr="00624565">
        <w:rPr>
          <w:noProof/>
        </w:rPr>
        <w:t>e)</w:t>
      </w:r>
      <w:r w:rsidRPr="00624565">
        <w:rPr>
          <w:noProof/>
        </w:rPr>
        <w:tab/>
        <w:t xml:space="preserve">uprzednie naruszenia popełnione przez odpowiedzialną osobę fizyczną lub prawną; </w:t>
      </w:r>
    </w:p>
    <w:p w14:paraId="7E5E8183" w14:textId="4EBADE40" w:rsidR="00103250" w:rsidRPr="00624565" w:rsidRDefault="004D161E" w:rsidP="004D161E">
      <w:pPr>
        <w:pStyle w:val="Point1"/>
        <w:rPr>
          <w:noProof/>
        </w:rPr>
      </w:pPr>
      <w:r w:rsidRPr="00624565">
        <w:rPr>
          <w:noProof/>
        </w:rPr>
        <w:t>f)</w:t>
      </w:r>
      <w:r w:rsidRPr="00624565">
        <w:rPr>
          <w:noProof/>
        </w:rPr>
        <w:tab/>
        <w:t>wszelkie inne okoliczności obciążające lub łagodzące mające zastosowanie</w:t>
      </w:r>
      <w:r w:rsidR="003F3D2B" w:rsidRPr="00624565">
        <w:rPr>
          <w:noProof/>
        </w:rPr>
        <w:t xml:space="preserve"> w</w:t>
      </w:r>
      <w:r w:rsidR="003F3D2B">
        <w:rPr>
          <w:noProof/>
        </w:rPr>
        <w:t> </w:t>
      </w:r>
      <w:r w:rsidR="003F3D2B" w:rsidRPr="00624565">
        <w:rPr>
          <w:noProof/>
        </w:rPr>
        <w:t>dan</w:t>
      </w:r>
      <w:r w:rsidRPr="00624565">
        <w:rPr>
          <w:noProof/>
        </w:rPr>
        <w:t>ej sprawie;</w:t>
      </w:r>
    </w:p>
    <w:p w14:paraId="0A9B6F23" w14:textId="31C13B94" w:rsidR="00103250" w:rsidRPr="00624565" w:rsidRDefault="004D161E" w:rsidP="004D161E">
      <w:pPr>
        <w:pStyle w:val="Point1"/>
        <w:rPr>
          <w:noProof/>
        </w:rPr>
      </w:pPr>
      <w:r w:rsidRPr="00624565">
        <w:rPr>
          <w:noProof/>
        </w:rPr>
        <w:t>g)</w:t>
      </w:r>
      <w:r w:rsidRPr="00624565">
        <w:rPr>
          <w:noProof/>
        </w:rPr>
        <w:tab/>
        <w:t>sankcje nałożone na przedsiębiorcę za to samo naruszenie</w:t>
      </w:r>
      <w:r w:rsidR="003F3D2B" w:rsidRPr="00624565">
        <w:rPr>
          <w:noProof/>
        </w:rPr>
        <w:t xml:space="preserve"> w</w:t>
      </w:r>
      <w:r w:rsidR="003F3D2B">
        <w:rPr>
          <w:noProof/>
        </w:rPr>
        <w:t> </w:t>
      </w:r>
      <w:r w:rsidR="003F3D2B" w:rsidRPr="00624565">
        <w:rPr>
          <w:noProof/>
        </w:rPr>
        <w:t>inn</w:t>
      </w:r>
      <w:r w:rsidRPr="00624565">
        <w:rPr>
          <w:noProof/>
        </w:rPr>
        <w:t>ych państwach członkowskich</w:t>
      </w:r>
      <w:r w:rsidR="003F3D2B" w:rsidRPr="00624565">
        <w:rPr>
          <w:noProof/>
        </w:rPr>
        <w:t xml:space="preserve"> w</w:t>
      </w:r>
      <w:r w:rsidR="003F3D2B">
        <w:rPr>
          <w:noProof/>
        </w:rPr>
        <w:t> </w:t>
      </w:r>
      <w:r w:rsidR="003F3D2B" w:rsidRPr="00624565">
        <w:rPr>
          <w:noProof/>
        </w:rPr>
        <w:t>spr</w:t>
      </w:r>
      <w:r w:rsidRPr="00624565">
        <w:rPr>
          <w:noProof/>
        </w:rPr>
        <w:t>awach transgranicznych, jeżeli informacje</w:t>
      </w:r>
      <w:r w:rsidR="003F3D2B" w:rsidRPr="00624565">
        <w:rPr>
          <w:noProof/>
        </w:rPr>
        <w:t xml:space="preserve"> o</w:t>
      </w:r>
      <w:r w:rsidR="003F3D2B">
        <w:rPr>
          <w:noProof/>
        </w:rPr>
        <w:t> </w:t>
      </w:r>
      <w:r w:rsidR="003F3D2B" w:rsidRPr="00624565">
        <w:rPr>
          <w:noProof/>
        </w:rPr>
        <w:t>tak</w:t>
      </w:r>
      <w:r w:rsidRPr="00624565">
        <w:rPr>
          <w:noProof/>
        </w:rPr>
        <w:t>ich sankcjach są dostępne</w:t>
      </w:r>
      <w:r w:rsidR="003F3D2B" w:rsidRPr="00624565">
        <w:rPr>
          <w:noProof/>
        </w:rPr>
        <w:t xml:space="preserve"> w</w:t>
      </w:r>
      <w:r w:rsidR="003F3D2B">
        <w:rPr>
          <w:noProof/>
        </w:rPr>
        <w:t> </w:t>
      </w:r>
      <w:r w:rsidR="003F3D2B" w:rsidRPr="00624565">
        <w:rPr>
          <w:noProof/>
        </w:rPr>
        <w:t>ram</w:t>
      </w:r>
      <w:r w:rsidRPr="00624565">
        <w:rPr>
          <w:noProof/>
        </w:rPr>
        <w:t xml:space="preserve">ach mechanizmu ustanowionego rozporządzeniem (UE) </w:t>
      </w:r>
      <w:r w:rsidRPr="003F3D2B">
        <w:rPr>
          <w:noProof/>
        </w:rPr>
        <w:t>nr</w:t>
      </w:r>
      <w:r w:rsidR="003F3D2B" w:rsidRPr="003F3D2B">
        <w:rPr>
          <w:noProof/>
        </w:rPr>
        <w:t> </w:t>
      </w:r>
      <w:r w:rsidRPr="003F3D2B">
        <w:rPr>
          <w:noProof/>
        </w:rPr>
        <w:t>2</w:t>
      </w:r>
      <w:r w:rsidRPr="00624565">
        <w:rPr>
          <w:noProof/>
        </w:rPr>
        <w:t>017/2394,</w:t>
      </w:r>
      <w:r w:rsidR="003F3D2B" w:rsidRPr="00624565">
        <w:rPr>
          <w:noProof/>
        </w:rPr>
        <w:t xml:space="preserve"> w</w:t>
      </w:r>
      <w:r w:rsidR="003F3D2B">
        <w:rPr>
          <w:noProof/>
        </w:rPr>
        <w:t> </w:t>
      </w:r>
      <w:r w:rsidR="003F3D2B" w:rsidRPr="00624565">
        <w:rPr>
          <w:noProof/>
        </w:rPr>
        <w:t>sto</w:t>
      </w:r>
      <w:r w:rsidRPr="00624565">
        <w:rPr>
          <w:noProof/>
        </w:rPr>
        <w:t>sownych przypadkach.</w:t>
      </w:r>
    </w:p>
    <w:p w14:paraId="08033E9A" w14:textId="491CB992" w:rsidR="00103250" w:rsidRPr="00624565" w:rsidRDefault="004D161E" w:rsidP="004D161E">
      <w:pPr>
        <w:pStyle w:val="ManualNumPar1"/>
        <w:rPr>
          <w:noProof/>
        </w:rPr>
      </w:pPr>
      <w:r w:rsidRPr="00624565">
        <w:rPr>
          <w:noProof/>
        </w:rPr>
        <w:t>3.</w:t>
      </w:r>
      <w:r w:rsidRPr="00624565">
        <w:rPr>
          <w:noProof/>
        </w:rPr>
        <w:tab/>
        <w:t>Państwa członkowskie zapewniają, aby sankcje</w:t>
      </w:r>
      <w:r w:rsidR="003F3D2B" w:rsidRPr="00624565">
        <w:rPr>
          <w:noProof/>
        </w:rPr>
        <w:t xml:space="preserve"> i</w:t>
      </w:r>
      <w:r w:rsidR="003F3D2B">
        <w:rPr>
          <w:noProof/>
        </w:rPr>
        <w:t> </w:t>
      </w:r>
      <w:r w:rsidR="003F3D2B" w:rsidRPr="00624565">
        <w:rPr>
          <w:noProof/>
        </w:rPr>
        <w:t>śro</w:t>
      </w:r>
      <w:r w:rsidRPr="00624565">
        <w:rPr>
          <w:noProof/>
        </w:rPr>
        <w:t>dki stosowane</w:t>
      </w:r>
      <w:r w:rsidR="003F3D2B" w:rsidRPr="00624565">
        <w:rPr>
          <w:noProof/>
        </w:rPr>
        <w:t xml:space="preserve"> w</w:t>
      </w:r>
      <w:r w:rsidR="003F3D2B">
        <w:rPr>
          <w:noProof/>
        </w:rPr>
        <w:t> </w:t>
      </w:r>
      <w:r w:rsidR="003F3D2B" w:rsidRPr="00624565">
        <w:rPr>
          <w:noProof/>
        </w:rPr>
        <w:t>prz</w:t>
      </w:r>
      <w:r w:rsidRPr="00624565">
        <w:rPr>
          <w:noProof/>
        </w:rPr>
        <w:t xml:space="preserve">ypadku naruszeń niniejszej dyrektywy obejmowały: </w:t>
      </w:r>
    </w:p>
    <w:p w14:paraId="36D5A6F8" w14:textId="3FA295F5" w:rsidR="00103250" w:rsidRPr="00624565" w:rsidRDefault="003F3D2B" w:rsidP="003F3D2B">
      <w:pPr>
        <w:pStyle w:val="Point1"/>
        <w:rPr>
          <w:noProof/>
        </w:rPr>
      </w:pPr>
      <w:r>
        <w:rPr>
          <w:noProof/>
        </w:rPr>
        <w:t>a)</w:t>
      </w:r>
      <w:r>
        <w:rPr>
          <w:noProof/>
        </w:rPr>
        <w:tab/>
      </w:r>
      <w:r w:rsidR="00103250" w:rsidRPr="00624565">
        <w:rPr>
          <w:noProof/>
        </w:rPr>
        <w:t>grzywny, które skutecznie pozbawiają podmioty odpowiedzialne za naruszenia korzyści ekonomicznych uzyskanych</w:t>
      </w:r>
      <w:r w:rsidRPr="00624565">
        <w:rPr>
          <w:noProof/>
        </w:rPr>
        <w:t xml:space="preserve"> w</w:t>
      </w:r>
      <w:r>
        <w:rPr>
          <w:noProof/>
        </w:rPr>
        <w:t> </w:t>
      </w:r>
      <w:r w:rsidRPr="00624565">
        <w:rPr>
          <w:noProof/>
        </w:rPr>
        <w:t>wyn</w:t>
      </w:r>
      <w:r w:rsidR="00103250" w:rsidRPr="00624565">
        <w:rPr>
          <w:noProof/>
        </w:rPr>
        <w:t>iku dopuszczenia się przez nie naruszeń, oraz podwyższenie poziomu takich grzywien</w:t>
      </w:r>
      <w:r w:rsidRPr="00624565">
        <w:rPr>
          <w:noProof/>
        </w:rPr>
        <w:t xml:space="preserve"> w</w:t>
      </w:r>
      <w:r>
        <w:rPr>
          <w:noProof/>
        </w:rPr>
        <w:t> </w:t>
      </w:r>
      <w:r w:rsidRPr="00624565">
        <w:rPr>
          <w:noProof/>
        </w:rPr>
        <w:t>prz</w:t>
      </w:r>
      <w:r w:rsidR="00103250" w:rsidRPr="00624565">
        <w:rPr>
          <w:noProof/>
        </w:rPr>
        <w:t xml:space="preserve">ypadku ponownego naruszenia; </w:t>
      </w:r>
    </w:p>
    <w:p w14:paraId="3D734BCA" w14:textId="622AF1C0" w:rsidR="00103250" w:rsidRPr="00624565" w:rsidRDefault="003F3D2B" w:rsidP="003F3D2B">
      <w:pPr>
        <w:pStyle w:val="Point1"/>
        <w:rPr>
          <w:noProof/>
        </w:rPr>
      </w:pPr>
      <w:r>
        <w:rPr>
          <w:noProof/>
        </w:rPr>
        <w:t>b)</w:t>
      </w:r>
      <w:r>
        <w:rPr>
          <w:noProof/>
        </w:rPr>
        <w:tab/>
      </w:r>
      <w:r w:rsidR="00103250" w:rsidRPr="00624565">
        <w:rPr>
          <w:noProof/>
        </w:rPr>
        <w:t>konfiskatę dochodów uzyskanych przez przedsiębiorcę</w:t>
      </w:r>
      <w:r w:rsidRPr="00624565">
        <w:rPr>
          <w:noProof/>
        </w:rPr>
        <w:t xml:space="preserve"> z</w:t>
      </w:r>
      <w:r>
        <w:rPr>
          <w:noProof/>
        </w:rPr>
        <w:t> </w:t>
      </w:r>
      <w:r w:rsidRPr="00624565">
        <w:rPr>
          <w:noProof/>
        </w:rPr>
        <w:t>tra</w:t>
      </w:r>
      <w:r w:rsidR="00103250" w:rsidRPr="00624565">
        <w:rPr>
          <w:noProof/>
        </w:rPr>
        <w:t xml:space="preserve">nsakcji obejmujących odnośne produkty; </w:t>
      </w:r>
    </w:p>
    <w:p w14:paraId="0B2F5A1B" w14:textId="36BDD238" w:rsidR="00103250" w:rsidRPr="00624565" w:rsidRDefault="003F3D2B" w:rsidP="003F3D2B">
      <w:pPr>
        <w:pStyle w:val="Point1"/>
        <w:rPr>
          <w:noProof/>
        </w:rPr>
      </w:pPr>
      <w:r>
        <w:rPr>
          <w:noProof/>
        </w:rPr>
        <w:t>c)</w:t>
      </w:r>
      <w:r>
        <w:rPr>
          <w:noProof/>
        </w:rPr>
        <w:tab/>
      </w:r>
      <w:r w:rsidR="00103250" w:rsidRPr="00624565">
        <w:rPr>
          <w:noProof/>
        </w:rPr>
        <w:t>czasowe wykluczenie na okres maksymalnie 12 miesięcy</w:t>
      </w:r>
      <w:r w:rsidRPr="00624565">
        <w:rPr>
          <w:noProof/>
        </w:rPr>
        <w:t xml:space="preserve"> z</w:t>
      </w:r>
      <w:r>
        <w:rPr>
          <w:noProof/>
        </w:rPr>
        <w:t> </w:t>
      </w:r>
      <w:r w:rsidRPr="00624565">
        <w:rPr>
          <w:noProof/>
        </w:rPr>
        <w:t>pro</w:t>
      </w:r>
      <w:r w:rsidR="00103250" w:rsidRPr="00624565">
        <w:rPr>
          <w:noProof/>
        </w:rPr>
        <w:t>cedur udzielania zamówień oraz</w:t>
      </w:r>
      <w:r w:rsidRPr="00624565">
        <w:rPr>
          <w:noProof/>
        </w:rPr>
        <w:t xml:space="preserve"> z</w:t>
      </w:r>
      <w:r>
        <w:rPr>
          <w:noProof/>
        </w:rPr>
        <w:t> </w:t>
      </w:r>
      <w:r w:rsidRPr="00624565">
        <w:rPr>
          <w:noProof/>
        </w:rPr>
        <w:t>dos</w:t>
      </w:r>
      <w:r w:rsidR="00103250" w:rsidRPr="00624565">
        <w:rPr>
          <w:noProof/>
        </w:rPr>
        <w:t>tępu do finansowania publicznego,</w:t>
      </w:r>
      <w:r w:rsidRPr="00624565">
        <w:rPr>
          <w:noProof/>
        </w:rPr>
        <w:t xml:space="preserve"> w</w:t>
      </w:r>
      <w:r>
        <w:rPr>
          <w:noProof/>
        </w:rPr>
        <w:t> </w:t>
      </w:r>
      <w:r w:rsidRPr="00624565">
        <w:rPr>
          <w:noProof/>
        </w:rPr>
        <w:t>tym</w:t>
      </w:r>
      <w:r w:rsidR="00103250" w:rsidRPr="00624565">
        <w:rPr>
          <w:noProof/>
        </w:rPr>
        <w:t xml:space="preserve"> procedur przetargowych, dotacji</w:t>
      </w:r>
      <w:r w:rsidRPr="00624565">
        <w:rPr>
          <w:noProof/>
        </w:rPr>
        <w:t xml:space="preserve"> i</w:t>
      </w:r>
      <w:r>
        <w:rPr>
          <w:noProof/>
        </w:rPr>
        <w:t> </w:t>
      </w:r>
      <w:r w:rsidRPr="00624565">
        <w:rPr>
          <w:noProof/>
        </w:rPr>
        <w:t>kon</w:t>
      </w:r>
      <w:r w:rsidR="00103250" w:rsidRPr="00624565">
        <w:rPr>
          <w:noProof/>
        </w:rPr>
        <w:t xml:space="preserve">cesji. </w:t>
      </w:r>
    </w:p>
    <w:p w14:paraId="3F7F0D0D" w14:textId="7F6C7785" w:rsidR="00354E8A" w:rsidRPr="00624565" w:rsidRDefault="00103250" w:rsidP="00354E8A">
      <w:pPr>
        <w:rPr>
          <w:noProof/>
        </w:rPr>
      </w:pPr>
      <w:r w:rsidRPr="00624565">
        <w:rPr>
          <w:noProof/>
        </w:rPr>
        <w:t xml:space="preserve">Do celów </w:t>
      </w:r>
      <w:r w:rsidRPr="003F3D2B">
        <w:rPr>
          <w:noProof/>
        </w:rPr>
        <w:t>lit.</w:t>
      </w:r>
      <w:r w:rsidR="003F3D2B" w:rsidRPr="003F3D2B">
        <w:rPr>
          <w:noProof/>
        </w:rPr>
        <w:t> </w:t>
      </w:r>
      <w:r w:rsidRPr="003F3D2B">
        <w:rPr>
          <w:noProof/>
        </w:rPr>
        <w:t>a)</w:t>
      </w:r>
      <w:r w:rsidRPr="00624565">
        <w:rPr>
          <w:noProof/>
        </w:rPr>
        <w:t xml:space="preserve"> państwa członkowskie zapewniają, aby</w:t>
      </w:r>
      <w:r w:rsidR="003F3D2B" w:rsidRPr="00624565">
        <w:rPr>
          <w:noProof/>
        </w:rPr>
        <w:t xml:space="preserve"> w</w:t>
      </w:r>
      <w:r w:rsidR="003F3D2B">
        <w:rPr>
          <w:noProof/>
        </w:rPr>
        <w:t> </w:t>
      </w:r>
      <w:r w:rsidR="003F3D2B" w:rsidRPr="00624565">
        <w:rPr>
          <w:noProof/>
        </w:rPr>
        <w:t>prz</w:t>
      </w:r>
      <w:r w:rsidRPr="00624565">
        <w:rPr>
          <w:noProof/>
        </w:rPr>
        <w:t>ypadku nakładania sankcji zgodnie</w:t>
      </w:r>
      <w:r w:rsidR="003F3D2B" w:rsidRPr="00624565">
        <w:rPr>
          <w:noProof/>
        </w:rPr>
        <w:t xml:space="preserve"> z</w:t>
      </w:r>
      <w:r w:rsidR="003F3D2B">
        <w:rPr>
          <w:noProof/>
        </w:rPr>
        <w:t> </w:t>
      </w:r>
      <w:r w:rsidR="003F3D2B" w:rsidRPr="003F3D2B">
        <w:rPr>
          <w:noProof/>
        </w:rPr>
        <w:t>art</w:t>
      </w:r>
      <w:r w:rsidRPr="003F3D2B">
        <w:rPr>
          <w:noProof/>
        </w:rPr>
        <w:t>.</w:t>
      </w:r>
      <w:r w:rsidR="003F3D2B" w:rsidRPr="003F3D2B">
        <w:rPr>
          <w:noProof/>
        </w:rPr>
        <w:t> </w:t>
      </w:r>
      <w:r w:rsidRPr="003F3D2B">
        <w:rPr>
          <w:noProof/>
        </w:rPr>
        <w:t>2</w:t>
      </w:r>
      <w:r w:rsidRPr="00624565">
        <w:rPr>
          <w:noProof/>
        </w:rPr>
        <w:t>1 rozporządzenia (UE) 2017/2394</w:t>
      </w:r>
      <w:r w:rsidRPr="00624565">
        <w:rPr>
          <w:rStyle w:val="FootnoteReference"/>
          <w:noProof/>
        </w:rPr>
        <w:footnoteReference w:id="116"/>
      </w:r>
      <w:r w:rsidRPr="00624565">
        <w:rPr>
          <w:noProof/>
        </w:rPr>
        <w:t xml:space="preserve"> maksymalna wysokość takich grzywien wynosiła co najmniej </w:t>
      </w:r>
      <w:r w:rsidRPr="003F3D2B">
        <w:rPr>
          <w:noProof/>
        </w:rPr>
        <w:t>4</w:t>
      </w:r>
      <w:r w:rsidR="003F3D2B" w:rsidRPr="003F3D2B">
        <w:rPr>
          <w:noProof/>
        </w:rPr>
        <w:t> </w:t>
      </w:r>
      <w:r w:rsidRPr="003F3D2B">
        <w:rPr>
          <w:noProof/>
        </w:rPr>
        <w:t>%</w:t>
      </w:r>
      <w:r w:rsidRPr="00624565">
        <w:rPr>
          <w:noProof/>
        </w:rPr>
        <w:t xml:space="preserve"> rocznego obrotu przedsiębiorcy</w:t>
      </w:r>
      <w:r w:rsidR="003F3D2B" w:rsidRPr="00624565">
        <w:rPr>
          <w:noProof/>
        </w:rPr>
        <w:t xml:space="preserve"> w</w:t>
      </w:r>
      <w:r w:rsidR="003F3D2B">
        <w:rPr>
          <w:noProof/>
        </w:rPr>
        <w:t> </w:t>
      </w:r>
      <w:r w:rsidR="003F3D2B" w:rsidRPr="00624565">
        <w:rPr>
          <w:noProof/>
        </w:rPr>
        <w:t>dan</w:t>
      </w:r>
      <w:r w:rsidRPr="00624565">
        <w:rPr>
          <w:noProof/>
        </w:rPr>
        <w:t>ym państwie członkowskim lub</w:t>
      </w:r>
      <w:r w:rsidR="003F3D2B" w:rsidRPr="00624565">
        <w:rPr>
          <w:noProof/>
        </w:rPr>
        <w:t xml:space="preserve"> w</w:t>
      </w:r>
      <w:r w:rsidR="003F3D2B">
        <w:rPr>
          <w:noProof/>
        </w:rPr>
        <w:t> </w:t>
      </w:r>
      <w:r w:rsidR="003F3D2B" w:rsidRPr="00624565">
        <w:rPr>
          <w:noProof/>
        </w:rPr>
        <w:t>dan</w:t>
      </w:r>
      <w:r w:rsidRPr="00624565">
        <w:rPr>
          <w:noProof/>
        </w:rPr>
        <w:t xml:space="preserve">ych państwach członkowskich. </w:t>
      </w:r>
    </w:p>
    <w:p w14:paraId="4EFBDCA4" w14:textId="77777777" w:rsidR="00103250" w:rsidRPr="00624565" w:rsidRDefault="00103250" w:rsidP="00103250">
      <w:pPr>
        <w:pStyle w:val="Titrearticle"/>
        <w:keepNext w:val="0"/>
        <w:rPr>
          <w:noProof/>
        </w:rPr>
      </w:pPr>
      <w:r w:rsidRPr="00624565">
        <w:rPr>
          <w:noProof/>
        </w:rPr>
        <w:t>Artykuł 18</w:t>
      </w:r>
    </w:p>
    <w:p w14:paraId="2F4C5F90" w14:textId="77777777" w:rsidR="00103250" w:rsidRPr="00624565" w:rsidRDefault="00103250" w:rsidP="00103250">
      <w:pPr>
        <w:pStyle w:val="Titrearticle"/>
        <w:keepNext w:val="0"/>
        <w:rPr>
          <w:noProof/>
        </w:rPr>
      </w:pPr>
      <w:r w:rsidRPr="00624565">
        <w:rPr>
          <w:noProof/>
        </w:rPr>
        <w:t>Wykonywanie przekazanych uprawnień</w:t>
      </w:r>
    </w:p>
    <w:p w14:paraId="1FFAE4F1" w14:textId="7FE57EFF" w:rsidR="00103250" w:rsidRPr="00624565" w:rsidRDefault="004D161E" w:rsidP="004D161E">
      <w:pPr>
        <w:pStyle w:val="ManualNumPar1"/>
        <w:rPr>
          <w:noProof/>
        </w:rPr>
      </w:pPr>
      <w:r w:rsidRPr="00624565">
        <w:rPr>
          <w:noProof/>
        </w:rPr>
        <w:t>1.</w:t>
      </w:r>
      <w:r w:rsidRPr="00624565">
        <w:rPr>
          <w:noProof/>
        </w:rPr>
        <w:tab/>
        <w:t>Powierzenie Komisji uprawnień do przyjęcia aktów delegowanych podlega warunkom określonym</w:t>
      </w:r>
      <w:r w:rsidR="003F3D2B" w:rsidRPr="00624565">
        <w:rPr>
          <w:noProof/>
        </w:rPr>
        <w:t xml:space="preserve"> w</w:t>
      </w:r>
      <w:r w:rsidR="003F3D2B">
        <w:rPr>
          <w:noProof/>
        </w:rPr>
        <w:t> </w:t>
      </w:r>
      <w:r w:rsidR="003F3D2B" w:rsidRPr="00624565">
        <w:rPr>
          <w:noProof/>
        </w:rPr>
        <w:t>nin</w:t>
      </w:r>
      <w:r w:rsidRPr="00624565">
        <w:rPr>
          <w:noProof/>
        </w:rPr>
        <w:t>iejszym artykule.</w:t>
      </w:r>
    </w:p>
    <w:p w14:paraId="772DABEB" w14:textId="1101687B" w:rsidR="00103250" w:rsidRPr="00624565" w:rsidRDefault="004D161E" w:rsidP="004D161E">
      <w:pPr>
        <w:pStyle w:val="ManualNumPar1"/>
        <w:rPr>
          <w:noProof/>
        </w:rPr>
      </w:pPr>
      <w:r w:rsidRPr="00624565">
        <w:rPr>
          <w:noProof/>
        </w:rPr>
        <w:t>2.</w:t>
      </w:r>
      <w:r w:rsidRPr="00624565">
        <w:rPr>
          <w:noProof/>
        </w:rPr>
        <w:tab/>
        <w:t>Uprawnienia do przyjmowania aktów delegowanych,</w:t>
      </w:r>
      <w:r w:rsidR="003F3D2B" w:rsidRPr="00624565">
        <w:rPr>
          <w:noProof/>
        </w:rPr>
        <w:t xml:space="preserve"> o</w:t>
      </w:r>
      <w:r w:rsidR="003F3D2B">
        <w:rPr>
          <w:noProof/>
        </w:rPr>
        <w:t> </w:t>
      </w:r>
      <w:r w:rsidR="003F3D2B" w:rsidRPr="00624565">
        <w:rPr>
          <w:noProof/>
        </w:rPr>
        <w:t>któ</w:t>
      </w:r>
      <w:r w:rsidRPr="00624565">
        <w:rPr>
          <w:noProof/>
        </w:rPr>
        <w:t>rych mowa</w:t>
      </w:r>
      <w:r w:rsidR="003F3D2B" w:rsidRPr="00624565">
        <w:rPr>
          <w:noProof/>
        </w:rPr>
        <w:t xml:space="preserve"> w</w:t>
      </w:r>
      <w:r w:rsidR="003F3D2B">
        <w:rPr>
          <w:noProof/>
        </w:rPr>
        <w:t> </w:t>
      </w:r>
      <w:r w:rsidR="003F3D2B" w:rsidRPr="003F3D2B">
        <w:rPr>
          <w:noProof/>
        </w:rPr>
        <w:t>art</w:t>
      </w:r>
      <w:r w:rsidRPr="003F3D2B">
        <w:rPr>
          <w:noProof/>
        </w:rPr>
        <w:t>.</w:t>
      </w:r>
      <w:r w:rsidR="003F3D2B" w:rsidRPr="003F3D2B">
        <w:rPr>
          <w:noProof/>
        </w:rPr>
        <w:t> </w:t>
      </w:r>
      <w:r w:rsidRPr="003F3D2B">
        <w:rPr>
          <w:noProof/>
        </w:rPr>
        <w:t>3</w:t>
      </w:r>
      <w:r w:rsidRPr="00624565">
        <w:rPr>
          <w:noProof/>
        </w:rPr>
        <w:t xml:space="preserve"> </w:t>
      </w:r>
      <w:r w:rsidRPr="003F3D2B">
        <w:rPr>
          <w:noProof/>
        </w:rPr>
        <w:t>ust.</w:t>
      </w:r>
      <w:r w:rsidR="003F3D2B" w:rsidRPr="003F3D2B">
        <w:rPr>
          <w:noProof/>
        </w:rPr>
        <w:t> </w:t>
      </w:r>
      <w:r w:rsidRPr="003F3D2B">
        <w:rPr>
          <w:noProof/>
        </w:rPr>
        <w:t>4</w:t>
      </w:r>
      <w:r w:rsidR="003F3D2B" w:rsidRPr="00624565">
        <w:rPr>
          <w:noProof/>
        </w:rPr>
        <w:t xml:space="preserve"> i</w:t>
      </w:r>
      <w:r w:rsidR="003F3D2B">
        <w:rPr>
          <w:noProof/>
        </w:rPr>
        <w:t> </w:t>
      </w:r>
      <w:r w:rsidR="003F3D2B" w:rsidRPr="003F3D2B">
        <w:rPr>
          <w:noProof/>
        </w:rPr>
        <w:t>art</w:t>
      </w:r>
      <w:r w:rsidRPr="003F3D2B">
        <w:rPr>
          <w:noProof/>
        </w:rPr>
        <w:t>.</w:t>
      </w:r>
      <w:r w:rsidR="003F3D2B" w:rsidRPr="003F3D2B">
        <w:rPr>
          <w:noProof/>
        </w:rPr>
        <w:t> </w:t>
      </w:r>
      <w:r w:rsidRPr="003F3D2B">
        <w:rPr>
          <w:noProof/>
        </w:rPr>
        <w:t>5</w:t>
      </w:r>
      <w:r w:rsidRPr="00624565">
        <w:rPr>
          <w:noProof/>
        </w:rPr>
        <w:t xml:space="preserve"> </w:t>
      </w:r>
      <w:r w:rsidRPr="003F3D2B">
        <w:rPr>
          <w:noProof/>
        </w:rPr>
        <w:t>ust.</w:t>
      </w:r>
      <w:r w:rsidR="003F3D2B" w:rsidRPr="003F3D2B">
        <w:rPr>
          <w:noProof/>
        </w:rPr>
        <w:t> </w:t>
      </w:r>
      <w:r w:rsidRPr="003F3D2B">
        <w:rPr>
          <w:noProof/>
        </w:rPr>
        <w:t>8</w:t>
      </w:r>
      <w:r w:rsidRPr="00624565">
        <w:rPr>
          <w:noProof/>
        </w:rPr>
        <w:t>, powierza się Komisji na okres pięciu lat od dnia [</w:t>
      </w:r>
      <w:r w:rsidRPr="00624565">
        <w:rPr>
          <w:i/>
          <w:noProof/>
        </w:rPr>
        <w:t>Urząd Publikacji: proszę wstawić datę = data transpozycji niniejszej dyrektywy</w:t>
      </w:r>
      <w:r w:rsidRPr="00624565">
        <w:rPr>
          <w:noProof/>
        </w:rPr>
        <w:t>] r. Komisja sporządza sprawozdanie dotyczące przekazania uprawnień nie później niż dziewięć miesięcy przed końcem okresu pięciu lat. Przekazanie uprawnień zostaje automatycznie przedłużone na takie same okresy, chyba że Parlament Europejski lub Rada sprzeciwią się takiemu przedłużeniu nie później niż trzy miesiące przed końcem każdego okresu.</w:t>
      </w:r>
    </w:p>
    <w:p w14:paraId="2E294351" w14:textId="0A83D30C" w:rsidR="00103250" w:rsidRPr="00624565" w:rsidRDefault="004D161E" w:rsidP="004D161E">
      <w:pPr>
        <w:pStyle w:val="ManualNumPar1"/>
        <w:rPr>
          <w:noProof/>
        </w:rPr>
      </w:pPr>
      <w:r w:rsidRPr="00624565">
        <w:rPr>
          <w:noProof/>
        </w:rPr>
        <w:t>3.</w:t>
      </w:r>
      <w:r w:rsidRPr="00624565">
        <w:rPr>
          <w:noProof/>
        </w:rPr>
        <w:tab/>
        <w:t>Przekazanie uprawnień,</w:t>
      </w:r>
      <w:r w:rsidR="003F3D2B" w:rsidRPr="00624565">
        <w:rPr>
          <w:noProof/>
        </w:rPr>
        <w:t xml:space="preserve"> o</w:t>
      </w:r>
      <w:r w:rsidR="003F3D2B">
        <w:rPr>
          <w:noProof/>
        </w:rPr>
        <w:t> </w:t>
      </w:r>
      <w:r w:rsidR="003F3D2B" w:rsidRPr="00624565">
        <w:rPr>
          <w:noProof/>
        </w:rPr>
        <w:t>któ</w:t>
      </w:r>
      <w:r w:rsidRPr="00624565">
        <w:rPr>
          <w:noProof/>
        </w:rPr>
        <w:t>rym mowa</w:t>
      </w:r>
      <w:r w:rsidR="003F3D2B" w:rsidRPr="00624565">
        <w:rPr>
          <w:noProof/>
        </w:rPr>
        <w:t xml:space="preserve"> w</w:t>
      </w:r>
      <w:r w:rsidR="003F3D2B">
        <w:rPr>
          <w:noProof/>
        </w:rPr>
        <w:t> </w:t>
      </w:r>
      <w:r w:rsidR="003F3D2B" w:rsidRPr="003F3D2B">
        <w:rPr>
          <w:noProof/>
        </w:rPr>
        <w:t>art</w:t>
      </w:r>
      <w:r w:rsidRPr="003F3D2B">
        <w:rPr>
          <w:noProof/>
        </w:rPr>
        <w:t>.</w:t>
      </w:r>
      <w:r w:rsidR="003F3D2B" w:rsidRPr="003F3D2B">
        <w:rPr>
          <w:noProof/>
        </w:rPr>
        <w:t> </w:t>
      </w:r>
      <w:r w:rsidRPr="003F3D2B">
        <w:rPr>
          <w:noProof/>
        </w:rPr>
        <w:t>3</w:t>
      </w:r>
      <w:r w:rsidRPr="00624565">
        <w:rPr>
          <w:noProof/>
        </w:rPr>
        <w:t xml:space="preserve"> </w:t>
      </w:r>
      <w:r w:rsidRPr="003F3D2B">
        <w:rPr>
          <w:noProof/>
        </w:rPr>
        <w:t>ust.</w:t>
      </w:r>
      <w:r w:rsidR="003F3D2B" w:rsidRPr="003F3D2B">
        <w:rPr>
          <w:noProof/>
        </w:rPr>
        <w:t> </w:t>
      </w:r>
      <w:r w:rsidRPr="003F3D2B">
        <w:rPr>
          <w:noProof/>
        </w:rPr>
        <w:t>4</w:t>
      </w:r>
      <w:r w:rsidR="003F3D2B" w:rsidRPr="00624565">
        <w:rPr>
          <w:noProof/>
        </w:rPr>
        <w:t xml:space="preserve"> i</w:t>
      </w:r>
      <w:r w:rsidR="003F3D2B">
        <w:rPr>
          <w:noProof/>
        </w:rPr>
        <w:t> </w:t>
      </w:r>
      <w:r w:rsidR="003F3D2B" w:rsidRPr="003F3D2B">
        <w:rPr>
          <w:noProof/>
        </w:rPr>
        <w:t>art</w:t>
      </w:r>
      <w:r w:rsidRPr="003F3D2B">
        <w:rPr>
          <w:noProof/>
        </w:rPr>
        <w:t>.</w:t>
      </w:r>
      <w:r w:rsidR="003F3D2B" w:rsidRPr="003F3D2B">
        <w:rPr>
          <w:noProof/>
        </w:rPr>
        <w:t> </w:t>
      </w:r>
      <w:r w:rsidRPr="003F3D2B">
        <w:rPr>
          <w:noProof/>
        </w:rPr>
        <w:t>5</w:t>
      </w:r>
      <w:r w:rsidRPr="00624565">
        <w:rPr>
          <w:noProof/>
        </w:rPr>
        <w:t xml:space="preserve"> </w:t>
      </w:r>
      <w:r w:rsidRPr="003F3D2B">
        <w:rPr>
          <w:noProof/>
        </w:rPr>
        <w:t>ust.</w:t>
      </w:r>
      <w:r w:rsidR="003F3D2B" w:rsidRPr="003F3D2B">
        <w:rPr>
          <w:noProof/>
        </w:rPr>
        <w:t> </w:t>
      </w:r>
      <w:r w:rsidRPr="003F3D2B">
        <w:rPr>
          <w:noProof/>
        </w:rPr>
        <w:t>8</w:t>
      </w:r>
      <w:r w:rsidRPr="00624565">
        <w:rPr>
          <w:noProof/>
        </w:rPr>
        <w:t>, może zostać</w:t>
      </w:r>
      <w:r w:rsidR="003F3D2B" w:rsidRPr="00624565">
        <w:rPr>
          <w:noProof/>
        </w:rPr>
        <w:t xml:space="preserve"> w</w:t>
      </w:r>
      <w:r w:rsidR="003F3D2B">
        <w:rPr>
          <w:noProof/>
        </w:rPr>
        <w:t> </w:t>
      </w:r>
      <w:r w:rsidR="003F3D2B" w:rsidRPr="00624565">
        <w:rPr>
          <w:noProof/>
        </w:rPr>
        <w:t>dow</w:t>
      </w:r>
      <w:r w:rsidRPr="00624565">
        <w:rPr>
          <w:noProof/>
        </w:rPr>
        <w:t>olnym momencie odwołane przez Parlament Europejski lub przez Radę. Decyzja</w:t>
      </w:r>
      <w:r w:rsidR="003F3D2B" w:rsidRPr="00624565">
        <w:rPr>
          <w:noProof/>
        </w:rPr>
        <w:t xml:space="preserve"> o</w:t>
      </w:r>
      <w:r w:rsidR="003F3D2B">
        <w:rPr>
          <w:noProof/>
        </w:rPr>
        <w:t> </w:t>
      </w:r>
      <w:r w:rsidR="003F3D2B" w:rsidRPr="00624565">
        <w:rPr>
          <w:noProof/>
        </w:rPr>
        <w:t>odw</w:t>
      </w:r>
      <w:r w:rsidRPr="00624565">
        <w:rPr>
          <w:noProof/>
        </w:rPr>
        <w:t>ołaniu kończy przekazanie określonych</w:t>
      </w:r>
      <w:r w:rsidR="003F3D2B" w:rsidRPr="00624565">
        <w:rPr>
          <w:noProof/>
        </w:rPr>
        <w:t xml:space="preserve"> w</w:t>
      </w:r>
      <w:r w:rsidR="003F3D2B">
        <w:rPr>
          <w:noProof/>
        </w:rPr>
        <w:t> </w:t>
      </w:r>
      <w:r w:rsidR="003F3D2B" w:rsidRPr="00624565">
        <w:rPr>
          <w:noProof/>
        </w:rPr>
        <w:t>nie</w:t>
      </w:r>
      <w:r w:rsidRPr="00624565">
        <w:rPr>
          <w:noProof/>
        </w:rPr>
        <w:t>j uprawnień. Decyzja</w:t>
      </w:r>
      <w:r w:rsidR="003F3D2B" w:rsidRPr="00624565">
        <w:rPr>
          <w:noProof/>
        </w:rPr>
        <w:t xml:space="preserve"> o</w:t>
      </w:r>
      <w:r w:rsidR="003F3D2B">
        <w:rPr>
          <w:noProof/>
        </w:rPr>
        <w:t> </w:t>
      </w:r>
      <w:r w:rsidR="003F3D2B" w:rsidRPr="00624565">
        <w:rPr>
          <w:noProof/>
        </w:rPr>
        <w:t>odw</w:t>
      </w:r>
      <w:r w:rsidRPr="00624565">
        <w:rPr>
          <w:noProof/>
        </w:rPr>
        <w:t>ołaniu staje się skuteczna następnego dnia po jej opublikowaniu</w:t>
      </w:r>
      <w:r w:rsidR="003F3D2B" w:rsidRPr="00624565">
        <w:rPr>
          <w:noProof/>
        </w:rPr>
        <w:t xml:space="preserve"> w</w:t>
      </w:r>
      <w:r w:rsidR="003F3D2B">
        <w:rPr>
          <w:noProof/>
        </w:rPr>
        <w:t> </w:t>
      </w:r>
      <w:r w:rsidR="003F3D2B" w:rsidRPr="00624565">
        <w:rPr>
          <w:noProof/>
        </w:rPr>
        <w:t>Dzi</w:t>
      </w:r>
      <w:r w:rsidRPr="00624565">
        <w:rPr>
          <w:noProof/>
        </w:rPr>
        <w:t>enniku Urzędowym Unii Europejskiej lub</w:t>
      </w:r>
      <w:r w:rsidR="003F3D2B" w:rsidRPr="00624565">
        <w:rPr>
          <w:noProof/>
        </w:rPr>
        <w:t xml:space="preserve"> w</w:t>
      </w:r>
      <w:r w:rsidR="003F3D2B">
        <w:rPr>
          <w:noProof/>
        </w:rPr>
        <w:t> </w:t>
      </w:r>
      <w:r w:rsidR="003F3D2B" w:rsidRPr="00624565">
        <w:rPr>
          <w:noProof/>
        </w:rPr>
        <w:t>póź</w:t>
      </w:r>
      <w:r w:rsidRPr="00624565">
        <w:rPr>
          <w:noProof/>
        </w:rPr>
        <w:t>niejszym terminie określonym</w:t>
      </w:r>
      <w:r w:rsidR="003F3D2B" w:rsidRPr="00624565">
        <w:rPr>
          <w:noProof/>
        </w:rPr>
        <w:t xml:space="preserve"> w</w:t>
      </w:r>
      <w:r w:rsidR="003F3D2B">
        <w:rPr>
          <w:noProof/>
        </w:rPr>
        <w:t> </w:t>
      </w:r>
      <w:r w:rsidR="003F3D2B" w:rsidRPr="00624565">
        <w:rPr>
          <w:noProof/>
        </w:rPr>
        <w:t>tej</w:t>
      </w:r>
      <w:r w:rsidRPr="00624565">
        <w:rPr>
          <w:noProof/>
        </w:rPr>
        <w:t xml:space="preserve"> decyzji. Nie wpływa ona na ważność już obowiązujących aktów delegowanych.</w:t>
      </w:r>
    </w:p>
    <w:p w14:paraId="00085877" w14:textId="16C557DA" w:rsidR="00103250" w:rsidRPr="00624565" w:rsidRDefault="004D161E" w:rsidP="004D161E">
      <w:pPr>
        <w:pStyle w:val="ManualNumPar1"/>
        <w:rPr>
          <w:noProof/>
        </w:rPr>
      </w:pPr>
      <w:r w:rsidRPr="00624565">
        <w:rPr>
          <w:noProof/>
        </w:rPr>
        <w:t>4.</w:t>
      </w:r>
      <w:r w:rsidRPr="00624565">
        <w:rPr>
          <w:noProof/>
        </w:rPr>
        <w:tab/>
        <w:t>Przed przyjęciem aktu delegowanego Komisja konsultuje się</w:t>
      </w:r>
      <w:r w:rsidR="003F3D2B" w:rsidRPr="00624565">
        <w:rPr>
          <w:noProof/>
        </w:rPr>
        <w:t xml:space="preserve"> z</w:t>
      </w:r>
      <w:r w:rsidR="003F3D2B">
        <w:rPr>
          <w:noProof/>
        </w:rPr>
        <w:t> </w:t>
      </w:r>
      <w:r w:rsidR="003F3D2B" w:rsidRPr="00624565">
        <w:rPr>
          <w:noProof/>
        </w:rPr>
        <w:t>eks</w:t>
      </w:r>
      <w:r w:rsidRPr="00624565">
        <w:rPr>
          <w:noProof/>
        </w:rPr>
        <w:t>pertami wyznaczonymi przez każde państwo członkowskie zgodnie</w:t>
      </w:r>
      <w:r w:rsidR="003F3D2B" w:rsidRPr="00624565">
        <w:rPr>
          <w:noProof/>
        </w:rPr>
        <w:t xml:space="preserve"> z</w:t>
      </w:r>
      <w:r w:rsidR="003F3D2B">
        <w:rPr>
          <w:noProof/>
        </w:rPr>
        <w:t> </w:t>
      </w:r>
      <w:r w:rsidR="003F3D2B" w:rsidRPr="00624565">
        <w:rPr>
          <w:noProof/>
        </w:rPr>
        <w:t>zas</w:t>
      </w:r>
      <w:r w:rsidRPr="00624565">
        <w:rPr>
          <w:noProof/>
        </w:rPr>
        <w:t>adami określonymi</w:t>
      </w:r>
      <w:r w:rsidR="003F3D2B" w:rsidRPr="00624565">
        <w:rPr>
          <w:noProof/>
        </w:rPr>
        <w:t xml:space="preserve"> w</w:t>
      </w:r>
      <w:r w:rsidR="003F3D2B">
        <w:rPr>
          <w:noProof/>
        </w:rPr>
        <w:t> </w:t>
      </w:r>
      <w:r w:rsidR="003F3D2B" w:rsidRPr="00624565">
        <w:rPr>
          <w:noProof/>
        </w:rPr>
        <w:t>Por</w:t>
      </w:r>
      <w:r w:rsidRPr="00624565">
        <w:rPr>
          <w:noProof/>
        </w:rPr>
        <w:t>ozumieniu międzyinstytucjonalnym</w:t>
      </w:r>
      <w:r w:rsidR="003F3D2B" w:rsidRPr="00624565">
        <w:rPr>
          <w:noProof/>
        </w:rPr>
        <w:t xml:space="preserve"> z</w:t>
      </w:r>
      <w:r w:rsidR="003F3D2B">
        <w:rPr>
          <w:noProof/>
        </w:rPr>
        <w:t> </w:t>
      </w:r>
      <w:r w:rsidR="003F3D2B" w:rsidRPr="00624565">
        <w:rPr>
          <w:noProof/>
        </w:rPr>
        <w:t>dni</w:t>
      </w:r>
      <w:r w:rsidRPr="00624565">
        <w:rPr>
          <w:noProof/>
        </w:rPr>
        <w:t>a 13 kwietnia 20</w:t>
      </w:r>
      <w:r w:rsidRPr="003F3D2B">
        <w:rPr>
          <w:noProof/>
        </w:rPr>
        <w:t>16</w:t>
      </w:r>
      <w:r w:rsidR="003F3D2B" w:rsidRPr="003F3D2B">
        <w:rPr>
          <w:noProof/>
        </w:rPr>
        <w:t> </w:t>
      </w:r>
      <w:r w:rsidRPr="003F3D2B">
        <w:rPr>
          <w:noProof/>
        </w:rPr>
        <w:t>r.</w:t>
      </w:r>
      <w:r w:rsidR="003F3D2B" w:rsidRPr="00624565">
        <w:rPr>
          <w:noProof/>
        </w:rPr>
        <w:t xml:space="preserve"> w</w:t>
      </w:r>
      <w:r w:rsidR="003F3D2B">
        <w:rPr>
          <w:noProof/>
        </w:rPr>
        <w:t> </w:t>
      </w:r>
      <w:r w:rsidR="003F3D2B" w:rsidRPr="00624565">
        <w:rPr>
          <w:noProof/>
        </w:rPr>
        <w:t>spr</w:t>
      </w:r>
      <w:r w:rsidRPr="00624565">
        <w:rPr>
          <w:noProof/>
        </w:rPr>
        <w:t>awie lepszego stanowienia prawa.</w:t>
      </w:r>
    </w:p>
    <w:p w14:paraId="5B367F22" w14:textId="4CB5505E" w:rsidR="00103250" w:rsidRPr="00624565" w:rsidRDefault="004D161E" w:rsidP="004D161E">
      <w:pPr>
        <w:pStyle w:val="ManualNumPar1"/>
        <w:rPr>
          <w:noProof/>
        </w:rPr>
      </w:pPr>
      <w:r w:rsidRPr="00624565">
        <w:rPr>
          <w:noProof/>
        </w:rPr>
        <w:t>5.</w:t>
      </w:r>
      <w:r w:rsidRPr="00624565">
        <w:rPr>
          <w:noProof/>
        </w:rPr>
        <w:tab/>
        <w:t>Niezwłocznie po przyjęciu aktu delegowanego Komisja przekazuje go równocześnie Parlamentowi Europejskiemu</w:t>
      </w:r>
      <w:r w:rsidR="003F3D2B" w:rsidRPr="00624565">
        <w:rPr>
          <w:noProof/>
        </w:rPr>
        <w:t xml:space="preserve"> i</w:t>
      </w:r>
      <w:r w:rsidR="003F3D2B">
        <w:rPr>
          <w:noProof/>
        </w:rPr>
        <w:t> </w:t>
      </w:r>
      <w:r w:rsidR="003F3D2B" w:rsidRPr="00624565">
        <w:rPr>
          <w:noProof/>
        </w:rPr>
        <w:t>Rad</w:t>
      </w:r>
      <w:r w:rsidRPr="00624565">
        <w:rPr>
          <w:noProof/>
        </w:rPr>
        <w:t xml:space="preserve">zie. Akt delegowany przyjęty na podstawie </w:t>
      </w:r>
      <w:r w:rsidRPr="003F3D2B">
        <w:rPr>
          <w:noProof/>
        </w:rPr>
        <w:t>art.</w:t>
      </w:r>
      <w:r w:rsidR="003F3D2B" w:rsidRPr="003F3D2B">
        <w:rPr>
          <w:noProof/>
        </w:rPr>
        <w:t> </w:t>
      </w:r>
      <w:r w:rsidRPr="003F3D2B">
        <w:rPr>
          <w:noProof/>
        </w:rPr>
        <w:t>3</w:t>
      </w:r>
      <w:r w:rsidRPr="00624565">
        <w:rPr>
          <w:noProof/>
        </w:rPr>
        <w:t xml:space="preserve"> </w:t>
      </w:r>
      <w:r w:rsidRPr="003F3D2B">
        <w:rPr>
          <w:noProof/>
        </w:rPr>
        <w:t>ust.</w:t>
      </w:r>
      <w:r w:rsidR="003F3D2B" w:rsidRPr="003F3D2B">
        <w:rPr>
          <w:noProof/>
        </w:rPr>
        <w:t> </w:t>
      </w:r>
      <w:r w:rsidRPr="003F3D2B">
        <w:rPr>
          <w:noProof/>
        </w:rPr>
        <w:t>4</w:t>
      </w:r>
      <w:r w:rsidR="003F3D2B" w:rsidRPr="00624565">
        <w:rPr>
          <w:noProof/>
        </w:rPr>
        <w:t xml:space="preserve"> i</w:t>
      </w:r>
      <w:r w:rsidR="003F3D2B">
        <w:rPr>
          <w:noProof/>
        </w:rPr>
        <w:t> </w:t>
      </w:r>
      <w:r w:rsidR="003F3D2B" w:rsidRPr="003F3D2B">
        <w:rPr>
          <w:noProof/>
        </w:rPr>
        <w:t>art</w:t>
      </w:r>
      <w:r w:rsidRPr="003F3D2B">
        <w:rPr>
          <w:noProof/>
        </w:rPr>
        <w:t>.</w:t>
      </w:r>
      <w:r w:rsidR="003F3D2B" w:rsidRPr="003F3D2B">
        <w:rPr>
          <w:noProof/>
        </w:rPr>
        <w:t> </w:t>
      </w:r>
      <w:r w:rsidRPr="003F3D2B">
        <w:rPr>
          <w:noProof/>
        </w:rPr>
        <w:t>5</w:t>
      </w:r>
      <w:r w:rsidRPr="00624565">
        <w:rPr>
          <w:noProof/>
        </w:rPr>
        <w:t xml:space="preserve"> </w:t>
      </w:r>
      <w:r w:rsidRPr="003F3D2B">
        <w:rPr>
          <w:noProof/>
        </w:rPr>
        <w:t>ust.</w:t>
      </w:r>
      <w:r w:rsidR="003F3D2B" w:rsidRPr="003F3D2B">
        <w:rPr>
          <w:noProof/>
        </w:rPr>
        <w:t> </w:t>
      </w:r>
      <w:r w:rsidRPr="003F3D2B">
        <w:rPr>
          <w:noProof/>
        </w:rPr>
        <w:t>8</w:t>
      </w:r>
      <w:r w:rsidRPr="00624565">
        <w:rPr>
          <w:noProof/>
        </w:rPr>
        <w:t xml:space="preserve"> wchodzi</w:t>
      </w:r>
      <w:r w:rsidR="003F3D2B" w:rsidRPr="00624565">
        <w:rPr>
          <w:noProof/>
        </w:rPr>
        <w:t xml:space="preserve"> w</w:t>
      </w:r>
      <w:r w:rsidR="003F3D2B">
        <w:rPr>
          <w:noProof/>
        </w:rPr>
        <w:t> </w:t>
      </w:r>
      <w:r w:rsidR="003F3D2B" w:rsidRPr="00624565">
        <w:rPr>
          <w:noProof/>
        </w:rPr>
        <w:t>życ</w:t>
      </w:r>
      <w:r w:rsidRPr="00624565">
        <w:rPr>
          <w:noProof/>
        </w:rPr>
        <w:t>ie tylko wówczas, gdy ani Parlament Europejski, ani Rada nie wyraziły sprzeciwu</w:t>
      </w:r>
      <w:r w:rsidR="003F3D2B" w:rsidRPr="00624565">
        <w:rPr>
          <w:noProof/>
        </w:rPr>
        <w:t xml:space="preserve"> w</w:t>
      </w:r>
      <w:r w:rsidR="003F3D2B">
        <w:rPr>
          <w:noProof/>
        </w:rPr>
        <w:t> </w:t>
      </w:r>
      <w:r w:rsidR="003F3D2B" w:rsidRPr="00624565">
        <w:rPr>
          <w:noProof/>
        </w:rPr>
        <w:t>ter</w:t>
      </w:r>
      <w:r w:rsidRPr="00624565">
        <w:rPr>
          <w:noProof/>
        </w:rPr>
        <w:t>minie [dwóch miesięcy] od przekazania tego aktu Parlamentowi Europejskiemu</w:t>
      </w:r>
      <w:r w:rsidR="003F3D2B" w:rsidRPr="00624565">
        <w:rPr>
          <w:noProof/>
        </w:rPr>
        <w:t xml:space="preserve"> i</w:t>
      </w:r>
      <w:r w:rsidR="003F3D2B">
        <w:rPr>
          <w:noProof/>
        </w:rPr>
        <w:t> </w:t>
      </w:r>
      <w:r w:rsidR="003F3D2B" w:rsidRPr="00624565">
        <w:rPr>
          <w:noProof/>
        </w:rPr>
        <w:t>Rad</w:t>
      </w:r>
      <w:r w:rsidRPr="00624565">
        <w:rPr>
          <w:noProof/>
        </w:rPr>
        <w:t>zie, lub gdy, przed upływem tego terminu, zarówno Parlament Europejski, jak</w:t>
      </w:r>
      <w:r w:rsidR="003F3D2B" w:rsidRPr="00624565">
        <w:rPr>
          <w:noProof/>
        </w:rPr>
        <w:t xml:space="preserve"> i</w:t>
      </w:r>
      <w:r w:rsidR="003F3D2B">
        <w:rPr>
          <w:noProof/>
        </w:rPr>
        <w:t> </w:t>
      </w:r>
      <w:r w:rsidR="003F3D2B" w:rsidRPr="00624565">
        <w:rPr>
          <w:noProof/>
        </w:rPr>
        <w:t>Rad</w:t>
      </w:r>
      <w:r w:rsidRPr="00624565">
        <w:rPr>
          <w:noProof/>
        </w:rPr>
        <w:t>a poinformowały Komisję, że nie wniosą sprzeciwu. Termin ten przedłuża się o [dwa miesiące]</w:t>
      </w:r>
      <w:r w:rsidR="003F3D2B" w:rsidRPr="00624565">
        <w:rPr>
          <w:noProof/>
        </w:rPr>
        <w:t xml:space="preserve"> z</w:t>
      </w:r>
      <w:r w:rsidR="003F3D2B">
        <w:rPr>
          <w:noProof/>
        </w:rPr>
        <w:t> </w:t>
      </w:r>
      <w:r w:rsidR="003F3D2B" w:rsidRPr="00624565">
        <w:rPr>
          <w:noProof/>
        </w:rPr>
        <w:t>ini</w:t>
      </w:r>
      <w:r w:rsidRPr="00624565">
        <w:rPr>
          <w:noProof/>
        </w:rPr>
        <w:t>cjatywy Parlamentu Europejskiego lub Rady.</w:t>
      </w:r>
    </w:p>
    <w:p w14:paraId="54B81424" w14:textId="77777777" w:rsidR="00103250" w:rsidRPr="00624565" w:rsidRDefault="00103250" w:rsidP="00103250">
      <w:pPr>
        <w:pStyle w:val="Titrearticle"/>
        <w:keepNext w:val="0"/>
        <w:rPr>
          <w:noProof/>
        </w:rPr>
      </w:pPr>
      <w:r w:rsidRPr="00624565">
        <w:rPr>
          <w:noProof/>
        </w:rPr>
        <w:t>Artykuł 19</w:t>
      </w:r>
    </w:p>
    <w:p w14:paraId="34E999EC" w14:textId="77777777" w:rsidR="00103250" w:rsidRPr="00624565" w:rsidRDefault="00103250" w:rsidP="00103250">
      <w:pPr>
        <w:pStyle w:val="Titrearticle"/>
        <w:keepNext w:val="0"/>
        <w:rPr>
          <w:noProof/>
        </w:rPr>
      </w:pPr>
      <w:r w:rsidRPr="00624565">
        <w:rPr>
          <w:noProof/>
        </w:rPr>
        <w:t xml:space="preserve">Procedura komitetowa </w:t>
      </w:r>
    </w:p>
    <w:p w14:paraId="00C2BB58" w14:textId="2FE58B5F" w:rsidR="00103250" w:rsidRPr="00624565" w:rsidRDefault="004D161E" w:rsidP="004D161E">
      <w:pPr>
        <w:pStyle w:val="ManualNumPar1"/>
        <w:rPr>
          <w:noProof/>
        </w:rPr>
      </w:pPr>
      <w:r w:rsidRPr="00624565">
        <w:rPr>
          <w:noProof/>
        </w:rPr>
        <w:t>1.</w:t>
      </w:r>
      <w:r w:rsidRPr="00624565">
        <w:rPr>
          <w:noProof/>
        </w:rPr>
        <w:tab/>
        <w:t>Komisję wspomaga komitet. Komitet ten jest komitetem</w:t>
      </w:r>
      <w:r w:rsidR="003F3D2B" w:rsidRPr="00624565">
        <w:rPr>
          <w:noProof/>
        </w:rPr>
        <w:t xml:space="preserve"> w</w:t>
      </w:r>
      <w:r w:rsidR="003F3D2B">
        <w:rPr>
          <w:noProof/>
        </w:rPr>
        <w:t> </w:t>
      </w:r>
      <w:r w:rsidR="003F3D2B" w:rsidRPr="00624565">
        <w:rPr>
          <w:noProof/>
        </w:rPr>
        <w:t>roz</w:t>
      </w:r>
      <w:r w:rsidRPr="00624565">
        <w:rPr>
          <w:noProof/>
        </w:rPr>
        <w:t xml:space="preserve">umieniu rozporządzenia (UE) </w:t>
      </w:r>
      <w:r w:rsidRPr="003F3D2B">
        <w:rPr>
          <w:noProof/>
        </w:rPr>
        <w:t>nr</w:t>
      </w:r>
      <w:r w:rsidR="003F3D2B" w:rsidRPr="003F3D2B">
        <w:rPr>
          <w:noProof/>
        </w:rPr>
        <w:t> </w:t>
      </w:r>
      <w:r w:rsidRPr="003F3D2B">
        <w:rPr>
          <w:noProof/>
        </w:rPr>
        <w:t>1</w:t>
      </w:r>
      <w:r w:rsidRPr="00624565">
        <w:rPr>
          <w:noProof/>
        </w:rPr>
        <w:t xml:space="preserve">82/2011. </w:t>
      </w:r>
    </w:p>
    <w:p w14:paraId="4999D2D2" w14:textId="1D092D17" w:rsidR="00103250" w:rsidRPr="00624565" w:rsidRDefault="004D161E" w:rsidP="004D161E">
      <w:pPr>
        <w:pStyle w:val="ManualNumPar1"/>
        <w:rPr>
          <w:noProof/>
        </w:rPr>
      </w:pPr>
      <w:r w:rsidRPr="00624565">
        <w:rPr>
          <w:noProof/>
        </w:rPr>
        <w:t>2.</w:t>
      </w:r>
      <w:r w:rsidRPr="00624565">
        <w:rPr>
          <w:noProof/>
        </w:rPr>
        <w:tab/>
        <w:t xml:space="preserve">W przypadku odesłania do niniejszego ustępu stosuje się </w:t>
      </w:r>
      <w:r w:rsidRPr="003F3D2B">
        <w:rPr>
          <w:noProof/>
        </w:rPr>
        <w:t>art.</w:t>
      </w:r>
      <w:r w:rsidR="003F3D2B" w:rsidRPr="003F3D2B">
        <w:rPr>
          <w:noProof/>
        </w:rPr>
        <w:t> </w:t>
      </w:r>
      <w:r w:rsidRPr="003F3D2B">
        <w:rPr>
          <w:noProof/>
        </w:rPr>
        <w:t>5</w:t>
      </w:r>
      <w:r w:rsidRPr="00624565">
        <w:rPr>
          <w:noProof/>
        </w:rPr>
        <w:t xml:space="preserve"> </w:t>
      </w:r>
      <w:r w:rsidRPr="003F3D2B">
        <w:rPr>
          <w:noProof/>
        </w:rPr>
        <w:t>ust.</w:t>
      </w:r>
      <w:r w:rsidR="003F3D2B" w:rsidRPr="003F3D2B">
        <w:rPr>
          <w:noProof/>
        </w:rPr>
        <w:t> </w:t>
      </w:r>
      <w:r w:rsidRPr="003F3D2B">
        <w:rPr>
          <w:noProof/>
        </w:rPr>
        <w:t>4</w:t>
      </w:r>
      <w:r w:rsidRPr="00624565">
        <w:rPr>
          <w:noProof/>
        </w:rPr>
        <w:t xml:space="preserve"> akapit trzeci rozporządzenia (UE) </w:t>
      </w:r>
      <w:r w:rsidRPr="003F3D2B">
        <w:rPr>
          <w:noProof/>
        </w:rPr>
        <w:t>nr</w:t>
      </w:r>
      <w:r w:rsidR="003F3D2B" w:rsidRPr="003F3D2B">
        <w:rPr>
          <w:noProof/>
        </w:rPr>
        <w:t> </w:t>
      </w:r>
      <w:r w:rsidRPr="003F3D2B">
        <w:rPr>
          <w:noProof/>
        </w:rPr>
        <w:t>1</w:t>
      </w:r>
      <w:r w:rsidRPr="00624565">
        <w:rPr>
          <w:noProof/>
        </w:rPr>
        <w:t>82/2011.</w:t>
      </w:r>
    </w:p>
    <w:p w14:paraId="2D399071" w14:textId="77777777" w:rsidR="00A56C69" w:rsidRPr="00624565" w:rsidRDefault="00A56C69" w:rsidP="00A56C69">
      <w:pPr>
        <w:pStyle w:val="Titrearticle"/>
        <w:keepNext w:val="0"/>
        <w:rPr>
          <w:noProof/>
        </w:rPr>
      </w:pPr>
      <w:r w:rsidRPr="00624565">
        <w:rPr>
          <w:noProof/>
        </w:rPr>
        <w:t>Artykuł 20</w:t>
      </w:r>
    </w:p>
    <w:p w14:paraId="14670F4D" w14:textId="77777777" w:rsidR="00A56C69" w:rsidRPr="00624565" w:rsidRDefault="00A56C69" w:rsidP="00A56C69">
      <w:pPr>
        <w:pStyle w:val="Titrearticle"/>
        <w:keepNext w:val="0"/>
        <w:rPr>
          <w:noProof/>
        </w:rPr>
      </w:pPr>
      <w:r w:rsidRPr="00624565">
        <w:rPr>
          <w:noProof/>
        </w:rPr>
        <w:t>Monitorowanie</w:t>
      </w:r>
    </w:p>
    <w:p w14:paraId="50C2C50E" w14:textId="26E74B71" w:rsidR="00A56C69" w:rsidRPr="00624565" w:rsidRDefault="004D161E" w:rsidP="004D161E">
      <w:pPr>
        <w:pStyle w:val="ManualNumPar1"/>
        <w:rPr>
          <w:noProof/>
        </w:rPr>
      </w:pPr>
      <w:r w:rsidRPr="00624565">
        <w:rPr>
          <w:noProof/>
        </w:rPr>
        <w:t>1.</w:t>
      </w:r>
      <w:r w:rsidRPr="00624565">
        <w:rPr>
          <w:noProof/>
        </w:rPr>
        <w:tab/>
        <w:t>Państwa członkowskie regularnie monitorują stosowanie niniejszej dyrektywy na podstawie:</w:t>
      </w:r>
    </w:p>
    <w:p w14:paraId="5B0E79E2" w14:textId="492F0B05" w:rsidR="00A56C69" w:rsidRPr="00624565" w:rsidRDefault="004D161E" w:rsidP="004D161E">
      <w:pPr>
        <w:pStyle w:val="Point1"/>
        <w:rPr>
          <w:noProof/>
        </w:rPr>
      </w:pPr>
      <w:r w:rsidRPr="00624565">
        <w:rPr>
          <w:noProof/>
        </w:rPr>
        <w:t>a)</w:t>
      </w:r>
      <w:r w:rsidRPr="00624565">
        <w:rPr>
          <w:noProof/>
        </w:rPr>
        <w:tab/>
        <w:t>przeglądu rodzajów wyraźnych oświadczeń środowiskowych</w:t>
      </w:r>
      <w:r w:rsidR="003F3D2B" w:rsidRPr="00624565">
        <w:rPr>
          <w:noProof/>
        </w:rPr>
        <w:t xml:space="preserve"> i</w:t>
      </w:r>
      <w:r w:rsidR="003F3D2B">
        <w:rPr>
          <w:noProof/>
        </w:rPr>
        <w:t> </w:t>
      </w:r>
      <w:r w:rsidR="003F3D2B" w:rsidRPr="00624565">
        <w:rPr>
          <w:noProof/>
        </w:rPr>
        <w:t>sys</w:t>
      </w:r>
      <w:r w:rsidRPr="00624565">
        <w:rPr>
          <w:noProof/>
        </w:rPr>
        <w:t>temów oznakowania ekologicznego, które były przedmiotem uzasadnionych skarg zgodnie</w:t>
      </w:r>
      <w:r w:rsidR="003F3D2B" w:rsidRPr="00624565">
        <w:rPr>
          <w:noProof/>
        </w:rPr>
        <w:t xml:space="preserve"> z</w:t>
      </w:r>
      <w:r w:rsidR="003F3D2B">
        <w:rPr>
          <w:noProof/>
        </w:rPr>
        <w:t> </w:t>
      </w:r>
      <w:r w:rsidR="003F3D2B" w:rsidRPr="003F3D2B">
        <w:rPr>
          <w:noProof/>
        </w:rPr>
        <w:t>art</w:t>
      </w:r>
      <w:r w:rsidRPr="003F3D2B">
        <w:rPr>
          <w:noProof/>
        </w:rPr>
        <w:t>.</w:t>
      </w:r>
      <w:r w:rsidR="003F3D2B" w:rsidRPr="003F3D2B">
        <w:rPr>
          <w:noProof/>
        </w:rPr>
        <w:t> </w:t>
      </w:r>
      <w:r w:rsidRPr="003F3D2B">
        <w:rPr>
          <w:noProof/>
        </w:rPr>
        <w:t>1</w:t>
      </w:r>
      <w:r w:rsidRPr="00624565">
        <w:rPr>
          <w:noProof/>
        </w:rPr>
        <w:t>6;</w:t>
      </w:r>
    </w:p>
    <w:p w14:paraId="5566BE19" w14:textId="7D5AA4D9" w:rsidR="00A56C69" w:rsidRPr="00624565" w:rsidRDefault="004D161E" w:rsidP="004D161E">
      <w:pPr>
        <w:pStyle w:val="Point1"/>
        <w:rPr>
          <w:noProof/>
        </w:rPr>
      </w:pPr>
      <w:r w:rsidRPr="00624565">
        <w:rPr>
          <w:noProof/>
        </w:rPr>
        <w:t>b)</w:t>
      </w:r>
      <w:r w:rsidRPr="00624565">
        <w:rPr>
          <w:noProof/>
        </w:rPr>
        <w:tab/>
        <w:t>przeglądu wyraźnych oświadczeń środowiskowych</w:t>
      </w:r>
      <w:r w:rsidR="003F3D2B" w:rsidRPr="00624565">
        <w:rPr>
          <w:noProof/>
        </w:rPr>
        <w:t xml:space="preserve"> i</w:t>
      </w:r>
      <w:r w:rsidR="003F3D2B">
        <w:rPr>
          <w:noProof/>
        </w:rPr>
        <w:t> </w:t>
      </w:r>
      <w:r w:rsidR="003F3D2B" w:rsidRPr="00624565">
        <w:rPr>
          <w:noProof/>
        </w:rPr>
        <w:t>sys</w:t>
      </w:r>
      <w:r w:rsidRPr="00624565">
        <w:rPr>
          <w:noProof/>
        </w:rPr>
        <w:t>temów oznakowania ekologicznego,</w:t>
      </w:r>
      <w:r w:rsidR="003F3D2B" w:rsidRPr="00624565">
        <w:rPr>
          <w:noProof/>
        </w:rPr>
        <w:t xml:space="preserve"> w</w:t>
      </w:r>
      <w:r w:rsidR="003F3D2B">
        <w:rPr>
          <w:noProof/>
        </w:rPr>
        <w:t> </w:t>
      </w:r>
      <w:r w:rsidR="003F3D2B" w:rsidRPr="00624565">
        <w:rPr>
          <w:noProof/>
        </w:rPr>
        <w:t>odn</w:t>
      </w:r>
      <w:r w:rsidRPr="00624565">
        <w:rPr>
          <w:noProof/>
        </w:rPr>
        <w:t>iesieniu do których właściwe organy zażądały od przedsiębiorcy podjęcia działań naprawczych zgodnie</w:t>
      </w:r>
      <w:r w:rsidR="003F3D2B" w:rsidRPr="00624565">
        <w:rPr>
          <w:noProof/>
        </w:rPr>
        <w:t xml:space="preserve"> z</w:t>
      </w:r>
      <w:r w:rsidR="003F3D2B">
        <w:rPr>
          <w:noProof/>
        </w:rPr>
        <w:t> </w:t>
      </w:r>
      <w:r w:rsidR="003F3D2B" w:rsidRPr="003F3D2B">
        <w:rPr>
          <w:noProof/>
        </w:rPr>
        <w:t>art</w:t>
      </w:r>
      <w:r w:rsidRPr="003F3D2B">
        <w:rPr>
          <w:noProof/>
        </w:rPr>
        <w:t>.</w:t>
      </w:r>
      <w:r w:rsidR="003F3D2B" w:rsidRPr="003F3D2B">
        <w:rPr>
          <w:noProof/>
        </w:rPr>
        <w:t> </w:t>
      </w:r>
      <w:r w:rsidRPr="003F3D2B">
        <w:rPr>
          <w:noProof/>
        </w:rPr>
        <w:t>1</w:t>
      </w:r>
      <w:r w:rsidRPr="00624565">
        <w:rPr>
          <w:noProof/>
        </w:rPr>
        <w:t>5, lub nałożyły sankcje zgodnie</w:t>
      </w:r>
      <w:r w:rsidR="003F3D2B" w:rsidRPr="00624565">
        <w:rPr>
          <w:noProof/>
        </w:rPr>
        <w:t xml:space="preserve"> z</w:t>
      </w:r>
      <w:r w:rsidR="003F3D2B">
        <w:rPr>
          <w:noProof/>
        </w:rPr>
        <w:t> </w:t>
      </w:r>
      <w:r w:rsidR="003F3D2B" w:rsidRPr="003F3D2B">
        <w:rPr>
          <w:noProof/>
        </w:rPr>
        <w:t>art</w:t>
      </w:r>
      <w:r w:rsidRPr="003F3D2B">
        <w:rPr>
          <w:noProof/>
        </w:rPr>
        <w:t>.</w:t>
      </w:r>
      <w:r w:rsidR="003F3D2B" w:rsidRPr="003F3D2B">
        <w:rPr>
          <w:noProof/>
        </w:rPr>
        <w:t> </w:t>
      </w:r>
      <w:r w:rsidRPr="003F3D2B">
        <w:rPr>
          <w:noProof/>
        </w:rPr>
        <w:t>1</w:t>
      </w:r>
      <w:r w:rsidRPr="00624565">
        <w:rPr>
          <w:noProof/>
        </w:rPr>
        <w:t>7.</w:t>
      </w:r>
    </w:p>
    <w:p w14:paraId="6197AD9B" w14:textId="4DDC6B1C" w:rsidR="00A56C69" w:rsidRPr="00624565" w:rsidRDefault="004D161E" w:rsidP="004D161E">
      <w:pPr>
        <w:pStyle w:val="ManualNumPar1"/>
        <w:rPr>
          <w:noProof/>
        </w:rPr>
      </w:pPr>
      <w:r w:rsidRPr="00624565">
        <w:rPr>
          <w:noProof/>
        </w:rPr>
        <w:t>2.</w:t>
      </w:r>
      <w:r w:rsidRPr="00624565">
        <w:rPr>
          <w:noProof/>
        </w:rPr>
        <w:tab/>
        <w:t>Informacje,</w:t>
      </w:r>
      <w:r w:rsidR="003F3D2B" w:rsidRPr="00624565">
        <w:rPr>
          <w:noProof/>
        </w:rPr>
        <w:t xml:space="preserve"> o</w:t>
      </w:r>
      <w:r w:rsidR="003F3D2B">
        <w:rPr>
          <w:noProof/>
        </w:rPr>
        <w:t> </w:t>
      </w:r>
      <w:r w:rsidR="003F3D2B" w:rsidRPr="00624565">
        <w:rPr>
          <w:noProof/>
        </w:rPr>
        <w:t>któ</w:t>
      </w:r>
      <w:r w:rsidRPr="00624565">
        <w:rPr>
          <w:noProof/>
        </w:rPr>
        <w:t>rych mowa</w:t>
      </w:r>
      <w:r w:rsidR="003F3D2B" w:rsidRPr="00624565">
        <w:rPr>
          <w:noProof/>
        </w:rPr>
        <w:t xml:space="preserve"> w</w:t>
      </w:r>
      <w:r w:rsidR="003F3D2B">
        <w:rPr>
          <w:noProof/>
        </w:rPr>
        <w:t> </w:t>
      </w:r>
      <w:r w:rsidR="003F3D2B" w:rsidRPr="003F3D2B">
        <w:rPr>
          <w:noProof/>
        </w:rPr>
        <w:t>ust</w:t>
      </w:r>
      <w:r w:rsidRPr="003F3D2B">
        <w:rPr>
          <w:noProof/>
        </w:rPr>
        <w:t>.</w:t>
      </w:r>
      <w:r w:rsidR="003F3D2B" w:rsidRPr="003F3D2B">
        <w:rPr>
          <w:noProof/>
        </w:rPr>
        <w:t> </w:t>
      </w:r>
      <w:r w:rsidRPr="003F3D2B">
        <w:rPr>
          <w:noProof/>
        </w:rPr>
        <w:t>1</w:t>
      </w:r>
      <w:r w:rsidRPr="00624565">
        <w:rPr>
          <w:noProof/>
        </w:rPr>
        <w:t>, określają wyraźne oświadczenie środowiskowe lub system oznakowania ekologicznego, charakter domniemanego naruszenia, charakter</w:t>
      </w:r>
      <w:r w:rsidR="003F3D2B" w:rsidRPr="00624565">
        <w:rPr>
          <w:noProof/>
        </w:rPr>
        <w:t xml:space="preserve"> i</w:t>
      </w:r>
      <w:r w:rsidR="003F3D2B">
        <w:rPr>
          <w:noProof/>
        </w:rPr>
        <w:t> </w:t>
      </w:r>
      <w:r w:rsidR="003F3D2B" w:rsidRPr="00624565">
        <w:rPr>
          <w:noProof/>
        </w:rPr>
        <w:t>cza</w:t>
      </w:r>
      <w:r w:rsidRPr="00624565">
        <w:rPr>
          <w:noProof/>
        </w:rPr>
        <w:t>s trwania działań naprawczych oraz,</w:t>
      </w:r>
      <w:r w:rsidR="003F3D2B" w:rsidRPr="00624565">
        <w:rPr>
          <w:noProof/>
        </w:rPr>
        <w:t xml:space="preserve"> w</w:t>
      </w:r>
      <w:r w:rsidR="003F3D2B">
        <w:rPr>
          <w:noProof/>
        </w:rPr>
        <w:t> </w:t>
      </w:r>
      <w:r w:rsidR="003F3D2B" w:rsidRPr="00624565">
        <w:rPr>
          <w:noProof/>
        </w:rPr>
        <w:t>sto</w:t>
      </w:r>
      <w:r w:rsidRPr="00624565">
        <w:rPr>
          <w:noProof/>
        </w:rPr>
        <w:t>sownych przypadkach, nałożoną sankcję.</w:t>
      </w:r>
    </w:p>
    <w:p w14:paraId="12EBFC10" w14:textId="5895E58F" w:rsidR="00A56C69" w:rsidRPr="00624565" w:rsidRDefault="004D161E" w:rsidP="004D161E">
      <w:pPr>
        <w:pStyle w:val="ManualNumPar1"/>
        <w:rPr>
          <w:noProof/>
        </w:rPr>
      </w:pPr>
      <w:r w:rsidRPr="00624565">
        <w:rPr>
          <w:noProof/>
        </w:rPr>
        <w:t>3.</w:t>
      </w:r>
      <w:r w:rsidRPr="00624565">
        <w:rPr>
          <w:noProof/>
        </w:rPr>
        <w:tab/>
        <w:t>Państwa członkowskie raz</w:t>
      </w:r>
      <w:r w:rsidR="003F3D2B" w:rsidRPr="00624565">
        <w:rPr>
          <w:noProof/>
        </w:rPr>
        <w:t xml:space="preserve"> w</w:t>
      </w:r>
      <w:r w:rsidR="003F3D2B">
        <w:rPr>
          <w:noProof/>
        </w:rPr>
        <w:t> </w:t>
      </w:r>
      <w:r w:rsidR="003F3D2B" w:rsidRPr="00624565">
        <w:rPr>
          <w:noProof/>
        </w:rPr>
        <w:t>rok</w:t>
      </w:r>
      <w:r w:rsidRPr="00624565">
        <w:rPr>
          <w:noProof/>
        </w:rPr>
        <w:t>u przekazują Komisji informacje,</w:t>
      </w:r>
      <w:r w:rsidR="003F3D2B" w:rsidRPr="00624565">
        <w:rPr>
          <w:noProof/>
        </w:rPr>
        <w:t xml:space="preserve"> o</w:t>
      </w:r>
      <w:r w:rsidR="003F3D2B">
        <w:rPr>
          <w:noProof/>
        </w:rPr>
        <w:t> </w:t>
      </w:r>
      <w:r w:rsidR="003F3D2B" w:rsidRPr="00624565">
        <w:rPr>
          <w:noProof/>
        </w:rPr>
        <w:t>któ</w:t>
      </w:r>
      <w:r w:rsidRPr="00624565">
        <w:rPr>
          <w:noProof/>
        </w:rPr>
        <w:t>rych mowa</w:t>
      </w:r>
      <w:r w:rsidR="003F3D2B" w:rsidRPr="00624565">
        <w:rPr>
          <w:noProof/>
        </w:rPr>
        <w:t xml:space="preserve"> w</w:t>
      </w:r>
      <w:r w:rsidR="003F3D2B">
        <w:rPr>
          <w:noProof/>
        </w:rPr>
        <w:t> </w:t>
      </w:r>
      <w:r w:rsidR="003F3D2B" w:rsidRPr="003F3D2B">
        <w:rPr>
          <w:noProof/>
        </w:rPr>
        <w:t>ust</w:t>
      </w:r>
      <w:r w:rsidRPr="003F3D2B">
        <w:rPr>
          <w:noProof/>
        </w:rPr>
        <w:t>.</w:t>
      </w:r>
      <w:r w:rsidR="003F3D2B" w:rsidRPr="003F3D2B">
        <w:rPr>
          <w:noProof/>
        </w:rPr>
        <w:t> </w:t>
      </w:r>
      <w:r w:rsidRPr="003F3D2B">
        <w:rPr>
          <w:noProof/>
        </w:rPr>
        <w:t>1</w:t>
      </w:r>
      <w:r w:rsidRPr="00624565">
        <w:rPr>
          <w:noProof/>
        </w:rPr>
        <w:t xml:space="preserve">. </w:t>
      </w:r>
    </w:p>
    <w:p w14:paraId="0231A2BF" w14:textId="02D7570E" w:rsidR="00A56C69" w:rsidRPr="00624565" w:rsidRDefault="004D161E" w:rsidP="004D161E">
      <w:pPr>
        <w:pStyle w:val="ManualNumPar1"/>
        <w:rPr>
          <w:noProof/>
        </w:rPr>
      </w:pPr>
      <w:r w:rsidRPr="00624565">
        <w:rPr>
          <w:noProof/>
        </w:rPr>
        <w:t>4.</w:t>
      </w:r>
      <w:r w:rsidRPr="00624565">
        <w:rPr>
          <w:noProof/>
        </w:rPr>
        <w:tab/>
        <w:t>Na podstawie informacji zgromadzonych zgodnie</w:t>
      </w:r>
      <w:r w:rsidR="003F3D2B" w:rsidRPr="00624565">
        <w:rPr>
          <w:noProof/>
        </w:rPr>
        <w:t xml:space="preserve"> z</w:t>
      </w:r>
      <w:r w:rsidR="003F3D2B">
        <w:rPr>
          <w:noProof/>
        </w:rPr>
        <w:t> </w:t>
      </w:r>
      <w:r w:rsidR="003F3D2B" w:rsidRPr="003F3D2B">
        <w:rPr>
          <w:noProof/>
        </w:rPr>
        <w:t>ust</w:t>
      </w:r>
      <w:r w:rsidRPr="003F3D2B">
        <w:rPr>
          <w:noProof/>
        </w:rPr>
        <w:t>.</w:t>
      </w:r>
      <w:r w:rsidR="003F3D2B" w:rsidRPr="003F3D2B">
        <w:rPr>
          <w:noProof/>
        </w:rPr>
        <w:t> </w:t>
      </w:r>
      <w:r w:rsidRPr="003F3D2B">
        <w:rPr>
          <w:noProof/>
        </w:rPr>
        <w:t>3</w:t>
      </w:r>
      <w:r w:rsidRPr="00624565">
        <w:rPr>
          <w:noProof/>
        </w:rPr>
        <w:t xml:space="preserve"> oraz informacji udostępnionych przez państwa członkowskie zgodnie</w:t>
      </w:r>
      <w:r w:rsidR="003F3D2B" w:rsidRPr="00624565">
        <w:rPr>
          <w:noProof/>
        </w:rPr>
        <w:t xml:space="preserve"> z</w:t>
      </w:r>
      <w:r w:rsidR="003F3D2B">
        <w:rPr>
          <w:noProof/>
        </w:rPr>
        <w:t> </w:t>
      </w:r>
      <w:r w:rsidR="003F3D2B" w:rsidRPr="003F3D2B">
        <w:rPr>
          <w:noProof/>
        </w:rPr>
        <w:t>art</w:t>
      </w:r>
      <w:r w:rsidRPr="003F3D2B">
        <w:rPr>
          <w:noProof/>
        </w:rPr>
        <w:t>.</w:t>
      </w:r>
      <w:r w:rsidR="003F3D2B" w:rsidRPr="003F3D2B">
        <w:rPr>
          <w:noProof/>
        </w:rPr>
        <w:t> </w:t>
      </w:r>
      <w:r w:rsidRPr="003F3D2B">
        <w:rPr>
          <w:noProof/>
        </w:rPr>
        <w:t>1</w:t>
      </w:r>
      <w:r w:rsidRPr="00624565">
        <w:rPr>
          <w:noProof/>
        </w:rPr>
        <w:t xml:space="preserve">5 </w:t>
      </w:r>
      <w:r w:rsidRPr="003F3D2B">
        <w:rPr>
          <w:noProof/>
        </w:rPr>
        <w:t>ust.</w:t>
      </w:r>
      <w:r w:rsidR="003F3D2B" w:rsidRPr="003F3D2B">
        <w:rPr>
          <w:noProof/>
        </w:rPr>
        <w:t> </w:t>
      </w:r>
      <w:r w:rsidRPr="003F3D2B">
        <w:rPr>
          <w:noProof/>
        </w:rPr>
        <w:t>1</w:t>
      </w:r>
      <w:r w:rsidRPr="00624565">
        <w:rPr>
          <w:noProof/>
        </w:rPr>
        <w:t xml:space="preserve"> oraz –</w:t>
      </w:r>
      <w:r w:rsidR="003F3D2B" w:rsidRPr="00624565">
        <w:rPr>
          <w:noProof/>
        </w:rPr>
        <w:t xml:space="preserve"> w</w:t>
      </w:r>
      <w:r w:rsidR="003F3D2B">
        <w:rPr>
          <w:noProof/>
        </w:rPr>
        <w:t> </w:t>
      </w:r>
      <w:r w:rsidR="003F3D2B" w:rsidRPr="00624565">
        <w:rPr>
          <w:noProof/>
        </w:rPr>
        <w:t>sto</w:t>
      </w:r>
      <w:r w:rsidRPr="00624565">
        <w:rPr>
          <w:noProof/>
        </w:rPr>
        <w:t>sownych przypadkach – na podstawie dodatkowych konsultacji</w:t>
      </w:r>
      <w:r w:rsidR="003F3D2B" w:rsidRPr="00624565">
        <w:rPr>
          <w:noProof/>
        </w:rPr>
        <w:t xml:space="preserve"> z</w:t>
      </w:r>
      <w:r w:rsidR="003F3D2B">
        <w:rPr>
          <w:noProof/>
        </w:rPr>
        <w:t> </w:t>
      </w:r>
      <w:r w:rsidR="003F3D2B" w:rsidRPr="00624565">
        <w:rPr>
          <w:noProof/>
        </w:rPr>
        <w:t>wła</w:t>
      </w:r>
      <w:r w:rsidRPr="00624565">
        <w:rPr>
          <w:noProof/>
        </w:rPr>
        <w:t>ściwymi organami, Europejska Agencja Środowiska publikuje co dwa lata sprawozdanie zawierające ocenę zmian wyraźnych oświadczeń środowiskowych</w:t>
      </w:r>
      <w:r w:rsidR="003F3D2B" w:rsidRPr="00624565">
        <w:rPr>
          <w:noProof/>
        </w:rPr>
        <w:t xml:space="preserve"> i</w:t>
      </w:r>
      <w:r w:rsidR="003F3D2B">
        <w:rPr>
          <w:noProof/>
        </w:rPr>
        <w:t> </w:t>
      </w:r>
      <w:r w:rsidR="003F3D2B" w:rsidRPr="00624565">
        <w:rPr>
          <w:noProof/>
        </w:rPr>
        <w:t>sys</w:t>
      </w:r>
      <w:r w:rsidRPr="00624565">
        <w:rPr>
          <w:noProof/>
        </w:rPr>
        <w:t>temów oznakowania ekologicznego</w:t>
      </w:r>
      <w:r w:rsidR="003F3D2B" w:rsidRPr="00624565">
        <w:rPr>
          <w:noProof/>
        </w:rPr>
        <w:t xml:space="preserve"> w</w:t>
      </w:r>
      <w:r w:rsidR="003F3D2B">
        <w:rPr>
          <w:noProof/>
        </w:rPr>
        <w:t> </w:t>
      </w:r>
      <w:r w:rsidR="003F3D2B" w:rsidRPr="00624565">
        <w:rPr>
          <w:noProof/>
        </w:rPr>
        <w:t>każ</w:t>
      </w:r>
      <w:r w:rsidRPr="00624565">
        <w:rPr>
          <w:noProof/>
        </w:rPr>
        <w:t>dym państwie członkowskim</w:t>
      </w:r>
      <w:r w:rsidR="003F3D2B" w:rsidRPr="00624565">
        <w:rPr>
          <w:noProof/>
        </w:rPr>
        <w:t xml:space="preserve"> i</w:t>
      </w:r>
      <w:r w:rsidR="003F3D2B">
        <w:rPr>
          <w:noProof/>
        </w:rPr>
        <w:t> </w:t>
      </w:r>
      <w:r w:rsidR="003F3D2B" w:rsidRPr="00624565">
        <w:rPr>
          <w:noProof/>
        </w:rPr>
        <w:t>w</w:t>
      </w:r>
      <w:r w:rsidR="003F3D2B">
        <w:rPr>
          <w:noProof/>
        </w:rPr>
        <w:t> </w:t>
      </w:r>
      <w:r w:rsidR="003F3D2B" w:rsidRPr="00624565">
        <w:rPr>
          <w:noProof/>
        </w:rPr>
        <w:t>cał</w:t>
      </w:r>
      <w:r w:rsidRPr="00624565">
        <w:rPr>
          <w:noProof/>
        </w:rPr>
        <w:t>ej Unii. Sprawozdanie umożliwia zróżnicowanie</w:t>
      </w:r>
      <w:r w:rsidR="003F3D2B" w:rsidRPr="00624565">
        <w:rPr>
          <w:noProof/>
        </w:rPr>
        <w:t xml:space="preserve"> w</w:t>
      </w:r>
      <w:r w:rsidR="003F3D2B">
        <w:rPr>
          <w:noProof/>
        </w:rPr>
        <w:t> </w:t>
      </w:r>
      <w:r w:rsidR="003F3D2B" w:rsidRPr="00624565">
        <w:rPr>
          <w:noProof/>
        </w:rPr>
        <w:t>zal</w:t>
      </w:r>
      <w:r w:rsidRPr="00624565">
        <w:rPr>
          <w:noProof/>
        </w:rPr>
        <w:t>eżności od wielkości przedsiębiorcy składającego oświadczenie oraz od jakości uzasadnienia.</w:t>
      </w:r>
    </w:p>
    <w:p w14:paraId="453D1DF4" w14:textId="77777777" w:rsidR="00A56C69" w:rsidRPr="00624565" w:rsidRDefault="00A56C69" w:rsidP="00A56C69">
      <w:pPr>
        <w:pStyle w:val="Titrearticle"/>
        <w:keepNext w:val="0"/>
        <w:rPr>
          <w:noProof/>
        </w:rPr>
      </w:pPr>
      <w:r w:rsidRPr="00624565">
        <w:rPr>
          <w:noProof/>
        </w:rPr>
        <w:t>Artykuł 21</w:t>
      </w:r>
    </w:p>
    <w:p w14:paraId="54B2E5B2" w14:textId="6D896454" w:rsidR="00A56C69" w:rsidRPr="00624565" w:rsidRDefault="00A56C69" w:rsidP="00A56C69">
      <w:pPr>
        <w:pStyle w:val="Titrearticle"/>
        <w:keepNext w:val="0"/>
        <w:rPr>
          <w:noProof/>
        </w:rPr>
      </w:pPr>
      <w:r w:rsidRPr="00624565">
        <w:rPr>
          <w:noProof/>
        </w:rPr>
        <w:t>Ocena</w:t>
      </w:r>
      <w:r w:rsidR="003F3D2B" w:rsidRPr="00624565">
        <w:rPr>
          <w:noProof/>
        </w:rPr>
        <w:t xml:space="preserve"> i</w:t>
      </w:r>
      <w:r w:rsidR="003F3D2B">
        <w:rPr>
          <w:noProof/>
        </w:rPr>
        <w:t> </w:t>
      </w:r>
      <w:r w:rsidR="003F3D2B" w:rsidRPr="00624565">
        <w:rPr>
          <w:noProof/>
        </w:rPr>
        <w:t>prz</w:t>
      </w:r>
      <w:r w:rsidRPr="00624565">
        <w:rPr>
          <w:noProof/>
        </w:rPr>
        <w:t>egląd</w:t>
      </w:r>
    </w:p>
    <w:p w14:paraId="6E22B627" w14:textId="4CB0E047" w:rsidR="00A56C69" w:rsidRPr="00624565" w:rsidRDefault="004D161E" w:rsidP="004D161E">
      <w:pPr>
        <w:pStyle w:val="ManualNumPar1"/>
        <w:rPr>
          <w:noProof/>
        </w:rPr>
      </w:pPr>
      <w:r w:rsidRPr="00624565">
        <w:rPr>
          <w:noProof/>
        </w:rPr>
        <w:t>1.</w:t>
      </w:r>
      <w:r w:rsidRPr="00624565">
        <w:rPr>
          <w:noProof/>
        </w:rPr>
        <w:tab/>
        <w:t>Do dnia [</w:t>
      </w:r>
      <w:r w:rsidRPr="00624565">
        <w:rPr>
          <w:i/>
          <w:noProof/>
        </w:rPr>
        <w:t>OP proszę wstawić datę = 5 lat od daty transpozycji niniejszej dyrektywy</w:t>
      </w:r>
      <w:r w:rsidRPr="00624565">
        <w:rPr>
          <w:noProof/>
        </w:rPr>
        <w:t>] r. Komisja przeprowadzi ocenę niniejszej dyrektywy</w:t>
      </w:r>
      <w:r w:rsidR="003F3D2B" w:rsidRPr="00624565">
        <w:rPr>
          <w:noProof/>
        </w:rPr>
        <w:t xml:space="preserve"> w</w:t>
      </w:r>
      <w:r w:rsidR="003F3D2B">
        <w:rPr>
          <w:noProof/>
        </w:rPr>
        <w:t> </w:t>
      </w:r>
      <w:r w:rsidR="003F3D2B" w:rsidRPr="00624565">
        <w:rPr>
          <w:noProof/>
        </w:rPr>
        <w:t>odn</w:t>
      </w:r>
      <w:r w:rsidRPr="00624565">
        <w:rPr>
          <w:noProof/>
        </w:rPr>
        <w:t>iesieniu do jej celów</w:t>
      </w:r>
      <w:r w:rsidR="003F3D2B" w:rsidRPr="00624565">
        <w:rPr>
          <w:noProof/>
        </w:rPr>
        <w:t xml:space="preserve"> i</w:t>
      </w:r>
      <w:r w:rsidR="003F3D2B">
        <w:rPr>
          <w:noProof/>
        </w:rPr>
        <w:t> </w:t>
      </w:r>
      <w:r w:rsidR="003F3D2B" w:rsidRPr="00624565">
        <w:rPr>
          <w:noProof/>
        </w:rPr>
        <w:t>prz</w:t>
      </w:r>
      <w:r w:rsidRPr="00624565">
        <w:rPr>
          <w:noProof/>
        </w:rPr>
        <w:t>edstawi Parlamentowi Europejskiemu</w:t>
      </w:r>
      <w:r w:rsidR="003F3D2B" w:rsidRPr="00624565">
        <w:rPr>
          <w:noProof/>
        </w:rPr>
        <w:t xml:space="preserve"> i</w:t>
      </w:r>
      <w:r w:rsidR="003F3D2B">
        <w:rPr>
          <w:noProof/>
        </w:rPr>
        <w:t> </w:t>
      </w:r>
      <w:r w:rsidR="003F3D2B" w:rsidRPr="00624565">
        <w:rPr>
          <w:noProof/>
        </w:rPr>
        <w:t>Rad</w:t>
      </w:r>
      <w:r w:rsidRPr="00624565">
        <w:rPr>
          <w:noProof/>
        </w:rPr>
        <w:t xml:space="preserve">zie sprawozdanie dotyczące głównych ustaleń. </w:t>
      </w:r>
    </w:p>
    <w:p w14:paraId="44B2E3DD" w14:textId="194E6C4F" w:rsidR="00A56C69" w:rsidRPr="00624565" w:rsidRDefault="004D161E" w:rsidP="004D161E">
      <w:pPr>
        <w:pStyle w:val="ManualNumPar1"/>
        <w:rPr>
          <w:noProof/>
        </w:rPr>
      </w:pPr>
      <w:r w:rsidRPr="00624565">
        <w:rPr>
          <w:noProof/>
        </w:rPr>
        <w:t>2.</w:t>
      </w:r>
      <w:r w:rsidRPr="00624565">
        <w:rPr>
          <w:noProof/>
        </w:rPr>
        <w:tab/>
        <w:t>W sprawozdaniu,</w:t>
      </w:r>
      <w:r w:rsidR="003F3D2B" w:rsidRPr="00624565">
        <w:rPr>
          <w:noProof/>
        </w:rPr>
        <w:t xml:space="preserve"> o</w:t>
      </w:r>
      <w:r w:rsidR="003F3D2B">
        <w:rPr>
          <w:noProof/>
        </w:rPr>
        <w:t> </w:t>
      </w:r>
      <w:r w:rsidR="003F3D2B" w:rsidRPr="00624565">
        <w:rPr>
          <w:noProof/>
        </w:rPr>
        <w:t>któ</w:t>
      </w:r>
      <w:r w:rsidRPr="00624565">
        <w:rPr>
          <w:noProof/>
        </w:rPr>
        <w:t>rym mowa</w:t>
      </w:r>
      <w:r w:rsidR="003F3D2B" w:rsidRPr="00624565">
        <w:rPr>
          <w:noProof/>
        </w:rPr>
        <w:t xml:space="preserve"> w</w:t>
      </w:r>
      <w:r w:rsidR="003F3D2B">
        <w:rPr>
          <w:noProof/>
        </w:rPr>
        <w:t> </w:t>
      </w:r>
      <w:r w:rsidR="003F3D2B" w:rsidRPr="00624565">
        <w:rPr>
          <w:noProof/>
        </w:rPr>
        <w:t>ust</w:t>
      </w:r>
      <w:r w:rsidRPr="00624565">
        <w:rPr>
          <w:noProof/>
        </w:rPr>
        <w:t>. 1, Komisja ocenia, czy osiągnięte zostały cele niniejszej dyrektywy,</w:t>
      </w:r>
      <w:r w:rsidR="003F3D2B" w:rsidRPr="00624565">
        <w:rPr>
          <w:noProof/>
        </w:rPr>
        <w:t xml:space="preserve"> w</w:t>
      </w:r>
      <w:r w:rsidR="003F3D2B">
        <w:rPr>
          <w:noProof/>
        </w:rPr>
        <w:t> </w:t>
      </w:r>
      <w:r w:rsidR="003F3D2B" w:rsidRPr="00624565">
        <w:rPr>
          <w:noProof/>
        </w:rPr>
        <w:t>szc</w:t>
      </w:r>
      <w:r w:rsidRPr="00624565">
        <w:rPr>
          <w:noProof/>
        </w:rPr>
        <w:t>zególności</w:t>
      </w:r>
      <w:r w:rsidR="003F3D2B" w:rsidRPr="00624565">
        <w:rPr>
          <w:noProof/>
        </w:rPr>
        <w:t xml:space="preserve"> w</w:t>
      </w:r>
      <w:r w:rsidR="003F3D2B">
        <w:rPr>
          <w:noProof/>
        </w:rPr>
        <w:t> </w:t>
      </w:r>
      <w:r w:rsidR="003F3D2B" w:rsidRPr="00624565">
        <w:rPr>
          <w:noProof/>
        </w:rPr>
        <w:t>odn</w:t>
      </w:r>
      <w:r w:rsidRPr="00624565">
        <w:rPr>
          <w:noProof/>
        </w:rPr>
        <w:t>iesieniu do:</w:t>
      </w:r>
    </w:p>
    <w:p w14:paraId="1DDC6C21" w14:textId="361F7705" w:rsidR="00A56C69" w:rsidRPr="00624565" w:rsidRDefault="004D161E" w:rsidP="004D161E">
      <w:pPr>
        <w:pStyle w:val="Point1"/>
        <w:rPr>
          <w:noProof/>
        </w:rPr>
      </w:pPr>
      <w:r w:rsidRPr="00624565">
        <w:rPr>
          <w:noProof/>
        </w:rPr>
        <w:t>a)</w:t>
      </w:r>
      <w:r w:rsidRPr="00624565">
        <w:rPr>
          <w:noProof/>
        </w:rPr>
        <w:tab/>
        <w:t>zapewnienia, aby wyraźne oświadczenia środowiskowe dotyczące efektywności środowiskowej produktu lub przedsiębiorcy opierały się na rzetelnych, porównywalnych</w:t>
      </w:r>
      <w:r w:rsidR="003F3D2B" w:rsidRPr="00624565">
        <w:rPr>
          <w:noProof/>
        </w:rPr>
        <w:t xml:space="preserve"> i</w:t>
      </w:r>
      <w:r w:rsidR="003F3D2B">
        <w:rPr>
          <w:noProof/>
        </w:rPr>
        <w:t> </w:t>
      </w:r>
      <w:r w:rsidR="003F3D2B" w:rsidRPr="00624565">
        <w:rPr>
          <w:noProof/>
        </w:rPr>
        <w:t>moż</w:t>
      </w:r>
      <w:r w:rsidRPr="00624565">
        <w:rPr>
          <w:noProof/>
        </w:rPr>
        <w:t xml:space="preserve">liwych do zweryfikowania informacjach; </w:t>
      </w:r>
    </w:p>
    <w:p w14:paraId="2C2CF579" w14:textId="37FC8BBB" w:rsidR="00A56C69" w:rsidRPr="00624565" w:rsidRDefault="004D161E" w:rsidP="004D161E">
      <w:pPr>
        <w:pStyle w:val="Point1"/>
        <w:rPr>
          <w:noProof/>
        </w:rPr>
      </w:pPr>
      <w:r w:rsidRPr="00624565">
        <w:rPr>
          <w:noProof/>
        </w:rPr>
        <w:t>b)</w:t>
      </w:r>
      <w:r w:rsidRPr="00624565">
        <w:rPr>
          <w:noProof/>
        </w:rPr>
        <w:tab/>
        <w:t>zapewnienia, aby systemy oznakowania ekologicznego były oparte na systemach certyfikacji</w:t>
      </w:r>
      <w:r w:rsidR="003F3D2B" w:rsidRPr="00624565">
        <w:rPr>
          <w:noProof/>
        </w:rPr>
        <w:t xml:space="preserve"> i</w:t>
      </w:r>
      <w:r w:rsidR="003F3D2B">
        <w:rPr>
          <w:noProof/>
        </w:rPr>
        <w:t> </w:t>
      </w:r>
      <w:r w:rsidR="003F3D2B" w:rsidRPr="00624565">
        <w:rPr>
          <w:noProof/>
        </w:rPr>
        <w:t>spe</w:t>
      </w:r>
      <w:r w:rsidRPr="00624565">
        <w:rPr>
          <w:noProof/>
        </w:rPr>
        <w:t>łniały odpowiednie wymogi określone</w:t>
      </w:r>
      <w:r w:rsidR="003F3D2B" w:rsidRPr="00624565">
        <w:rPr>
          <w:noProof/>
        </w:rPr>
        <w:t xml:space="preserve"> w</w:t>
      </w:r>
      <w:r w:rsidR="003F3D2B">
        <w:rPr>
          <w:noProof/>
        </w:rPr>
        <w:t> </w:t>
      </w:r>
      <w:r w:rsidR="003F3D2B" w:rsidRPr="003F3D2B">
        <w:rPr>
          <w:noProof/>
        </w:rPr>
        <w:t>art</w:t>
      </w:r>
      <w:r w:rsidRPr="003F3D2B">
        <w:rPr>
          <w:noProof/>
        </w:rPr>
        <w:t>.</w:t>
      </w:r>
      <w:r w:rsidR="003F3D2B" w:rsidRPr="003F3D2B">
        <w:rPr>
          <w:noProof/>
        </w:rPr>
        <w:t> </w:t>
      </w:r>
      <w:r w:rsidRPr="003F3D2B">
        <w:rPr>
          <w:noProof/>
        </w:rPr>
        <w:t>8</w:t>
      </w:r>
      <w:r w:rsidRPr="00624565">
        <w:rPr>
          <w:noProof/>
        </w:rPr>
        <w:t>;</w:t>
      </w:r>
    </w:p>
    <w:p w14:paraId="53D1E15F" w14:textId="7F439C3A" w:rsidR="00A56C69" w:rsidRPr="00624565" w:rsidRDefault="004D161E" w:rsidP="004D161E">
      <w:pPr>
        <w:pStyle w:val="Point1"/>
        <w:rPr>
          <w:noProof/>
        </w:rPr>
      </w:pPr>
      <w:r w:rsidRPr="00624565">
        <w:rPr>
          <w:noProof/>
        </w:rPr>
        <w:t>c)</w:t>
      </w:r>
      <w:r w:rsidRPr="00624565">
        <w:rPr>
          <w:noProof/>
        </w:rPr>
        <w:tab/>
        <w:t>zapewnienia, aby nowe prywatne systemy oznakowania ekologicznego dotyczące produktów lub przedsiębiorców już objętych istniejącymi systemami były zatwierdzane przez państwa członkowskie tylko wtedy, gdy zapewniają wartość dodaną</w:t>
      </w:r>
      <w:r w:rsidR="003F3D2B" w:rsidRPr="00624565">
        <w:rPr>
          <w:noProof/>
        </w:rPr>
        <w:t xml:space="preserve"> w</w:t>
      </w:r>
      <w:r w:rsidR="003F3D2B">
        <w:rPr>
          <w:noProof/>
        </w:rPr>
        <w:t> </w:t>
      </w:r>
      <w:r w:rsidR="003F3D2B" w:rsidRPr="00624565">
        <w:rPr>
          <w:noProof/>
        </w:rPr>
        <w:t>por</w:t>
      </w:r>
      <w:r w:rsidRPr="00624565">
        <w:rPr>
          <w:noProof/>
        </w:rPr>
        <w:t>ównaniu</w:t>
      </w:r>
      <w:r w:rsidR="003F3D2B" w:rsidRPr="00624565">
        <w:rPr>
          <w:noProof/>
        </w:rPr>
        <w:t xml:space="preserve"> z</w:t>
      </w:r>
      <w:r w:rsidR="003F3D2B">
        <w:rPr>
          <w:noProof/>
        </w:rPr>
        <w:t> </w:t>
      </w:r>
      <w:r w:rsidR="003F3D2B" w:rsidRPr="00624565">
        <w:rPr>
          <w:noProof/>
        </w:rPr>
        <w:t>ist</w:t>
      </w:r>
      <w:r w:rsidRPr="00624565">
        <w:rPr>
          <w:noProof/>
        </w:rPr>
        <w:t>niejącymi systemami;</w:t>
      </w:r>
    </w:p>
    <w:p w14:paraId="35BFDF1E" w14:textId="5AFD4B54" w:rsidR="00A56C69" w:rsidRPr="00624565" w:rsidRDefault="004D161E" w:rsidP="004D161E">
      <w:pPr>
        <w:pStyle w:val="Point1"/>
        <w:rPr>
          <w:noProof/>
        </w:rPr>
      </w:pPr>
      <w:r w:rsidRPr="00624565">
        <w:rPr>
          <w:noProof/>
        </w:rPr>
        <w:t>d)</w:t>
      </w:r>
      <w:r w:rsidRPr="00624565">
        <w:rPr>
          <w:noProof/>
        </w:rPr>
        <w:tab/>
        <w:t>określenia zasad informowania</w:t>
      </w:r>
      <w:r w:rsidR="003F3D2B" w:rsidRPr="00624565">
        <w:rPr>
          <w:noProof/>
        </w:rPr>
        <w:t xml:space="preserve"> o</w:t>
      </w:r>
      <w:r w:rsidR="003F3D2B">
        <w:rPr>
          <w:noProof/>
        </w:rPr>
        <w:t> </w:t>
      </w:r>
      <w:r w:rsidR="003F3D2B" w:rsidRPr="00624565">
        <w:rPr>
          <w:noProof/>
        </w:rPr>
        <w:t>wyr</w:t>
      </w:r>
      <w:r w:rsidRPr="00624565">
        <w:rPr>
          <w:noProof/>
        </w:rPr>
        <w:t xml:space="preserve">aźnych oświadczeniach środowiskowych na rynku unijnym oraz unikania powielania kosztów podczas przedstawiania takich oświadczeń; </w:t>
      </w:r>
    </w:p>
    <w:p w14:paraId="1CDF4111" w14:textId="431628BF" w:rsidR="00A56C69" w:rsidRPr="00624565" w:rsidRDefault="004D161E" w:rsidP="004D161E">
      <w:pPr>
        <w:pStyle w:val="Point1"/>
        <w:rPr>
          <w:noProof/>
        </w:rPr>
      </w:pPr>
      <w:r w:rsidRPr="00624565">
        <w:rPr>
          <w:noProof/>
        </w:rPr>
        <w:t>e)</w:t>
      </w:r>
      <w:r w:rsidRPr="00624565">
        <w:rPr>
          <w:noProof/>
        </w:rPr>
        <w:tab/>
        <w:t xml:space="preserve">wzmocnienia funkcjonowania rynku wewnętrznego. </w:t>
      </w:r>
    </w:p>
    <w:p w14:paraId="3BCFE15F" w14:textId="049B68F1" w:rsidR="00A56C69" w:rsidRPr="00624565" w:rsidRDefault="004D161E" w:rsidP="004D161E">
      <w:pPr>
        <w:pStyle w:val="ManualNumPar1"/>
        <w:rPr>
          <w:noProof/>
        </w:rPr>
      </w:pPr>
      <w:r w:rsidRPr="00624565">
        <w:rPr>
          <w:noProof/>
        </w:rPr>
        <w:t>3.</w:t>
      </w:r>
      <w:r w:rsidRPr="00624565">
        <w:rPr>
          <w:noProof/>
        </w:rPr>
        <w:tab/>
        <w:t>Jeżeli Komisja uzna to za stosowne, do sprawozdania,</w:t>
      </w:r>
      <w:r w:rsidR="003F3D2B" w:rsidRPr="00624565">
        <w:rPr>
          <w:noProof/>
        </w:rPr>
        <w:t xml:space="preserve"> o</w:t>
      </w:r>
      <w:r w:rsidR="003F3D2B">
        <w:rPr>
          <w:noProof/>
        </w:rPr>
        <w:t> </w:t>
      </w:r>
      <w:r w:rsidR="003F3D2B" w:rsidRPr="00624565">
        <w:rPr>
          <w:noProof/>
        </w:rPr>
        <w:t>któ</w:t>
      </w:r>
      <w:r w:rsidRPr="00624565">
        <w:rPr>
          <w:noProof/>
        </w:rPr>
        <w:t>rym mowa</w:t>
      </w:r>
      <w:r w:rsidR="003F3D2B" w:rsidRPr="00624565">
        <w:rPr>
          <w:noProof/>
        </w:rPr>
        <w:t xml:space="preserve"> w</w:t>
      </w:r>
      <w:r w:rsidR="003F3D2B">
        <w:rPr>
          <w:noProof/>
        </w:rPr>
        <w:t> </w:t>
      </w:r>
      <w:r w:rsidR="003F3D2B" w:rsidRPr="003F3D2B">
        <w:rPr>
          <w:noProof/>
        </w:rPr>
        <w:t>ust</w:t>
      </w:r>
      <w:r w:rsidRPr="003F3D2B">
        <w:rPr>
          <w:noProof/>
        </w:rPr>
        <w:t>.</w:t>
      </w:r>
      <w:r w:rsidR="003F3D2B" w:rsidRPr="003F3D2B">
        <w:rPr>
          <w:noProof/>
        </w:rPr>
        <w:t> </w:t>
      </w:r>
      <w:r w:rsidRPr="003F3D2B">
        <w:rPr>
          <w:noProof/>
        </w:rPr>
        <w:t>1</w:t>
      </w:r>
      <w:r w:rsidRPr="00624565">
        <w:rPr>
          <w:noProof/>
        </w:rPr>
        <w:t>, dołącza się wniosek ustawodawczy dotyczący zmiany odpowiednich przepisów niniejszej dyrektywy,</w:t>
      </w:r>
      <w:r w:rsidR="003F3D2B" w:rsidRPr="00624565">
        <w:rPr>
          <w:noProof/>
        </w:rPr>
        <w:t xml:space="preserve"> w</w:t>
      </w:r>
      <w:r w:rsidR="003F3D2B">
        <w:rPr>
          <w:noProof/>
        </w:rPr>
        <w:t> </w:t>
      </w:r>
      <w:r w:rsidR="003F3D2B" w:rsidRPr="00624565">
        <w:rPr>
          <w:noProof/>
        </w:rPr>
        <w:t>tym</w:t>
      </w:r>
      <w:r w:rsidRPr="00624565">
        <w:rPr>
          <w:noProof/>
        </w:rPr>
        <w:t xml:space="preserve"> rozważenie uzupełniających przepisów dotyczących:</w:t>
      </w:r>
    </w:p>
    <w:p w14:paraId="3105DC32" w14:textId="7066F7D7" w:rsidR="00A56C69" w:rsidRPr="00624565" w:rsidRDefault="004D161E" w:rsidP="004D161E">
      <w:pPr>
        <w:pStyle w:val="Point1"/>
        <w:rPr>
          <w:noProof/>
        </w:rPr>
      </w:pPr>
      <w:r w:rsidRPr="00624565">
        <w:rPr>
          <w:noProof/>
        </w:rPr>
        <w:t>a)</w:t>
      </w:r>
      <w:r w:rsidRPr="00624565">
        <w:rPr>
          <w:noProof/>
        </w:rPr>
        <w:tab/>
        <w:t>odblokowania możliwości związanych</w:t>
      </w:r>
      <w:r w:rsidR="003F3D2B" w:rsidRPr="00624565">
        <w:rPr>
          <w:noProof/>
        </w:rPr>
        <w:t xml:space="preserve"> z</w:t>
      </w:r>
      <w:r w:rsidR="003F3D2B">
        <w:rPr>
          <w:noProof/>
        </w:rPr>
        <w:t> </w:t>
      </w:r>
      <w:r w:rsidR="003F3D2B" w:rsidRPr="00624565">
        <w:rPr>
          <w:noProof/>
        </w:rPr>
        <w:t>zie</w:t>
      </w:r>
      <w:r w:rsidRPr="00624565">
        <w:rPr>
          <w:noProof/>
        </w:rPr>
        <w:t>loną biogospodarką</w:t>
      </w:r>
      <w:r w:rsidR="003F3D2B" w:rsidRPr="00624565">
        <w:rPr>
          <w:noProof/>
        </w:rPr>
        <w:t xml:space="preserve"> o</w:t>
      </w:r>
      <w:r w:rsidR="003F3D2B">
        <w:rPr>
          <w:noProof/>
        </w:rPr>
        <w:t> </w:t>
      </w:r>
      <w:r w:rsidR="003F3D2B" w:rsidRPr="00624565">
        <w:rPr>
          <w:noProof/>
        </w:rPr>
        <w:t>obi</w:t>
      </w:r>
      <w:r w:rsidRPr="00624565">
        <w:rPr>
          <w:noProof/>
        </w:rPr>
        <w:t>egu zamkniętym</w:t>
      </w:r>
      <w:r w:rsidR="003F3D2B" w:rsidRPr="00624565">
        <w:rPr>
          <w:noProof/>
        </w:rPr>
        <w:t xml:space="preserve"> w</w:t>
      </w:r>
      <w:r w:rsidR="003F3D2B">
        <w:rPr>
          <w:noProof/>
        </w:rPr>
        <w:t> </w:t>
      </w:r>
      <w:r w:rsidR="003F3D2B" w:rsidRPr="00624565">
        <w:rPr>
          <w:noProof/>
        </w:rPr>
        <w:t>wyn</w:t>
      </w:r>
      <w:r w:rsidRPr="00624565">
        <w:rPr>
          <w:noProof/>
        </w:rPr>
        <w:t>iku oceny adekwatności</w:t>
      </w:r>
      <w:r w:rsidR="003F3D2B" w:rsidRPr="00624565">
        <w:rPr>
          <w:noProof/>
        </w:rPr>
        <w:t xml:space="preserve"> i</w:t>
      </w:r>
      <w:r w:rsidR="003F3D2B">
        <w:rPr>
          <w:noProof/>
        </w:rPr>
        <w:t> </w:t>
      </w:r>
      <w:r w:rsidR="003F3D2B" w:rsidRPr="00624565">
        <w:rPr>
          <w:noProof/>
        </w:rPr>
        <w:t>wyk</w:t>
      </w:r>
      <w:r w:rsidRPr="00624565">
        <w:rPr>
          <w:noProof/>
        </w:rPr>
        <w:t>onalności wprowadzenia obowiązku stosowania wspólnej,</w:t>
      </w:r>
      <w:r w:rsidR="003F3D2B" w:rsidRPr="00624565">
        <w:rPr>
          <w:noProof/>
        </w:rPr>
        <w:t xml:space="preserve"> a</w:t>
      </w:r>
      <w:r w:rsidR="003F3D2B">
        <w:rPr>
          <w:noProof/>
        </w:rPr>
        <w:t> </w:t>
      </w:r>
      <w:r w:rsidR="003F3D2B" w:rsidRPr="00624565">
        <w:rPr>
          <w:noProof/>
        </w:rPr>
        <w:t>w</w:t>
      </w:r>
      <w:r w:rsidR="003F3D2B">
        <w:rPr>
          <w:noProof/>
        </w:rPr>
        <w:t> </w:t>
      </w:r>
      <w:r w:rsidR="003F3D2B" w:rsidRPr="00624565">
        <w:rPr>
          <w:noProof/>
        </w:rPr>
        <w:t>sto</w:t>
      </w:r>
      <w:r w:rsidRPr="00624565">
        <w:rPr>
          <w:noProof/>
        </w:rPr>
        <w:t>sownych przypadkach – opartej na cyklu życia metody uzasadniania oświadczeń środowiskowych;</w:t>
      </w:r>
    </w:p>
    <w:p w14:paraId="48DD261B" w14:textId="35A75CA9" w:rsidR="00A56C69" w:rsidRPr="00624565" w:rsidRDefault="004D161E" w:rsidP="004D161E">
      <w:pPr>
        <w:pStyle w:val="Point1"/>
        <w:rPr>
          <w:noProof/>
        </w:rPr>
      </w:pPr>
      <w:r w:rsidRPr="00624565">
        <w:rPr>
          <w:noProof/>
        </w:rPr>
        <w:t>b)</w:t>
      </w:r>
      <w:r w:rsidRPr="00624565">
        <w:rPr>
          <w:noProof/>
        </w:rPr>
        <w:tab/>
        <w:t>ułatwienia transformacji</w:t>
      </w:r>
      <w:r w:rsidR="003F3D2B" w:rsidRPr="00624565">
        <w:rPr>
          <w:noProof/>
        </w:rPr>
        <w:t xml:space="preserve"> w</w:t>
      </w:r>
      <w:r w:rsidR="003F3D2B">
        <w:rPr>
          <w:noProof/>
        </w:rPr>
        <w:t> </w:t>
      </w:r>
      <w:r w:rsidR="003F3D2B" w:rsidRPr="00624565">
        <w:rPr>
          <w:noProof/>
        </w:rPr>
        <w:t>kie</w:t>
      </w:r>
      <w:r w:rsidRPr="00624565">
        <w:rPr>
          <w:noProof/>
        </w:rPr>
        <w:t>runku nietoksycznego środowiska</w:t>
      </w:r>
      <w:r w:rsidR="003F3D2B" w:rsidRPr="00624565">
        <w:rPr>
          <w:noProof/>
        </w:rPr>
        <w:t xml:space="preserve"> w</w:t>
      </w:r>
      <w:r w:rsidR="003F3D2B">
        <w:rPr>
          <w:noProof/>
        </w:rPr>
        <w:t> </w:t>
      </w:r>
      <w:r w:rsidR="003F3D2B" w:rsidRPr="00624565">
        <w:rPr>
          <w:noProof/>
        </w:rPr>
        <w:t>wyn</w:t>
      </w:r>
      <w:r w:rsidRPr="00624565">
        <w:rPr>
          <w:noProof/>
        </w:rPr>
        <w:t>iku rozważenia wprowadzenia zakazu stosowania oświadczeń środowiskowych</w:t>
      </w:r>
      <w:r w:rsidR="003F3D2B" w:rsidRPr="00624565">
        <w:rPr>
          <w:noProof/>
        </w:rPr>
        <w:t xml:space="preserve"> w</w:t>
      </w:r>
      <w:r w:rsidR="003F3D2B">
        <w:rPr>
          <w:noProof/>
        </w:rPr>
        <w:t> </w:t>
      </w:r>
      <w:r w:rsidR="003F3D2B" w:rsidRPr="00624565">
        <w:rPr>
          <w:noProof/>
        </w:rPr>
        <w:t>odn</w:t>
      </w:r>
      <w:r w:rsidRPr="00624565">
        <w:rPr>
          <w:noProof/>
        </w:rPr>
        <w:t>iesieniu do produktów zawierających substancje niebezpieczne,</w:t>
      </w:r>
      <w:r w:rsidR="003F3D2B" w:rsidRPr="00624565">
        <w:rPr>
          <w:noProof/>
        </w:rPr>
        <w:t xml:space="preserve"> z</w:t>
      </w:r>
      <w:r w:rsidR="003F3D2B">
        <w:rPr>
          <w:noProof/>
        </w:rPr>
        <w:t> </w:t>
      </w:r>
      <w:r w:rsidR="003F3D2B" w:rsidRPr="00624565">
        <w:rPr>
          <w:noProof/>
        </w:rPr>
        <w:t>wyj</w:t>
      </w:r>
      <w:r w:rsidRPr="00624565">
        <w:rPr>
          <w:noProof/>
        </w:rPr>
        <w:t>ątkiem przypadków,</w:t>
      </w:r>
      <w:r w:rsidR="003F3D2B" w:rsidRPr="00624565">
        <w:rPr>
          <w:noProof/>
        </w:rPr>
        <w:t xml:space="preserve"> w</w:t>
      </w:r>
      <w:r w:rsidR="003F3D2B">
        <w:rPr>
          <w:noProof/>
        </w:rPr>
        <w:t> </w:t>
      </w:r>
      <w:r w:rsidR="003F3D2B" w:rsidRPr="00624565">
        <w:rPr>
          <w:noProof/>
        </w:rPr>
        <w:t>któ</w:t>
      </w:r>
      <w:r w:rsidRPr="00624565">
        <w:rPr>
          <w:noProof/>
        </w:rPr>
        <w:t>rych ich stosowanie uznaje się za niezbędne dla społeczeństwa zgodnie</w:t>
      </w:r>
      <w:r w:rsidR="003F3D2B" w:rsidRPr="00624565">
        <w:rPr>
          <w:noProof/>
        </w:rPr>
        <w:t xml:space="preserve"> z</w:t>
      </w:r>
      <w:r w:rsidR="003F3D2B">
        <w:rPr>
          <w:noProof/>
        </w:rPr>
        <w:t> </w:t>
      </w:r>
      <w:r w:rsidR="003F3D2B" w:rsidRPr="00624565">
        <w:rPr>
          <w:noProof/>
        </w:rPr>
        <w:t>kry</w:t>
      </w:r>
      <w:r w:rsidRPr="00624565">
        <w:rPr>
          <w:noProof/>
        </w:rPr>
        <w:t>teriami, które opracuje Komisja;</w:t>
      </w:r>
    </w:p>
    <w:p w14:paraId="670BBFA2" w14:textId="223ECBBE" w:rsidR="00A56C69" w:rsidRPr="00624565" w:rsidRDefault="004D161E" w:rsidP="004D161E">
      <w:pPr>
        <w:pStyle w:val="Point1"/>
        <w:rPr>
          <w:noProof/>
        </w:rPr>
      </w:pPr>
      <w:r w:rsidRPr="00624565">
        <w:rPr>
          <w:noProof/>
        </w:rPr>
        <w:t>c)</w:t>
      </w:r>
      <w:r w:rsidRPr="00624565">
        <w:rPr>
          <w:noProof/>
        </w:rPr>
        <w:tab/>
        <w:t>dalszej harmonizacji wymogów dotyczących uzasadnienia określonych oświadczeń środowiskowych dotyczących aspektów środowiskowych lub wpływu na środowisko, takich jak trwałość, możliwość ponownego użycia, możliwość naprawy, zdolność do recyklingu, zawartość materiałów</w:t>
      </w:r>
      <w:r w:rsidR="003F3D2B" w:rsidRPr="00624565">
        <w:rPr>
          <w:noProof/>
        </w:rPr>
        <w:t xml:space="preserve"> z</w:t>
      </w:r>
      <w:r w:rsidR="003F3D2B">
        <w:rPr>
          <w:noProof/>
        </w:rPr>
        <w:t> </w:t>
      </w:r>
      <w:r w:rsidR="003F3D2B" w:rsidRPr="00624565">
        <w:rPr>
          <w:noProof/>
        </w:rPr>
        <w:t>rec</w:t>
      </w:r>
      <w:r w:rsidRPr="00624565">
        <w:rPr>
          <w:noProof/>
        </w:rPr>
        <w:t>yklingu, wykorzystanie zasobów naturalnych,</w:t>
      </w:r>
      <w:r w:rsidR="003F3D2B" w:rsidRPr="00624565">
        <w:rPr>
          <w:noProof/>
        </w:rPr>
        <w:t xml:space="preserve"> w</w:t>
      </w:r>
      <w:r w:rsidR="003F3D2B">
        <w:rPr>
          <w:noProof/>
        </w:rPr>
        <w:t> </w:t>
      </w:r>
      <w:r w:rsidR="003F3D2B" w:rsidRPr="00624565">
        <w:rPr>
          <w:noProof/>
        </w:rPr>
        <w:t>tym</w:t>
      </w:r>
      <w:r w:rsidRPr="00624565">
        <w:rPr>
          <w:noProof/>
        </w:rPr>
        <w:t xml:space="preserve"> włókien, efektywność środowiskowa lub zrównoważoność, elementy pochodzenia biologicznego, biodegradowalność, różnorodność biologiczna, zapobieganie powstawaniu odpadów</w:t>
      </w:r>
      <w:r w:rsidR="003F3D2B" w:rsidRPr="00624565">
        <w:rPr>
          <w:noProof/>
        </w:rPr>
        <w:t xml:space="preserve"> i</w:t>
      </w:r>
      <w:r w:rsidR="003F3D2B">
        <w:rPr>
          <w:noProof/>
        </w:rPr>
        <w:t> </w:t>
      </w:r>
      <w:r w:rsidR="003F3D2B" w:rsidRPr="00624565">
        <w:rPr>
          <w:noProof/>
        </w:rPr>
        <w:t>ich</w:t>
      </w:r>
      <w:r w:rsidRPr="00624565">
        <w:rPr>
          <w:noProof/>
        </w:rPr>
        <w:t xml:space="preserve"> ograniczanie.</w:t>
      </w:r>
    </w:p>
    <w:p w14:paraId="48C3A449" w14:textId="77777777" w:rsidR="00A56C69" w:rsidRPr="00624565" w:rsidRDefault="00A56C69" w:rsidP="00A56C69">
      <w:pPr>
        <w:pStyle w:val="Titrearticle"/>
        <w:rPr>
          <w:noProof/>
        </w:rPr>
      </w:pPr>
      <w:r w:rsidRPr="00624565">
        <w:rPr>
          <w:noProof/>
        </w:rPr>
        <w:t>Artykuł 22</w:t>
      </w:r>
    </w:p>
    <w:p w14:paraId="148256B8" w14:textId="20904BA7" w:rsidR="00A56C69" w:rsidRPr="00624565" w:rsidRDefault="00A56C69" w:rsidP="00A56C69">
      <w:pPr>
        <w:pStyle w:val="Titrearticle"/>
        <w:rPr>
          <w:noProof/>
        </w:rPr>
      </w:pPr>
      <w:r w:rsidRPr="00624565">
        <w:rPr>
          <w:noProof/>
        </w:rPr>
        <w:t>Zmiany</w:t>
      </w:r>
      <w:r w:rsidR="003F3D2B" w:rsidRPr="00624565">
        <w:rPr>
          <w:noProof/>
        </w:rPr>
        <w:t xml:space="preserve"> w</w:t>
      </w:r>
      <w:r w:rsidR="003F3D2B">
        <w:rPr>
          <w:noProof/>
        </w:rPr>
        <w:t> </w:t>
      </w:r>
      <w:r w:rsidR="003F3D2B" w:rsidRPr="00624565">
        <w:rPr>
          <w:noProof/>
        </w:rPr>
        <w:t>roz</w:t>
      </w:r>
      <w:r w:rsidRPr="00624565">
        <w:rPr>
          <w:noProof/>
        </w:rPr>
        <w:t xml:space="preserve">porządzeniu (UE) </w:t>
      </w:r>
      <w:r w:rsidRPr="003F3D2B">
        <w:rPr>
          <w:noProof/>
        </w:rPr>
        <w:t>nr</w:t>
      </w:r>
      <w:r w:rsidR="003F3D2B" w:rsidRPr="003F3D2B">
        <w:rPr>
          <w:noProof/>
        </w:rPr>
        <w:t> </w:t>
      </w:r>
      <w:r w:rsidRPr="003F3D2B">
        <w:rPr>
          <w:noProof/>
        </w:rPr>
        <w:t>1</w:t>
      </w:r>
      <w:r w:rsidRPr="00624565">
        <w:rPr>
          <w:noProof/>
        </w:rPr>
        <w:t>024/2012</w:t>
      </w:r>
    </w:p>
    <w:p w14:paraId="67458E48" w14:textId="4E53BB77" w:rsidR="00A56C69" w:rsidRPr="00624565" w:rsidRDefault="00A56C69" w:rsidP="00A56C69">
      <w:pPr>
        <w:rPr>
          <w:noProof/>
        </w:rPr>
      </w:pPr>
      <w:r w:rsidRPr="00624565">
        <w:rPr>
          <w:noProof/>
        </w:rPr>
        <w:t>W załączniku do rozporządzenia (UE) 1024/2012 dodaje się punkt</w:t>
      </w:r>
      <w:r w:rsidR="003F3D2B" w:rsidRPr="00624565">
        <w:rPr>
          <w:noProof/>
        </w:rPr>
        <w:t xml:space="preserve"> w</w:t>
      </w:r>
      <w:r w:rsidR="003F3D2B">
        <w:rPr>
          <w:noProof/>
        </w:rPr>
        <w:t> </w:t>
      </w:r>
      <w:r w:rsidR="003F3D2B" w:rsidRPr="00624565">
        <w:rPr>
          <w:noProof/>
        </w:rPr>
        <w:t>brz</w:t>
      </w:r>
      <w:r w:rsidRPr="00624565">
        <w:rPr>
          <w:noProof/>
        </w:rPr>
        <w:t>mieniu:</w:t>
      </w:r>
    </w:p>
    <w:p w14:paraId="72705E42" w14:textId="7F9D6F0B" w:rsidR="00A56C69" w:rsidRPr="00624565" w:rsidRDefault="00A56C69" w:rsidP="00A56C69">
      <w:pPr>
        <w:rPr>
          <w:noProof/>
        </w:rPr>
      </w:pPr>
      <w:r w:rsidRPr="00624565">
        <w:rPr>
          <w:noProof/>
        </w:rPr>
        <w:t>„X [Urząd Publikacji: proszę wstawić kolejny numer] Dyrektywa (UE) .../... Parlamentu Europejskiego</w:t>
      </w:r>
      <w:r w:rsidR="003F3D2B" w:rsidRPr="00624565">
        <w:rPr>
          <w:noProof/>
        </w:rPr>
        <w:t xml:space="preserve"> i</w:t>
      </w:r>
      <w:r w:rsidR="003F3D2B">
        <w:rPr>
          <w:noProof/>
        </w:rPr>
        <w:t> </w:t>
      </w:r>
      <w:r w:rsidR="003F3D2B" w:rsidRPr="00624565">
        <w:rPr>
          <w:noProof/>
        </w:rPr>
        <w:t>Rad</w:t>
      </w:r>
      <w:r w:rsidRPr="00624565">
        <w:rPr>
          <w:noProof/>
        </w:rPr>
        <w:t>y</w:t>
      </w:r>
      <w:r w:rsidR="003F3D2B" w:rsidRPr="00624565">
        <w:rPr>
          <w:noProof/>
        </w:rPr>
        <w:t xml:space="preserve"> z</w:t>
      </w:r>
      <w:r w:rsidR="003F3D2B">
        <w:rPr>
          <w:noProof/>
        </w:rPr>
        <w:t> </w:t>
      </w:r>
      <w:r w:rsidR="003F3D2B" w:rsidRPr="00624565">
        <w:rPr>
          <w:noProof/>
        </w:rPr>
        <w:t>dni</w:t>
      </w:r>
      <w:r w:rsidRPr="00624565">
        <w:rPr>
          <w:noProof/>
        </w:rPr>
        <w:t>a [...] uzasadniania wyraźnych oświadczeń środowiskowych</w:t>
      </w:r>
      <w:r w:rsidR="003F3D2B" w:rsidRPr="00624565">
        <w:rPr>
          <w:noProof/>
        </w:rPr>
        <w:t xml:space="preserve"> i</w:t>
      </w:r>
      <w:r w:rsidR="003F3D2B">
        <w:rPr>
          <w:noProof/>
        </w:rPr>
        <w:t> </w:t>
      </w:r>
      <w:r w:rsidR="003F3D2B" w:rsidRPr="00624565">
        <w:rPr>
          <w:noProof/>
        </w:rPr>
        <w:t>inf</w:t>
      </w:r>
      <w:r w:rsidRPr="00624565">
        <w:rPr>
          <w:noProof/>
        </w:rPr>
        <w:t>ormowania</w:t>
      </w:r>
      <w:r w:rsidR="003F3D2B" w:rsidRPr="00624565">
        <w:rPr>
          <w:noProof/>
        </w:rPr>
        <w:t xml:space="preserve"> o</w:t>
      </w:r>
      <w:r w:rsidR="003F3D2B">
        <w:rPr>
          <w:noProof/>
        </w:rPr>
        <w:t> </w:t>
      </w:r>
      <w:r w:rsidR="003F3D2B" w:rsidRPr="00624565">
        <w:rPr>
          <w:noProof/>
        </w:rPr>
        <w:t>nic</w:t>
      </w:r>
      <w:r w:rsidRPr="00624565">
        <w:rPr>
          <w:noProof/>
        </w:rPr>
        <w:t xml:space="preserve">h (Dz.U. L z [...], s. [...]): </w:t>
      </w:r>
      <w:r w:rsidRPr="003F3D2B">
        <w:rPr>
          <w:noProof/>
        </w:rPr>
        <w:t>art.</w:t>
      </w:r>
      <w:r w:rsidR="003F3D2B" w:rsidRPr="003F3D2B">
        <w:rPr>
          <w:noProof/>
        </w:rPr>
        <w:t> </w:t>
      </w:r>
      <w:r w:rsidRPr="003F3D2B">
        <w:rPr>
          <w:noProof/>
        </w:rPr>
        <w:t>1</w:t>
      </w:r>
      <w:r w:rsidRPr="00624565">
        <w:rPr>
          <w:noProof/>
        </w:rPr>
        <w:t xml:space="preserve">3 </w:t>
      </w:r>
      <w:r w:rsidRPr="003F3D2B">
        <w:rPr>
          <w:noProof/>
        </w:rPr>
        <w:t>ust.</w:t>
      </w:r>
      <w:r w:rsidR="003F3D2B" w:rsidRPr="003F3D2B">
        <w:rPr>
          <w:noProof/>
        </w:rPr>
        <w:t> </w:t>
      </w:r>
      <w:r w:rsidRPr="003F3D2B">
        <w:rPr>
          <w:noProof/>
        </w:rPr>
        <w:t>3</w:t>
      </w:r>
      <w:r w:rsidR="003F3D2B" w:rsidRPr="00624565">
        <w:rPr>
          <w:noProof/>
        </w:rPr>
        <w:t xml:space="preserve"> i</w:t>
      </w:r>
      <w:r w:rsidR="003F3D2B">
        <w:rPr>
          <w:noProof/>
        </w:rPr>
        <w:t> </w:t>
      </w:r>
      <w:r w:rsidR="003F3D2B" w:rsidRPr="00624565">
        <w:rPr>
          <w:noProof/>
        </w:rPr>
        <w:t>1</w:t>
      </w:r>
      <w:r w:rsidRPr="00624565">
        <w:rPr>
          <w:noProof/>
        </w:rPr>
        <w:t>5).”.</w:t>
      </w:r>
    </w:p>
    <w:p w14:paraId="5BDCFEB7" w14:textId="77777777" w:rsidR="00A56C69" w:rsidRPr="00624565" w:rsidRDefault="00A56C69" w:rsidP="00A56C69">
      <w:pPr>
        <w:pStyle w:val="Titrearticle"/>
        <w:keepNext w:val="0"/>
        <w:rPr>
          <w:noProof/>
        </w:rPr>
      </w:pPr>
      <w:r w:rsidRPr="00624565">
        <w:rPr>
          <w:noProof/>
        </w:rPr>
        <w:t>Artykuł 23</w:t>
      </w:r>
    </w:p>
    <w:p w14:paraId="48248C52" w14:textId="3219CA45" w:rsidR="00A56C69" w:rsidRPr="00624565" w:rsidRDefault="00A56C69" w:rsidP="00A56C69">
      <w:pPr>
        <w:pStyle w:val="Titrearticle"/>
        <w:keepNext w:val="0"/>
        <w:rPr>
          <w:noProof/>
        </w:rPr>
      </w:pPr>
      <w:r w:rsidRPr="00624565">
        <w:rPr>
          <w:noProof/>
        </w:rPr>
        <w:t>Zmiany</w:t>
      </w:r>
      <w:r w:rsidR="003F3D2B" w:rsidRPr="00624565">
        <w:rPr>
          <w:noProof/>
        </w:rPr>
        <w:t xml:space="preserve"> w</w:t>
      </w:r>
      <w:r w:rsidR="003F3D2B">
        <w:rPr>
          <w:noProof/>
        </w:rPr>
        <w:t> </w:t>
      </w:r>
      <w:r w:rsidR="003F3D2B" w:rsidRPr="00624565">
        <w:rPr>
          <w:noProof/>
        </w:rPr>
        <w:t>roz</w:t>
      </w:r>
      <w:r w:rsidRPr="00624565">
        <w:rPr>
          <w:noProof/>
        </w:rPr>
        <w:t xml:space="preserve">porządzeniu (UE) 2017/2394 </w:t>
      </w:r>
    </w:p>
    <w:p w14:paraId="3D27F776" w14:textId="5CD6D884" w:rsidR="00A56C69" w:rsidRPr="00624565" w:rsidRDefault="00A56C69" w:rsidP="00A56C69">
      <w:pPr>
        <w:rPr>
          <w:noProof/>
        </w:rPr>
      </w:pPr>
      <w:r w:rsidRPr="00624565">
        <w:rPr>
          <w:noProof/>
        </w:rPr>
        <w:t>W załączniku do rozporządzenia (UE) 2017/2394 dodaje się punkt</w:t>
      </w:r>
      <w:r w:rsidR="003F3D2B" w:rsidRPr="00624565">
        <w:rPr>
          <w:noProof/>
        </w:rPr>
        <w:t xml:space="preserve"> w</w:t>
      </w:r>
      <w:r w:rsidR="003F3D2B">
        <w:rPr>
          <w:noProof/>
        </w:rPr>
        <w:t> </w:t>
      </w:r>
      <w:r w:rsidR="003F3D2B" w:rsidRPr="00624565">
        <w:rPr>
          <w:noProof/>
        </w:rPr>
        <w:t>brz</w:t>
      </w:r>
      <w:r w:rsidRPr="00624565">
        <w:rPr>
          <w:noProof/>
        </w:rPr>
        <w:t>mieniu:</w:t>
      </w:r>
    </w:p>
    <w:p w14:paraId="414D4342" w14:textId="249CF7DF" w:rsidR="00A56C69" w:rsidRPr="00624565" w:rsidRDefault="00A56C69" w:rsidP="00A56C69">
      <w:pPr>
        <w:rPr>
          <w:noProof/>
        </w:rPr>
      </w:pPr>
      <w:r w:rsidRPr="00624565">
        <w:rPr>
          <w:noProof/>
        </w:rPr>
        <w:t>„X [Urząd Publikacji: proszę wstawić kolejny numer] Dyrektywa (UE) .../... Parlamentu Europejskiego</w:t>
      </w:r>
      <w:r w:rsidR="003F3D2B" w:rsidRPr="00624565">
        <w:rPr>
          <w:noProof/>
        </w:rPr>
        <w:t xml:space="preserve"> i</w:t>
      </w:r>
      <w:r w:rsidR="003F3D2B">
        <w:rPr>
          <w:noProof/>
        </w:rPr>
        <w:t> </w:t>
      </w:r>
      <w:r w:rsidR="003F3D2B" w:rsidRPr="00624565">
        <w:rPr>
          <w:noProof/>
        </w:rPr>
        <w:t>Rad</w:t>
      </w:r>
      <w:r w:rsidRPr="00624565">
        <w:rPr>
          <w:noProof/>
        </w:rPr>
        <w:t>y</w:t>
      </w:r>
      <w:r w:rsidR="003F3D2B" w:rsidRPr="00624565">
        <w:rPr>
          <w:noProof/>
        </w:rPr>
        <w:t xml:space="preserve"> z</w:t>
      </w:r>
      <w:r w:rsidR="003F3D2B">
        <w:rPr>
          <w:noProof/>
        </w:rPr>
        <w:t> </w:t>
      </w:r>
      <w:r w:rsidR="003F3D2B" w:rsidRPr="00624565">
        <w:rPr>
          <w:noProof/>
        </w:rPr>
        <w:t>dni</w:t>
      </w:r>
      <w:r w:rsidRPr="00624565">
        <w:rPr>
          <w:noProof/>
        </w:rPr>
        <w:t>a [...]</w:t>
      </w:r>
      <w:r w:rsidR="003F3D2B" w:rsidRPr="00624565">
        <w:rPr>
          <w:noProof/>
        </w:rPr>
        <w:t xml:space="preserve"> w</w:t>
      </w:r>
      <w:r w:rsidR="003F3D2B">
        <w:rPr>
          <w:noProof/>
        </w:rPr>
        <w:t> </w:t>
      </w:r>
      <w:r w:rsidR="003F3D2B" w:rsidRPr="00624565">
        <w:rPr>
          <w:noProof/>
        </w:rPr>
        <w:t>spr</w:t>
      </w:r>
      <w:r w:rsidRPr="00624565">
        <w:rPr>
          <w:noProof/>
        </w:rPr>
        <w:t>awie uzasadniania wyraźnych oświadczeń środowiskowych</w:t>
      </w:r>
      <w:r w:rsidR="003F3D2B" w:rsidRPr="00624565">
        <w:rPr>
          <w:noProof/>
        </w:rPr>
        <w:t xml:space="preserve"> i</w:t>
      </w:r>
      <w:r w:rsidR="003F3D2B">
        <w:rPr>
          <w:noProof/>
        </w:rPr>
        <w:t> </w:t>
      </w:r>
      <w:r w:rsidR="003F3D2B" w:rsidRPr="00624565">
        <w:rPr>
          <w:noProof/>
        </w:rPr>
        <w:t>inf</w:t>
      </w:r>
      <w:r w:rsidRPr="00624565">
        <w:rPr>
          <w:noProof/>
        </w:rPr>
        <w:t>ormowania</w:t>
      </w:r>
      <w:r w:rsidR="003F3D2B" w:rsidRPr="00624565">
        <w:rPr>
          <w:noProof/>
        </w:rPr>
        <w:t xml:space="preserve"> o</w:t>
      </w:r>
      <w:r w:rsidR="003F3D2B">
        <w:rPr>
          <w:noProof/>
        </w:rPr>
        <w:t> </w:t>
      </w:r>
      <w:r w:rsidR="003F3D2B" w:rsidRPr="00624565">
        <w:rPr>
          <w:noProof/>
        </w:rPr>
        <w:t>nic</w:t>
      </w:r>
      <w:r w:rsidRPr="00624565">
        <w:rPr>
          <w:noProof/>
        </w:rPr>
        <w:t>h (</w:t>
      </w:r>
      <w:hyperlink r:id="rId15">
        <w:r w:rsidRPr="00624565">
          <w:rPr>
            <w:noProof/>
            <w:color w:val="0000FF"/>
            <w:u w:val="single"/>
          </w:rPr>
          <w:t>Dz.U. L z [...], s. [...]</w:t>
        </w:r>
      </w:hyperlink>
      <w:r w:rsidRPr="00624565">
        <w:rPr>
          <w:noProof/>
        </w:rPr>
        <w:t>).”.</w:t>
      </w:r>
    </w:p>
    <w:p w14:paraId="4C1A0934" w14:textId="77777777" w:rsidR="00A56C69" w:rsidRPr="00624565" w:rsidRDefault="00A56C69" w:rsidP="00A56C69">
      <w:pPr>
        <w:pStyle w:val="Titrearticle"/>
        <w:rPr>
          <w:noProof/>
        </w:rPr>
      </w:pPr>
      <w:r w:rsidRPr="00624565">
        <w:rPr>
          <w:noProof/>
        </w:rPr>
        <w:t>Artykuł 24</w:t>
      </w:r>
    </w:p>
    <w:p w14:paraId="1DDFDBA5" w14:textId="77777777" w:rsidR="00A56C69" w:rsidRPr="00624565" w:rsidRDefault="00A56C69" w:rsidP="00A56C69">
      <w:pPr>
        <w:pStyle w:val="Titrearticle"/>
        <w:rPr>
          <w:noProof/>
        </w:rPr>
      </w:pPr>
      <w:r w:rsidRPr="00624565">
        <w:rPr>
          <w:noProof/>
        </w:rPr>
        <w:t>Zmiana dyrektywy (UE) 2020/1828</w:t>
      </w:r>
    </w:p>
    <w:p w14:paraId="2FFA14EC" w14:textId="0CC18A3D" w:rsidR="00A56C69" w:rsidRPr="00624565" w:rsidRDefault="00A56C69" w:rsidP="00A56C69">
      <w:pPr>
        <w:rPr>
          <w:rFonts w:eastAsia="Times New Roman"/>
          <w:iCs/>
          <w:noProof/>
        </w:rPr>
      </w:pPr>
      <w:r w:rsidRPr="00624565">
        <w:rPr>
          <w:noProof/>
        </w:rPr>
        <w:t>W załączniku I do dyrektywy (UE) 2020/1828 dodaje się punkt</w:t>
      </w:r>
      <w:r w:rsidR="003F3D2B" w:rsidRPr="00624565">
        <w:rPr>
          <w:noProof/>
        </w:rPr>
        <w:t xml:space="preserve"> w</w:t>
      </w:r>
      <w:r w:rsidR="003F3D2B">
        <w:rPr>
          <w:noProof/>
        </w:rPr>
        <w:t> </w:t>
      </w:r>
      <w:r w:rsidR="003F3D2B" w:rsidRPr="00624565">
        <w:rPr>
          <w:noProof/>
        </w:rPr>
        <w:t>brz</w:t>
      </w:r>
      <w:r w:rsidRPr="00624565">
        <w:rPr>
          <w:noProof/>
        </w:rPr>
        <w:t>mieniu:</w:t>
      </w:r>
    </w:p>
    <w:p w14:paraId="28015C41" w14:textId="6718BC05" w:rsidR="00A56C69" w:rsidRPr="00624565" w:rsidRDefault="00A56C69" w:rsidP="00A56C69">
      <w:pPr>
        <w:rPr>
          <w:noProof/>
        </w:rPr>
      </w:pPr>
      <w:r w:rsidRPr="00624565">
        <w:rPr>
          <w:noProof/>
        </w:rPr>
        <w:t>„X [Urząd Publikacji: proszę wstawić kolejny numer] Dyrektywa (UE) .../... Parlamentu Europejskiego</w:t>
      </w:r>
      <w:r w:rsidR="003F3D2B" w:rsidRPr="00624565">
        <w:rPr>
          <w:noProof/>
        </w:rPr>
        <w:t xml:space="preserve"> i</w:t>
      </w:r>
      <w:r w:rsidR="003F3D2B">
        <w:rPr>
          <w:noProof/>
        </w:rPr>
        <w:t> </w:t>
      </w:r>
      <w:r w:rsidR="003F3D2B" w:rsidRPr="00624565">
        <w:rPr>
          <w:noProof/>
        </w:rPr>
        <w:t>Rad</w:t>
      </w:r>
      <w:r w:rsidRPr="00624565">
        <w:rPr>
          <w:noProof/>
        </w:rPr>
        <w:t>y</w:t>
      </w:r>
      <w:r w:rsidR="003F3D2B" w:rsidRPr="00624565">
        <w:rPr>
          <w:noProof/>
        </w:rPr>
        <w:t xml:space="preserve"> z</w:t>
      </w:r>
      <w:r w:rsidR="003F3D2B">
        <w:rPr>
          <w:noProof/>
        </w:rPr>
        <w:t> </w:t>
      </w:r>
      <w:r w:rsidR="003F3D2B" w:rsidRPr="00624565">
        <w:rPr>
          <w:noProof/>
        </w:rPr>
        <w:t>dni</w:t>
      </w:r>
      <w:r w:rsidRPr="00624565">
        <w:rPr>
          <w:noProof/>
        </w:rPr>
        <w:t>a [...] uzasadniania wyraźnych oświadczeń środowiskowych</w:t>
      </w:r>
      <w:r w:rsidR="003F3D2B" w:rsidRPr="00624565">
        <w:rPr>
          <w:noProof/>
        </w:rPr>
        <w:t xml:space="preserve"> i</w:t>
      </w:r>
      <w:r w:rsidR="003F3D2B">
        <w:rPr>
          <w:noProof/>
        </w:rPr>
        <w:t> </w:t>
      </w:r>
      <w:r w:rsidR="003F3D2B" w:rsidRPr="00624565">
        <w:rPr>
          <w:noProof/>
        </w:rPr>
        <w:t>inf</w:t>
      </w:r>
      <w:r w:rsidRPr="00624565">
        <w:rPr>
          <w:noProof/>
        </w:rPr>
        <w:t>ormowania</w:t>
      </w:r>
      <w:r w:rsidR="003F3D2B" w:rsidRPr="00624565">
        <w:rPr>
          <w:noProof/>
        </w:rPr>
        <w:t xml:space="preserve"> o</w:t>
      </w:r>
      <w:r w:rsidR="003F3D2B">
        <w:rPr>
          <w:noProof/>
        </w:rPr>
        <w:t> </w:t>
      </w:r>
      <w:r w:rsidR="003F3D2B" w:rsidRPr="00624565">
        <w:rPr>
          <w:noProof/>
        </w:rPr>
        <w:t>nic</w:t>
      </w:r>
      <w:r w:rsidRPr="00624565">
        <w:rPr>
          <w:noProof/>
        </w:rPr>
        <w:t>h (</w:t>
      </w:r>
      <w:hyperlink r:id="rId16">
        <w:r w:rsidRPr="00624565">
          <w:rPr>
            <w:noProof/>
            <w:color w:val="0000FF"/>
            <w:u w:val="single"/>
          </w:rPr>
          <w:t>Dz.U. L z [...], s. [...]</w:t>
        </w:r>
      </w:hyperlink>
      <w:r w:rsidRPr="00624565">
        <w:rPr>
          <w:noProof/>
        </w:rPr>
        <w:t>).”.</w:t>
      </w:r>
    </w:p>
    <w:p w14:paraId="573CFE22" w14:textId="77777777" w:rsidR="00A56C69" w:rsidRPr="00624565" w:rsidRDefault="00A56C69" w:rsidP="00A56C69">
      <w:pPr>
        <w:pStyle w:val="Titrearticle"/>
        <w:rPr>
          <w:noProof/>
        </w:rPr>
      </w:pPr>
      <w:r w:rsidRPr="00624565">
        <w:rPr>
          <w:noProof/>
        </w:rPr>
        <w:t>Artykuł 25</w:t>
      </w:r>
    </w:p>
    <w:p w14:paraId="59EE33FE" w14:textId="77777777" w:rsidR="00A56C69" w:rsidRPr="00624565" w:rsidRDefault="00A56C69" w:rsidP="00A56C69">
      <w:pPr>
        <w:pStyle w:val="Titrearticle"/>
        <w:rPr>
          <w:noProof/>
        </w:rPr>
      </w:pPr>
      <w:r w:rsidRPr="00624565">
        <w:rPr>
          <w:noProof/>
        </w:rPr>
        <w:t>Transpozycja</w:t>
      </w:r>
    </w:p>
    <w:p w14:paraId="224D88B8" w14:textId="66894F6D" w:rsidR="00A56C69" w:rsidRPr="00624565" w:rsidRDefault="004D161E" w:rsidP="004D161E">
      <w:pPr>
        <w:pStyle w:val="ManualNumPar1"/>
        <w:rPr>
          <w:noProof/>
        </w:rPr>
      </w:pPr>
      <w:r w:rsidRPr="00624565">
        <w:rPr>
          <w:noProof/>
        </w:rPr>
        <w:t>1.</w:t>
      </w:r>
      <w:r w:rsidRPr="00624565">
        <w:rPr>
          <w:noProof/>
        </w:rPr>
        <w:tab/>
        <w:t>Państwa członkowskie przyjmują</w:t>
      </w:r>
      <w:r w:rsidR="003F3D2B" w:rsidRPr="00624565">
        <w:rPr>
          <w:noProof/>
        </w:rPr>
        <w:t xml:space="preserve"> i</w:t>
      </w:r>
      <w:r w:rsidR="003F3D2B">
        <w:rPr>
          <w:noProof/>
        </w:rPr>
        <w:t> </w:t>
      </w:r>
      <w:r w:rsidR="003F3D2B" w:rsidRPr="00624565">
        <w:rPr>
          <w:noProof/>
        </w:rPr>
        <w:t>pub</w:t>
      </w:r>
      <w:r w:rsidRPr="00624565">
        <w:rPr>
          <w:noProof/>
        </w:rPr>
        <w:t>likują przepisy ustawowe, wykonawcze</w:t>
      </w:r>
      <w:r w:rsidR="003F3D2B" w:rsidRPr="00624565">
        <w:rPr>
          <w:noProof/>
        </w:rPr>
        <w:t xml:space="preserve"> i</w:t>
      </w:r>
      <w:r w:rsidR="003F3D2B">
        <w:rPr>
          <w:noProof/>
        </w:rPr>
        <w:t> </w:t>
      </w:r>
      <w:r w:rsidR="003F3D2B" w:rsidRPr="00624565">
        <w:rPr>
          <w:noProof/>
        </w:rPr>
        <w:t>adm</w:t>
      </w:r>
      <w:r w:rsidRPr="00624565">
        <w:rPr>
          <w:noProof/>
        </w:rPr>
        <w:t xml:space="preserve">inistracyjne niezbędne do wykonania niniejszej dyrektywy najpóźniej do dnia [Urząd Publikacji: proszę wstawić datę = </w:t>
      </w:r>
      <w:r w:rsidRPr="00624565">
        <w:rPr>
          <w:i/>
          <w:noProof/>
        </w:rPr>
        <w:t>18 miesięcy od daty wejścia</w:t>
      </w:r>
      <w:r w:rsidR="003F3D2B" w:rsidRPr="00624565">
        <w:rPr>
          <w:i/>
          <w:noProof/>
        </w:rPr>
        <w:t xml:space="preserve"> w</w:t>
      </w:r>
      <w:r w:rsidR="003F3D2B">
        <w:rPr>
          <w:i/>
          <w:noProof/>
        </w:rPr>
        <w:t> </w:t>
      </w:r>
      <w:r w:rsidR="003F3D2B" w:rsidRPr="00624565">
        <w:rPr>
          <w:i/>
          <w:noProof/>
        </w:rPr>
        <w:t>życ</w:t>
      </w:r>
      <w:r w:rsidRPr="00624565">
        <w:rPr>
          <w:i/>
          <w:noProof/>
        </w:rPr>
        <w:t>ie niniejszej dyrektywy</w:t>
      </w:r>
      <w:r w:rsidRPr="00624565">
        <w:rPr>
          <w:noProof/>
        </w:rPr>
        <w:t>] r. Niezwłocznie przekazują Komisji tekst tych przepisów.</w:t>
      </w:r>
    </w:p>
    <w:p w14:paraId="1382AE79" w14:textId="266F3C03" w:rsidR="00A56C69" w:rsidRPr="00624565" w:rsidRDefault="00A56C69" w:rsidP="00C87F7B">
      <w:pPr>
        <w:pStyle w:val="Text1"/>
        <w:rPr>
          <w:noProof/>
        </w:rPr>
      </w:pPr>
      <w:r w:rsidRPr="00624565">
        <w:rPr>
          <w:noProof/>
        </w:rPr>
        <w:t xml:space="preserve">Państwa członkowskie stosują te przepisy od dnia [Urząd Publikacji: proszę wstawić datę = </w:t>
      </w:r>
      <w:r w:rsidRPr="00624565">
        <w:rPr>
          <w:i/>
          <w:noProof/>
        </w:rPr>
        <w:t>24 miesiące od daty wejścia</w:t>
      </w:r>
      <w:r w:rsidR="003F3D2B" w:rsidRPr="00624565">
        <w:rPr>
          <w:i/>
          <w:noProof/>
        </w:rPr>
        <w:t xml:space="preserve"> w</w:t>
      </w:r>
      <w:r w:rsidR="003F3D2B">
        <w:rPr>
          <w:i/>
          <w:noProof/>
        </w:rPr>
        <w:t> </w:t>
      </w:r>
      <w:r w:rsidR="003F3D2B" w:rsidRPr="00624565">
        <w:rPr>
          <w:i/>
          <w:noProof/>
        </w:rPr>
        <w:t>życ</w:t>
      </w:r>
      <w:r w:rsidRPr="00624565">
        <w:rPr>
          <w:i/>
          <w:noProof/>
        </w:rPr>
        <w:t>ie niniejszej dyrektywy</w:t>
      </w:r>
      <w:r w:rsidRPr="00624565">
        <w:rPr>
          <w:noProof/>
        </w:rPr>
        <w:t>] r.</w:t>
      </w:r>
    </w:p>
    <w:p w14:paraId="176C1134" w14:textId="77777777" w:rsidR="00A56C69" w:rsidRPr="00624565" w:rsidRDefault="00A56C69" w:rsidP="00C87F7B">
      <w:pPr>
        <w:pStyle w:val="Text1"/>
        <w:rPr>
          <w:noProof/>
        </w:rPr>
      </w:pPr>
      <w:r w:rsidRPr="00624565">
        <w:rPr>
          <w:noProof/>
        </w:rPr>
        <w:t>Przepisy przyjęte przez państwa członkowskie zawierają odniesienie do niniejszej dyrektywy lub odniesienie takie towarzyszy ich urzędowej publikacji. Metody dokonywania takiego odniesienia określane są przez państwa członkowskie.</w:t>
      </w:r>
    </w:p>
    <w:p w14:paraId="27DCC90A" w14:textId="42E37E97" w:rsidR="00A56C69" w:rsidRPr="00624565" w:rsidRDefault="004D161E" w:rsidP="004D161E">
      <w:pPr>
        <w:pStyle w:val="ManualNumPar1"/>
        <w:rPr>
          <w:noProof/>
        </w:rPr>
      </w:pPr>
      <w:r w:rsidRPr="00624565">
        <w:rPr>
          <w:noProof/>
        </w:rPr>
        <w:t>2.</w:t>
      </w:r>
      <w:r w:rsidRPr="00624565">
        <w:rPr>
          <w:noProof/>
        </w:rPr>
        <w:tab/>
        <w:t>Państwa członkowskie przekazują Komisji tekst podstawowych przepisów prawa krajowego przyjętych</w:t>
      </w:r>
      <w:r w:rsidR="003F3D2B" w:rsidRPr="00624565">
        <w:rPr>
          <w:noProof/>
        </w:rPr>
        <w:t xml:space="preserve"> w</w:t>
      </w:r>
      <w:r w:rsidR="003F3D2B">
        <w:rPr>
          <w:noProof/>
        </w:rPr>
        <w:t> </w:t>
      </w:r>
      <w:r w:rsidR="003F3D2B" w:rsidRPr="00624565">
        <w:rPr>
          <w:noProof/>
        </w:rPr>
        <w:t>dzi</w:t>
      </w:r>
      <w:r w:rsidRPr="00624565">
        <w:rPr>
          <w:noProof/>
        </w:rPr>
        <w:t>edzinie objętej niniejszą dyrektywą.</w:t>
      </w:r>
    </w:p>
    <w:p w14:paraId="5C19539B" w14:textId="77777777" w:rsidR="00A56C69" w:rsidRPr="00624565" w:rsidRDefault="00A56C69" w:rsidP="00A56C69">
      <w:pPr>
        <w:pStyle w:val="Titrearticle"/>
        <w:rPr>
          <w:noProof/>
        </w:rPr>
      </w:pPr>
      <w:r w:rsidRPr="00624565">
        <w:rPr>
          <w:noProof/>
        </w:rPr>
        <w:t>Artykuł 26</w:t>
      </w:r>
    </w:p>
    <w:p w14:paraId="52A94C61" w14:textId="5A35EF93" w:rsidR="00A56C69" w:rsidRPr="00624565" w:rsidRDefault="00A56C69" w:rsidP="00A56C69">
      <w:pPr>
        <w:pStyle w:val="Titrearticle"/>
        <w:rPr>
          <w:i w:val="0"/>
          <w:noProof/>
        </w:rPr>
      </w:pPr>
      <w:r w:rsidRPr="00624565">
        <w:rPr>
          <w:noProof/>
        </w:rPr>
        <w:t>Wejście</w:t>
      </w:r>
      <w:r w:rsidR="003F3D2B" w:rsidRPr="00624565">
        <w:rPr>
          <w:noProof/>
        </w:rPr>
        <w:t xml:space="preserve"> w</w:t>
      </w:r>
      <w:r w:rsidR="003F3D2B">
        <w:rPr>
          <w:noProof/>
        </w:rPr>
        <w:t> </w:t>
      </w:r>
      <w:r w:rsidR="003F3D2B" w:rsidRPr="00624565">
        <w:rPr>
          <w:noProof/>
        </w:rPr>
        <w:t>życ</w:t>
      </w:r>
      <w:r w:rsidRPr="00624565">
        <w:rPr>
          <w:noProof/>
        </w:rPr>
        <w:t>ie</w:t>
      </w:r>
    </w:p>
    <w:p w14:paraId="43E414BB" w14:textId="5B13D4EA" w:rsidR="00A56C69" w:rsidRPr="00624565" w:rsidRDefault="00A56C69" w:rsidP="00A56C69">
      <w:pPr>
        <w:rPr>
          <w:noProof/>
        </w:rPr>
      </w:pPr>
      <w:r w:rsidRPr="00624565">
        <w:rPr>
          <w:noProof/>
        </w:rPr>
        <w:t>Niniejsza dyrektywa wchodzi</w:t>
      </w:r>
      <w:r w:rsidR="003F3D2B" w:rsidRPr="00624565">
        <w:rPr>
          <w:noProof/>
        </w:rPr>
        <w:t xml:space="preserve"> w</w:t>
      </w:r>
      <w:r w:rsidR="003F3D2B">
        <w:rPr>
          <w:noProof/>
        </w:rPr>
        <w:t> </w:t>
      </w:r>
      <w:r w:rsidR="003F3D2B" w:rsidRPr="00624565">
        <w:rPr>
          <w:noProof/>
        </w:rPr>
        <w:t>życ</w:t>
      </w:r>
      <w:r w:rsidRPr="00624565">
        <w:rPr>
          <w:noProof/>
        </w:rPr>
        <w:t>ie dwudziestego dnia po jej opublikowaniu</w:t>
      </w:r>
      <w:r w:rsidR="003F3D2B" w:rsidRPr="00624565">
        <w:rPr>
          <w:noProof/>
        </w:rPr>
        <w:t xml:space="preserve"> w</w:t>
      </w:r>
      <w:r w:rsidR="003F3D2B">
        <w:rPr>
          <w:noProof/>
        </w:rPr>
        <w:t> </w:t>
      </w:r>
      <w:r w:rsidR="003F3D2B" w:rsidRPr="00624565">
        <w:rPr>
          <w:i/>
          <w:noProof/>
        </w:rPr>
        <w:t>Dzi</w:t>
      </w:r>
      <w:r w:rsidRPr="00624565">
        <w:rPr>
          <w:i/>
          <w:noProof/>
        </w:rPr>
        <w:t>enniku Urzędowym Unii Europejskiej</w:t>
      </w:r>
      <w:r w:rsidRPr="00624565">
        <w:rPr>
          <w:noProof/>
        </w:rPr>
        <w:t xml:space="preserve">. </w:t>
      </w:r>
    </w:p>
    <w:p w14:paraId="1FFC2E91" w14:textId="77777777" w:rsidR="009769E5" w:rsidRPr="00624565" w:rsidRDefault="009769E5" w:rsidP="009769E5">
      <w:pPr>
        <w:pStyle w:val="ManualNumPar1"/>
        <w:rPr>
          <w:noProof/>
        </w:rPr>
      </w:pPr>
    </w:p>
    <w:p w14:paraId="289321FB" w14:textId="77777777" w:rsidR="00A56C69" w:rsidRPr="00624565" w:rsidRDefault="00A56C69" w:rsidP="00A56C69">
      <w:pPr>
        <w:pStyle w:val="Titrearticle"/>
        <w:rPr>
          <w:noProof/>
        </w:rPr>
      </w:pPr>
      <w:r w:rsidRPr="00624565">
        <w:rPr>
          <w:noProof/>
        </w:rPr>
        <w:t>Artykuł 27</w:t>
      </w:r>
    </w:p>
    <w:p w14:paraId="2F8B6197" w14:textId="77777777" w:rsidR="00A56C69" w:rsidRPr="00624565" w:rsidRDefault="00A56C69" w:rsidP="000A28CF">
      <w:pPr>
        <w:pStyle w:val="Titrearticle"/>
        <w:rPr>
          <w:i w:val="0"/>
          <w:noProof/>
        </w:rPr>
      </w:pPr>
      <w:r w:rsidRPr="00624565">
        <w:rPr>
          <w:noProof/>
        </w:rPr>
        <w:t>Adresaci</w:t>
      </w:r>
    </w:p>
    <w:p w14:paraId="112BBBAB" w14:textId="77777777" w:rsidR="00A56C69" w:rsidRPr="00624565" w:rsidRDefault="00A56C69" w:rsidP="00A56C69">
      <w:pPr>
        <w:keepNext/>
        <w:keepLines/>
        <w:rPr>
          <w:noProof/>
        </w:rPr>
      </w:pPr>
      <w:r w:rsidRPr="00624565">
        <w:rPr>
          <w:noProof/>
        </w:rPr>
        <w:t>Niniejsza dyrektywa skierowana jest do państw członkowskich.</w:t>
      </w:r>
    </w:p>
    <w:p w14:paraId="55CB527B" w14:textId="6DE97056" w:rsidR="009769E5" w:rsidRPr="00624565" w:rsidRDefault="00EE7B56" w:rsidP="000A28CF">
      <w:pPr>
        <w:pStyle w:val="Fait"/>
        <w:rPr>
          <w:noProof/>
        </w:rPr>
      </w:pPr>
      <w:r w:rsidRPr="00EE7B56">
        <w:t xml:space="preserve">Sporządzono w Brukseli dnia </w:t>
      </w:r>
      <w:r w:rsidRPr="00EE7B56">
        <w:rPr>
          <w:rStyle w:val="Marker"/>
        </w:rPr>
        <w:t>[…]</w:t>
      </w:r>
      <w:r w:rsidRPr="00EE7B56">
        <w:t xml:space="preserve"> r.</w:t>
      </w:r>
    </w:p>
    <w:p w14:paraId="1735C242" w14:textId="77777777" w:rsidR="003F3D2B" w:rsidRDefault="003F3D2B" w:rsidP="000A28CF">
      <w:pPr>
        <w:pStyle w:val="Institutionquisigne"/>
        <w:rPr>
          <w:noProof/>
        </w:rPr>
      </w:pPr>
      <w:r>
        <w:rPr>
          <w:noProof/>
        </w:rPr>
        <w:t>W imieniu Parlamentu Europejskiego</w:t>
      </w:r>
      <w:r>
        <w:rPr>
          <w:noProof/>
        </w:rPr>
        <w:tab/>
        <w:t>W imieniu Rady</w:t>
      </w:r>
    </w:p>
    <w:p w14:paraId="420D7CD3" w14:textId="046A2CBB" w:rsidR="009769E5" w:rsidRPr="00624565" w:rsidRDefault="003F3D2B" w:rsidP="009769E5">
      <w:pPr>
        <w:pStyle w:val="Personnequisigne"/>
        <w:rPr>
          <w:noProof/>
        </w:rPr>
      </w:pPr>
      <w:r>
        <w:rPr>
          <w:noProof/>
        </w:rPr>
        <w:t>Przewodnicząca</w:t>
      </w:r>
      <w:r>
        <w:rPr>
          <w:noProof/>
        </w:rPr>
        <w:tab/>
        <w:t>Przewodniczący</w:t>
      </w:r>
    </w:p>
    <w:p w14:paraId="1A7A7BA7" w14:textId="77777777" w:rsidR="009769E5" w:rsidRPr="00624565" w:rsidRDefault="009769E5" w:rsidP="009769E5">
      <w:pPr>
        <w:rPr>
          <w:noProof/>
        </w:rPr>
        <w:sectPr w:rsidR="009769E5" w:rsidRPr="00624565" w:rsidSect="006A11C7">
          <w:footnotePr>
            <w:numRestart w:val="eachSect"/>
          </w:footnotePr>
          <w:pgSz w:w="11907" w:h="16839"/>
          <w:pgMar w:top="1134" w:right="1417" w:bottom="1134" w:left="1417" w:header="709" w:footer="709" w:gutter="0"/>
          <w:cols w:space="708"/>
          <w:docGrid w:linePitch="360"/>
        </w:sectPr>
      </w:pPr>
    </w:p>
    <w:p w14:paraId="67E676B4" w14:textId="77777777" w:rsidR="009769E5" w:rsidRPr="00624565" w:rsidRDefault="009769E5" w:rsidP="009769E5">
      <w:pPr>
        <w:pStyle w:val="Fichefinanciretitre"/>
        <w:keepNext/>
        <w:rPr>
          <w:noProof/>
        </w:rPr>
      </w:pPr>
      <w:r w:rsidRPr="00624565">
        <w:rPr>
          <w:noProof/>
        </w:rPr>
        <w:t>OCENA SKUTKÓW FINANSOWYCH REGULACJI</w:t>
      </w:r>
    </w:p>
    <w:p w14:paraId="0F64CAB5" w14:textId="77777777" w:rsidR="009769E5" w:rsidRPr="00624565" w:rsidRDefault="009769E5" w:rsidP="009769E5">
      <w:pPr>
        <w:pStyle w:val="ManualHeading1"/>
        <w:rPr>
          <w:noProof/>
        </w:rPr>
      </w:pPr>
      <w:r w:rsidRPr="00624565">
        <w:rPr>
          <w:noProof/>
        </w:rPr>
        <w:t>1.</w:t>
      </w:r>
      <w:r w:rsidRPr="00624565">
        <w:rPr>
          <w:noProof/>
        </w:rPr>
        <w:tab/>
        <w:t xml:space="preserve">STRUKTURA WNIOSKU/INICJATYWY </w:t>
      </w:r>
    </w:p>
    <w:p w14:paraId="28C14A23" w14:textId="77777777" w:rsidR="009769E5" w:rsidRPr="00624565" w:rsidRDefault="009769E5" w:rsidP="009769E5">
      <w:pPr>
        <w:pStyle w:val="ManualHeading2"/>
        <w:rPr>
          <w:noProof/>
        </w:rPr>
      </w:pPr>
      <w:r w:rsidRPr="00624565">
        <w:rPr>
          <w:noProof/>
        </w:rPr>
        <w:t>1.1.</w:t>
      </w:r>
      <w:r w:rsidRPr="00624565">
        <w:rPr>
          <w:noProof/>
        </w:rPr>
        <w:tab/>
        <w:t>Tytuł wniosku/inicjatywy</w:t>
      </w:r>
    </w:p>
    <w:p w14:paraId="1A45E607" w14:textId="5A5C5799" w:rsidR="009769E5" w:rsidRPr="00624565" w:rsidRDefault="00605145" w:rsidP="00605145">
      <w:pPr>
        <w:pStyle w:val="Text1"/>
        <w:pBdr>
          <w:top w:val="single" w:sz="4" w:space="1" w:color="auto"/>
          <w:left w:val="single" w:sz="4" w:space="4" w:color="auto"/>
          <w:bottom w:val="single" w:sz="4" w:space="1" w:color="auto"/>
          <w:right w:val="single" w:sz="4" w:space="4" w:color="auto"/>
        </w:pBdr>
        <w:rPr>
          <w:noProof/>
        </w:rPr>
      </w:pPr>
      <w:r w:rsidRPr="00624565">
        <w:rPr>
          <w:b/>
          <w:noProof/>
        </w:rPr>
        <w:t>Oświadczenia środowiskowe</w:t>
      </w:r>
      <w:r w:rsidRPr="00624565">
        <w:rPr>
          <w:noProof/>
        </w:rPr>
        <w:t>: wniosek dotyczący dyrektywy Parlamentu Europejskiego</w:t>
      </w:r>
      <w:r w:rsidR="003F3D2B" w:rsidRPr="00624565">
        <w:rPr>
          <w:noProof/>
        </w:rPr>
        <w:t xml:space="preserve"> i</w:t>
      </w:r>
      <w:r w:rsidR="003F3D2B">
        <w:rPr>
          <w:noProof/>
        </w:rPr>
        <w:t> </w:t>
      </w:r>
      <w:r w:rsidR="003F3D2B" w:rsidRPr="00624565">
        <w:rPr>
          <w:noProof/>
        </w:rPr>
        <w:t>Rad</w:t>
      </w:r>
      <w:r w:rsidRPr="00624565">
        <w:rPr>
          <w:noProof/>
        </w:rPr>
        <w:t>y</w:t>
      </w:r>
      <w:r w:rsidR="003F3D2B" w:rsidRPr="00624565">
        <w:rPr>
          <w:noProof/>
        </w:rPr>
        <w:t xml:space="preserve"> w</w:t>
      </w:r>
      <w:r w:rsidR="003F3D2B">
        <w:rPr>
          <w:noProof/>
        </w:rPr>
        <w:t> </w:t>
      </w:r>
      <w:r w:rsidR="003F3D2B" w:rsidRPr="00624565">
        <w:rPr>
          <w:noProof/>
        </w:rPr>
        <w:t>spr</w:t>
      </w:r>
      <w:r w:rsidRPr="00624565">
        <w:rPr>
          <w:noProof/>
        </w:rPr>
        <w:t>awie uzasadniania wyraźnych oświadczeń środowiskowych</w:t>
      </w:r>
      <w:r w:rsidR="003F3D2B" w:rsidRPr="00624565">
        <w:rPr>
          <w:noProof/>
        </w:rPr>
        <w:t xml:space="preserve"> i</w:t>
      </w:r>
      <w:r w:rsidR="003F3D2B">
        <w:rPr>
          <w:noProof/>
        </w:rPr>
        <w:t> </w:t>
      </w:r>
      <w:r w:rsidR="003F3D2B" w:rsidRPr="00624565">
        <w:rPr>
          <w:noProof/>
        </w:rPr>
        <w:t>inf</w:t>
      </w:r>
      <w:r w:rsidRPr="00624565">
        <w:rPr>
          <w:noProof/>
        </w:rPr>
        <w:t>ormowania</w:t>
      </w:r>
      <w:r w:rsidR="003F3D2B" w:rsidRPr="00624565">
        <w:rPr>
          <w:noProof/>
        </w:rPr>
        <w:t xml:space="preserve"> o</w:t>
      </w:r>
      <w:r w:rsidR="003F3D2B">
        <w:rPr>
          <w:noProof/>
        </w:rPr>
        <w:t> </w:t>
      </w:r>
      <w:r w:rsidR="003F3D2B" w:rsidRPr="00624565">
        <w:rPr>
          <w:noProof/>
        </w:rPr>
        <w:t>nic</w:t>
      </w:r>
      <w:r w:rsidRPr="00624565">
        <w:rPr>
          <w:noProof/>
        </w:rPr>
        <w:t>h</w:t>
      </w:r>
    </w:p>
    <w:p w14:paraId="06964EB2" w14:textId="77777777" w:rsidR="009769E5" w:rsidRPr="00624565" w:rsidRDefault="009769E5" w:rsidP="009769E5">
      <w:pPr>
        <w:pStyle w:val="ManualHeading2"/>
        <w:rPr>
          <w:i/>
          <w:noProof/>
        </w:rPr>
      </w:pPr>
      <w:r w:rsidRPr="00624565">
        <w:rPr>
          <w:noProof/>
        </w:rPr>
        <w:t>1.2.</w:t>
      </w:r>
      <w:r w:rsidRPr="00624565">
        <w:rPr>
          <w:noProof/>
        </w:rPr>
        <w:tab/>
        <w:t>Obszary polityki, których dotyczy wniosek/inicjatywa</w:t>
      </w:r>
      <w:r w:rsidRPr="00624565">
        <w:rPr>
          <w:i/>
          <w:noProof/>
        </w:rPr>
        <w:t xml:space="preserve"> </w:t>
      </w:r>
    </w:p>
    <w:p w14:paraId="4F55C653" w14:textId="3CF4D9FE" w:rsidR="009769E5" w:rsidRPr="00624565" w:rsidRDefault="00605145" w:rsidP="00605145">
      <w:pPr>
        <w:pStyle w:val="Text1"/>
        <w:pBdr>
          <w:top w:val="single" w:sz="4" w:space="1" w:color="auto"/>
          <w:left w:val="single" w:sz="4" w:space="4" w:color="auto"/>
          <w:bottom w:val="single" w:sz="4" w:space="1" w:color="auto"/>
          <w:right w:val="single" w:sz="4" w:space="4" w:color="auto"/>
        </w:pBdr>
        <w:rPr>
          <w:noProof/>
        </w:rPr>
      </w:pPr>
      <w:r w:rsidRPr="00624565">
        <w:rPr>
          <w:noProof/>
        </w:rPr>
        <w:t>09 – Środowisko</w:t>
      </w:r>
      <w:r w:rsidR="003F3D2B" w:rsidRPr="00624565">
        <w:rPr>
          <w:noProof/>
        </w:rPr>
        <w:t xml:space="preserve"> i</w:t>
      </w:r>
      <w:r w:rsidR="003F3D2B">
        <w:rPr>
          <w:noProof/>
        </w:rPr>
        <w:t> </w:t>
      </w:r>
      <w:r w:rsidR="003F3D2B" w:rsidRPr="00624565">
        <w:rPr>
          <w:noProof/>
        </w:rPr>
        <w:t>dzi</w:t>
      </w:r>
      <w:r w:rsidRPr="00624565">
        <w:rPr>
          <w:noProof/>
        </w:rPr>
        <w:t>ałania</w:t>
      </w:r>
      <w:r w:rsidR="003F3D2B" w:rsidRPr="00624565">
        <w:rPr>
          <w:noProof/>
        </w:rPr>
        <w:t xml:space="preserve"> w</w:t>
      </w:r>
      <w:r w:rsidR="003F3D2B">
        <w:rPr>
          <w:noProof/>
        </w:rPr>
        <w:t> </w:t>
      </w:r>
      <w:r w:rsidR="003F3D2B" w:rsidRPr="00624565">
        <w:rPr>
          <w:noProof/>
        </w:rPr>
        <w:t>dzi</w:t>
      </w:r>
      <w:r w:rsidRPr="00624565">
        <w:rPr>
          <w:noProof/>
        </w:rPr>
        <w:t>edzinie klimatu</w:t>
      </w:r>
      <w:r w:rsidRPr="00624565">
        <w:rPr>
          <w:rStyle w:val="FootnoteReference"/>
          <w:noProof/>
        </w:rPr>
        <w:footnoteReference w:id="117"/>
      </w:r>
    </w:p>
    <w:p w14:paraId="28A638D1" w14:textId="77777777" w:rsidR="009769E5" w:rsidRPr="00624565" w:rsidRDefault="009769E5" w:rsidP="009769E5">
      <w:pPr>
        <w:pStyle w:val="ManualHeading2"/>
        <w:rPr>
          <w:bCs/>
          <w:noProof/>
          <w:szCs w:val="24"/>
        </w:rPr>
      </w:pPr>
      <w:r w:rsidRPr="00624565">
        <w:rPr>
          <w:noProof/>
        </w:rPr>
        <w:t>1.3.</w:t>
      </w:r>
      <w:r w:rsidRPr="00624565">
        <w:rPr>
          <w:noProof/>
        </w:rPr>
        <w:tab/>
        <w:t xml:space="preserve">Wniosek/inicjatywa dotyczy: </w:t>
      </w:r>
    </w:p>
    <w:p w14:paraId="0BDE7B87" w14:textId="77777777" w:rsidR="00231D49" w:rsidRPr="00624565" w:rsidRDefault="00231D49" w:rsidP="00231D49">
      <w:pPr>
        <w:pStyle w:val="Text1"/>
        <w:rPr>
          <w:b/>
          <w:noProof/>
          <w:sz w:val="22"/>
        </w:rPr>
      </w:pPr>
      <w:r w:rsidRPr="00624565">
        <w:rPr>
          <w:rFonts w:ascii="Wingdings" w:hAnsi="Wingdings"/>
          <w:noProof/>
          <w:sz w:val="22"/>
        </w:rPr>
        <w:t></w:t>
      </w:r>
      <w:r w:rsidRPr="00624565">
        <w:rPr>
          <w:noProof/>
          <w:sz w:val="22"/>
        </w:rPr>
        <w:t xml:space="preserve"> </w:t>
      </w:r>
      <w:r w:rsidRPr="00624565">
        <w:rPr>
          <w:b/>
          <w:noProof/>
        </w:rPr>
        <w:t>nowego działania</w:t>
      </w:r>
      <w:r w:rsidRPr="00624565">
        <w:rPr>
          <w:b/>
          <w:noProof/>
          <w:sz w:val="22"/>
        </w:rPr>
        <w:t xml:space="preserve"> </w:t>
      </w:r>
    </w:p>
    <w:p w14:paraId="71359619" w14:textId="77777777" w:rsidR="009769E5" w:rsidRPr="00624565" w:rsidRDefault="009769E5" w:rsidP="009769E5">
      <w:pPr>
        <w:pStyle w:val="Text1"/>
        <w:rPr>
          <w:noProof/>
          <w:sz w:val="22"/>
        </w:rPr>
      </w:pPr>
      <w:r w:rsidRPr="00624565">
        <w:rPr>
          <w:rFonts w:ascii="Wingdings" w:hAnsi="Wingdings"/>
          <w:noProof/>
          <w:sz w:val="22"/>
        </w:rPr>
        <w:t></w:t>
      </w:r>
      <w:r w:rsidRPr="00624565">
        <w:rPr>
          <w:i/>
          <w:noProof/>
          <w:sz w:val="22"/>
        </w:rPr>
        <w:t xml:space="preserve"> </w:t>
      </w:r>
      <w:r w:rsidRPr="00624565">
        <w:rPr>
          <w:b/>
          <w:noProof/>
        </w:rPr>
        <w:t>nowego działania, będącego następstwem projektu pilotażowego/działania przygotowawczego</w:t>
      </w:r>
      <w:r w:rsidRPr="00624565">
        <w:rPr>
          <w:rStyle w:val="FootnoteReference"/>
          <w:b/>
          <w:noProof/>
        </w:rPr>
        <w:footnoteReference w:id="118"/>
      </w:r>
      <w:r w:rsidRPr="00624565">
        <w:rPr>
          <w:noProof/>
          <w:sz w:val="22"/>
        </w:rPr>
        <w:t xml:space="preserve"> </w:t>
      </w:r>
    </w:p>
    <w:p w14:paraId="2FCC35CB" w14:textId="77777777" w:rsidR="009769E5" w:rsidRPr="00624565" w:rsidRDefault="009769E5" w:rsidP="009769E5">
      <w:pPr>
        <w:pStyle w:val="Text1"/>
        <w:rPr>
          <w:noProof/>
          <w:sz w:val="22"/>
        </w:rPr>
      </w:pPr>
      <w:r w:rsidRPr="00624565">
        <w:rPr>
          <w:rFonts w:ascii="Wingdings" w:hAnsi="Wingdings"/>
          <w:noProof/>
          <w:sz w:val="22"/>
        </w:rPr>
        <w:t></w:t>
      </w:r>
      <w:r w:rsidRPr="00624565">
        <w:rPr>
          <w:i/>
          <w:noProof/>
          <w:sz w:val="22"/>
        </w:rPr>
        <w:t xml:space="preserve"> </w:t>
      </w:r>
      <w:r w:rsidRPr="00624565">
        <w:rPr>
          <w:b/>
          <w:noProof/>
        </w:rPr>
        <w:t>przedłużenia bieżącego działania</w:t>
      </w:r>
      <w:r w:rsidRPr="00624565">
        <w:rPr>
          <w:noProof/>
          <w:sz w:val="22"/>
        </w:rPr>
        <w:t xml:space="preserve"> </w:t>
      </w:r>
    </w:p>
    <w:p w14:paraId="48387833" w14:textId="77777777" w:rsidR="009769E5" w:rsidRPr="00624565" w:rsidRDefault="009769E5" w:rsidP="009769E5">
      <w:pPr>
        <w:pStyle w:val="Text1"/>
        <w:rPr>
          <w:noProof/>
        </w:rPr>
      </w:pPr>
      <w:r w:rsidRPr="00624565">
        <w:rPr>
          <w:rFonts w:ascii="Wingdings" w:hAnsi="Wingdings"/>
          <w:noProof/>
          <w:sz w:val="22"/>
        </w:rPr>
        <w:t></w:t>
      </w:r>
      <w:r w:rsidRPr="00624565">
        <w:rPr>
          <w:i/>
          <w:noProof/>
          <w:sz w:val="22"/>
        </w:rPr>
        <w:t xml:space="preserve"> </w:t>
      </w:r>
      <w:r w:rsidRPr="00624565">
        <w:rPr>
          <w:b/>
          <w:noProof/>
        </w:rPr>
        <w:t>połączenia lub przekształcenia co najmniej jednego działania pod kątem innego/nowego działania</w:t>
      </w:r>
      <w:r w:rsidRPr="00624565">
        <w:rPr>
          <w:noProof/>
        </w:rPr>
        <w:t xml:space="preserve"> </w:t>
      </w:r>
    </w:p>
    <w:p w14:paraId="396812FF" w14:textId="77777777" w:rsidR="009769E5" w:rsidRPr="00624565" w:rsidRDefault="009769E5" w:rsidP="009769E5">
      <w:pPr>
        <w:pStyle w:val="ManualHeading2"/>
        <w:rPr>
          <w:bCs/>
          <w:noProof/>
          <w:szCs w:val="24"/>
        </w:rPr>
      </w:pPr>
      <w:r w:rsidRPr="00624565">
        <w:rPr>
          <w:noProof/>
        </w:rPr>
        <w:t>1.4.</w:t>
      </w:r>
      <w:r w:rsidRPr="00624565">
        <w:rPr>
          <w:noProof/>
        </w:rPr>
        <w:tab/>
        <w:t>Cel(e)</w:t>
      </w:r>
    </w:p>
    <w:p w14:paraId="68AD8BA3" w14:textId="77777777" w:rsidR="009769E5" w:rsidRPr="00624565" w:rsidRDefault="009769E5" w:rsidP="00231D49">
      <w:pPr>
        <w:pStyle w:val="ManualHeading3"/>
        <w:rPr>
          <w:noProof/>
        </w:rPr>
      </w:pPr>
      <w:r w:rsidRPr="00624565">
        <w:rPr>
          <w:noProof/>
        </w:rPr>
        <w:t>1.4.1.</w:t>
      </w:r>
      <w:r w:rsidRPr="00624565">
        <w:rPr>
          <w:noProof/>
        </w:rPr>
        <w:tab/>
        <w:t>Cel(e) ogólny(e)</w:t>
      </w:r>
    </w:p>
    <w:p w14:paraId="64D2E599" w14:textId="4E7F4F5B" w:rsidR="00231D49" w:rsidRPr="00624565" w:rsidRDefault="00231D49" w:rsidP="00231D49">
      <w:pPr>
        <w:pStyle w:val="Text1"/>
        <w:pBdr>
          <w:top w:val="single" w:sz="4" w:space="1" w:color="auto"/>
          <w:left w:val="single" w:sz="4" w:space="4" w:color="auto"/>
          <w:bottom w:val="single" w:sz="4" w:space="1" w:color="auto"/>
          <w:right w:val="single" w:sz="4" w:space="4" w:color="auto"/>
        </w:pBdr>
        <w:rPr>
          <w:rFonts w:eastAsia="Arial Unicode MS"/>
          <w:noProof/>
        </w:rPr>
      </w:pPr>
      <w:r w:rsidRPr="00624565">
        <w:rPr>
          <w:noProof/>
        </w:rPr>
        <w:t>Celem niniejszej inicjatywy jest podniesienie poziomu ochrony środowiska</w:t>
      </w:r>
      <w:r w:rsidR="003F3D2B" w:rsidRPr="00624565">
        <w:rPr>
          <w:noProof/>
        </w:rPr>
        <w:t xml:space="preserve"> i</w:t>
      </w:r>
      <w:r w:rsidR="003F3D2B">
        <w:rPr>
          <w:noProof/>
        </w:rPr>
        <w:t> </w:t>
      </w:r>
      <w:r w:rsidR="003F3D2B" w:rsidRPr="00624565">
        <w:rPr>
          <w:noProof/>
        </w:rPr>
        <w:t>prz</w:t>
      </w:r>
      <w:r w:rsidRPr="00624565">
        <w:rPr>
          <w:noProof/>
        </w:rPr>
        <w:t>yczynienie się do przyspieszenia transformacji ekologicznej</w:t>
      </w:r>
      <w:r w:rsidR="003F3D2B" w:rsidRPr="00624565">
        <w:rPr>
          <w:noProof/>
        </w:rPr>
        <w:t xml:space="preserve"> w</w:t>
      </w:r>
      <w:r w:rsidR="003F3D2B">
        <w:rPr>
          <w:noProof/>
        </w:rPr>
        <w:t> </w:t>
      </w:r>
      <w:r w:rsidR="003F3D2B" w:rsidRPr="00624565">
        <w:rPr>
          <w:noProof/>
        </w:rPr>
        <w:t>kie</w:t>
      </w:r>
      <w:r w:rsidRPr="00624565">
        <w:rPr>
          <w:noProof/>
        </w:rPr>
        <w:t>runku zielonej</w:t>
      </w:r>
      <w:r w:rsidR="003F3D2B" w:rsidRPr="00624565">
        <w:rPr>
          <w:noProof/>
        </w:rPr>
        <w:t xml:space="preserve"> i</w:t>
      </w:r>
      <w:r w:rsidR="003F3D2B">
        <w:rPr>
          <w:noProof/>
        </w:rPr>
        <w:t> </w:t>
      </w:r>
      <w:r w:rsidR="003F3D2B" w:rsidRPr="00624565">
        <w:rPr>
          <w:noProof/>
        </w:rPr>
        <w:t>neu</w:t>
      </w:r>
      <w:r w:rsidRPr="00624565">
        <w:rPr>
          <w:noProof/>
        </w:rPr>
        <w:t>tralnej dla klimatu gospodarki</w:t>
      </w:r>
      <w:r w:rsidR="003F3D2B" w:rsidRPr="00624565">
        <w:rPr>
          <w:noProof/>
        </w:rPr>
        <w:t xml:space="preserve"> o</w:t>
      </w:r>
      <w:r w:rsidR="003F3D2B">
        <w:rPr>
          <w:noProof/>
        </w:rPr>
        <w:t> </w:t>
      </w:r>
      <w:r w:rsidR="003F3D2B" w:rsidRPr="00624565">
        <w:rPr>
          <w:noProof/>
        </w:rPr>
        <w:t>obi</w:t>
      </w:r>
      <w:r w:rsidRPr="00624565">
        <w:rPr>
          <w:noProof/>
        </w:rPr>
        <w:t>egu zamkniętym w UE, ochrona konsumentów</w:t>
      </w:r>
      <w:r w:rsidR="003F3D2B" w:rsidRPr="00624565">
        <w:rPr>
          <w:noProof/>
        </w:rPr>
        <w:t xml:space="preserve"> i</w:t>
      </w:r>
      <w:r w:rsidR="003F3D2B">
        <w:rPr>
          <w:noProof/>
        </w:rPr>
        <w:t> </w:t>
      </w:r>
      <w:r w:rsidR="003F3D2B" w:rsidRPr="00624565">
        <w:rPr>
          <w:noProof/>
        </w:rPr>
        <w:t>prz</w:t>
      </w:r>
      <w:r w:rsidRPr="00624565">
        <w:rPr>
          <w:noProof/>
        </w:rPr>
        <w:t>edsiębiorstw przed nieuczciwym zielonym PR oraz umożliwienie konsumentom przyczynienia się do przyspieszenia transformacji ekologicznej poprzez podejmowanie świadomych decyzji</w:t>
      </w:r>
      <w:r w:rsidR="003F3D2B" w:rsidRPr="00624565">
        <w:rPr>
          <w:noProof/>
        </w:rPr>
        <w:t xml:space="preserve"> o</w:t>
      </w:r>
      <w:r w:rsidR="003F3D2B">
        <w:rPr>
          <w:noProof/>
        </w:rPr>
        <w:t> </w:t>
      </w:r>
      <w:r w:rsidR="003F3D2B" w:rsidRPr="00624565">
        <w:rPr>
          <w:noProof/>
        </w:rPr>
        <w:t>zak</w:t>
      </w:r>
      <w:r w:rsidRPr="00624565">
        <w:rPr>
          <w:noProof/>
        </w:rPr>
        <w:t>upie</w:t>
      </w:r>
      <w:r w:rsidR="003F3D2B" w:rsidRPr="00624565">
        <w:rPr>
          <w:noProof/>
        </w:rPr>
        <w:t xml:space="preserve"> w</w:t>
      </w:r>
      <w:r w:rsidR="003F3D2B">
        <w:rPr>
          <w:noProof/>
        </w:rPr>
        <w:t> </w:t>
      </w:r>
      <w:r w:rsidR="003F3D2B" w:rsidRPr="00624565">
        <w:rPr>
          <w:noProof/>
        </w:rPr>
        <w:t>opa</w:t>
      </w:r>
      <w:r w:rsidRPr="00624565">
        <w:rPr>
          <w:noProof/>
        </w:rPr>
        <w:t>rciu</w:t>
      </w:r>
      <w:r w:rsidR="003F3D2B" w:rsidRPr="00624565">
        <w:rPr>
          <w:noProof/>
        </w:rPr>
        <w:t xml:space="preserve"> o</w:t>
      </w:r>
      <w:r w:rsidR="003F3D2B">
        <w:rPr>
          <w:noProof/>
        </w:rPr>
        <w:t> </w:t>
      </w:r>
      <w:r w:rsidR="003F3D2B" w:rsidRPr="00624565">
        <w:rPr>
          <w:noProof/>
        </w:rPr>
        <w:t>wia</w:t>
      </w:r>
      <w:r w:rsidRPr="00624565">
        <w:rPr>
          <w:noProof/>
        </w:rPr>
        <w:t>rygodne oświadczenia środowiskowe</w:t>
      </w:r>
      <w:r w:rsidR="003F3D2B" w:rsidRPr="00624565">
        <w:rPr>
          <w:noProof/>
        </w:rPr>
        <w:t xml:space="preserve"> i</w:t>
      </w:r>
      <w:r w:rsidR="003F3D2B">
        <w:rPr>
          <w:noProof/>
        </w:rPr>
        <w:t> </w:t>
      </w:r>
      <w:r w:rsidR="003F3D2B" w:rsidRPr="00624565">
        <w:rPr>
          <w:noProof/>
        </w:rPr>
        <w:t>ozn</w:t>
      </w:r>
      <w:r w:rsidRPr="00624565">
        <w:rPr>
          <w:noProof/>
        </w:rPr>
        <w:t>akowania ekologiczne, zwiększenie pewności prawa</w:t>
      </w:r>
      <w:r w:rsidR="003F3D2B" w:rsidRPr="00624565">
        <w:rPr>
          <w:noProof/>
        </w:rPr>
        <w:t xml:space="preserve"> w</w:t>
      </w:r>
      <w:r w:rsidR="003F3D2B">
        <w:rPr>
          <w:noProof/>
        </w:rPr>
        <w:t> </w:t>
      </w:r>
      <w:r w:rsidR="003F3D2B" w:rsidRPr="00624565">
        <w:rPr>
          <w:noProof/>
        </w:rPr>
        <w:t>odn</w:t>
      </w:r>
      <w:r w:rsidRPr="00624565">
        <w:rPr>
          <w:noProof/>
        </w:rPr>
        <w:t>iesieniu do oświadczeń środowiskowych</w:t>
      </w:r>
      <w:r w:rsidR="003F3D2B" w:rsidRPr="00624565">
        <w:rPr>
          <w:noProof/>
        </w:rPr>
        <w:t xml:space="preserve"> i</w:t>
      </w:r>
      <w:r w:rsidR="003F3D2B">
        <w:rPr>
          <w:noProof/>
        </w:rPr>
        <w:t> </w:t>
      </w:r>
      <w:r w:rsidR="003F3D2B" w:rsidRPr="00624565">
        <w:rPr>
          <w:noProof/>
        </w:rPr>
        <w:t>rów</w:t>
      </w:r>
      <w:r w:rsidRPr="00624565">
        <w:rPr>
          <w:noProof/>
        </w:rPr>
        <w:t>nych szans na rynku wewnętrznym, zwiększenie konkurencyjności podmiotów gospodarczych, które podejmują działania</w:t>
      </w:r>
      <w:r w:rsidR="003F3D2B" w:rsidRPr="00624565">
        <w:rPr>
          <w:noProof/>
        </w:rPr>
        <w:t xml:space="preserve"> w</w:t>
      </w:r>
      <w:r w:rsidR="003F3D2B">
        <w:rPr>
          <w:noProof/>
        </w:rPr>
        <w:t> </w:t>
      </w:r>
      <w:r w:rsidR="003F3D2B" w:rsidRPr="00624565">
        <w:rPr>
          <w:noProof/>
        </w:rPr>
        <w:t>cel</w:t>
      </w:r>
      <w:r w:rsidRPr="00624565">
        <w:rPr>
          <w:noProof/>
        </w:rPr>
        <w:t>u zwiększenia zrównoważenia środowiskowego swoich produktów</w:t>
      </w:r>
      <w:r w:rsidR="003F3D2B" w:rsidRPr="00624565">
        <w:rPr>
          <w:noProof/>
        </w:rPr>
        <w:t xml:space="preserve"> i</w:t>
      </w:r>
      <w:r w:rsidR="003F3D2B">
        <w:rPr>
          <w:noProof/>
        </w:rPr>
        <w:t> </w:t>
      </w:r>
      <w:r w:rsidR="003F3D2B" w:rsidRPr="00624565">
        <w:rPr>
          <w:noProof/>
        </w:rPr>
        <w:t>dzi</w:t>
      </w:r>
      <w:r w:rsidRPr="00624565">
        <w:rPr>
          <w:noProof/>
        </w:rPr>
        <w:t>ałań, oraz stworzenie możliwości</w:t>
      </w:r>
      <w:r w:rsidR="003F3D2B" w:rsidRPr="00624565">
        <w:rPr>
          <w:noProof/>
        </w:rPr>
        <w:t xml:space="preserve"> w</w:t>
      </w:r>
      <w:r w:rsidR="003F3D2B">
        <w:rPr>
          <w:noProof/>
        </w:rPr>
        <w:t> </w:t>
      </w:r>
      <w:r w:rsidR="003F3D2B" w:rsidRPr="00624565">
        <w:rPr>
          <w:noProof/>
        </w:rPr>
        <w:t>zak</w:t>
      </w:r>
      <w:r w:rsidRPr="00624565">
        <w:rPr>
          <w:noProof/>
        </w:rPr>
        <w:t xml:space="preserve">resie oszczędności kosztów dla podmiotów prowadzących handel transgraniczny. </w:t>
      </w:r>
      <w:r w:rsidRPr="00624565">
        <w:rPr>
          <w:noProof/>
        </w:rPr>
        <w:br/>
        <w:t>Niniejszy wniosek stanowi uzupełnienie proponowanych zmian</w:t>
      </w:r>
      <w:r w:rsidR="003F3D2B" w:rsidRPr="00624565">
        <w:rPr>
          <w:noProof/>
        </w:rPr>
        <w:t xml:space="preserve"> w</w:t>
      </w:r>
      <w:r w:rsidR="003F3D2B">
        <w:rPr>
          <w:noProof/>
        </w:rPr>
        <w:t> </w:t>
      </w:r>
      <w:r w:rsidR="003F3D2B" w:rsidRPr="00624565">
        <w:rPr>
          <w:noProof/>
        </w:rPr>
        <w:t>zak</w:t>
      </w:r>
      <w:r w:rsidRPr="00624565">
        <w:rPr>
          <w:noProof/>
        </w:rPr>
        <w:t xml:space="preserve">resie nieuczciwych praktyk handlowych. </w:t>
      </w:r>
    </w:p>
    <w:p w14:paraId="09BF0251" w14:textId="77777777" w:rsidR="009769E5" w:rsidRPr="00624565" w:rsidRDefault="009769E5" w:rsidP="009769E5">
      <w:pPr>
        <w:pStyle w:val="ManualHeading3"/>
        <w:rPr>
          <w:bCs/>
          <w:noProof/>
          <w:szCs w:val="24"/>
        </w:rPr>
      </w:pPr>
      <w:r w:rsidRPr="00624565">
        <w:rPr>
          <w:noProof/>
        </w:rPr>
        <w:t>1.4.2.</w:t>
      </w:r>
      <w:r w:rsidRPr="00624565">
        <w:rPr>
          <w:noProof/>
        </w:rPr>
        <w:tab/>
        <w:t>Cel(e) szczegółowy(e)</w:t>
      </w:r>
    </w:p>
    <w:p w14:paraId="7FC887D5" w14:textId="70C47FB3" w:rsidR="00231D49" w:rsidRPr="00624565" w:rsidRDefault="00231D49" w:rsidP="00231D49">
      <w:pPr>
        <w:pStyle w:val="Text1"/>
        <w:pBdr>
          <w:top w:val="single" w:sz="4" w:space="1" w:color="auto"/>
          <w:left w:val="single" w:sz="4" w:space="4" w:color="auto"/>
          <w:bottom w:val="single" w:sz="4" w:space="1" w:color="auto"/>
          <w:right w:val="single" w:sz="4" w:space="4" w:color="auto"/>
        </w:pBdr>
        <w:rPr>
          <w:noProof/>
        </w:rPr>
      </w:pPr>
      <w:r w:rsidRPr="00624565">
        <w:rPr>
          <w:noProof/>
        </w:rPr>
        <w:t>Ustanowienie przepisów UE dotyczących dobrowolnych oświadczeń ekologicznych mających zastosowanie do przedsiębiorców działających</w:t>
      </w:r>
      <w:r w:rsidR="003F3D2B" w:rsidRPr="00624565">
        <w:rPr>
          <w:noProof/>
        </w:rPr>
        <w:t xml:space="preserve"> w</w:t>
      </w:r>
      <w:r w:rsidR="003F3D2B">
        <w:rPr>
          <w:noProof/>
        </w:rPr>
        <w:t> </w:t>
      </w:r>
      <w:r w:rsidR="003F3D2B" w:rsidRPr="00624565">
        <w:rPr>
          <w:noProof/>
        </w:rPr>
        <w:t>Uni</w:t>
      </w:r>
      <w:r w:rsidRPr="00624565">
        <w:rPr>
          <w:noProof/>
        </w:rPr>
        <w:t>i Europejskiej (z wyjątkiem mikroprzedsiębiorstw</w:t>
      </w:r>
      <w:r w:rsidR="003F3D2B" w:rsidRPr="00624565">
        <w:rPr>
          <w:noProof/>
        </w:rPr>
        <w:t xml:space="preserve"> w</w:t>
      </w:r>
      <w:r w:rsidR="003F3D2B">
        <w:rPr>
          <w:noProof/>
        </w:rPr>
        <w:t> </w:t>
      </w:r>
      <w:r w:rsidR="003F3D2B" w:rsidRPr="00624565">
        <w:rPr>
          <w:noProof/>
        </w:rPr>
        <w:t>prz</w:t>
      </w:r>
      <w:r w:rsidRPr="00624565">
        <w:rPr>
          <w:noProof/>
        </w:rPr>
        <w:t>ypadku niektórych przepisów)</w:t>
      </w:r>
      <w:r w:rsidR="003F3D2B" w:rsidRPr="00624565">
        <w:rPr>
          <w:noProof/>
        </w:rPr>
        <w:t xml:space="preserve"> w</w:t>
      </w:r>
      <w:r w:rsidR="003F3D2B">
        <w:rPr>
          <w:noProof/>
        </w:rPr>
        <w:t> </w:t>
      </w:r>
      <w:r w:rsidR="003F3D2B" w:rsidRPr="00624565">
        <w:rPr>
          <w:noProof/>
        </w:rPr>
        <w:t>zak</w:t>
      </w:r>
      <w:r w:rsidRPr="00624565">
        <w:rPr>
          <w:noProof/>
        </w:rPr>
        <w:t>resie uzasadniania, przekazywania</w:t>
      </w:r>
      <w:r w:rsidR="003F3D2B" w:rsidRPr="00624565">
        <w:rPr>
          <w:noProof/>
        </w:rPr>
        <w:t xml:space="preserve"> i</w:t>
      </w:r>
      <w:r w:rsidR="003F3D2B">
        <w:rPr>
          <w:noProof/>
        </w:rPr>
        <w:t> </w:t>
      </w:r>
      <w:r w:rsidR="003F3D2B" w:rsidRPr="00624565">
        <w:rPr>
          <w:noProof/>
        </w:rPr>
        <w:t>wer</w:t>
      </w:r>
      <w:r w:rsidRPr="00624565">
        <w:rPr>
          <w:noProof/>
        </w:rPr>
        <w:t>yfikacji oświadczeń środowiskowych/systemów oznakowania ekologicznego.</w:t>
      </w:r>
    </w:p>
    <w:p w14:paraId="4B0FEF3D" w14:textId="5E6CEE5A" w:rsidR="009769E5" w:rsidRPr="00624565" w:rsidRDefault="009769E5" w:rsidP="009769E5">
      <w:pPr>
        <w:pStyle w:val="ManualHeading3"/>
        <w:rPr>
          <w:noProof/>
        </w:rPr>
      </w:pPr>
      <w:r w:rsidRPr="00624565">
        <w:rPr>
          <w:noProof/>
        </w:rPr>
        <w:t>1.4.3.</w:t>
      </w:r>
      <w:r w:rsidRPr="00624565">
        <w:rPr>
          <w:noProof/>
        </w:rPr>
        <w:tab/>
        <w:t>Oczekiwane wyniki</w:t>
      </w:r>
      <w:r w:rsidR="003F3D2B" w:rsidRPr="00624565">
        <w:rPr>
          <w:noProof/>
        </w:rPr>
        <w:t xml:space="preserve"> i</w:t>
      </w:r>
      <w:r w:rsidR="003F3D2B">
        <w:rPr>
          <w:noProof/>
        </w:rPr>
        <w:t> </w:t>
      </w:r>
      <w:r w:rsidR="003F3D2B" w:rsidRPr="00624565">
        <w:rPr>
          <w:noProof/>
        </w:rPr>
        <w:t>wpł</w:t>
      </w:r>
      <w:r w:rsidRPr="00624565">
        <w:rPr>
          <w:noProof/>
        </w:rPr>
        <w:t>yw</w:t>
      </w:r>
    </w:p>
    <w:p w14:paraId="3D59D08D" w14:textId="7B000DE9" w:rsidR="00231D49" w:rsidRPr="00624565" w:rsidRDefault="00231D49" w:rsidP="00231D49">
      <w:pPr>
        <w:pStyle w:val="Text1"/>
        <w:pBdr>
          <w:top w:val="single" w:sz="4" w:space="1" w:color="auto"/>
          <w:left w:val="single" w:sz="4" w:space="4" w:color="auto"/>
          <w:bottom w:val="single" w:sz="4" w:space="1" w:color="auto"/>
          <w:right w:val="single" w:sz="4" w:space="4" w:color="auto"/>
        </w:pBdr>
        <w:rPr>
          <w:noProof/>
        </w:rPr>
      </w:pPr>
      <w:r w:rsidRPr="00624565">
        <w:rPr>
          <w:noProof/>
        </w:rPr>
        <w:t>Dzięki osiągnięciu celów szczegółowych większa liczba podmiotów gospodarczych byłaby</w:t>
      </w:r>
      <w:r w:rsidR="003F3D2B" w:rsidRPr="00624565">
        <w:rPr>
          <w:noProof/>
        </w:rPr>
        <w:t xml:space="preserve"> w</w:t>
      </w:r>
      <w:r w:rsidR="003F3D2B">
        <w:rPr>
          <w:noProof/>
        </w:rPr>
        <w:t> </w:t>
      </w:r>
      <w:r w:rsidR="003F3D2B" w:rsidRPr="00624565">
        <w:rPr>
          <w:noProof/>
        </w:rPr>
        <w:t>sta</w:t>
      </w:r>
      <w:r w:rsidRPr="00624565">
        <w:rPr>
          <w:noProof/>
        </w:rPr>
        <w:t>nie uwzględnić wiarygodne informacje</w:t>
      </w:r>
      <w:r w:rsidR="003F3D2B" w:rsidRPr="00624565">
        <w:rPr>
          <w:noProof/>
        </w:rPr>
        <w:t xml:space="preserve"> o</w:t>
      </w:r>
      <w:r w:rsidR="003F3D2B">
        <w:rPr>
          <w:noProof/>
        </w:rPr>
        <w:t> </w:t>
      </w:r>
      <w:r w:rsidR="003F3D2B" w:rsidRPr="00624565">
        <w:rPr>
          <w:noProof/>
        </w:rPr>
        <w:t>śro</w:t>
      </w:r>
      <w:r w:rsidRPr="00624565">
        <w:rPr>
          <w:noProof/>
        </w:rPr>
        <w:t>dowisku</w:t>
      </w:r>
      <w:r w:rsidR="003F3D2B" w:rsidRPr="00624565">
        <w:rPr>
          <w:noProof/>
        </w:rPr>
        <w:t xml:space="preserve"> w</w:t>
      </w:r>
      <w:r w:rsidR="003F3D2B">
        <w:rPr>
          <w:noProof/>
        </w:rPr>
        <w:t> </w:t>
      </w:r>
      <w:r w:rsidR="003F3D2B" w:rsidRPr="00624565">
        <w:rPr>
          <w:noProof/>
        </w:rPr>
        <w:t>pro</w:t>
      </w:r>
      <w:r w:rsidRPr="00624565">
        <w:rPr>
          <w:noProof/>
        </w:rPr>
        <w:t>cesie podejmowania decyzji (np. decyzji</w:t>
      </w:r>
      <w:r w:rsidR="003F3D2B" w:rsidRPr="00624565">
        <w:rPr>
          <w:noProof/>
        </w:rPr>
        <w:t xml:space="preserve"> o</w:t>
      </w:r>
      <w:r w:rsidR="003F3D2B">
        <w:rPr>
          <w:noProof/>
        </w:rPr>
        <w:t> </w:t>
      </w:r>
      <w:r w:rsidR="003F3D2B" w:rsidRPr="00624565">
        <w:rPr>
          <w:noProof/>
        </w:rPr>
        <w:t>zak</w:t>
      </w:r>
      <w:r w:rsidRPr="00624565">
        <w:rPr>
          <w:noProof/>
        </w:rPr>
        <w:t>upie, wyborze dostawców lub współpracy</w:t>
      </w:r>
      <w:r w:rsidR="003F3D2B" w:rsidRPr="00624565">
        <w:rPr>
          <w:noProof/>
        </w:rPr>
        <w:t xml:space="preserve"> z</w:t>
      </w:r>
      <w:r w:rsidR="003F3D2B">
        <w:rPr>
          <w:noProof/>
        </w:rPr>
        <w:t> </w:t>
      </w:r>
      <w:r w:rsidR="003F3D2B" w:rsidRPr="00624565">
        <w:rPr>
          <w:noProof/>
        </w:rPr>
        <w:t>dos</w:t>
      </w:r>
      <w:r w:rsidRPr="00624565">
        <w:rPr>
          <w:noProof/>
        </w:rPr>
        <w:t>tawcami</w:t>
      </w:r>
      <w:r w:rsidR="003F3D2B" w:rsidRPr="00624565">
        <w:rPr>
          <w:noProof/>
        </w:rPr>
        <w:t xml:space="preserve"> i</w:t>
      </w:r>
      <w:r w:rsidR="003F3D2B">
        <w:rPr>
          <w:noProof/>
        </w:rPr>
        <w:t> </w:t>
      </w:r>
      <w:r w:rsidR="003F3D2B" w:rsidRPr="00624565">
        <w:rPr>
          <w:noProof/>
        </w:rPr>
        <w:t>par</w:t>
      </w:r>
      <w:r w:rsidRPr="00624565">
        <w:rPr>
          <w:noProof/>
        </w:rPr>
        <w:t xml:space="preserve">tnerami handlowymi, projektowaniu produktów, wyborze dotyczącym zamówień). </w:t>
      </w:r>
    </w:p>
    <w:p w14:paraId="39A27F73" w14:textId="3A32056F" w:rsidR="00231D49" w:rsidRPr="00624565" w:rsidRDefault="00231D49" w:rsidP="00231D49">
      <w:pPr>
        <w:pStyle w:val="Text1"/>
        <w:pBdr>
          <w:top w:val="single" w:sz="4" w:space="1" w:color="auto"/>
          <w:left w:val="single" w:sz="4" w:space="4" w:color="auto"/>
          <w:bottom w:val="single" w:sz="4" w:space="1" w:color="auto"/>
          <w:right w:val="single" w:sz="4" w:space="4" w:color="auto"/>
        </w:pBdr>
        <w:rPr>
          <w:noProof/>
        </w:rPr>
      </w:pPr>
      <w:r w:rsidRPr="00624565">
        <w:rPr>
          <w:noProof/>
        </w:rPr>
        <w:t>Konsumenci byliby</w:t>
      </w:r>
      <w:r w:rsidR="003F3D2B" w:rsidRPr="00624565">
        <w:rPr>
          <w:noProof/>
        </w:rPr>
        <w:t xml:space="preserve"> w</w:t>
      </w:r>
      <w:r w:rsidR="003F3D2B">
        <w:rPr>
          <w:noProof/>
        </w:rPr>
        <w:t> </w:t>
      </w:r>
      <w:r w:rsidR="003F3D2B" w:rsidRPr="00624565">
        <w:rPr>
          <w:noProof/>
        </w:rPr>
        <w:t>sta</w:t>
      </w:r>
      <w:r w:rsidRPr="00624565">
        <w:rPr>
          <w:noProof/>
        </w:rPr>
        <w:t>nie zaufać oświadczeniom środowiskowym dotyczącym nabywanych produktów, co umożliwiłoby im bardziej systematyczne uwzględnianie kwestii środowiskowych przy podejmowaniu decyzji</w:t>
      </w:r>
      <w:r w:rsidR="003F3D2B" w:rsidRPr="00624565">
        <w:rPr>
          <w:noProof/>
        </w:rPr>
        <w:t xml:space="preserve"> o</w:t>
      </w:r>
      <w:r w:rsidR="003F3D2B">
        <w:rPr>
          <w:noProof/>
        </w:rPr>
        <w:t> </w:t>
      </w:r>
      <w:r w:rsidR="003F3D2B" w:rsidRPr="00624565">
        <w:rPr>
          <w:noProof/>
        </w:rPr>
        <w:t>zak</w:t>
      </w:r>
      <w:r w:rsidRPr="00624565">
        <w:rPr>
          <w:noProof/>
        </w:rPr>
        <w:t xml:space="preserve">upie. </w:t>
      </w:r>
    </w:p>
    <w:p w14:paraId="2A002A88" w14:textId="7BB333CD" w:rsidR="00231D49" w:rsidRPr="00624565" w:rsidRDefault="00231D49" w:rsidP="00231D49">
      <w:pPr>
        <w:pStyle w:val="Text1"/>
        <w:pBdr>
          <w:top w:val="single" w:sz="4" w:space="1" w:color="auto"/>
          <w:left w:val="single" w:sz="4" w:space="4" w:color="auto"/>
          <w:bottom w:val="single" w:sz="4" w:space="1" w:color="auto"/>
          <w:right w:val="single" w:sz="4" w:space="4" w:color="auto"/>
        </w:pBdr>
        <w:rPr>
          <w:noProof/>
        </w:rPr>
      </w:pPr>
      <w:r w:rsidRPr="00624565">
        <w:rPr>
          <w:noProof/>
        </w:rPr>
        <w:t>Spowodowałoby to większy popyt na bardziej ekologiczne produkty</w:t>
      </w:r>
      <w:r w:rsidR="003F3D2B" w:rsidRPr="00624565">
        <w:rPr>
          <w:noProof/>
        </w:rPr>
        <w:t xml:space="preserve"> i</w:t>
      </w:r>
      <w:r w:rsidR="003F3D2B">
        <w:rPr>
          <w:noProof/>
        </w:rPr>
        <w:t> </w:t>
      </w:r>
      <w:r w:rsidR="003F3D2B" w:rsidRPr="00624565">
        <w:rPr>
          <w:noProof/>
        </w:rPr>
        <w:t>roz</w:t>
      </w:r>
      <w:r w:rsidRPr="00624565">
        <w:rPr>
          <w:noProof/>
        </w:rPr>
        <w:t>wiązania, co napędzi rozwój rynków ekologicznych. Odblokowałoby to możliwości dla łańcucha dostaw</w:t>
      </w:r>
      <w:r w:rsidR="003F3D2B" w:rsidRPr="00624565">
        <w:rPr>
          <w:noProof/>
        </w:rPr>
        <w:t xml:space="preserve"> w</w:t>
      </w:r>
      <w:r w:rsidR="003F3D2B">
        <w:rPr>
          <w:noProof/>
        </w:rPr>
        <w:t> </w:t>
      </w:r>
      <w:r w:rsidR="003F3D2B" w:rsidRPr="00624565">
        <w:rPr>
          <w:noProof/>
        </w:rPr>
        <w:t>zak</w:t>
      </w:r>
      <w:r w:rsidRPr="00624565">
        <w:rPr>
          <w:noProof/>
        </w:rPr>
        <w:t>resie większej wydajności</w:t>
      </w:r>
      <w:r w:rsidR="003F3D2B" w:rsidRPr="00624565">
        <w:rPr>
          <w:noProof/>
        </w:rPr>
        <w:t xml:space="preserve"> i</w:t>
      </w:r>
      <w:r w:rsidR="003F3D2B">
        <w:rPr>
          <w:noProof/>
        </w:rPr>
        <w:t> </w:t>
      </w:r>
      <w:r w:rsidR="003F3D2B" w:rsidRPr="00624565">
        <w:rPr>
          <w:noProof/>
        </w:rPr>
        <w:t>lep</w:t>
      </w:r>
      <w:r w:rsidRPr="00624565">
        <w:rPr>
          <w:noProof/>
        </w:rPr>
        <w:t>szej efektywności środowiskowej. Przyczyniłoby się to do osiągnięcia ogólnego celu, jakim jest uwolnienie potencjału zielonej gospodarki</w:t>
      </w:r>
      <w:r w:rsidR="003F3D2B" w:rsidRPr="00624565">
        <w:rPr>
          <w:noProof/>
        </w:rPr>
        <w:t xml:space="preserve"> i</w:t>
      </w:r>
      <w:r w:rsidR="003F3D2B">
        <w:rPr>
          <w:noProof/>
        </w:rPr>
        <w:t> </w:t>
      </w:r>
      <w:r w:rsidR="003F3D2B" w:rsidRPr="00624565">
        <w:rPr>
          <w:noProof/>
        </w:rPr>
        <w:t>gos</w:t>
      </w:r>
      <w:r w:rsidRPr="00624565">
        <w:rPr>
          <w:noProof/>
        </w:rPr>
        <w:t>podarki</w:t>
      </w:r>
      <w:r w:rsidR="003F3D2B" w:rsidRPr="00624565">
        <w:rPr>
          <w:noProof/>
        </w:rPr>
        <w:t xml:space="preserve"> o</w:t>
      </w:r>
      <w:r w:rsidR="003F3D2B">
        <w:rPr>
          <w:noProof/>
        </w:rPr>
        <w:t> </w:t>
      </w:r>
      <w:r w:rsidR="003F3D2B" w:rsidRPr="00624565">
        <w:rPr>
          <w:noProof/>
        </w:rPr>
        <w:t>obi</w:t>
      </w:r>
      <w:r w:rsidRPr="00624565">
        <w:rPr>
          <w:noProof/>
        </w:rPr>
        <w:t>egu zamkniętym. Ustanowienie unijnego podejścia do oświadczeń środowiskowych stanowiłoby realizację ogólnego celu, jakim jest wzmocnienie funkcjonowania rynku wewnętrznego,</w:t>
      </w:r>
      <w:r w:rsidR="003F3D2B" w:rsidRPr="00624565">
        <w:rPr>
          <w:noProof/>
        </w:rPr>
        <w:t xml:space="preserve"> a</w:t>
      </w:r>
      <w:r w:rsidR="003F3D2B">
        <w:rPr>
          <w:noProof/>
        </w:rPr>
        <w:t> </w:t>
      </w:r>
      <w:r w:rsidR="003F3D2B" w:rsidRPr="00624565">
        <w:rPr>
          <w:noProof/>
        </w:rPr>
        <w:t>w</w:t>
      </w:r>
      <w:r w:rsidR="003F3D2B">
        <w:rPr>
          <w:noProof/>
        </w:rPr>
        <w:t> </w:t>
      </w:r>
      <w:r w:rsidR="003F3D2B" w:rsidRPr="00624565">
        <w:rPr>
          <w:noProof/>
        </w:rPr>
        <w:t>szc</w:t>
      </w:r>
      <w:r w:rsidRPr="00624565">
        <w:rPr>
          <w:noProof/>
        </w:rPr>
        <w:t xml:space="preserve">zególności rynków ekologicznych. </w:t>
      </w:r>
    </w:p>
    <w:p w14:paraId="636C6F62" w14:textId="7C82863A" w:rsidR="00231D49" w:rsidRPr="00624565" w:rsidRDefault="00231D49" w:rsidP="00231D49">
      <w:pPr>
        <w:pStyle w:val="Text1"/>
        <w:pBdr>
          <w:top w:val="single" w:sz="4" w:space="1" w:color="auto"/>
          <w:left w:val="single" w:sz="4" w:space="4" w:color="auto"/>
          <w:bottom w:val="single" w:sz="4" w:space="1" w:color="auto"/>
          <w:right w:val="single" w:sz="4" w:space="4" w:color="auto"/>
        </w:pBdr>
        <w:rPr>
          <w:noProof/>
        </w:rPr>
      </w:pPr>
      <w:r w:rsidRPr="00624565">
        <w:rPr>
          <w:noProof/>
        </w:rPr>
        <w:t>Wspólne podejście UE odpowiadające celowi wiarygodności, porównywalności</w:t>
      </w:r>
      <w:r w:rsidR="003F3D2B" w:rsidRPr="00624565">
        <w:rPr>
          <w:noProof/>
        </w:rPr>
        <w:t xml:space="preserve"> i</w:t>
      </w:r>
      <w:r w:rsidR="003F3D2B">
        <w:rPr>
          <w:noProof/>
        </w:rPr>
        <w:t> </w:t>
      </w:r>
      <w:r w:rsidR="003F3D2B" w:rsidRPr="00624565">
        <w:rPr>
          <w:noProof/>
        </w:rPr>
        <w:t>wer</w:t>
      </w:r>
      <w:r w:rsidRPr="00624565">
        <w:rPr>
          <w:noProof/>
        </w:rPr>
        <w:t>yfikowalności ułatwiłoby organom egzekwującym prawo weryfikowanie oświadczeń, co jeszcze bardziej zwiększyłoby ich skuteczność. Wzmocniłoby to dodatkowo bodźce do poprawy efektywności środowiskowej produktów</w:t>
      </w:r>
      <w:r w:rsidR="003F3D2B" w:rsidRPr="00624565">
        <w:rPr>
          <w:noProof/>
        </w:rPr>
        <w:t xml:space="preserve"> i</w:t>
      </w:r>
      <w:r w:rsidR="003F3D2B">
        <w:rPr>
          <w:noProof/>
        </w:rPr>
        <w:t> </w:t>
      </w:r>
      <w:r w:rsidR="003F3D2B" w:rsidRPr="00624565">
        <w:rPr>
          <w:noProof/>
        </w:rPr>
        <w:t>prz</w:t>
      </w:r>
      <w:r w:rsidRPr="00624565">
        <w:rPr>
          <w:noProof/>
        </w:rPr>
        <w:t>edsiębiorców, przyczyniając się do realizacji celów Europejskiego Zielonego Ładu.</w:t>
      </w:r>
    </w:p>
    <w:p w14:paraId="51F9E37C" w14:textId="77777777" w:rsidR="009769E5" w:rsidRPr="00624565" w:rsidRDefault="009769E5" w:rsidP="009769E5">
      <w:pPr>
        <w:pStyle w:val="ManualHeading3"/>
        <w:rPr>
          <w:noProof/>
          <w:szCs w:val="24"/>
        </w:rPr>
      </w:pPr>
      <w:r w:rsidRPr="00624565">
        <w:rPr>
          <w:noProof/>
        </w:rPr>
        <w:t>1.4.4.</w:t>
      </w:r>
      <w:r w:rsidRPr="00624565">
        <w:rPr>
          <w:noProof/>
        </w:rPr>
        <w:tab/>
        <w:t>Wskaźniki dotyczące realizacji celów</w:t>
      </w:r>
    </w:p>
    <w:p w14:paraId="7A98E090" w14:textId="4D6A4414" w:rsidR="009769E5" w:rsidRPr="00624565" w:rsidRDefault="009769E5" w:rsidP="009769E5">
      <w:pPr>
        <w:pStyle w:val="Text1"/>
        <w:rPr>
          <w:i/>
          <w:noProof/>
          <w:sz w:val="20"/>
        </w:rPr>
      </w:pPr>
      <w:r w:rsidRPr="00624565">
        <w:rPr>
          <w:i/>
          <w:noProof/>
          <w:sz w:val="20"/>
        </w:rPr>
        <w:t>Należy wskazać wskaźniki stosowane do monitorowania postępów</w:t>
      </w:r>
      <w:r w:rsidR="003F3D2B" w:rsidRPr="00624565">
        <w:rPr>
          <w:i/>
          <w:noProof/>
          <w:sz w:val="20"/>
        </w:rPr>
        <w:t xml:space="preserve"> i</w:t>
      </w:r>
      <w:r w:rsidR="003F3D2B">
        <w:rPr>
          <w:i/>
          <w:noProof/>
          <w:sz w:val="20"/>
        </w:rPr>
        <w:t> </w:t>
      </w:r>
      <w:r w:rsidR="003F3D2B" w:rsidRPr="00624565">
        <w:rPr>
          <w:i/>
          <w:noProof/>
          <w:sz w:val="20"/>
        </w:rPr>
        <w:t>osi</w:t>
      </w:r>
      <w:r w:rsidRPr="00624565">
        <w:rPr>
          <w:i/>
          <w:noProof/>
          <w:sz w:val="20"/>
        </w:rPr>
        <w:t>ągnięć.</w:t>
      </w:r>
    </w:p>
    <w:p w14:paraId="55EBF051" w14:textId="31574795" w:rsidR="00231D49" w:rsidRPr="00624565" w:rsidRDefault="00231D49" w:rsidP="00231D49">
      <w:pPr>
        <w:pStyle w:val="Text1"/>
        <w:pBdr>
          <w:top w:val="single" w:sz="4" w:space="1" w:color="auto"/>
          <w:left w:val="single" w:sz="4" w:space="4" w:color="auto"/>
          <w:bottom w:val="single" w:sz="4" w:space="1" w:color="auto"/>
          <w:right w:val="single" w:sz="4" w:space="4" w:color="auto"/>
        </w:pBdr>
        <w:rPr>
          <w:noProof/>
        </w:rPr>
      </w:pPr>
      <w:r w:rsidRPr="00624565">
        <w:rPr>
          <w:b/>
          <w:noProof/>
        </w:rPr>
        <w:t>1. Oświadczenia środowiskowe dotyczące produktów</w:t>
      </w:r>
      <w:r w:rsidR="003F3D2B" w:rsidRPr="00624565">
        <w:rPr>
          <w:b/>
          <w:noProof/>
        </w:rPr>
        <w:t xml:space="preserve"> i</w:t>
      </w:r>
      <w:r w:rsidR="003F3D2B">
        <w:rPr>
          <w:b/>
          <w:noProof/>
        </w:rPr>
        <w:t> </w:t>
      </w:r>
      <w:r w:rsidR="003F3D2B" w:rsidRPr="00624565">
        <w:rPr>
          <w:b/>
          <w:noProof/>
        </w:rPr>
        <w:t>prz</w:t>
      </w:r>
      <w:r w:rsidRPr="00624565">
        <w:rPr>
          <w:b/>
          <w:noProof/>
        </w:rPr>
        <w:t>edsiębiorstw są wiarygodne, porównywalne</w:t>
      </w:r>
      <w:r w:rsidR="003F3D2B" w:rsidRPr="00624565">
        <w:rPr>
          <w:b/>
          <w:noProof/>
        </w:rPr>
        <w:t xml:space="preserve"> i</w:t>
      </w:r>
      <w:r w:rsidR="003F3D2B">
        <w:rPr>
          <w:b/>
          <w:noProof/>
        </w:rPr>
        <w:t> </w:t>
      </w:r>
      <w:r w:rsidR="003F3D2B" w:rsidRPr="00624565">
        <w:rPr>
          <w:b/>
          <w:noProof/>
        </w:rPr>
        <w:t>moż</w:t>
      </w:r>
      <w:r w:rsidRPr="00624565">
        <w:rPr>
          <w:b/>
          <w:noProof/>
        </w:rPr>
        <w:t xml:space="preserve">liwe do zweryfikowania: </w:t>
      </w:r>
      <w:r w:rsidRPr="00624565">
        <w:rPr>
          <w:noProof/>
        </w:rPr>
        <w:t>rosnący udział wiarygodnych oświadczeń środowiskowych</w:t>
      </w:r>
      <w:r w:rsidR="003F3D2B" w:rsidRPr="00624565">
        <w:rPr>
          <w:noProof/>
        </w:rPr>
        <w:t xml:space="preserve"> i</w:t>
      </w:r>
      <w:r w:rsidR="003F3D2B">
        <w:rPr>
          <w:noProof/>
        </w:rPr>
        <w:t> </w:t>
      </w:r>
      <w:r w:rsidR="003F3D2B" w:rsidRPr="00624565">
        <w:rPr>
          <w:noProof/>
        </w:rPr>
        <w:t>odp</w:t>
      </w:r>
      <w:r w:rsidRPr="00624565">
        <w:rPr>
          <w:noProof/>
        </w:rPr>
        <w:t>owiednio malejący udział wprowadzających</w:t>
      </w:r>
      <w:r w:rsidR="003F3D2B" w:rsidRPr="00624565">
        <w:rPr>
          <w:noProof/>
        </w:rPr>
        <w:t xml:space="preserve"> w</w:t>
      </w:r>
      <w:r w:rsidR="003F3D2B">
        <w:rPr>
          <w:noProof/>
        </w:rPr>
        <w:t> </w:t>
      </w:r>
      <w:r w:rsidR="003F3D2B" w:rsidRPr="00624565">
        <w:rPr>
          <w:noProof/>
        </w:rPr>
        <w:t>błą</w:t>
      </w:r>
      <w:r w:rsidRPr="00624565">
        <w:rPr>
          <w:noProof/>
        </w:rPr>
        <w:t xml:space="preserve">d oświadczeń środowiskowych monitorowanych poprzez: </w:t>
      </w:r>
    </w:p>
    <w:p w14:paraId="576F44F1" w14:textId="3039C6E0" w:rsidR="00231D49" w:rsidRPr="00624565" w:rsidRDefault="00231D49" w:rsidP="00231D49">
      <w:pPr>
        <w:pStyle w:val="Text1"/>
        <w:pBdr>
          <w:top w:val="single" w:sz="4" w:space="1" w:color="auto"/>
          <w:left w:val="single" w:sz="4" w:space="4" w:color="auto"/>
          <w:bottom w:val="single" w:sz="4" w:space="1" w:color="auto"/>
          <w:right w:val="single" w:sz="4" w:space="4" w:color="auto"/>
        </w:pBdr>
        <w:rPr>
          <w:noProof/>
        </w:rPr>
      </w:pPr>
      <w:r w:rsidRPr="00624565">
        <w:rPr>
          <w:noProof/>
        </w:rPr>
        <w:t>o liczbę oświadczeń środowiskowych, które są zgodne (lub nie)</w:t>
      </w:r>
      <w:r w:rsidR="003F3D2B" w:rsidRPr="00624565">
        <w:rPr>
          <w:noProof/>
        </w:rPr>
        <w:t xml:space="preserve"> z</w:t>
      </w:r>
      <w:r w:rsidR="003F3D2B">
        <w:rPr>
          <w:noProof/>
        </w:rPr>
        <w:t> </w:t>
      </w:r>
      <w:r w:rsidR="003F3D2B" w:rsidRPr="00624565">
        <w:rPr>
          <w:noProof/>
        </w:rPr>
        <w:t>wym</w:t>
      </w:r>
      <w:r w:rsidRPr="00624565">
        <w:rPr>
          <w:noProof/>
        </w:rPr>
        <w:t xml:space="preserve">ogami inicjatywy na rzecz oświadczeń środowiskowych; </w:t>
      </w:r>
    </w:p>
    <w:p w14:paraId="62B4B282" w14:textId="77777777" w:rsidR="00231D49" w:rsidRPr="00624565" w:rsidRDefault="00231D49" w:rsidP="00231D49">
      <w:pPr>
        <w:pStyle w:val="Text1"/>
        <w:pBdr>
          <w:top w:val="single" w:sz="4" w:space="1" w:color="auto"/>
          <w:left w:val="single" w:sz="4" w:space="4" w:color="auto"/>
          <w:bottom w:val="single" w:sz="4" w:space="1" w:color="auto"/>
          <w:right w:val="single" w:sz="4" w:space="4" w:color="auto"/>
        </w:pBdr>
        <w:rPr>
          <w:noProof/>
        </w:rPr>
      </w:pPr>
      <w:r w:rsidRPr="00624565">
        <w:rPr>
          <w:noProof/>
        </w:rPr>
        <w:t xml:space="preserve">o skuteczne wdrażanie inicjatywy na rzecz oświadczeń środowiskowych; </w:t>
      </w:r>
    </w:p>
    <w:p w14:paraId="493100B7" w14:textId="04BCA906" w:rsidR="00231D49" w:rsidRPr="00624565" w:rsidRDefault="00231D49" w:rsidP="00231D49">
      <w:pPr>
        <w:pStyle w:val="Text1"/>
        <w:pBdr>
          <w:top w:val="single" w:sz="4" w:space="1" w:color="auto"/>
          <w:left w:val="single" w:sz="4" w:space="4" w:color="auto"/>
          <w:bottom w:val="single" w:sz="4" w:space="1" w:color="auto"/>
          <w:right w:val="single" w:sz="4" w:space="4" w:color="auto"/>
        </w:pBdr>
        <w:rPr>
          <w:noProof/>
        </w:rPr>
      </w:pPr>
      <w:r w:rsidRPr="00624565">
        <w:rPr>
          <w:noProof/>
        </w:rPr>
        <w:t>o odsetek organów krajowych, które uważają, że dyrektywa ułatwiła rozwiązanie problemu związanego</w:t>
      </w:r>
      <w:r w:rsidR="003F3D2B" w:rsidRPr="00624565">
        <w:rPr>
          <w:noProof/>
        </w:rPr>
        <w:t xml:space="preserve"> z</w:t>
      </w:r>
      <w:r w:rsidR="003F3D2B">
        <w:rPr>
          <w:noProof/>
        </w:rPr>
        <w:t> </w:t>
      </w:r>
      <w:r w:rsidR="003F3D2B" w:rsidRPr="00624565">
        <w:rPr>
          <w:noProof/>
        </w:rPr>
        <w:t>nie</w:t>
      </w:r>
      <w:r w:rsidRPr="00624565">
        <w:rPr>
          <w:noProof/>
        </w:rPr>
        <w:t xml:space="preserve">uczciwym zielonym PR. </w:t>
      </w:r>
    </w:p>
    <w:p w14:paraId="77F53E00" w14:textId="676CE842" w:rsidR="00231D49" w:rsidRPr="00624565" w:rsidRDefault="00231D49" w:rsidP="00231D49">
      <w:pPr>
        <w:pStyle w:val="Text1"/>
        <w:pBdr>
          <w:top w:val="single" w:sz="4" w:space="1" w:color="auto"/>
          <w:left w:val="single" w:sz="4" w:space="4" w:color="auto"/>
          <w:bottom w:val="single" w:sz="4" w:space="1" w:color="auto"/>
          <w:right w:val="single" w:sz="4" w:space="4" w:color="auto"/>
        </w:pBdr>
        <w:rPr>
          <w:noProof/>
        </w:rPr>
      </w:pPr>
      <w:r w:rsidRPr="00624565">
        <w:rPr>
          <w:noProof/>
        </w:rPr>
        <w:t xml:space="preserve">2. </w:t>
      </w:r>
      <w:r w:rsidRPr="00624565">
        <w:rPr>
          <w:b/>
          <w:noProof/>
        </w:rPr>
        <w:t>Użytkownicy informacji ufają informacjom</w:t>
      </w:r>
      <w:r w:rsidR="003F3D2B" w:rsidRPr="00624565">
        <w:rPr>
          <w:b/>
          <w:noProof/>
        </w:rPr>
        <w:t xml:space="preserve"> o</w:t>
      </w:r>
      <w:r w:rsidR="003F3D2B">
        <w:rPr>
          <w:b/>
          <w:noProof/>
        </w:rPr>
        <w:t> </w:t>
      </w:r>
      <w:r w:rsidR="003F3D2B" w:rsidRPr="00624565">
        <w:rPr>
          <w:b/>
          <w:noProof/>
        </w:rPr>
        <w:t>śro</w:t>
      </w:r>
      <w:r w:rsidRPr="00624565">
        <w:rPr>
          <w:b/>
          <w:noProof/>
        </w:rPr>
        <w:t xml:space="preserve">dowisku: </w:t>
      </w:r>
      <w:r w:rsidRPr="00624565">
        <w:rPr>
          <w:noProof/>
        </w:rPr>
        <w:t>zwiększenie zaufania użytkowników informacji (konsumentów, przedsiębiorstw, inwestorów, administracji publicznej</w:t>
      </w:r>
      <w:r w:rsidR="003F3D2B" w:rsidRPr="00624565">
        <w:rPr>
          <w:noProof/>
        </w:rPr>
        <w:t xml:space="preserve"> i</w:t>
      </w:r>
      <w:r w:rsidR="003F3D2B">
        <w:rPr>
          <w:noProof/>
        </w:rPr>
        <w:t> </w:t>
      </w:r>
      <w:r w:rsidR="003F3D2B" w:rsidRPr="00624565">
        <w:rPr>
          <w:noProof/>
        </w:rPr>
        <w:t>org</w:t>
      </w:r>
      <w:r w:rsidRPr="00624565">
        <w:rPr>
          <w:noProof/>
        </w:rPr>
        <w:t xml:space="preserve">anizacji pozarządowych) do oświadczeń środowiskowych monitorowanych poprzez: </w:t>
      </w:r>
    </w:p>
    <w:p w14:paraId="165877D2" w14:textId="77777777" w:rsidR="00231D49" w:rsidRPr="00624565" w:rsidRDefault="00231D49" w:rsidP="00231D49">
      <w:pPr>
        <w:pStyle w:val="Text1"/>
        <w:pBdr>
          <w:top w:val="single" w:sz="4" w:space="1" w:color="auto"/>
          <w:left w:val="single" w:sz="4" w:space="4" w:color="auto"/>
          <w:bottom w:val="single" w:sz="4" w:space="1" w:color="auto"/>
          <w:right w:val="single" w:sz="4" w:space="4" w:color="auto"/>
        </w:pBdr>
        <w:rPr>
          <w:noProof/>
        </w:rPr>
      </w:pPr>
      <w:r w:rsidRPr="00624565">
        <w:rPr>
          <w:noProof/>
        </w:rPr>
        <w:t xml:space="preserve">o poziom zaufania konsumentów do oświadczeń środowiskowych; </w:t>
      </w:r>
    </w:p>
    <w:p w14:paraId="5AF96377" w14:textId="77777777" w:rsidR="00231D49" w:rsidRPr="00624565" w:rsidRDefault="00231D49" w:rsidP="00231D49">
      <w:pPr>
        <w:pStyle w:val="Text1"/>
        <w:pBdr>
          <w:top w:val="single" w:sz="4" w:space="1" w:color="auto"/>
          <w:left w:val="single" w:sz="4" w:space="4" w:color="auto"/>
          <w:bottom w:val="single" w:sz="4" w:space="1" w:color="auto"/>
          <w:right w:val="single" w:sz="4" w:space="4" w:color="auto"/>
        </w:pBdr>
        <w:rPr>
          <w:noProof/>
        </w:rPr>
      </w:pPr>
      <w:r w:rsidRPr="00624565">
        <w:rPr>
          <w:noProof/>
        </w:rPr>
        <w:t xml:space="preserve">o poziom zaufania konsumentów do oznakowania dotyczącego zrównoważonego charakteru; </w:t>
      </w:r>
    </w:p>
    <w:p w14:paraId="2C69C491" w14:textId="77777777" w:rsidR="00231D49" w:rsidRPr="00624565" w:rsidRDefault="00231D49" w:rsidP="00231D49">
      <w:pPr>
        <w:pStyle w:val="Text1"/>
        <w:pBdr>
          <w:top w:val="single" w:sz="4" w:space="1" w:color="auto"/>
          <w:left w:val="single" w:sz="4" w:space="4" w:color="auto"/>
          <w:bottom w:val="single" w:sz="4" w:space="1" w:color="auto"/>
          <w:right w:val="single" w:sz="4" w:space="4" w:color="auto"/>
        </w:pBdr>
        <w:rPr>
          <w:noProof/>
        </w:rPr>
      </w:pPr>
      <w:r w:rsidRPr="00624565">
        <w:rPr>
          <w:noProof/>
        </w:rPr>
        <w:t xml:space="preserve">o poziom zaufania innych użytkowników informacji (przedsiębiorstw, inwestorów, administracji publicznej, organizacji pozarządowych) do oświadczeń środowiskowych. </w:t>
      </w:r>
    </w:p>
    <w:p w14:paraId="70A6BD93" w14:textId="1C9FC4FF" w:rsidR="00231D49" w:rsidRPr="00624565" w:rsidRDefault="00231D49" w:rsidP="00231D49">
      <w:pPr>
        <w:pStyle w:val="Text1"/>
        <w:pBdr>
          <w:top w:val="single" w:sz="4" w:space="1" w:color="auto"/>
          <w:left w:val="single" w:sz="4" w:space="4" w:color="auto"/>
          <w:bottom w:val="single" w:sz="4" w:space="1" w:color="auto"/>
          <w:right w:val="single" w:sz="4" w:space="4" w:color="auto"/>
        </w:pBdr>
        <w:rPr>
          <w:noProof/>
        </w:rPr>
      </w:pPr>
      <w:r w:rsidRPr="00624565">
        <w:rPr>
          <w:b/>
          <w:noProof/>
        </w:rPr>
        <w:t>3. Poprawa efektywności środowiskowej produktów</w:t>
      </w:r>
      <w:r w:rsidR="003F3D2B" w:rsidRPr="00624565">
        <w:rPr>
          <w:b/>
          <w:noProof/>
        </w:rPr>
        <w:t xml:space="preserve"> i</w:t>
      </w:r>
      <w:r w:rsidR="003F3D2B">
        <w:rPr>
          <w:b/>
          <w:noProof/>
        </w:rPr>
        <w:t> </w:t>
      </w:r>
      <w:r w:rsidR="003F3D2B" w:rsidRPr="00624565">
        <w:rPr>
          <w:b/>
          <w:noProof/>
        </w:rPr>
        <w:t>org</w:t>
      </w:r>
      <w:r w:rsidRPr="00624565">
        <w:rPr>
          <w:b/>
          <w:noProof/>
        </w:rPr>
        <w:t xml:space="preserve">anizacji: </w:t>
      </w:r>
      <w:r w:rsidRPr="00624565">
        <w:rPr>
          <w:noProof/>
        </w:rPr>
        <w:t>pozytywne zmiany</w:t>
      </w:r>
      <w:r w:rsidR="003F3D2B" w:rsidRPr="00624565">
        <w:rPr>
          <w:noProof/>
        </w:rPr>
        <w:t xml:space="preserve"> w</w:t>
      </w:r>
      <w:r w:rsidR="003F3D2B">
        <w:rPr>
          <w:noProof/>
        </w:rPr>
        <w:t> </w:t>
      </w:r>
      <w:r w:rsidR="003F3D2B" w:rsidRPr="00624565">
        <w:rPr>
          <w:noProof/>
        </w:rPr>
        <w:t>zak</w:t>
      </w:r>
      <w:r w:rsidRPr="00624565">
        <w:rPr>
          <w:noProof/>
        </w:rPr>
        <w:t>resie wartości poziomu referencyjnego</w:t>
      </w:r>
      <w:r w:rsidR="003F3D2B" w:rsidRPr="00624565">
        <w:rPr>
          <w:noProof/>
        </w:rPr>
        <w:t xml:space="preserve"> w</w:t>
      </w:r>
      <w:r w:rsidR="003F3D2B">
        <w:rPr>
          <w:noProof/>
        </w:rPr>
        <w:t> </w:t>
      </w:r>
      <w:r w:rsidR="003F3D2B" w:rsidRPr="00624565">
        <w:rPr>
          <w:noProof/>
        </w:rPr>
        <w:t>zas</w:t>
      </w:r>
      <w:r w:rsidRPr="00624565">
        <w:rPr>
          <w:noProof/>
        </w:rPr>
        <w:t>adach dotyczących kategorii śladu środowiskowego produktu (PEFCR) oraz wyników profilu śladu środowiskowego produktu (PEF)</w:t>
      </w:r>
      <w:r w:rsidR="003F3D2B" w:rsidRPr="00624565">
        <w:rPr>
          <w:noProof/>
        </w:rPr>
        <w:t xml:space="preserve"> i</w:t>
      </w:r>
      <w:r w:rsidR="003F3D2B">
        <w:rPr>
          <w:noProof/>
        </w:rPr>
        <w:t> </w:t>
      </w:r>
      <w:r w:rsidR="003F3D2B" w:rsidRPr="00624565">
        <w:rPr>
          <w:noProof/>
        </w:rPr>
        <w:t>śla</w:t>
      </w:r>
      <w:r w:rsidRPr="00624565">
        <w:rPr>
          <w:noProof/>
        </w:rPr>
        <w:t>du środowiskowego organizacji (OEF), które pokazują, że produkty</w:t>
      </w:r>
      <w:r w:rsidR="003F3D2B" w:rsidRPr="00624565">
        <w:rPr>
          <w:noProof/>
        </w:rPr>
        <w:t xml:space="preserve"> i</w:t>
      </w:r>
      <w:r w:rsidR="003F3D2B">
        <w:rPr>
          <w:noProof/>
        </w:rPr>
        <w:t> </w:t>
      </w:r>
      <w:r w:rsidR="003F3D2B" w:rsidRPr="00624565">
        <w:rPr>
          <w:noProof/>
        </w:rPr>
        <w:t>org</w:t>
      </w:r>
      <w:r w:rsidRPr="00624565">
        <w:rPr>
          <w:noProof/>
        </w:rPr>
        <w:t xml:space="preserve">anizacje stają się bardziej ekologiczne; zmniejszający się ślad konsumpcyjny UE (zgodnie ze </w:t>
      </w:r>
      <w:hyperlink r:id="rId17">
        <w:r w:rsidRPr="00624565">
          <w:rPr>
            <w:rStyle w:val="Hyperlink"/>
            <w:noProof/>
          </w:rPr>
          <w:t>wskaźnikiem śladu konsumpcyjnego opracowanym przez JRC</w:t>
        </w:r>
      </w:hyperlink>
      <w:r w:rsidRPr="00624565">
        <w:rPr>
          <w:noProof/>
        </w:rPr>
        <w:t>), obejmujący wszystkie 16 rodzajów wpływu na środowisko</w:t>
      </w:r>
      <w:r w:rsidR="003F3D2B" w:rsidRPr="00624565">
        <w:rPr>
          <w:noProof/>
        </w:rPr>
        <w:t xml:space="preserve"> w</w:t>
      </w:r>
      <w:r w:rsidR="003F3D2B">
        <w:rPr>
          <w:noProof/>
        </w:rPr>
        <w:t> </w:t>
      </w:r>
      <w:r w:rsidR="003F3D2B" w:rsidRPr="00624565">
        <w:rPr>
          <w:noProof/>
        </w:rPr>
        <w:t>ram</w:t>
      </w:r>
      <w:r w:rsidRPr="00624565">
        <w:rPr>
          <w:noProof/>
        </w:rPr>
        <w:t xml:space="preserve">ach metod oznaczania śladu środowiskowego. Będzie to monitorowane poprzez uwzględnienie następujących wskaźników: </w:t>
      </w:r>
    </w:p>
    <w:p w14:paraId="47C39482" w14:textId="52C7724D" w:rsidR="00231D49" w:rsidRPr="00624565" w:rsidRDefault="00231D49" w:rsidP="00231D49">
      <w:pPr>
        <w:pStyle w:val="Text1"/>
        <w:pBdr>
          <w:top w:val="single" w:sz="4" w:space="1" w:color="auto"/>
          <w:left w:val="single" w:sz="4" w:space="4" w:color="auto"/>
          <w:bottom w:val="single" w:sz="4" w:space="1" w:color="auto"/>
          <w:right w:val="single" w:sz="4" w:space="4" w:color="auto"/>
        </w:pBdr>
        <w:rPr>
          <w:noProof/>
        </w:rPr>
      </w:pPr>
      <w:r w:rsidRPr="00624565">
        <w:rPr>
          <w:noProof/>
        </w:rPr>
        <w:t>o zmiany</w:t>
      </w:r>
      <w:r w:rsidR="003F3D2B" w:rsidRPr="00624565">
        <w:rPr>
          <w:noProof/>
        </w:rPr>
        <w:t xml:space="preserve"> w</w:t>
      </w:r>
      <w:r w:rsidR="003F3D2B">
        <w:rPr>
          <w:noProof/>
        </w:rPr>
        <w:t> </w:t>
      </w:r>
      <w:r w:rsidR="003F3D2B" w:rsidRPr="00624565">
        <w:rPr>
          <w:noProof/>
        </w:rPr>
        <w:t>zak</w:t>
      </w:r>
      <w:r w:rsidRPr="00624565">
        <w:rPr>
          <w:noProof/>
        </w:rPr>
        <w:t xml:space="preserve">resie wartości poziomu referencyjnego w PEFCR; </w:t>
      </w:r>
    </w:p>
    <w:p w14:paraId="35250C7B" w14:textId="12977C96" w:rsidR="00231D49" w:rsidRPr="00624565" w:rsidRDefault="00231D49" w:rsidP="00231D49">
      <w:pPr>
        <w:pStyle w:val="Text1"/>
        <w:pBdr>
          <w:top w:val="single" w:sz="4" w:space="1" w:color="auto"/>
          <w:left w:val="single" w:sz="4" w:space="4" w:color="auto"/>
          <w:bottom w:val="single" w:sz="4" w:space="1" w:color="auto"/>
          <w:right w:val="single" w:sz="4" w:space="4" w:color="auto"/>
        </w:pBdr>
        <w:rPr>
          <w:noProof/>
        </w:rPr>
      </w:pPr>
      <w:r w:rsidRPr="00624565">
        <w:rPr>
          <w:noProof/>
        </w:rPr>
        <w:t>o zmiany</w:t>
      </w:r>
      <w:r w:rsidR="003F3D2B" w:rsidRPr="00624565">
        <w:rPr>
          <w:noProof/>
        </w:rPr>
        <w:t xml:space="preserve"> w</w:t>
      </w:r>
      <w:r w:rsidR="003F3D2B">
        <w:rPr>
          <w:noProof/>
        </w:rPr>
        <w:t> </w:t>
      </w:r>
      <w:r w:rsidR="003F3D2B" w:rsidRPr="00624565">
        <w:rPr>
          <w:noProof/>
        </w:rPr>
        <w:t>zak</w:t>
      </w:r>
      <w:r w:rsidRPr="00624565">
        <w:rPr>
          <w:noProof/>
        </w:rPr>
        <w:t>resie wyników profilu śladu środowiskowego produktu</w:t>
      </w:r>
      <w:r w:rsidR="003F3D2B" w:rsidRPr="00624565">
        <w:rPr>
          <w:noProof/>
        </w:rPr>
        <w:t xml:space="preserve"> i</w:t>
      </w:r>
      <w:r w:rsidR="003F3D2B">
        <w:rPr>
          <w:noProof/>
        </w:rPr>
        <w:t> </w:t>
      </w:r>
      <w:r w:rsidR="003F3D2B" w:rsidRPr="00624565">
        <w:rPr>
          <w:noProof/>
        </w:rPr>
        <w:t>org</w:t>
      </w:r>
      <w:r w:rsidRPr="00624565">
        <w:rPr>
          <w:noProof/>
        </w:rPr>
        <w:t xml:space="preserve">anizacji na przestrzeni czasu; </w:t>
      </w:r>
    </w:p>
    <w:p w14:paraId="695C8892" w14:textId="67931C9A" w:rsidR="00231D49" w:rsidRPr="00624565" w:rsidRDefault="00231D49" w:rsidP="00231D49">
      <w:pPr>
        <w:pStyle w:val="Text1"/>
        <w:pBdr>
          <w:top w:val="single" w:sz="4" w:space="1" w:color="auto"/>
          <w:left w:val="single" w:sz="4" w:space="4" w:color="auto"/>
          <w:bottom w:val="single" w:sz="4" w:space="1" w:color="auto"/>
          <w:right w:val="single" w:sz="4" w:space="4" w:color="auto"/>
        </w:pBdr>
        <w:rPr>
          <w:noProof/>
        </w:rPr>
      </w:pPr>
      <w:r w:rsidRPr="00624565">
        <w:rPr>
          <w:noProof/>
        </w:rPr>
        <w:t>o zmiany</w:t>
      </w:r>
      <w:r w:rsidR="003F3D2B" w:rsidRPr="00624565">
        <w:rPr>
          <w:noProof/>
        </w:rPr>
        <w:t xml:space="preserve"> w</w:t>
      </w:r>
      <w:r w:rsidR="003F3D2B">
        <w:rPr>
          <w:noProof/>
        </w:rPr>
        <w:t> </w:t>
      </w:r>
      <w:r w:rsidR="003F3D2B" w:rsidRPr="00624565">
        <w:rPr>
          <w:noProof/>
        </w:rPr>
        <w:t>zak</w:t>
      </w:r>
      <w:r w:rsidRPr="00624565">
        <w:rPr>
          <w:noProof/>
        </w:rPr>
        <w:t xml:space="preserve">resie śladu konsumpcyjnego w UE. </w:t>
      </w:r>
    </w:p>
    <w:p w14:paraId="1DF04A98" w14:textId="7A5C7764" w:rsidR="00231D49" w:rsidRPr="00624565" w:rsidRDefault="00231D49" w:rsidP="00231D49">
      <w:pPr>
        <w:pStyle w:val="Text1"/>
        <w:pBdr>
          <w:top w:val="single" w:sz="4" w:space="1" w:color="auto"/>
          <w:left w:val="single" w:sz="4" w:space="4" w:color="auto"/>
          <w:bottom w:val="single" w:sz="4" w:space="1" w:color="auto"/>
          <w:right w:val="single" w:sz="4" w:space="4" w:color="auto"/>
        </w:pBdr>
        <w:rPr>
          <w:noProof/>
        </w:rPr>
      </w:pPr>
      <w:r w:rsidRPr="00624565">
        <w:rPr>
          <w:noProof/>
        </w:rPr>
        <w:t xml:space="preserve">4. </w:t>
      </w:r>
      <w:r w:rsidRPr="00624565">
        <w:rPr>
          <w:b/>
          <w:noProof/>
        </w:rPr>
        <w:t xml:space="preserve">Zmniejszanie przeszkód na zielonych rynkach: </w:t>
      </w:r>
      <w:r w:rsidRPr="00624565">
        <w:rPr>
          <w:noProof/>
        </w:rPr>
        <w:t>ograniczanie przeszkód związanych</w:t>
      </w:r>
      <w:r w:rsidR="003F3D2B" w:rsidRPr="00624565">
        <w:rPr>
          <w:noProof/>
        </w:rPr>
        <w:t xml:space="preserve"> z</w:t>
      </w:r>
      <w:r w:rsidR="003F3D2B">
        <w:rPr>
          <w:noProof/>
        </w:rPr>
        <w:t> </w:t>
      </w:r>
      <w:r w:rsidR="003F3D2B" w:rsidRPr="00624565">
        <w:rPr>
          <w:noProof/>
        </w:rPr>
        <w:t>prz</w:t>
      </w:r>
      <w:r w:rsidRPr="00624565">
        <w:rPr>
          <w:noProof/>
        </w:rPr>
        <w:t>estrzeganiem wielu metod</w:t>
      </w:r>
      <w:r w:rsidR="003F3D2B" w:rsidRPr="00624565">
        <w:rPr>
          <w:noProof/>
        </w:rPr>
        <w:t xml:space="preserve"> i</w:t>
      </w:r>
      <w:r w:rsidR="003F3D2B">
        <w:rPr>
          <w:noProof/>
        </w:rPr>
        <w:t> </w:t>
      </w:r>
      <w:r w:rsidR="003F3D2B" w:rsidRPr="00624565">
        <w:rPr>
          <w:noProof/>
        </w:rPr>
        <w:t>dos</w:t>
      </w:r>
      <w:r w:rsidRPr="00624565">
        <w:rPr>
          <w:noProof/>
        </w:rPr>
        <w:t>tarczaniem informacji</w:t>
      </w:r>
      <w:r w:rsidR="003F3D2B" w:rsidRPr="00624565">
        <w:rPr>
          <w:noProof/>
        </w:rPr>
        <w:t xml:space="preserve"> o</w:t>
      </w:r>
      <w:r w:rsidR="003F3D2B">
        <w:rPr>
          <w:noProof/>
        </w:rPr>
        <w:t> </w:t>
      </w:r>
      <w:r w:rsidR="003F3D2B" w:rsidRPr="00624565">
        <w:rPr>
          <w:noProof/>
        </w:rPr>
        <w:t>śro</w:t>
      </w:r>
      <w:r w:rsidRPr="00624565">
        <w:rPr>
          <w:noProof/>
        </w:rPr>
        <w:t xml:space="preserve">dowisku. Będzie to monitorowane poprzez uwzględnienie następujących wskaźników: </w:t>
      </w:r>
    </w:p>
    <w:p w14:paraId="266A5EDF" w14:textId="77777777" w:rsidR="00231D49" w:rsidRPr="00624565" w:rsidRDefault="00231D49" w:rsidP="00231D49">
      <w:pPr>
        <w:pStyle w:val="Text1"/>
        <w:pBdr>
          <w:top w:val="single" w:sz="4" w:space="1" w:color="auto"/>
          <w:left w:val="single" w:sz="4" w:space="4" w:color="auto"/>
          <w:bottom w:val="single" w:sz="4" w:space="1" w:color="auto"/>
          <w:right w:val="single" w:sz="4" w:space="4" w:color="auto"/>
        </w:pBdr>
        <w:rPr>
          <w:noProof/>
        </w:rPr>
      </w:pPr>
      <w:r w:rsidRPr="00624565">
        <w:rPr>
          <w:noProof/>
        </w:rPr>
        <w:t>o postrzeganie produktów ekologicznych przez przedsiębiorstwa na rynku wewnętrznym.</w:t>
      </w:r>
    </w:p>
    <w:p w14:paraId="59C64696" w14:textId="77777777" w:rsidR="009769E5" w:rsidRPr="00624565" w:rsidRDefault="009769E5" w:rsidP="009769E5">
      <w:pPr>
        <w:pStyle w:val="ManualHeading2"/>
        <w:rPr>
          <w:bCs/>
          <w:noProof/>
          <w:szCs w:val="24"/>
        </w:rPr>
      </w:pPr>
      <w:r w:rsidRPr="00624565">
        <w:rPr>
          <w:noProof/>
        </w:rPr>
        <w:t>1.5.</w:t>
      </w:r>
      <w:r w:rsidRPr="00624565">
        <w:rPr>
          <w:noProof/>
        </w:rPr>
        <w:tab/>
        <w:t xml:space="preserve">Uzasadnienie wniosku/inicjatywy </w:t>
      </w:r>
    </w:p>
    <w:p w14:paraId="268EBD76" w14:textId="23325C1C" w:rsidR="009769E5" w:rsidRPr="00624565" w:rsidRDefault="009769E5" w:rsidP="009769E5">
      <w:pPr>
        <w:pStyle w:val="ManualHeading3"/>
        <w:rPr>
          <w:noProof/>
        </w:rPr>
      </w:pPr>
      <w:r w:rsidRPr="00624565">
        <w:rPr>
          <w:noProof/>
        </w:rPr>
        <w:t>1.5.1.</w:t>
      </w:r>
      <w:r w:rsidRPr="00624565">
        <w:rPr>
          <w:noProof/>
        </w:rPr>
        <w:tab/>
        <w:t>Potrzeby, które należy zaspokoić</w:t>
      </w:r>
      <w:r w:rsidR="003F3D2B" w:rsidRPr="00624565">
        <w:rPr>
          <w:noProof/>
        </w:rPr>
        <w:t xml:space="preserve"> w</w:t>
      </w:r>
      <w:r w:rsidR="003F3D2B">
        <w:rPr>
          <w:noProof/>
        </w:rPr>
        <w:t> </w:t>
      </w:r>
      <w:r w:rsidR="003F3D2B" w:rsidRPr="00624565">
        <w:rPr>
          <w:noProof/>
        </w:rPr>
        <w:t>per</w:t>
      </w:r>
      <w:r w:rsidRPr="00624565">
        <w:rPr>
          <w:noProof/>
        </w:rPr>
        <w:t>spektywie krótko- lub długoterminowej,</w:t>
      </w:r>
      <w:r w:rsidR="003F3D2B" w:rsidRPr="00624565">
        <w:rPr>
          <w:noProof/>
        </w:rPr>
        <w:t xml:space="preserve"> w</w:t>
      </w:r>
      <w:r w:rsidR="003F3D2B">
        <w:rPr>
          <w:noProof/>
        </w:rPr>
        <w:t> </w:t>
      </w:r>
      <w:r w:rsidR="003F3D2B" w:rsidRPr="00624565">
        <w:rPr>
          <w:noProof/>
        </w:rPr>
        <w:t>tym</w:t>
      </w:r>
      <w:r w:rsidRPr="00624565">
        <w:rPr>
          <w:noProof/>
        </w:rPr>
        <w:t xml:space="preserve"> szczegółowy terminarz przebiegu realizacji inicjatywy</w:t>
      </w:r>
    </w:p>
    <w:p w14:paraId="4D0730F5" w14:textId="77777777" w:rsidR="00231D49" w:rsidRPr="00624565" w:rsidRDefault="00231D49" w:rsidP="00231D49">
      <w:pPr>
        <w:pStyle w:val="Text1"/>
        <w:pBdr>
          <w:top w:val="single" w:sz="4" w:space="1" w:color="auto"/>
          <w:left w:val="single" w:sz="4" w:space="4" w:color="auto"/>
          <w:bottom w:val="single" w:sz="4" w:space="1" w:color="auto"/>
          <w:right w:val="single" w:sz="4" w:space="4" w:color="auto"/>
        </w:pBdr>
        <w:rPr>
          <w:noProof/>
          <w:u w:val="single"/>
        </w:rPr>
      </w:pPr>
      <w:r w:rsidRPr="00624565">
        <w:rPr>
          <w:noProof/>
          <w:u w:val="single"/>
        </w:rPr>
        <w:t>Zobowiązania krótkoterminowe</w:t>
      </w:r>
    </w:p>
    <w:p w14:paraId="27EDFFB9" w14:textId="621575BE" w:rsidR="00231D49" w:rsidRPr="00624565" w:rsidRDefault="00231D49" w:rsidP="00231D49">
      <w:pPr>
        <w:pStyle w:val="Text1"/>
        <w:pBdr>
          <w:top w:val="single" w:sz="4" w:space="1" w:color="auto"/>
          <w:left w:val="single" w:sz="4" w:space="4" w:color="auto"/>
          <w:bottom w:val="single" w:sz="4" w:space="1" w:color="auto"/>
          <w:right w:val="single" w:sz="4" w:space="4" w:color="auto"/>
        </w:pBdr>
        <w:rPr>
          <w:noProof/>
        </w:rPr>
      </w:pPr>
      <w:r w:rsidRPr="00624565">
        <w:rPr>
          <w:noProof/>
        </w:rPr>
        <w:t>Państwa członkowskie będą miały dwa lata na dokonanie transpozycji dyrektywy. Niniejszy wniosek jest ściśle związany</w:t>
      </w:r>
      <w:r w:rsidR="003F3D2B" w:rsidRPr="00624565">
        <w:rPr>
          <w:noProof/>
        </w:rPr>
        <w:t xml:space="preserve"> z</w:t>
      </w:r>
      <w:r w:rsidR="003F3D2B">
        <w:rPr>
          <w:noProof/>
        </w:rPr>
        <w:t> </w:t>
      </w:r>
      <w:r w:rsidR="003F3D2B" w:rsidRPr="00624565">
        <w:rPr>
          <w:noProof/>
        </w:rPr>
        <w:t>prz</w:t>
      </w:r>
      <w:r w:rsidRPr="00624565">
        <w:rPr>
          <w:noProof/>
        </w:rPr>
        <w:t>eglądem dyrektywy</w:t>
      </w:r>
      <w:r w:rsidR="003F3D2B" w:rsidRPr="00624565">
        <w:rPr>
          <w:noProof/>
        </w:rPr>
        <w:t xml:space="preserve"> o</w:t>
      </w:r>
      <w:r w:rsidR="003F3D2B">
        <w:rPr>
          <w:noProof/>
        </w:rPr>
        <w:t> </w:t>
      </w:r>
      <w:r w:rsidR="003F3D2B" w:rsidRPr="00624565">
        <w:rPr>
          <w:noProof/>
        </w:rPr>
        <w:t>nie</w:t>
      </w:r>
      <w:r w:rsidRPr="00624565">
        <w:rPr>
          <w:noProof/>
        </w:rPr>
        <w:t>uczciwych praktykach handlowych zaproponowanym przez Komisję</w:t>
      </w:r>
      <w:r w:rsidR="003F3D2B" w:rsidRPr="00624565">
        <w:rPr>
          <w:noProof/>
        </w:rPr>
        <w:t xml:space="preserve"> w</w:t>
      </w:r>
      <w:r w:rsidR="003F3D2B">
        <w:rPr>
          <w:noProof/>
        </w:rPr>
        <w:t> </w:t>
      </w:r>
      <w:r w:rsidR="003F3D2B" w:rsidRPr="00624565">
        <w:rPr>
          <w:noProof/>
        </w:rPr>
        <w:t>mar</w:t>
      </w:r>
      <w:r w:rsidRPr="00624565">
        <w:rPr>
          <w:noProof/>
        </w:rPr>
        <w:t>cu 20</w:t>
      </w:r>
      <w:r w:rsidRPr="003F3D2B">
        <w:rPr>
          <w:noProof/>
        </w:rPr>
        <w:t>22</w:t>
      </w:r>
      <w:r w:rsidR="003F3D2B" w:rsidRPr="003F3D2B">
        <w:rPr>
          <w:noProof/>
        </w:rPr>
        <w:t> </w:t>
      </w:r>
      <w:r w:rsidRPr="003F3D2B">
        <w:rPr>
          <w:noProof/>
        </w:rPr>
        <w:t>r.</w:t>
      </w:r>
      <w:r w:rsidR="003F3D2B" w:rsidRPr="00624565">
        <w:rPr>
          <w:noProof/>
        </w:rPr>
        <w:t xml:space="preserve"> i</w:t>
      </w:r>
      <w:r w:rsidR="003F3D2B">
        <w:rPr>
          <w:noProof/>
        </w:rPr>
        <w:t> </w:t>
      </w:r>
      <w:r w:rsidR="003F3D2B" w:rsidRPr="00624565">
        <w:rPr>
          <w:noProof/>
        </w:rPr>
        <w:t>ocz</w:t>
      </w:r>
      <w:r w:rsidRPr="00624565">
        <w:rPr>
          <w:noProof/>
        </w:rPr>
        <w:t>ekuje się, że obie dyrektywy mogą być transponowane wspólnie.</w:t>
      </w:r>
    </w:p>
    <w:p w14:paraId="70781214" w14:textId="00B8D9CE" w:rsidR="00231D49" w:rsidRPr="00624565" w:rsidRDefault="00231D49" w:rsidP="00231D49">
      <w:pPr>
        <w:pStyle w:val="Text1"/>
        <w:pBdr>
          <w:top w:val="single" w:sz="4" w:space="1" w:color="auto"/>
          <w:left w:val="single" w:sz="4" w:space="4" w:color="auto"/>
          <w:bottom w:val="single" w:sz="4" w:space="1" w:color="auto"/>
          <w:right w:val="single" w:sz="4" w:space="4" w:color="auto"/>
        </w:pBdr>
        <w:rPr>
          <w:noProof/>
        </w:rPr>
      </w:pPr>
      <w:r w:rsidRPr="00624565">
        <w:rPr>
          <w:noProof/>
        </w:rPr>
        <w:t>Oprócz transpozycji przepisów dotyczących uzasadniania oświadczeń środowiskowych</w:t>
      </w:r>
      <w:r w:rsidR="003F3D2B" w:rsidRPr="00624565">
        <w:rPr>
          <w:noProof/>
        </w:rPr>
        <w:t xml:space="preserve"> i</w:t>
      </w:r>
      <w:r w:rsidR="003F3D2B">
        <w:rPr>
          <w:noProof/>
        </w:rPr>
        <w:t> </w:t>
      </w:r>
      <w:r w:rsidR="003F3D2B" w:rsidRPr="00624565">
        <w:rPr>
          <w:noProof/>
        </w:rPr>
        <w:t>inf</w:t>
      </w:r>
      <w:r w:rsidRPr="00624565">
        <w:rPr>
          <w:noProof/>
        </w:rPr>
        <w:t>ormowania</w:t>
      </w:r>
      <w:r w:rsidR="003F3D2B" w:rsidRPr="00624565">
        <w:rPr>
          <w:noProof/>
        </w:rPr>
        <w:t xml:space="preserve"> o</w:t>
      </w:r>
      <w:r w:rsidR="003F3D2B">
        <w:rPr>
          <w:noProof/>
        </w:rPr>
        <w:t> </w:t>
      </w:r>
      <w:r w:rsidR="003F3D2B" w:rsidRPr="00624565">
        <w:rPr>
          <w:noProof/>
        </w:rPr>
        <w:t>nic</w:t>
      </w:r>
      <w:r w:rsidRPr="00624565">
        <w:rPr>
          <w:noProof/>
        </w:rPr>
        <w:t>h państwa członkowskie będą musiały ustanowić procedurę weryfikacji uzasadniania oświadczeń środowiskowych dotyczących produktów/przedsiębiorców wprowadzanych na rynek oraz systemów oznakowania ekologicznego,</w:t>
      </w:r>
      <w:r w:rsidR="003F3D2B" w:rsidRPr="00624565">
        <w:rPr>
          <w:noProof/>
        </w:rPr>
        <w:t xml:space="preserve"> a</w:t>
      </w:r>
      <w:r w:rsidR="003F3D2B">
        <w:rPr>
          <w:noProof/>
        </w:rPr>
        <w:t> </w:t>
      </w:r>
      <w:r w:rsidR="003F3D2B" w:rsidRPr="00624565">
        <w:rPr>
          <w:noProof/>
        </w:rPr>
        <w:t>tak</w:t>
      </w:r>
      <w:r w:rsidRPr="00624565">
        <w:rPr>
          <w:noProof/>
        </w:rPr>
        <w:t>że będą musiały wyznaczyć właściwe organy</w:t>
      </w:r>
      <w:r w:rsidR="003F3D2B" w:rsidRPr="00624565">
        <w:rPr>
          <w:noProof/>
        </w:rPr>
        <w:t xml:space="preserve"> i</w:t>
      </w:r>
      <w:r w:rsidR="003F3D2B">
        <w:rPr>
          <w:noProof/>
        </w:rPr>
        <w:t> </w:t>
      </w:r>
      <w:r w:rsidR="003F3D2B" w:rsidRPr="00624565">
        <w:rPr>
          <w:noProof/>
        </w:rPr>
        <w:t>mec</w:t>
      </w:r>
      <w:r w:rsidRPr="00624565">
        <w:rPr>
          <w:noProof/>
        </w:rPr>
        <w:t xml:space="preserve">hanizm koordynacji. </w:t>
      </w:r>
    </w:p>
    <w:p w14:paraId="495A7A1B" w14:textId="6929372A" w:rsidR="00231D49" w:rsidRPr="00624565" w:rsidRDefault="00231D49" w:rsidP="00231D49">
      <w:pPr>
        <w:pStyle w:val="Text1"/>
        <w:pBdr>
          <w:top w:val="single" w:sz="4" w:space="1" w:color="auto"/>
          <w:left w:val="single" w:sz="4" w:space="4" w:color="auto"/>
          <w:bottom w:val="single" w:sz="4" w:space="1" w:color="auto"/>
          <w:right w:val="single" w:sz="4" w:space="4" w:color="auto"/>
        </w:pBdr>
        <w:rPr>
          <w:noProof/>
        </w:rPr>
      </w:pPr>
      <w:r w:rsidRPr="00624565">
        <w:rPr>
          <w:noProof/>
        </w:rPr>
        <w:t>We wniosku określono, że dobrowolne oświadczenia środowiskowe należy uzasadniać na podstawie oceny spełniającej szczegółowe wymogi ustanowione</w:t>
      </w:r>
      <w:r w:rsidR="003F3D2B" w:rsidRPr="00624565">
        <w:rPr>
          <w:noProof/>
        </w:rPr>
        <w:t xml:space="preserve"> w</w:t>
      </w:r>
      <w:r w:rsidR="003F3D2B">
        <w:rPr>
          <w:noProof/>
        </w:rPr>
        <w:t> </w:t>
      </w:r>
      <w:r w:rsidR="003F3D2B" w:rsidRPr="003F3D2B">
        <w:rPr>
          <w:noProof/>
        </w:rPr>
        <w:t>art</w:t>
      </w:r>
      <w:r w:rsidRPr="003F3D2B">
        <w:rPr>
          <w:noProof/>
        </w:rPr>
        <w:t>.</w:t>
      </w:r>
      <w:r w:rsidR="003F3D2B" w:rsidRPr="003F3D2B">
        <w:rPr>
          <w:noProof/>
        </w:rPr>
        <w:t> </w:t>
      </w:r>
      <w:r w:rsidRPr="003F3D2B">
        <w:rPr>
          <w:noProof/>
        </w:rPr>
        <w:t>3</w:t>
      </w:r>
      <w:r w:rsidR="003F3D2B" w:rsidRPr="00624565">
        <w:rPr>
          <w:noProof/>
        </w:rPr>
        <w:t>. W</w:t>
      </w:r>
      <w:r w:rsidR="003F3D2B">
        <w:rPr>
          <w:noProof/>
        </w:rPr>
        <w:t> </w:t>
      </w:r>
      <w:r w:rsidR="003F3D2B" w:rsidRPr="00624565">
        <w:rPr>
          <w:noProof/>
        </w:rPr>
        <w:t>prz</w:t>
      </w:r>
      <w:r w:rsidRPr="00624565">
        <w:rPr>
          <w:noProof/>
        </w:rPr>
        <w:t>ypadkach,</w:t>
      </w:r>
      <w:r w:rsidR="003F3D2B" w:rsidRPr="00624565">
        <w:rPr>
          <w:noProof/>
        </w:rPr>
        <w:t xml:space="preserve"> w</w:t>
      </w:r>
      <w:r w:rsidR="003F3D2B">
        <w:rPr>
          <w:noProof/>
        </w:rPr>
        <w:t> </w:t>
      </w:r>
      <w:r w:rsidR="003F3D2B" w:rsidRPr="00624565">
        <w:rPr>
          <w:noProof/>
        </w:rPr>
        <w:t>któ</w:t>
      </w:r>
      <w:r w:rsidRPr="00624565">
        <w:rPr>
          <w:noProof/>
        </w:rPr>
        <w:t xml:space="preserve">rych Komisja przyjmie akty delegowane ustanawiające zasady oparte na cyklu życia dla konkretnych grup produktów lub sektorów, podmioty gospodarcze będą mogły na ich podstawie uzasadnić konkretne oświadczenia dotyczące wpływu na środowisko. </w:t>
      </w:r>
    </w:p>
    <w:p w14:paraId="2F0B4CEE" w14:textId="2B88A71E" w:rsidR="00231D49" w:rsidRPr="00624565" w:rsidRDefault="00231D49" w:rsidP="00231D49">
      <w:pPr>
        <w:pStyle w:val="Text1"/>
        <w:pBdr>
          <w:top w:val="single" w:sz="4" w:space="1" w:color="auto"/>
          <w:left w:val="single" w:sz="4" w:space="4" w:color="auto"/>
          <w:bottom w:val="single" w:sz="4" w:space="1" w:color="auto"/>
          <w:right w:val="single" w:sz="4" w:space="4" w:color="auto"/>
        </w:pBdr>
        <w:rPr>
          <w:noProof/>
        </w:rPr>
      </w:pPr>
      <w:r w:rsidRPr="00624565">
        <w:rPr>
          <w:noProof/>
        </w:rPr>
        <w:t>W celu wsparcia wdrażania niniejszej dyrektywy</w:t>
      </w:r>
      <w:r w:rsidR="003F3D2B" w:rsidRPr="00624565">
        <w:rPr>
          <w:noProof/>
        </w:rPr>
        <w:t xml:space="preserve"> i</w:t>
      </w:r>
      <w:r w:rsidR="003F3D2B">
        <w:rPr>
          <w:noProof/>
        </w:rPr>
        <w:t> </w:t>
      </w:r>
      <w:r w:rsidR="003F3D2B" w:rsidRPr="00624565">
        <w:rPr>
          <w:noProof/>
        </w:rPr>
        <w:t>wkr</w:t>
      </w:r>
      <w:r w:rsidRPr="00624565">
        <w:rPr>
          <w:noProof/>
        </w:rPr>
        <w:t>ótce po jej wejściu</w:t>
      </w:r>
      <w:r w:rsidR="003F3D2B" w:rsidRPr="00624565">
        <w:rPr>
          <w:noProof/>
        </w:rPr>
        <w:t xml:space="preserve"> w</w:t>
      </w:r>
      <w:r w:rsidR="003F3D2B">
        <w:rPr>
          <w:noProof/>
        </w:rPr>
        <w:t> </w:t>
      </w:r>
      <w:r w:rsidR="003F3D2B" w:rsidRPr="00624565">
        <w:rPr>
          <w:noProof/>
        </w:rPr>
        <w:t>życ</w:t>
      </w:r>
      <w:r w:rsidRPr="00624565">
        <w:rPr>
          <w:noProof/>
        </w:rPr>
        <w:t>ie Komisja przyjmie akt wykonawczy</w:t>
      </w:r>
      <w:r w:rsidR="003F3D2B" w:rsidRPr="00624565">
        <w:rPr>
          <w:noProof/>
        </w:rPr>
        <w:t xml:space="preserve"> w</w:t>
      </w:r>
      <w:r w:rsidR="003F3D2B">
        <w:rPr>
          <w:noProof/>
        </w:rPr>
        <w:t> </w:t>
      </w:r>
      <w:r w:rsidR="003F3D2B" w:rsidRPr="00624565">
        <w:rPr>
          <w:noProof/>
        </w:rPr>
        <w:t>cel</w:t>
      </w:r>
      <w:r w:rsidRPr="00624565">
        <w:rPr>
          <w:noProof/>
        </w:rPr>
        <w:t>u przedstawienia szczegółowych informacji dotyczących formy certyfikatu, który ma zostać wydany przez weryfikatora oświadczeń środowiskowych zgodnie</w:t>
      </w:r>
      <w:r w:rsidR="003F3D2B" w:rsidRPr="00624565">
        <w:rPr>
          <w:noProof/>
        </w:rPr>
        <w:t xml:space="preserve"> z</w:t>
      </w:r>
      <w:r w:rsidR="003F3D2B">
        <w:rPr>
          <w:noProof/>
        </w:rPr>
        <w:t> </w:t>
      </w:r>
      <w:r w:rsidR="003F3D2B" w:rsidRPr="003F3D2B">
        <w:rPr>
          <w:noProof/>
        </w:rPr>
        <w:t>art</w:t>
      </w:r>
      <w:r w:rsidRPr="003F3D2B">
        <w:rPr>
          <w:noProof/>
        </w:rPr>
        <w:t>.</w:t>
      </w:r>
      <w:r w:rsidR="003F3D2B" w:rsidRPr="003F3D2B">
        <w:rPr>
          <w:noProof/>
        </w:rPr>
        <w:t> </w:t>
      </w:r>
      <w:r w:rsidRPr="003F3D2B">
        <w:rPr>
          <w:noProof/>
        </w:rPr>
        <w:t>1</w:t>
      </w:r>
      <w:r w:rsidRPr="00624565">
        <w:rPr>
          <w:noProof/>
        </w:rPr>
        <w:t>2.</w:t>
      </w:r>
    </w:p>
    <w:p w14:paraId="5F93083F" w14:textId="77777777" w:rsidR="00231D49" w:rsidRPr="00624565" w:rsidRDefault="00231D49" w:rsidP="00231D49">
      <w:pPr>
        <w:pStyle w:val="Text1"/>
        <w:pBdr>
          <w:top w:val="single" w:sz="4" w:space="1" w:color="auto"/>
          <w:left w:val="single" w:sz="4" w:space="4" w:color="auto"/>
          <w:bottom w:val="single" w:sz="4" w:space="1" w:color="auto"/>
          <w:right w:val="single" w:sz="4" w:space="4" w:color="auto"/>
        </w:pBdr>
        <w:rPr>
          <w:noProof/>
          <w:u w:val="single"/>
        </w:rPr>
      </w:pPr>
      <w:r w:rsidRPr="00624565">
        <w:rPr>
          <w:noProof/>
          <w:u w:val="single"/>
        </w:rPr>
        <w:t>Zobowiązania bieżące</w:t>
      </w:r>
    </w:p>
    <w:p w14:paraId="26B04529" w14:textId="77777777" w:rsidR="00231D49" w:rsidRPr="00624565" w:rsidRDefault="00231D49" w:rsidP="00231D49">
      <w:pPr>
        <w:pStyle w:val="Text1"/>
        <w:pBdr>
          <w:top w:val="single" w:sz="4" w:space="1" w:color="auto"/>
          <w:left w:val="single" w:sz="4" w:space="4" w:color="auto"/>
          <w:bottom w:val="single" w:sz="4" w:space="1" w:color="auto"/>
          <w:right w:val="single" w:sz="4" w:space="4" w:color="auto"/>
        </w:pBdr>
        <w:rPr>
          <w:noProof/>
        </w:rPr>
      </w:pPr>
      <w:r w:rsidRPr="00624565">
        <w:rPr>
          <w:noProof/>
        </w:rPr>
        <w:t>Właściwe organy będą zobowiązane do przeprowadzania regularnych kontroli oświadczeń środowiskowych stosowanych na rynku unijnym.</w:t>
      </w:r>
    </w:p>
    <w:p w14:paraId="5359FB6D" w14:textId="0ADCE9F5" w:rsidR="00231D49" w:rsidRPr="00624565" w:rsidRDefault="00231D49" w:rsidP="00231D49">
      <w:pPr>
        <w:pStyle w:val="Text1"/>
        <w:pBdr>
          <w:top w:val="single" w:sz="4" w:space="1" w:color="auto"/>
          <w:left w:val="single" w:sz="4" w:space="4" w:color="auto"/>
          <w:bottom w:val="single" w:sz="4" w:space="1" w:color="auto"/>
          <w:right w:val="single" w:sz="4" w:space="4" w:color="auto"/>
        </w:pBdr>
        <w:rPr>
          <w:noProof/>
        </w:rPr>
      </w:pPr>
      <w:r w:rsidRPr="00624565">
        <w:rPr>
          <w:noProof/>
        </w:rPr>
        <w:t>Państwa członkowskie będą zobowiązane do regularnego monitorowania stosowania niniejszej dyrektywy na podstawie przeglądu oświadczeń środowiskowych, które zostały zgłoszone organom odpowiedzialnym za egzekwowanie przepisów; przeglądu oświadczeń środowiskowych,</w:t>
      </w:r>
      <w:r w:rsidR="003F3D2B" w:rsidRPr="00624565">
        <w:rPr>
          <w:noProof/>
        </w:rPr>
        <w:t xml:space="preserve"> w</w:t>
      </w:r>
      <w:r w:rsidR="003F3D2B">
        <w:rPr>
          <w:noProof/>
        </w:rPr>
        <w:t> </w:t>
      </w:r>
      <w:r w:rsidR="003F3D2B" w:rsidRPr="00624565">
        <w:rPr>
          <w:noProof/>
        </w:rPr>
        <w:t>odn</w:t>
      </w:r>
      <w:r w:rsidRPr="00624565">
        <w:rPr>
          <w:noProof/>
        </w:rPr>
        <w:t>iesieniu do których organy odpowiedzialne za egzekwowanie przepisów zażądały od odpowiedzialnej organizacji podjęcia działań naprawczych oraz,</w:t>
      </w:r>
      <w:r w:rsidR="003F3D2B" w:rsidRPr="00624565">
        <w:rPr>
          <w:noProof/>
        </w:rPr>
        <w:t xml:space="preserve"> w</w:t>
      </w:r>
      <w:r w:rsidR="003F3D2B">
        <w:rPr>
          <w:noProof/>
        </w:rPr>
        <w:t> </w:t>
      </w:r>
      <w:r w:rsidR="003F3D2B" w:rsidRPr="00624565">
        <w:rPr>
          <w:noProof/>
        </w:rPr>
        <w:t>sto</w:t>
      </w:r>
      <w:r w:rsidRPr="00624565">
        <w:rPr>
          <w:noProof/>
        </w:rPr>
        <w:t>sownych przypadkach, wprowadziły środki egzekucyjne. Państwa członkowskie będą przekazywać odnośne informacje Komisji raz</w:t>
      </w:r>
      <w:r w:rsidR="003F3D2B" w:rsidRPr="00624565">
        <w:rPr>
          <w:noProof/>
        </w:rPr>
        <w:t xml:space="preserve"> w</w:t>
      </w:r>
      <w:r w:rsidR="003F3D2B">
        <w:rPr>
          <w:noProof/>
        </w:rPr>
        <w:t> </w:t>
      </w:r>
      <w:r w:rsidR="003F3D2B" w:rsidRPr="00624565">
        <w:rPr>
          <w:noProof/>
        </w:rPr>
        <w:t>rok</w:t>
      </w:r>
      <w:r w:rsidRPr="00624565">
        <w:rPr>
          <w:noProof/>
        </w:rPr>
        <w:t>u.</w:t>
      </w:r>
    </w:p>
    <w:p w14:paraId="3E0F7404" w14:textId="3B293522" w:rsidR="00231D49" w:rsidRPr="00624565" w:rsidRDefault="00231D49" w:rsidP="00231D49">
      <w:pPr>
        <w:pStyle w:val="Text1"/>
        <w:pBdr>
          <w:top w:val="single" w:sz="4" w:space="1" w:color="auto"/>
          <w:left w:val="single" w:sz="4" w:space="4" w:color="auto"/>
          <w:bottom w:val="single" w:sz="4" w:space="1" w:color="auto"/>
          <w:right w:val="single" w:sz="4" w:space="4" w:color="auto"/>
        </w:pBdr>
        <w:rPr>
          <w:noProof/>
        </w:rPr>
      </w:pPr>
      <w:r w:rsidRPr="00624565">
        <w:rPr>
          <w:noProof/>
        </w:rPr>
        <w:t>Po upływie pięciu lat od daty wejścia</w:t>
      </w:r>
      <w:r w:rsidR="003F3D2B" w:rsidRPr="00624565">
        <w:rPr>
          <w:noProof/>
        </w:rPr>
        <w:t xml:space="preserve"> w</w:t>
      </w:r>
      <w:r w:rsidR="003F3D2B">
        <w:rPr>
          <w:noProof/>
        </w:rPr>
        <w:t> </w:t>
      </w:r>
      <w:r w:rsidR="003F3D2B" w:rsidRPr="00624565">
        <w:rPr>
          <w:noProof/>
        </w:rPr>
        <w:t>życ</w:t>
      </w:r>
      <w:r w:rsidRPr="00624565">
        <w:rPr>
          <w:noProof/>
        </w:rPr>
        <w:t>ie niniejszej dyrektywy Komisja przeprowadzi ocenę niniejszej dyrektywy</w:t>
      </w:r>
      <w:r w:rsidR="003F3D2B" w:rsidRPr="00624565">
        <w:rPr>
          <w:noProof/>
        </w:rPr>
        <w:t xml:space="preserve"> w</w:t>
      </w:r>
      <w:r w:rsidR="003F3D2B">
        <w:rPr>
          <w:noProof/>
        </w:rPr>
        <w:t> </w:t>
      </w:r>
      <w:r w:rsidR="003F3D2B" w:rsidRPr="00624565">
        <w:rPr>
          <w:noProof/>
        </w:rPr>
        <w:t>odn</w:t>
      </w:r>
      <w:r w:rsidRPr="00624565">
        <w:rPr>
          <w:noProof/>
        </w:rPr>
        <w:t>iesieniu do jej celów</w:t>
      </w:r>
      <w:r w:rsidR="003F3D2B" w:rsidRPr="00624565">
        <w:rPr>
          <w:noProof/>
        </w:rPr>
        <w:t xml:space="preserve"> i</w:t>
      </w:r>
      <w:r w:rsidR="003F3D2B">
        <w:rPr>
          <w:noProof/>
        </w:rPr>
        <w:t> </w:t>
      </w:r>
      <w:r w:rsidR="003F3D2B" w:rsidRPr="00624565">
        <w:rPr>
          <w:noProof/>
        </w:rPr>
        <w:t>prz</w:t>
      </w:r>
      <w:r w:rsidRPr="00624565">
        <w:rPr>
          <w:noProof/>
        </w:rPr>
        <w:t>edstawi sprawozdanie na temat głównych ustaleń oraz,</w:t>
      </w:r>
      <w:r w:rsidR="003F3D2B" w:rsidRPr="00624565">
        <w:rPr>
          <w:noProof/>
        </w:rPr>
        <w:t xml:space="preserve"> w</w:t>
      </w:r>
      <w:r w:rsidR="003F3D2B">
        <w:rPr>
          <w:noProof/>
        </w:rPr>
        <w:t> </w:t>
      </w:r>
      <w:r w:rsidR="003F3D2B" w:rsidRPr="00624565">
        <w:rPr>
          <w:noProof/>
        </w:rPr>
        <w:t>sto</w:t>
      </w:r>
      <w:r w:rsidRPr="00624565">
        <w:rPr>
          <w:noProof/>
        </w:rPr>
        <w:t>sownych przypadkach, wniosek ustawodawczy dotyczący zmiany odpowiednich przepisów niniejszej dyrektywy.</w:t>
      </w:r>
    </w:p>
    <w:p w14:paraId="71E29B1C" w14:textId="3EA1F49D" w:rsidR="00231D49" w:rsidRPr="00624565" w:rsidRDefault="00231D49" w:rsidP="00231D49">
      <w:pPr>
        <w:pStyle w:val="Text1"/>
        <w:pBdr>
          <w:top w:val="single" w:sz="4" w:space="1" w:color="auto"/>
          <w:left w:val="single" w:sz="4" w:space="4" w:color="auto"/>
          <w:bottom w:val="single" w:sz="4" w:space="1" w:color="auto"/>
          <w:right w:val="single" w:sz="4" w:space="4" w:color="auto"/>
        </w:pBdr>
        <w:rPr>
          <w:noProof/>
        </w:rPr>
      </w:pPr>
      <w:r w:rsidRPr="00624565">
        <w:rPr>
          <w:noProof/>
        </w:rPr>
        <w:t>Komisja będzie uprawniona do przyjęcia aktów delegowanych zgodnie</w:t>
      </w:r>
      <w:r w:rsidR="003F3D2B" w:rsidRPr="00624565">
        <w:rPr>
          <w:noProof/>
        </w:rPr>
        <w:t xml:space="preserve"> z</w:t>
      </w:r>
      <w:r w:rsidR="003F3D2B">
        <w:rPr>
          <w:noProof/>
        </w:rPr>
        <w:t> </w:t>
      </w:r>
      <w:r w:rsidR="003F3D2B" w:rsidRPr="003F3D2B">
        <w:rPr>
          <w:noProof/>
        </w:rPr>
        <w:t>art</w:t>
      </w:r>
      <w:r w:rsidRPr="003F3D2B">
        <w:rPr>
          <w:noProof/>
        </w:rPr>
        <w:t>.</w:t>
      </w:r>
      <w:r w:rsidR="003F3D2B" w:rsidRPr="003F3D2B">
        <w:rPr>
          <w:noProof/>
        </w:rPr>
        <w:t> </w:t>
      </w:r>
      <w:r w:rsidRPr="003F3D2B">
        <w:rPr>
          <w:noProof/>
        </w:rPr>
        <w:t>3</w:t>
      </w:r>
      <w:r w:rsidRPr="00624565">
        <w:rPr>
          <w:noProof/>
        </w:rPr>
        <w:t xml:space="preserve"> </w:t>
      </w:r>
      <w:r w:rsidRPr="003F3D2B">
        <w:rPr>
          <w:noProof/>
        </w:rPr>
        <w:t>ust.</w:t>
      </w:r>
      <w:r w:rsidR="003F3D2B" w:rsidRPr="003F3D2B">
        <w:rPr>
          <w:noProof/>
        </w:rPr>
        <w:t> </w:t>
      </w:r>
      <w:r w:rsidRPr="003F3D2B">
        <w:rPr>
          <w:noProof/>
        </w:rPr>
        <w:t>4</w:t>
      </w:r>
      <w:r w:rsidR="003F3D2B" w:rsidRPr="00624565">
        <w:rPr>
          <w:noProof/>
        </w:rPr>
        <w:t xml:space="preserve"> w</w:t>
      </w:r>
      <w:r w:rsidR="003F3D2B">
        <w:rPr>
          <w:noProof/>
        </w:rPr>
        <w:t> </w:t>
      </w:r>
      <w:r w:rsidR="003F3D2B" w:rsidRPr="00624565">
        <w:rPr>
          <w:noProof/>
        </w:rPr>
        <w:t>spr</w:t>
      </w:r>
      <w:r w:rsidRPr="00624565">
        <w:rPr>
          <w:noProof/>
        </w:rPr>
        <w:t>awie dalszego doprecyzowania wymogów dotyczących uzasadnienia wyraźnych oświadczeń środowiskowych. Będzie to proces ciągły, mający na celu opracowanie kolejnych metod uzasadnienia.</w:t>
      </w:r>
    </w:p>
    <w:p w14:paraId="1D658353" w14:textId="3BBC62AF" w:rsidR="00231D49" w:rsidRPr="00624565" w:rsidRDefault="00231D49" w:rsidP="00231D49">
      <w:pPr>
        <w:pStyle w:val="Text1"/>
        <w:pBdr>
          <w:top w:val="single" w:sz="4" w:space="1" w:color="auto"/>
          <w:left w:val="single" w:sz="4" w:space="4" w:color="auto"/>
          <w:bottom w:val="single" w:sz="4" w:space="1" w:color="auto"/>
          <w:right w:val="single" w:sz="4" w:space="4" w:color="auto"/>
        </w:pBdr>
        <w:rPr>
          <w:noProof/>
        </w:rPr>
      </w:pPr>
      <w:r w:rsidRPr="00624565">
        <w:rPr>
          <w:noProof/>
        </w:rPr>
        <w:t>Komisja będzie również uprawniona do przyjęcia aktów delegowanych</w:t>
      </w:r>
      <w:r w:rsidR="003F3D2B" w:rsidRPr="00624565">
        <w:rPr>
          <w:noProof/>
        </w:rPr>
        <w:t xml:space="preserve"> i</w:t>
      </w:r>
      <w:r w:rsidR="003F3D2B">
        <w:rPr>
          <w:noProof/>
        </w:rPr>
        <w:t> </w:t>
      </w:r>
      <w:r w:rsidR="003F3D2B" w:rsidRPr="00624565">
        <w:rPr>
          <w:noProof/>
        </w:rPr>
        <w:t>wyk</w:t>
      </w:r>
      <w:r w:rsidRPr="00624565">
        <w:rPr>
          <w:noProof/>
        </w:rPr>
        <w:t>onawczych</w:t>
      </w:r>
      <w:r w:rsidR="003F3D2B" w:rsidRPr="00624565">
        <w:rPr>
          <w:noProof/>
        </w:rPr>
        <w:t xml:space="preserve"> w</w:t>
      </w:r>
      <w:r w:rsidR="003F3D2B">
        <w:rPr>
          <w:noProof/>
        </w:rPr>
        <w:t> </w:t>
      </w:r>
      <w:r w:rsidR="003F3D2B" w:rsidRPr="00624565">
        <w:rPr>
          <w:noProof/>
        </w:rPr>
        <w:t>cel</w:t>
      </w:r>
      <w:r w:rsidRPr="00624565">
        <w:rPr>
          <w:noProof/>
        </w:rPr>
        <w:t>u uzupełnienia wymogów dotyczących systemów oznakowania ekologicznego zgodnie</w:t>
      </w:r>
      <w:r w:rsidR="003F3D2B" w:rsidRPr="00624565">
        <w:rPr>
          <w:noProof/>
        </w:rPr>
        <w:t xml:space="preserve"> z</w:t>
      </w:r>
      <w:r w:rsidR="003F3D2B">
        <w:rPr>
          <w:noProof/>
        </w:rPr>
        <w:t> </w:t>
      </w:r>
      <w:r w:rsidR="003F3D2B" w:rsidRPr="003F3D2B">
        <w:rPr>
          <w:noProof/>
        </w:rPr>
        <w:t>art</w:t>
      </w:r>
      <w:r w:rsidRPr="003F3D2B">
        <w:rPr>
          <w:noProof/>
        </w:rPr>
        <w:t>.</w:t>
      </w:r>
      <w:r w:rsidR="003F3D2B" w:rsidRPr="003F3D2B">
        <w:rPr>
          <w:noProof/>
        </w:rPr>
        <w:t> </w:t>
      </w:r>
      <w:r w:rsidRPr="003F3D2B">
        <w:rPr>
          <w:noProof/>
        </w:rPr>
        <w:t>8</w:t>
      </w:r>
      <w:r w:rsidRPr="00624565">
        <w:rPr>
          <w:noProof/>
        </w:rPr>
        <w:t xml:space="preserve"> </w:t>
      </w:r>
      <w:r w:rsidRPr="003F3D2B">
        <w:rPr>
          <w:noProof/>
        </w:rPr>
        <w:t>ust.</w:t>
      </w:r>
      <w:r w:rsidR="003F3D2B" w:rsidRPr="003F3D2B">
        <w:rPr>
          <w:noProof/>
        </w:rPr>
        <w:t> </w:t>
      </w:r>
      <w:r w:rsidRPr="003F3D2B">
        <w:rPr>
          <w:noProof/>
        </w:rPr>
        <w:t>8</w:t>
      </w:r>
      <w:r w:rsidR="003F3D2B" w:rsidRPr="00624565">
        <w:rPr>
          <w:noProof/>
        </w:rPr>
        <w:t xml:space="preserve"> i</w:t>
      </w:r>
      <w:r w:rsidR="003F3D2B">
        <w:rPr>
          <w:noProof/>
        </w:rPr>
        <w:t> </w:t>
      </w:r>
      <w:r w:rsidR="003F3D2B" w:rsidRPr="00624565">
        <w:rPr>
          <w:noProof/>
        </w:rPr>
        <w:t>9</w:t>
      </w:r>
      <w:r w:rsidRPr="00624565">
        <w:rPr>
          <w:noProof/>
        </w:rPr>
        <w:t>.</w:t>
      </w:r>
    </w:p>
    <w:p w14:paraId="5A6BCE42" w14:textId="3004FA07" w:rsidR="009769E5" w:rsidRPr="00624565" w:rsidRDefault="009769E5" w:rsidP="00231D49">
      <w:pPr>
        <w:pStyle w:val="ManualHeading3"/>
        <w:rPr>
          <w:i w:val="0"/>
          <w:noProof/>
        </w:rPr>
      </w:pPr>
      <w:r w:rsidRPr="00624565">
        <w:rPr>
          <w:i w:val="0"/>
          <w:noProof/>
        </w:rPr>
        <w:t>1.5.2.</w:t>
      </w:r>
      <w:r w:rsidRPr="00624565">
        <w:rPr>
          <w:noProof/>
        </w:rPr>
        <w:tab/>
        <w:t>Wartość dodana</w:t>
      </w:r>
      <w:r w:rsidR="003F3D2B" w:rsidRPr="00624565">
        <w:rPr>
          <w:noProof/>
        </w:rPr>
        <w:t xml:space="preserve"> z</w:t>
      </w:r>
      <w:r w:rsidR="003F3D2B">
        <w:rPr>
          <w:noProof/>
        </w:rPr>
        <w:t> </w:t>
      </w:r>
      <w:r w:rsidR="003F3D2B" w:rsidRPr="00624565">
        <w:rPr>
          <w:noProof/>
        </w:rPr>
        <w:t>tyt</w:t>
      </w:r>
      <w:r w:rsidRPr="00624565">
        <w:rPr>
          <w:noProof/>
        </w:rPr>
        <w:t>ułu zaangażowania Unii Europejskiej (może wynikać</w:t>
      </w:r>
      <w:r w:rsidR="003F3D2B" w:rsidRPr="00624565">
        <w:rPr>
          <w:noProof/>
        </w:rPr>
        <w:t xml:space="preserve"> z</w:t>
      </w:r>
      <w:r w:rsidR="003F3D2B">
        <w:rPr>
          <w:noProof/>
        </w:rPr>
        <w:t> </w:t>
      </w:r>
      <w:r w:rsidR="003F3D2B" w:rsidRPr="00624565">
        <w:rPr>
          <w:noProof/>
        </w:rPr>
        <w:t>róż</w:t>
      </w:r>
      <w:r w:rsidRPr="00624565">
        <w:rPr>
          <w:noProof/>
        </w:rPr>
        <w:t>nych czynników, na przykład korzyści koordynacyjnych, pewności prawa, większej efektywności lub komplementarności). Na potrzeby tego punktu „wartość dodaną</w:t>
      </w:r>
      <w:r w:rsidR="003F3D2B" w:rsidRPr="00624565">
        <w:rPr>
          <w:noProof/>
        </w:rPr>
        <w:t xml:space="preserve"> z</w:t>
      </w:r>
      <w:r w:rsidR="003F3D2B">
        <w:rPr>
          <w:noProof/>
        </w:rPr>
        <w:t> </w:t>
      </w:r>
      <w:r w:rsidR="003F3D2B" w:rsidRPr="00624565">
        <w:rPr>
          <w:noProof/>
        </w:rPr>
        <w:t>tyt</w:t>
      </w:r>
      <w:r w:rsidRPr="00624565">
        <w:rPr>
          <w:noProof/>
        </w:rPr>
        <w:t>ułu zaangażowania Unii” należy rozumieć jako wartość wynikającą</w:t>
      </w:r>
      <w:r w:rsidR="003F3D2B" w:rsidRPr="00624565">
        <w:rPr>
          <w:noProof/>
        </w:rPr>
        <w:t xml:space="preserve"> z</w:t>
      </w:r>
      <w:r w:rsidR="003F3D2B">
        <w:rPr>
          <w:noProof/>
        </w:rPr>
        <w:t> </w:t>
      </w:r>
      <w:r w:rsidR="003F3D2B" w:rsidRPr="00624565">
        <w:rPr>
          <w:noProof/>
        </w:rPr>
        <w:t>uni</w:t>
      </w:r>
      <w:r w:rsidRPr="00624565">
        <w:rPr>
          <w:noProof/>
        </w:rPr>
        <w:t>jnej interwencji, wykraczającą poza wartość, która zostałaby wytworzona przez same państwa członkowskie.</w:t>
      </w:r>
    </w:p>
    <w:p w14:paraId="74D4A246" w14:textId="6F290CF2" w:rsidR="0031329D" w:rsidRPr="00624565" w:rsidRDefault="0031329D" w:rsidP="0031329D">
      <w:pPr>
        <w:pStyle w:val="Text1"/>
        <w:pBdr>
          <w:top w:val="single" w:sz="4" w:space="1" w:color="auto"/>
          <w:left w:val="single" w:sz="4" w:space="4" w:color="auto"/>
          <w:bottom w:val="single" w:sz="4" w:space="1" w:color="auto"/>
          <w:right w:val="single" w:sz="4" w:space="4" w:color="auto"/>
        </w:pBdr>
        <w:rPr>
          <w:noProof/>
        </w:rPr>
      </w:pPr>
      <w:r w:rsidRPr="00624565">
        <w:rPr>
          <w:noProof/>
        </w:rPr>
        <w:t>Niezbędne jest zapewnienie podmiotom gospodarczym równych szans</w:t>
      </w:r>
      <w:r w:rsidR="003F3D2B" w:rsidRPr="00624565">
        <w:rPr>
          <w:noProof/>
        </w:rPr>
        <w:t xml:space="preserve"> w</w:t>
      </w:r>
      <w:r w:rsidR="003F3D2B">
        <w:rPr>
          <w:noProof/>
        </w:rPr>
        <w:t> </w:t>
      </w:r>
      <w:r w:rsidR="003F3D2B" w:rsidRPr="00624565">
        <w:rPr>
          <w:noProof/>
        </w:rPr>
        <w:t>zak</w:t>
      </w:r>
      <w:r w:rsidRPr="00624565">
        <w:rPr>
          <w:noProof/>
        </w:rPr>
        <w:t>resie wymogów, które należy spełnić przy formułowaniu oświadczenia środowiskowego,</w:t>
      </w:r>
      <w:r w:rsidR="003F3D2B" w:rsidRPr="00624565">
        <w:rPr>
          <w:noProof/>
        </w:rPr>
        <w:t xml:space="preserve"> w</w:t>
      </w:r>
      <w:r w:rsidR="003F3D2B">
        <w:rPr>
          <w:noProof/>
        </w:rPr>
        <w:t> </w:t>
      </w:r>
      <w:r w:rsidR="003F3D2B" w:rsidRPr="00624565">
        <w:rPr>
          <w:noProof/>
        </w:rPr>
        <w:t>tym</w:t>
      </w:r>
      <w:r w:rsidRPr="00624565">
        <w:rPr>
          <w:noProof/>
        </w:rPr>
        <w:t xml:space="preserve"> wymogów dotyczących informacji</w:t>
      </w:r>
      <w:r w:rsidR="003F3D2B" w:rsidRPr="00624565">
        <w:rPr>
          <w:noProof/>
        </w:rPr>
        <w:t xml:space="preserve"> i</w:t>
      </w:r>
      <w:r w:rsidR="003F3D2B">
        <w:rPr>
          <w:noProof/>
        </w:rPr>
        <w:t> </w:t>
      </w:r>
      <w:r w:rsidR="003F3D2B" w:rsidRPr="00624565">
        <w:rPr>
          <w:noProof/>
        </w:rPr>
        <w:t>dan</w:t>
      </w:r>
      <w:r w:rsidRPr="00624565">
        <w:rPr>
          <w:noProof/>
        </w:rPr>
        <w:t>ych, które należy wykorzystać, poprzez wprowadzenie wspólnego zbioru przepisów</w:t>
      </w:r>
      <w:r w:rsidR="003F3D2B" w:rsidRPr="00624565">
        <w:rPr>
          <w:noProof/>
        </w:rPr>
        <w:t xml:space="preserve"> w</w:t>
      </w:r>
      <w:r w:rsidR="003F3D2B">
        <w:rPr>
          <w:noProof/>
        </w:rPr>
        <w:t> </w:t>
      </w:r>
      <w:r w:rsidR="003F3D2B" w:rsidRPr="00624565">
        <w:rPr>
          <w:noProof/>
        </w:rPr>
        <w:t>ram</w:t>
      </w:r>
      <w:r w:rsidRPr="00624565">
        <w:rPr>
          <w:noProof/>
        </w:rPr>
        <w:t>ach rynku wewnętrznego UE.</w:t>
      </w:r>
    </w:p>
    <w:p w14:paraId="1C6251A4" w14:textId="740039F7" w:rsidR="0031329D" w:rsidRPr="00624565" w:rsidRDefault="0031329D" w:rsidP="0031329D">
      <w:pPr>
        <w:pStyle w:val="Text1"/>
        <w:pBdr>
          <w:top w:val="single" w:sz="4" w:space="1" w:color="auto"/>
          <w:left w:val="single" w:sz="4" w:space="4" w:color="auto"/>
          <w:bottom w:val="single" w:sz="4" w:space="1" w:color="auto"/>
          <w:right w:val="single" w:sz="4" w:space="4" w:color="auto"/>
        </w:pBdr>
        <w:rPr>
          <w:noProof/>
        </w:rPr>
      </w:pPr>
      <w:r w:rsidRPr="00624565">
        <w:rPr>
          <w:noProof/>
        </w:rPr>
        <w:t>Przy obecnym stanie rzeczy</w:t>
      </w:r>
      <w:r w:rsidR="003F3D2B" w:rsidRPr="00624565">
        <w:rPr>
          <w:noProof/>
        </w:rPr>
        <w:t xml:space="preserve"> i</w:t>
      </w:r>
      <w:r w:rsidR="003F3D2B">
        <w:rPr>
          <w:noProof/>
        </w:rPr>
        <w:t> </w:t>
      </w:r>
      <w:r w:rsidR="003F3D2B" w:rsidRPr="00624565">
        <w:rPr>
          <w:noProof/>
        </w:rPr>
        <w:t>w</w:t>
      </w:r>
      <w:r w:rsidR="003F3D2B">
        <w:rPr>
          <w:noProof/>
        </w:rPr>
        <w:t> </w:t>
      </w:r>
      <w:r w:rsidR="003F3D2B" w:rsidRPr="00624565">
        <w:rPr>
          <w:noProof/>
        </w:rPr>
        <w:t>prz</w:t>
      </w:r>
      <w:r w:rsidRPr="00624565">
        <w:rPr>
          <w:noProof/>
        </w:rPr>
        <w:t>ypadku indywidualnego działania państw członkowskich istnieje duże ryzyko powstania wielu różnych konkurujących ze sobą systemów, opartych na rozbieżnych</w:t>
      </w:r>
      <w:r w:rsidR="003F3D2B" w:rsidRPr="00624565">
        <w:rPr>
          <w:noProof/>
        </w:rPr>
        <w:t xml:space="preserve"> i</w:t>
      </w:r>
      <w:r w:rsidR="003F3D2B">
        <w:rPr>
          <w:noProof/>
        </w:rPr>
        <w:t> </w:t>
      </w:r>
      <w:r w:rsidR="003F3D2B" w:rsidRPr="00624565">
        <w:rPr>
          <w:noProof/>
        </w:rPr>
        <w:t>nie</w:t>
      </w:r>
      <w:r w:rsidRPr="00624565">
        <w:rPr>
          <w:noProof/>
        </w:rPr>
        <w:t>porównywalnych metodach</w:t>
      </w:r>
      <w:r w:rsidR="003F3D2B" w:rsidRPr="00624565">
        <w:rPr>
          <w:noProof/>
        </w:rPr>
        <w:t xml:space="preserve"> i</w:t>
      </w:r>
      <w:r w:rsidR="003F3D2B">
        <w:rPr>
          <w:noProof/>
        </w:rPr>
        <w:t> </w:t>
      </w:r>
      <w:r w:rsidR="003F3D2B" w:rsidRPr="00624565">
        <w:rPr>
          <w:noProof/>
        </w:rPr>
        <w:t>pod</w:t>
      </w:r>
      <w:r w:rsidRPr="00624565">
        <w:rPr>
          <w:noProof/>
        </w:rPr>
        <w:t>ejściach, co spowodowałoby fragmentację rynku wewnętrznego, zwłaszcza</w:t>
      </w:r>
      <w:r w:rsidR="003F3D2B" w:rsidRPr="00624565">
        <w:rPr>
          <w:noProof/>
        </w:rPr>
        <w:t xml:space="preserve"> w</w:t>
      </w:r>
      <w:r w:rsidR="003F3D2B">
        <w:rPr>
          <w:noProof/>
        </w:rPr>
        <w:t> </w:t>
      </w:r>
      <w:r w:rsidR="003F3D2B" w:rsidRPr="00624565">
        <w:rPr>
          <w:noProof/>
        </w:rPr>
        <w:t>prz</w:t>
      </w:r>
      <w:r w:rsidRPr="00624565">
        <w:rPr>
          <w:noProof/>
        </w:rPr>
        <w:t>ypadku produktów transgranicznych będących przedmiotem handlu na rynku wewnętrznym, zwiększając ryzyko nierównego poziomu świadomości</w:t>
      </w:r>
      <w:r w:rsidR="003F3D2B" w:rsidRPr="00624565">
        <w:rPr>
          <w:noProof/>
        </w:rPr>
        <w:t xml:space="preserve"> i</w:t>
      </w:r>
      <w:r w:rsidR="003F3D2B">
        <w:rPr>
          <w:noProof/>
        </w:rPr>
        <w:t> </w:t>
      </w:r>
      <w:r w:rsidR="003F3D2B" w:rsidRPr="00624565">
        <w:rPr>
          <w:noProof/>
        </w:rPr>
        <w:t>inf</w:t>
      </w:r>
      <w:r w:rsidRPr="00624565">
        <w:rPr>
          <w:noProof/>
        </w:rPr>
        <w:t>ormacji na temat efektywności środowiskowej produktów</w:t>
      </w:r>
      <w:r w:rsidR="003F3D2B" w:rsidRPr="00624565">
        <w:rPr>
          <w:noProof/>
        </w:rPr>
        <w:t xml:space="preserve"> i</w:t>
      </w:r>
      <w:r w:rsidR="003F3D2B">
        <w:rPr>
          <w:noProof/>
        </w:rPr>
        <w:t> </w:t>
      </w:r>
      <w:r w:rsidR="003F3D2B" w:rsidRPr="00624565">
        <w:rPr>
          <w:noProof/>
        </w:rPr>
        <w:t>org</w:t>
      </w:r>
      <w:r w:rsidRPr="00624565">
        <w:rPr>
          <w:noProof/>
        </w:rPr>
        <w:t>anizacji</w:t>
      </w:r>
      <w:r w:rsidR="003F3D2B" w:rsidRPr="00624565">
        <w:rPr>
          <w:noProof/>
        </w:rPr>
        <w:t xml:space="preserve"> w</w:t>
      </w:r>
      <w:r w:rsidR="003F3D2B">
        <w:rPr>
          <w:noProof/>
        </w:rPr>
        <w:t> </w:t>
      </w:r>
      <w:r w:rsidR="003F3D2B" w:rsidRPr="00624565">
        <w:rPr>
          <w:noProof/>
        </w:rPr>
        <w:t>cał</w:t>
      </w:r>
      <w:r w:rsidRPr="00624565">
        <w:rPr>
          <w:noProof/>
        </w:rPr>
        <w:t>ej UE,</w:t>
      </w:r>
      <w:r w:rsidR="003F3D2B" w:rsidRPr="00624565">
        <w:rPr>
          <w:noProof/>
        </w:rPr>
        <w:t xml:space="preserve"> a</w:t>
      </w:r>
      <w:r w:rsidR="003F3D2B">
        <w:rPr>
          <w:noProof/>
        </w:rPr>
        <w:t> </w:t>
      </w:r>
      <w:r w:rsidR="003F3D2B" w:rsidRPr="00624565">
        <w:rPr>
          <w:noProof/>
        </w:rPr>
        <w:t>tak</w:t>
      </w:r>
      <w:r w:rsidRPr="00624565">
        <w:rPr>
          <w:noProof/>
        </w:rPr>
        <w:t>że doprowadziłoby do powstania dodatkowych kosztów dla przedsiębiorstw prowadzących handel transgraniczny (zwłaszcza jeśli będą musiały stosować różne metody lub przestrzegać różnych systemów oznakowania).</w:t>
      </w:r>
    </w:p>
    <w:p w14:paraId="02E2BDF3" w14:textId="0E1A1E3B" w:rsidR="0031329D" w:rsidRPr="00624565" w:rsidRDefault="0031329D" w:rsidP="0031329D">
      <w:pPr>
        <w:pStyle w:val="Text1"/>
        <w:pBdr>
          <w:top w:val="single" w:sz="4" w:space="1" w:color="auto"/>
          <w:left w:val="single" w:sz="4" w:space="4" w:color="auto"/>
          <w:bottom w:val="single" w:sz="4" w:space="1" w:color="auto"/>
          <w:right w:val="single" w:sz="4" w:space="4" w:color="auto"/>
        </w:pBdr>
        <w:rPr>
          <w:noProof/>
        </w:rPr>
      </w:pPr>
      <w:r w:rsidRPr="00624565">
        <w:rPr>
          <w:noProof/>
        </w:rPr>
        <w:t>W przypadku braku działań na szczeblu UE podmioty gospodarcze będą nadal miały do czynienia</w:t>
      </w:r>
      <w:r w:rsidR="003F3D2B" w:rsidRPr="00624565">
        <w:rPr>
          <w:noProof/>
        </w:rPr>
        <w:t xml:space="preserve"> z</w:t>
      </w:r>
      <w:r w:rsidR="003F3D2B">
        <w:rPr>
          <w:noProof/>
        </w:rPr>
        <w:t> </w:t>
      </w:r>
      <w:r w:rsidR="003F3D2B" w:rsidRPr="00624565">
        <w:rPr>
          <w:noProof/>
        </w:rPr>
        <w:t>wpr</w:t>
      </w:r>
      <w:r w:rsidRPr="00624565">
        <w:rPr>
          <w:noProof/>
        </w:rPr>
        <w:t>owadzającymi</w:t>
      </w:r>
      <w:r w:rsidR="003F3D2B" w:rsidRPr="00624565">
        <w:rPr>
          <w:noProof/>
        </w:rPr>
        <w:t xml:space="preserve"> w</w:t>
      </w:r>
      <w:r w:rsidR="003F3D2B">
        <w:rPr>
          <w:noProof/>
        </w:rPr>
        <w:t> </w:t>
      </w:r>
      <w:r w:rsidR="003F3D2B" w:rsidRPr="00624565">
        <w:rPr>
          <w:noProof/>
        </w:rPr>
        <w:t>błą</w:t>
      </w:r>
      <w:r w:rsidRPr="00624565">
        <w:rPr>
          <w:noProof/>
        </w:rPr>
        <w:t>d informacjami na temat aspektów środowiskowych,</w:t>
      </w:r>
      <w:r w:rsidR="003F3D2B" w:rsidRPr="00624565">
        <w:rPr>
          <w:noProof/>
        </w:rPr>
        <w:t xml:space="preserve"> a</w:t>
      </w:r>
      <w:r w:rsidR="003F3D2B">
        <w:rPr>
          <w:noProof/>
        </w:rPr>
        <w:t> </w:t>
      </w:r>
      <w:r w:rsidR="003F3D2B" w:rsidRPr="00624565">
        <w:rPr>
          <w:noProof/>
        </w:rPr>
        <w:t>prz</w:t>
      </w:r>
      <w:r w:rsidRPr="00624565">
        <w:rPr>
          <w:noProof/>
        </w:rPr>
        <w:t>eszkody na rynku wewnętrznym będą utrudniały przedsiębiorstwom prowadzenie działalności na równoważnych warunkach. Ponadto niektórych aspektów, takich jak opracowanie metod uzasadniania określonych oświadczeń</w:t>
      </w:r>
      <w:r w:rsidR="003F3D2B" w:rsidRPr="00624565">
        <w:rPr>
          <w:noProof/>
        </w:rPr>
        <w:t xml:space="preserve"> i</w:t>
      </w:r>
      <w:r w:rsidR="003F3D2B">
        <w:rPr>
          <w:noProof/>
        </w:rPr>
        <w:t> </w:t>
      </w:r>
      <w:r w:rsidR="003F3D2B" w:rsidRPr="00624565">
        <w:rPr>
          <w:noProof/>
        </w:rPr>
        <w:t>utw</w:t>
      </w:r>
      <w:r w:rsidRPr="00624565">
        <w:rPr>
          <w:noProof/>
        </w:rPr>
        <w:t>orzenie powiązanych baz danych (w razie potrzeby), nie można zrealizować na poziomie krajowym ze względu na ich zakres</w:t>
      </w:r>
      <w:r w:rsidR="003F3D2B" w:rsidRPr="00624565">
        <w:rPr>
          <w:noProof/>
        </w:rPr>
        <w:t xml:space="preserve"> w</w:t>
      </w:r>
      <w:r w:rsidR="003F3D2B">
        <w:rPr>
          <w:noProof/>
        </w:rPr>
        <w:t> </w:t>
      </w:r>
      <w:r w:rsidR="003F3D2B" w:rsidRPr="00624565">
        <w:rPr>
          <w:noProof/>
        </w:rPr>
        <w:t>odn</w:t>
      </w:r>
      <w:r w:rsidRPr="00624565">
        <w:rPr>
          <w:noProof/>
        </w:rPr>
        <w:t>iesieniu do produktów, sektorów lub regionów geograficznych.</w:t>
      </w:r>
    </w:p>
    <w:p w14:paraId="4F9DBDB0" w14:textId="0E480D70" w:rsidR="0031329D" w:rsidRPr="00624565" w:rsidRDefault="0031329D" w:rsidP="0031329D">
      <w:pPr>
        <w:pStyle w:val="Text1"/>
        <w:pBdr>
          <w:top w:val="single" w:sz="4" w:space="1" w:color="auto"/>
          <w:left w:val="single" w:sz="4" w:space="4" w:color="auto"/>
          <w:bottom w:val="single" w:sz="4" w:space="1" w:color="auto"/>
          <w:right w:val="single" w:sz="4" w:space="4" w:color="auto"/>
        </w:pBdr>
        <w:rPr>
          <w:noProof/>
        </w:rPr>
      </w:pPr>
      <w:r w:rsidRPr="00624565">
        <w:rPr>
          <w:noProof/>
        </w:rPr>
        <w:t>Ustanowienie wspólnych wymogów na poziomie UE ma wyraźną wartość dodaną, ponieważ zharmonizowany</w:t>
      </w:r>
      <w:r w:rsidR="003F3D2B" w:rsidRPr="00624565">
        <w:rPr>
          <w:noProof/>
        </w:rPr>
        <w:t xml:space="preserve"> i</w:t>
      </w:r>
      <w:r w:rsidR="003F3D2B">
        <w:rPr>
          <w:noProof/>
        </w:rPr>
        <w:t> </w:t>
      </w:r>
      <w:r w:rsidR="003F3D2B" w:rsidRPr="00624565">
        <w:rPr>
          <w:noProof/>
        </w:rPr>
        <w:t>dob</w:t>
      </w:r>
      <w:r w:rsidRPr="00624565">
        <w:rPr>
          <w:noProof/>
        </w:rPr>
        <w:t>rze funkcjonujący rynek wewnętrzny UE zapewniłby równe szanse dla przedsiębiorstw działających w UE.</w:t>
      </w:r>
    </w:p>
    <w:p w14:paraId="7182DB6F" w14:textId="68CF70E2" w:rsidR="0031329D" w:rsidRPr="00624565" w:rsidRDefault="0031329D" w:rsidP="0031329D">
      <w:pPr>
        <w:pStyle w:val="Text1"/>
        <w:pBdr>
          <w:top w:val="single" w:sz="4" w:space="1" w:color="auto"/>
          <w:left w:val="single" w:sz="4" w:space="4" w:color="auto"/>
          <w:bottom w:val="single" w:sz="4" w:space="1" w:color="auto"/>
          <w:right w:val="single" w:sz="4" w:space="4" w:color="auto"/>
        </w:pBdr>
        <w:rPr>
          <w:noProof/>
        </w:rPr>
      </w:pPr>
      <w:r w:rsidRPr="00624565">
        <w:rPr>
          <w:noProof/>
        </w:rPr>
        <w:t>Oczekuje się, że</w:t>
      </w:r>
      <w:r w:rsidR="003F3D2B" w:rsidRPr="00624565">
        <w:rPr>
          <w:noProof/>
        </w:rPr>
        <w:t xml:space="preserve"> w</w:t>
      </w:r>
      <w:r w:rsidR="003F3D2B">
        <w:rPr>
          <w:noProof/>
        </w:rPr>
        <w:t> </w:t>
      </w:r>
      <w:r w:rsidR="003F3D2B" w:rsidRPr="00624565">
        <w:rPr>
          <w:noProof/>
        </w:rPr>
        <w:t>wyn</w:t>
      </w:r>
      <w:r w:rsidRPr="00624565">
        <w:rPr>
          <w:noProof/>
        </w:rPr>
        <w:t>iku działań na szczeblu UE państwa członkowskie nie będą mogły jednostronnie wprowadzać szczególnych środków,</w:t>
      </w:r>
      <w:r w:rsidR="003F3D2B" w:rsidRPr="00624565">
        <w:rPr>
          <w:noProof/>
        </w:rPr>
        <w:t xml:space="preserve"> a</w:t>
      </w:r>
      <w:r w:rsidR="003F3D2B">
        <w:rPr>
          <w:noProof/>
        </w:rPr>
        <w:t> </w:t>
      </w:r>
      <w:r w:rsidR="003F3D2B" w:rsidRPr="00624565">
        <w:rPr>
          <w:noProof/>
        </w:rPr>
        <w:t>dyr</w:t>
      </w:r>
      <w:r w:rsidRPr="00624565">
        <w:rPr>
          <w:noProof/>
        </w:rPr>
        <w:t>ektywa przyczyni się do ograniczenia ryzyka rozdrobnienia prawnego jednolitego rynku</w:t>
      </w:r>
      <w:r w:rsidR="003F3D2B" w:rsidRPr="00624565">
        <w:rPr>
          <w:noProof/>
        </w:rPr>
        <w:t xml:space="preserve"> i</w:t>
      </w:r>
      <w:r w:rsidR="003F3D2B">
        <w:rPr>
          <w:noProof/>
        </w:rPr>
        <w:t> </w:t>
      </w:r>
      <w:r w:rsidR="003F3D2B" w:rsidRPr="00624565">
        <w:rPr>
          <w:noProof/>
        </w:rPr>
        <w:t>prz</w:t>
      </w:r>
      <w:r w:rsidRPr="00624565">
        <w:rPr>
          <w:noProof/>
        </w:rPr>
        <w:t>yniesie oszczędności kosztów rządom</w:t>
      </w:r>
      <w:r w:rsidR="003F3D2B" w:rsidRPr="00624565">
        <w:rPr>
          <w:noProof/>
        </w:rPr>
        <w:t xml:space="preserve"> i</w:t>
      </w:r>
      <w:r w:rsidR="003F3D2B">
        <w:rPr>
          <w:noProof/>
        </w:rPr>
        <w:t> </w:t>
      </w:r>
      <w:r w:rsidR="003F3D2B" w:rsidRPr="00624565">
        <w:rPr>
          <w:noProof/>
        </w:rPr>
        <w:t>sek</w:t>
      </w:r>
      <w:r w:rsidRPr="00624565">
        <w:rPr>
          <w:noProof/>
        </w:rPr>
        <w:t>torowi prywatnemu.</w:t>
      </w:r>
    </w:p>
    <w:p w14:paraId="442921A4" w14:textId="496E4BE2" w:rsidR="009769E5" w:rsidRPr="00624565" w:rsidRDefault="009769E5" w:rsidP="009769E5">
      <w:pPr>
        <w:pStyle w:val="ManualHeading3"/>
        <w:rPr>
          <w:noProof/>
        </w:rPr>
      </w:pPr>
      <w:r w:rsidRPr="00624565">
        <w:rPr>
          <w:noProof/>
        </w:rPr>
        <w:t>1.5.3.</w:t>
      </w:r>
      <w:r w:rsidRPr="00624565">
        <w:rPr>
          <w:noProof/>
        </w:rPr>
        <w:tab/>
        <w:t>Główne wnioski wyciągnięte</w:t>
      </w:r>
      <w:r w:rsidR="003F3D2B" w:rsidRPr="00624565">
        <w:rPr>
          <w:noProof/>
        </w:rPr>
        <w:t xml:space="preserve"> z</w:t>
      </w:r>
      <w:r w:rsidR="003F3D2B">
        <w:rPr>
          <w:noProof/>
        </w:rPr>
        <w:t> </w:t>
      </w:r>
      <w:r w:rsidR="003F3D2B" w:rsidRPr="00624565">
        <w:rPr>
          <w:noProof/>
        </w:rPr>
        <w:t>pod</w:t>
      </w:r>
      <w:r w:rsidRPr="00624565">
        <w:rPr>
          <w:noProof/>
        </w:rPr>
        <w:t>obnych działań</w:t>
      </w:r>
    </w:p>
    <w:p w14:paraId="78FC7534" w14:textId="716CC361" w:rsidR="009769E5" w:rsidRPr="00624565" w:rsidRDefault="008D4F04" w:rsidP="009769E5">
      <w:pPr>
        <w:pStyle w:val="Text1"/>
        <w:pBdr>
          <w:top w:val="single" w:sz="4" w:space="1" w:color="auto"/>
          <w:left w:val="single" w:sz="4" w:space="4" w:color="auto"/>
          <w:bottom w:val="single" w:sz="4" w:space="1" w:color="auto"/>
          <w:right w:val="single" w:sz="4" w:space="4" w:color="auto"/>
        </w:pBdr>
        <w:rPr>
          <w:noProof/>
        </w:rPr>
      </w:pPr>
      <w:r w:rsidRPr="00624565">
        <w:rPr>
          <w:noProof/>
        </w:rPr>
        <w:t>Inicjatywa stanowi uzupełnienie zmian przedstawionych przez Komisję Europejską Parlamentowi Europejskiemu</w:t>
      </w:r>
      <w:r w:rsidR="003F3D2B" w:rsidRPr="00624565">
        <w:rPr>
          <w:noProof/>
        </w:rPr>
        <w:t xml:space="preserve"> i</w:t>
      </w:r>
      <w:r w:rsidR="003F3D2B">
        <w:rPr>
          <w:noProof/>
        </w:rPr>
        <w:t> </w:t>
      </w:r>
      <w:r w:rsidR="003F3D2B" w:rsidRPr="00624565">
        <w:rPr>
          <w:noProof/>
        </w:rPr>
        <w:t>Rad</w:t>
      </w:r>
      <w:r w:rsidRPr="00624565">
        <w:rPr>
          <w:noProof/>
        </w:rPr>
        <w:t>zie we wniosku dotyczącym dyrektywy</w:t>
      </w:r>
      <w:r w:rsidR="003F3D2B" w:rsidRPr="00624565">
        <w:rPr>
          <w:noProof/>
        </w:rPr>
        <w:t xml:space="preserve"> o</w:t>
      </w:r>
      <w:r w:rsidR="003F3D2B">
        <w:rPr>
          <w:noProof/>
        </w:rPr>
        <w:t> </w:t>
      </w:r>
      <w:r w:rsidR="003F3D2B" w:rsidRPr="00624565">
        <w:rPr>
          <w:noProof/>
        </w:rPr>
        <w:t>nie</w:t>
      </w:r>
      <w:r w:rsidRPr="00624565">
        <w:rPr>
          <w:noProof/>
        </w:rPr>
        <w:t>uczciwych praktykach handlowych. Opiera się na doświadczeniach zdobytych podczas wdrażania dyrektywy</w:t>
      </w:r>
      <w:r w:rsidR="003F3D2B" w:rsidRPr="00624565">
        <w:rPr>
          <w:noProof/>
        </w:rPr>
        <w:t xml:space="preserve"> o</w:t>
      </w:r>
      <w:r w:rsidR="003F3D2B">
        <w:rPr>
          <w:noProof/>
        </w:rPr>
        <w:t> </w:t>
      </w:r>
      <w:r w:rsidR="003F3D2B" w:rsidRPr="00624565">
        <w:rPr>
          <w:noProof/>
        </w:rPr>
        <w:t>nie</w:t>
      </w:r>
      <w:r w:rsidRPr="00624565">
        <w:rPr>
          <w:noProof/>
        </w:rPr>
        <w:t>uczciwych praktykach handlowych oraz na potrzebie wprowadzenia przepisów szczegółowych dotyczących uzasadnienia</w:t>
      </w:r>
      <w:r w:rsidR="003F3D2B" w:rsidRPr="00624565">
        <w:rPr>
          <w:noProof/>
        </w:rPr>
        <w:t xml:space="preserve"> i</w:t>
      </w:r>
      <w:r w:rsidR="003F3D2B">
        <w:rPr>
          <w:noProof/>
        </w:rPr>
        <w:t> </w:t>
      </w:r>
      <w:r w:rsidR="003F3D2B" w:rsidRPr="00624565">
        <w:rPr>
          <w:noProof/>
        </w:rPr>
        <w:t>prz</w:t>
      </w:r>
      <w:r w:rsidRPr="00624565">
        <w:rPr>
          <w:noProof/>
        </w:rPr>
        <w:t>ekazywania wyraźnych oświadczeń środowiskowych oraz ich weryfikacji. Opiera się również na wnioskach wyciągniętych</w:t>
      </w:r>
      <w:r w:rsidR="003F3D2B" w:rsidRPr="00624565">
        <w:rPr>
          <w:noProof/>
        </w:rPr>
        <w:t xml:space="preserve"> z</w:t>
      </w:r>
      <w:r w:rsidR="003F3D2B">
        <w:rPr>
          <w:noProof/>
        </w:rPr>
        <w:t> </w:t>
      </w:r>
      <w:r w:rsidR="003F3D2B" w:rsidRPr="00624565">
        <w:rPr>
          <w:noProof/>
        </w:rPr>
        <w:t>mno</w:t>
      </w:r>
      <w:r w:rsidRPr="00624565">
        <w:rPr>
          <w:noProof/>
        </w:rPr>
        <w:t>żenia systemów oznakowania ekologicznego. Inne wyciągnięte wnioski dotyczą rozwoju oznakowania ekologicznego UE, EMAS oraz rozwoju metod oznaczania śladu środowiskowego.</w:t>
      </w:r>
    </w:p>
    <w:p w14:paraId="082949EC" w14:textId="5CC6D962" w:rsidR="009769E5" w:rsidRPr="00624565" w:rsidRDefault="009769E5" w:rsidP="009769E5">
      <w:pPr>
        <w:pStyle w:val="ManualHeading3"/>
        <w:rPr>
          <w:noProof/>
        </w:rPr>
      </w:pPr>
      <w:r w:rsidRPr="00624565">
        <w:rPr>
          <w:noProof/>
        </w:rPr>
        <w:t>1.5.4.</w:t>
      </w:r>
      <w:r w:rsidRPr="00624565">
        <w:rPr>
          <w:noProof/>
        </w:rPr>
        <w:tab/>
        <w:t>Spójność</w:t>
      </w:r>
      <w:r w:rsidR="003F3D2B" w:rsidRPr="00624565">
        <w:rPr>
          <w:noProof/>
        </w:rPr>
        <w:t xml:space="preserve"> z</w:t>
      </w:r>
      <w:r w:rsidR="003F3D2B">
        <w:rPr>
          <w:noProof/>
        </w:rPr>
        <w:t> </w:t>
      </w:r>
      <w:r w:rsidR="003F3D2B" w:rsidRPr="00624565">
        <w:rPr>
          <w:noProof/>
        </w:rPr>
        <w:t>wie</w:t>
      </w:r>
      <w:r w:rsidRPr="00624565">
        <w:rPr>
          <w:noProof/>
        </w:rPr>
        <w:t>loletnimi ramami finansowymi oraz możliwa synergia</w:t>
      </w:r>
      <w:r w:rsidR="003F3D2B" w:rsidRPr="00624565">
        <w:rPr>
          <w:noProof/>
        </w:rPr>
        <w:t xml:space="preserve"> z</w:t>
      </w:r>
      <w:r w:rsidR="003F3D2B">
        <w:rPr>
          <w:noProof/>
        </w:rPr>
        <w:t> </w:t>
      </w:r>
      <w:r w:rsidR="003F3D2B" w:rsidRPr="00624565">
        <w:rPr>
          <w:noProof/>
        </w:rPr>
        <w:t>inn</w:t>
      </w:r>
      <w:r w:rsidRPr="00624565">
        <w:rPr>
          <w:noProof/>
        </w:rPr>
        <w:t>ymi właściwymi instrumentami</w:t>
      </w:r>
    </w:p>
    <w:p w14:paraId="3305AA4B" w14:textId="50363697" w:rsidR="00AB6AB6" w:rsidRPr="00624565" w:rsidRDefault="00AB6AB6" w:rsidP="00AB6AB6">
      <w:pPr>
        <w:pStyle w:val="Text1"/>
        <w:pBdr>
          <w:top w:val="single" w:sz="4" w:space="1" w:color="auto"/>
          <w:left w:val="single" w:sz="4" w:space="4" w:color="auto"/>
          <w:bottom w:val="single" w:sz="4" w:space="1" w:color="auto"/>
          <w:right w:val="single" w:sz="4" w:space="4" w:color="auto"/>
        </w:pBdr>
        <w:rPr>
          <w:noProof/>
        </w:rPr>
      </w:pPr>
      <w:r w:rsidRPr="00624565">
        <w:rPr>
          <w:noProof/>
        </w:rPr>
        <w:t>Przedmiotowe inicjatywy wchodzą</w:t>
      </w:r>
      <w:r w:rsidR="003F3D2B" w:rsidRPr="00624565">
        <w:rPr>
          <w:noProof/>
        </w:rPr>
        <w:t xml:space="preserve"> w</w:t>
      </w:r>
      <w:r w:rsidR="003F3D2B">
        <w:rPr>
          <w:noProof/>
        </w:rPr>
        <w:t> </w:t>
      </w:r>
      <w:r w:rsidR="003F3D2B" w:rsidRPr="00624565">
        <w:rPr>
          <w:noProof/>
        </w:rPr>
        <w:t>zak</w:t>
      </w:r>
      <w:r w:rsidRPr="00624565">
        <w:rPr>
          <w:noProof/>
        </w:rPr>
        <w:t>res Europejskiego Zielonego Ładu, wokół którego koncentruje się unijna strategia odbudowy. W Zielonym Ładzie uznaje się korzyści płynące</w:t>
      </w:r>
      <w:r w:rsidR="003F3D2B" w:rsidRPr="00624565">
        <w:rPr>
          <w:noProof/>
        </w:rPr>
        <w:t xml:space="preserve"> z</w:t>
      </w:r>
      <w:r w:rsidR="003F3D2B">
        <w:rPr>
          <w:noProof/>
        </w:rPr>
        <w:t> </w:t>
      </w:r>
      <w:r w:rsidR="003F3D2B" w:rsidRPr="00624565">
        <w:rPr>
          <w:noProof/>
        </w:rPr>
        <w:t>inw</w:t>
      </w:r>
      <w:r w:rsidRPr="00624565">
        <w:rPr>
          <w:noProof/>
        </w:rPr>
        <w:t>estowania</w:t>
      </w:r>
      <w:r w:rsidR="003F3D2B" w:rsidRPr="00624565">
        <w:rPr>
          <w:noProof/>
        </w:rPr>
        <w:t xml:space="preserve"> w</w:t>
      </w:r>
      <w:r w:rsidR="003F3D2B">
        <w:rPr>
          <w:noProof/>
        </w:rPr>
        <w:t> </w:t>
      </w:r>
      <w:r w:rsidR="003F3D2B" w:rsidRPr="00624565">
        <w:rPr>
          <w:noProof/>
        </w:rPr>
        <w:t>nas</w:t>
      </w:r>
      <w:r w:rsidRPr="00624565">
        <w:rPr>
          <w:noProof/>
        </w:rPr>
        <w:t>z konkurencyjny zrównoważony rozwój poprzez budowanie bardziej sprawiedliwej, ekologicznej</w:t>
      </w:r>
      <w:r w:rsidR="003F3D2B" w:rsidRPr="00624565">
        <w:rPr>
          <w:noProof/>
        </w:rPr>
        <w:t xml:space="preserve"> i</w:t>
      </w:r>
      <w:r w:rsidR="003F3D2B">
        <w:rPr>
          <w:noProof/>
        </w:rPr>
        <w:t> </w:t>
      </w:r>
      <w:r w:rsidR="003F3D2B" w:rsidRPr="00624565">
        <w:rPr>
          <w:noProof/>
        </w:rPr>
        <w:t>cyf</w:t>
      </w:r>
      <w:r w:rsidRPr="00624565">
        <w:rPr>
          <w:noProof/>
        </w:rPr>
        <w:t xml:space="preserve">rowej Europy. </w:t>
      </w:r>
    </w:p>
    <w:p w14:paraId="7B62C4A0" w14:textId="16169029" w:rsidR="00AB6AB6" w:rsidRPr="00624565" w:rsidRDefault="00AB6AB6" w:rsidP="00AB6AB6">
      <w:pPr>
        <w:pStyle w:val="Text1"/>
        <w:pBdr>
          <w:top w:val="single" w:sz="4" w:space="1" w:color="auto"/>
          <w:left w:val="single" w:sz="4" w:space="4" w:color="auto"/>
          <w:bottom w:val="single" w:sz="4" w:space="1" w:color="auto"/>
          <w:right w:val="single" w:sz="4" w:space="4" w:color="auto"/>
        </w:pBdr>
        <w:rPr>
          <w:noProof/>
        </w:rPr>
      </w:pPr>
      <w:r w:rsidRPr="00624565">
        <w:rPr>
          <w:noProof/>
        </w:rPr>
        <w:t>Inicjatywa jest finansowana</w:t>
      </w:r>
      <w:r w:rsidR="003F3D2B" w:rsidRPr="00624565">
        <w:rPr>
          <w:noProof/>
        </w:rPr>
        <w:t xml:space="preserve"> w</w:t>
      </w:r>
      <w:r w:rsidR="003F3D2B">
        <w:rPr>
          <w:noProof/>
        </w:rPr>
        <w:t> </w:t>
      </w:r>
      <w:r w:rsidR="003F3D2B" w:rsidRPr="00624565">
        <w:rPr>
          <w:noProof/>
        </w:rPr>
        <w:t>ram</w:t>
      </w:r>
      <w:r w:rsidRPr="00624565">
        <w:rPr>
          <w:noProof/>
        </w:rPr>
        <w:t>ach działu 3 (Zasoby naturalne</w:t>
      </w:r>
      <w:r w:rsidR="003F3D2B" w:rsidRPr="00624565">
        <w:rPr>
          <w:noProof/>
        </w:rPr>
        <w:t xml:space="preserve"> i</w:t>
      </w:r>
      <w:r w:rsidR="003F3D2B">
        <w:rPr>
          <w:noProof/>
        </w:rPr>
        <w:t> </w:t>
      </w:r>
      <w:r w:rsidR="003F3D2B" w:rsidRPr="00624565">
        <w:rPr>
          <w:noProof/>
        </w:rPr>
        <w:t>śro</w:t>
      </w:r>
      <w:r w:rsidRPr="00624565">
        <w:rPr>
          <w:noProof/>
        </w:rPr>
        <w:t>dowisko), tytułu 9 (Działania na rzecz środowiska</w:t>
      </w:r>
      <w:r w:rsidR="003F3D2B" w:rsidRPr="00624565">
        <w:rPr>
          <w:noProof/>
        </w:rPr>
        <w:t xml:space="preserve"> i</w:t>
      </w:r>
      <w:r w:rsidR="003F3D2B">
        <w:rPr>
          <w:noProof/>
        </w:rPr>
        <w:t> </w:t>
      </w:r>
      <w:r w:rsidR="003F3D2B" w:rsidRPr="00624565">
        <w:rPr>
          <w:noProof/>
        </w:rPr>
        <w:t>kli</w:t>
      </w:r>
      <w:r w:rsidRPr="00624565">
        <w:rPr>
          <w:noProof/>
        </w:rPr>
        <w:t>matu) wieloletnich ram finansowych. Jak wyszczególniono poniżej, realizacja tej inicjatywy będzie wymagała dodatkowych zasobów ludzkich, poniesienia wydatków</w:t>
      </w:r>
      <w:r w:rsidR="003F3D2B" w:rsidRPr="00624565">
        <w:rPr>
          <w:noProof/>
        </w:rPr>
        <w:t xml:space="preserve"> w</w:t>
      </w:r>
      <w:r w:rsidR="003F3D2B">
        <w:rPr>
          <w:noProof/>
        </w:rPr>
        <w:t> </w:t>
      </w:r>
      <w:r w:rsidR="003F3D2B" w:rsidRPr="00624565">
        <w:rPr>
          <w:noProof/>
        </w:rPr>
        <w:t>ram</w:t>
      </w:r>
      <w:r w:rsidRPr="00624565">
        <w:rPr>
          <w:noProof/>
        </w:rPr>
        <w:t>ach programu LIFE,</w:t>
      </w:r>
      <w:r w:rsidR="003F3D2B" w:rsidRPr="00624565">
        <w:rPr>
          <w:noProof/>
        </w:rPr>
        <w:t xml:space="preserve"> a</w:t>
      </w:r>
      <w:r w:rsidR="003F3D2B">
        <w:rPr>
          <w:noProof/>
        </w:rPr>
        <w:t> </w:t>
      </w:r>
      <w:r w:rsidR="003F3D2B" w:rsidRPr="00624565">
        <w:rPr>
          <w:noProof/>
        </w:rPr>
        <w:t>tak</w:t>
      </w:r>
      <w:r w:rsidRPr="00624565">
        <w:rPr>
          <w:noProof/>
        </w:rPr>
        <w:t>że pewnych wydatków na wsparcie w EEA. Odpowiedni wzrost dotacji EEA dla agencji zostanie zrekompensowany</w:t>
      </w:r>
      <w:r w:rsidR="003F3D2B" w:rsidRPr="00624565">
        <w:rPr>
          <w:noProof/>
        </w:rPr>
        <w:t xml:space="preserve"> z</w:t>
      </w:r>
      <w:r w:rsidR="003F3D2B">
        <w:rPr>
          <w:noProof/>
        </w:rPr>
        <w:t> </w:t>
      </w:r>
      <w:r w:rsidR="003F3D2B" w:rsidRPr="00624565">
        <w:rPr>
          <w:noProof/>
        </w:rPr>
        <w:t>uni</w:t>
      </w:r>
      <w:r w:rsidRPr="00624565">
        <w:rPr>
          <w:noProof/>
        </w:rPr>
        <w:t>jnego Programu działań na rzecz środowiska</w:t>
      </w:r>
      <w:r w:rsidR="003F3D2B" w:rsidRPr="00624565">
        <w:rPr>
          <w:noProof/>
        </w:rPr>
        <w:t xml:space="preserve"> i</w:t>
      </w:r>
      <w:r w:rsidR="003F3D2B">
        <w:rPr>
          <w:noProof/>
        </w:rPr>
        <w:t> </w:t>
      </w:r>
      <w:r w:rsidR="003F3D2B" w:rsidRPr="00624565">
        <w:rPr>
          <w:noProof/>
        </w:rPr>
        <w:t>kli</w:t>
      </w:r>
      <w:r w:rsidRPr="00624565">
        <w:rPr>
          <w:noProof/>
        </w:rPr>
        <w:t>matu (LIFE).</w:t>
      </w:r>
    </w:p>
    <w:p w14:paraId="171E35F9" w14:textId="2181C2E7" w:rsidR="004724CE" w:rsidRPr="00624565" w:rsidRDefault="004724CE" w:rsidP="004724CE">
      <w:pPr>
        <w:pStyle w:val="Text1"/>
        <w:pBdr>
          <w:top w:val="single" w:sz="4" w:space="1" w:color="000000"/>
          <w:left w:val="single" w:sz="4" w:space="4" w:color="000000"/>
          <w:bottom w:val="single" w:sz="4" w:space="1" w:color="000000"/>
          <w:right w:val="single" w:sz="4" w:space="4" w:color="000000"/>
        </w:pBdr>
        <w:rPr>
          <w:noProof/>
        </w:rPr>
      </w:pPr>
      <w:r w:rsidRPr="00624565">
        <w:rPr>
          <w:noProof/>
        </w:rPr>
        <w:t>Wsparcie dla przedsiębiorstw</w:t>
      </w:r>
      <w:r w:rsidR="003F3D2B" w:rsidRPr="00624565">
        <w:rPr>
          <w:noProof/>
        </w:rPr>
        <w:t xml:space="preserve"> w</w:t>
      </w:r>
      <w:r w:rsidR="003F3D2B">
        <w:rPr>
          <w:noProof/>
        </w:rPr>
        <w:t> </w:t>
      </w:r>
      <w:r w:rsidR="003F3D2B" w:rsidRPr="00624565">
        <w:rPr>
          <w:noProof/>
        </w:rPr>
        <w:t>zak</w:t>
      </w:r>
      <w:r w:rsidRPr="00624565">
        <w:rPr>
          <w:noProof/>
        </w:rPr>
        <w:t>resie wdrażania wymogów dotyczących uzasadniania</w:t>
      </w:r>
      <w:r w:rsidR="003F3D2B" w:rsidRPr="00624565">
        <w:rPr>
          <w:noProof/>
        </w:rPr>
        <w:t xml:space="preserve"> i</w:t>
      </w:r>
      <w:r w:rsidR="003F3D2B">
        <w:rPr>
          <w:noProof/>
        </w:rPr>
        <w:t> </w:t>
      </w:r>
      <w:r w:rsidR="003F3D2B" w:rsidRPr="00624565">
        <w:rPr>
          <w:noProof/>
        </w:rPr>
        <w:t>prz</w:t>
      </w:r>
      <w:r w:rsidRPr="00624565">
        <w:rPr>
          <w:noProof/>
        </w:rPr>
        <w:t>ekazywania oświadczeń środowiskowych, np. określonych</w:t>
      </w:r>
      <w:r w:rsidR="003F3D2B" w:rsidRPr="00624565">
        <w:rPr>
          <w:noProof/>
        </w:rPr>
        <w:t xml:space="preserve"> w</w:t>
      </w:r>
      <w:r w:rsidR="003F3D2B">
        <w:rPr>
          <w:noProof/>
        </w:rPr>
        <w:t> </w:t>
      </w:r>
      <w:r w:rsidR="003F3D2B" w:rsidRPr="00624565">
        <w:rPr>
          <w:noProof/>
        </w:rPr>
        <w:t>akt</w:t>
      </w:r>
      <w:r w:rsidRPr="00624565">
        <w:rPr>
          <w:noProof/>
        </w:rPr>
        <w:t>ach delegowanych zgodnie</w:t>
      </w:r>
      <w:r w:rsidR="003F3D2B" w:rsidRPr="00624565">
        <w:rPr>
          <w:noProof/>
        </w:rPr>
        <w:t xml:space="preserve"> z</w:t>
      </w:r>
      <w:r w:rsidR="003F3D2B">
        <w:rPr>
          <w:noProof/>
        </w:rPr>
        <w:t> </w:t>
      </w:r>
      <w:r w:rsidR="003F3D2B" w:rsidRPr="003F3D2B">
        <w:rPr>
          <w:noProof/>
        </w:rPr>
        <w:t>art</w:t>
      </w:r>
      <w:r w:rsidRPr="003F3D2B">
        <w:rPr>
          <w:noProof/>
        </w:rPr>
        <w:t>.</w:t>
      </w:r>
      <w:r w:rsidR="003F3D2B" w:rsidRPr="003F3D2B">
        <w:rPr>
          <w:noProof/>
        </w:rPr>
        <w:t> </w:t>
      </w:r>
      <w:r w:rsidRPr="003F3D2B">
        <w:rPr>
          <w:noProof/>
        </w:rPr>
        <w:t>3</w:t>
      </w:r>
      <w:r w:rsidRPr="00624565">
        <w:rPr>
          <w:noProof/>
        </w:rPr>
        <w:t>, mogłoby zostać udzielone</w:t>
      </w:r>
      <w:r w:rsidR="003F3D2B" w:rsidRPr="00624565">
        <w:rPr>
          <w:noProof/>
        </w:rPr>
        <w:t xml:space="preserve"> w</w:t>
      </w:r>
      <w:r w:rsidR="003F3D2B">
        <w:rPr>
          <w:noProof/>
        </w:rPr>
        <w:t> </w:t>
      </w:r>
      <w:r w:rsidR="003F3D2B" w:rsidRPr="00624565">
        <w:rPr>
          <w:noProof/>
        </w:rPr>
        <w:t>inn</w:t>
      </w:r>
      <w:r w:rsidRPr="00624565">
        <w:rPr>
          <w:noProof/>
        </w:rPr>
        <w:t>ych obszarach polityki,</w:t>
      </w:r>
      <w:r w:rsidR="003F3D2B" w:rsidRPr="00624565">
        <w:rPr>
          <w:noProof/>
        </w:rPr>
        <w:t xml:space="preserve"> w</w:t>
      </w:r>
      <w:r w:rsidR="003F3D2B">
        <w:rPr>
          <w:noProof/>
        </w:rPr>
        <w:t> </w:t>
      </w:r>
      <w:r w:rsidR="003F3D2B" w:rsidRPr="00624565">
        <w:rPr>
          <w:noProof/>
        </w:rPr>
        <w:t>szc</w:t>
      </w:r>
      <w:r w:rsidRPr="00624565">
        <w:rPr>
          <w:noProof/>
        </w:rPr>
        <w:t>zególności dzięki finansowaniu unijnemu przeznaczonemu na innowacje</w:t>
      </w:r>
      <w:r w:rsidR="003F3D2B" w:rsidRPr="00624565">
        <w:rPr>
          <w:noProof/>
        </w:rPr>
        <w:t xml:space="preserve"> i</w:t>
      </w:r>
      <w:r w:rsidR="003F3D2B">
        <w:rPr>
          <w:noProof/>
        </w:rPr>
        <w:t> </w:t>
      </w:r>
      <w:r w:rsidR="003F3D2B" w:rsidRPr="00624565">
        <w:rPr>
          <w:noProof/>
        </w:rPr>
        <w:t>inw</w:t>
      </w:r>
      <w:r w:rsidRPr="00624565">
        <w:rPr>
          <w:noProof/>
        </w:rPr>
        <w:t>estycje</w:t>
      </w:r>
      <w:r w:rsidR="003F3D2B" w:rsidRPr="00624565">
        <w:rPr>
          <w:noProof/>
        </w:rPr>
        <w:t xml:space="preserve"> w</w:t>
      </w:r>
      <w:r w:rsidR="003F3D2B">
        <w:rPr>
          <w:noProof/>
        </w:rPr>
        <w:t> </w:t>
      </w:r>
      <w:r w:rsidR="003F3D2B" w:rsidRPr="00624565">
        <w:rPr>
          <w:noProof/>
        </w:rPr>
        <w:t>prz</w:t>
      </w:r>
      <w:r w:rsidRPr="00624565">
        <w:rPr>
          <w:noProof/>
        </w:rPr>
        <w:t>edsiębiorstwa, zwłaszcza dla MŚP. Europejski Fundusz Rozwoju Regionalnego, poprzez inteligentną specjalizację oraz programy LIFE i „Horyzont Europa”, stanowi uzupełnienie prywatnego finansowania innowacji</w:t>
      </w:r>
      <w:r w:rsidR="003F3D2B" w:rsidRPr="00624565">
        <w:rPr>
          <w:noProof/>
        </w:rPr>
        <w:t xml:space="preserve"> i</w:t>
      </w:r>
      <w:r w:rsidR="003F3D2B">
        <w:rPr>
          <w:noProof/>
        </w:rPr>
        <w:t> </w:t>
      </w:r>
      <w:r w:rsidR="003F3D2B" w:rsidRPr="00624565">
        <w:rPr>
          <w:noProof/>
        </w:rPr>
        <w:t>wsp</w:t>
      </w:r>
      <w:r w:rsidRPr="00624565">
        <w:rPr>
          <w:noProof/>
        </w:rPr>
        <w:t>iera cały cykl innowacji</w:t>
      </w:r>
      <w:r w:rsidR="003F3D2B" w:rsidRPr="00624565">
        <w:rPr>
          <w:noProof/>
        </w:rPr>
        <w:t xml:space="preserve"> w</w:t>
      </w:r>
      <w:r w:rsidR="003F3D2B">
        <w:rPr>
          <w:noProof/>
        </w:rPr>
        <w:t> </w:t>
      </w:r>
      <w:r w:rsidR="003F3D2B" w:rsidRPr="00624565">
        <w:rPr>
          <w:noProof/>
        </w:rPr>
        <w:t>cel</w:t>
      </w:r>
      <w:r w:rsidRPr="00624565">
        <w:rPr>
          <w:noProof/>
        </w:rPr>
        <w:t>u wprowadzenia rozwiązań na rynek</w:t>
      </w:r>
      <w:r w:rsidR="003F3D2B" w:rsidRPr="00624565">
        <w:rPr>
          <w:noProof/>
        </w:rPr>
        <w:t>. W</w:t>
      </w:r>
      <w:r w:rsidR="003F3D2B">
        <w:rPr>
          <w:noProof/>
        </w:rPr>
        <w:t> </w:t>
      </w:r>
      <w:r w:rsidR="003F3D2B" w:rsidRPr="00624565">
        <w:rPr>
          <w:noProof/>
        </w:rPr>
        <w:t>ram</w:t>
      </w:r>
      <w:r w:rsidRPr="00624565">
        <w:rPr>
          <w:noProof/>
        </w:rPr>
        <w:t>ach programu „Cyfrowa Europa”</w:t>
      </w:r>
      <w:r w:rsidR="003F3D2B" w:rsidRPr="00624565">
        <w:rPr>
          <w:noProof/>
        </w:rPr>
        <w:t xml:space="preserve"> w</w:t>
      </w:r>
      <w:r w:rsidR="003F3D2B">
        <w:rPr>
          <w:noProof/>
        </w:rPr>
        <w:t> </w:t>
      </w:r>
      <w:r w:rsidR="003F3D2B" w:rsidRPr="00624565">
        <w:rPr>
          <w:noProof/>
        </w:rPr>
        <w:t>2</w:t>
      </w:r>
      <w:r w:rsidRPr="00624565">
        <w:rPr>
          <w:noProof/>
        </w:rPr>
        <w:t>0</w:t>
      </w:r>
      <w:r w:rsidRPr="003F3D2B">
        <w:rPr>
          <w:noProof/>
        </w:rPr>
        <w:t>22</w:t>
      </w:r>
      <w:r w:rsidR="003F3D2B" w:rsidRPr="003F3D2B">
        <w:rPr>
          <w:noProof/>
        </w:rPr>
        <w:t> </w:t>
      </w:r>
      <w:r w:rsidRPr="003F3D2B">
        <w:rPr>
          <w:noProof/>
        </w:rPr>
        <w:t>r.</w:t>
      </w:r>
      <w:r w:rsidRPr="00624565">
        <w:rPr>
          <w:noProof/>
        </w:rPr>
        <w:t xml:space="preserve"> uruchomiono wspólne działanie CIRPASS, którego celem jest stworzenie możliwości</w:t>
      </w:r>
      <w:r w:rsidR="003F3D2B" w:rsidRPr="00624565">
        <w:rPr>
          <w:noProof/>
        </w:rPr>
        <w:t xml:space="preserve"> w</w:t>
      </w:r>
      <w:r w:rsidR="003F3D2B">
        <w:rPr>
          <w:noProof/>
        </w:rPr>
        <w:t> </w:t>
      </w:r>
      <w:r w:rsidR="003F3D2B" w:rsidRPr="00624565">
        <w:rPr>
          <w:noProof/>
        </w:rPr>
        <w:t>zak</w:t>
      </w:r>
      <w:r w:rsidRPr="00624565">
        <w:rPr>
          <w:noProof/>
        </w:rPr>
        <w:t>resie innowacyjnych przepływów pracy,</w:t>
      </w:r>
      <w:r w:rsidR="003F3D2B" w:rsidRPr="00624565">
        <w:rPr>
          <w:noProof/>
        </w:rPr>
        <w:t xml:space="preserve"> w</w:t>
      </w:r>
      <w:r w:rsidR="003F3D2B">
        <w:rPr>
          <w:noProof/>
        </w:rPr>
        <w:t> </w:t>
      </w:r>
      <w:r w:rsidR="003F3D2B" w:rsidRPr="00624565">
        <w:rPr>
          <w:noProof/>
        </w:rPr>
        <w:t>szc</w:t>
      </w:r>
      <w:r w:rsidRPr="00624565">
        <w:rPr>
          <w:noProof/>
        </w:rPr>
        <w:t>zególności</w:t>
      </w:r>
      <w:r w:rsidR="003F3D2B" w:rsidRPr="00624565">
        <w:rPr>
          <w:noProof/>
        </w:rPr>
        <w:t xml:space="preserve"> w</w:t>
      </w:r>
      <w:r w:rsidR="003F3D2B">
        <w:rPr>
          <w:noProof/>
        </w:rPr>
        <w:t> </w:t>
      </w:r>
      <w:r w:rsidR="003F3D2B" w:rsidRPr="00624565">
        <w:rPr>
          <w:noProof/>
        </w:rPr>
        <w:t>cel</w:t>
      </w:r>
      <w:r w:rsidRPr="00624565">
        <w:rPr>
          <w:noProof/>
        </w:rPr>
        <w:t>u zwiększenia obiegu zamkniętego przepływu dóbr materialnych, ale także możliwości</w:t>
      </w:r>
      <w:r w:rsidR="003F3D2B" w:rsidRPr="00624565">
        <w:rPr>
          <w:noProof/>
        </w:rPr>
        <w:t xml:space="preserve"> w</w:t>
      </w:r>
      <w:r w:rsidR="003F3D2B">
        <w:rPr>
          <w:noProof/>
        </w:rPr>
        <w:t> </w:t>
      </w:r>
      <w:r w:rsidR="003F3D2B" w:rsidRPr="00624565">
        <w:rPr>
          <w:noProof/>
        </w:rPr>
        <w:t>zak</w:t>
      </w:r>
      <w:r w:rsidRPr="00624565">
        <w:rPr>
          <w:noProof/>
        </w:rPr>
        <w:t>resie informacji</w:t>
      </w:r>
      <w:r w:rsidR="003F3D2B" w:rsidRPr="00624565">
        <w:rPr>
          <w:noProof/>
        </w:rPr>
        <w:t xml:space="preserve"> o</w:t>
      </w:r>
      <w:r w:rsidR="003F3D2B">
        <w:rPr>
          <w:noProof/>
        </w:rPr>
        <w:t> </w:t>
      </w:r>
      <w:r w:rsidR="003F3D2B" w:rsidRPr="00624565">
        <w:rPr>
          <w:noProof/>
        </w:rPr>
        <w:t>kon</w:t>
      </w:r>
      <w:r w:rsidRPr="00624565">
        <w:rPr>
          <w:noProof/>
        </w:rPr>
        <w:t>sumentach poprzez zdefiniowanie międzysektorowego modelu danych</w:t>
      </w:r>
      <w:r w:rsidR="003F3D2B" w:rsidRPr="00624565">
        <w:rPr>
          <w:noProof/>
        </w:rPr>
        <w:t xml:space="preserve"> o</w:t>
      </w:r>
      <w:r w:rsidR="003F3D2B">
        <w:rPr>
          <w:noProof/>
        </w:rPr>
        <w:t> </w:t>
      </w:r>
      <w:r w:rsidR="003F3D2B" w:rsidRPr="00624565">
        <w:rPr>
          <w:noProof/>
        </w:rPr>
        <w:t>pro</w:t>
      </w:r>
      <w:r w:rsidRPr="00624565">
        <w:rPr>
          <w:noProof/>
        </w:rPr>
        <w:t>dukcie dla cyfrowego paszportu produktu</w:t>
      </w:r>
      <w:r w:rsidR="003F3D2B" w:rsidRPr="00624565">
        <w:rPr>
          <w:noProof/>
        </w:rPr>
        <w:t xml:space="preserve"> o</w:t>
      </w:r>
      <w:r w:rsidR="003F3D2B">
        <w:rPr>
          <w:noProof/>
        </w:rPr>
        <w:t> </w:t>
      </w:r>
      <w:r w:rsidR="003F3D2B" w:rsidRPr="00624565">
        <w:rPr>
          <w:noProof/>
        </w:rPr>
        <w:t>wyk</w:t>
      </w:r>
      <w:r w:rsidRPr="00624565">
        <w:rPr>
          <w:noProof/>
        </w:rPr>
        <w:t>azanej przydatności dla gospodarki</w:t>
      </w:r>
      <w:r w:rsidR="003F3D2B" w:rsidRPr="00624565">
        <w:rPr>
          <w:noProof/>
        </w:rPr>
        <w:t xml:space="preserve"> o</w:t>
      </w:r>
      <w:r w:rsidR="003F3D2B">
        <w:rPr>
          <w:noProof/>
        </w:rPr>
        <w:t> </w:t>
      </w:r>
      <w:r w:rsidR="003F3D2B" w:rsidRPr="00624565">
        <w:rPr>
          <w:noProof/>
        </w:rPr>
        <w:t>obi</w:t>
      </w:r>
      <w:r w:rsidRPr="00624565">
        <w:rPr>
          <w:noProof/>
        </w:rPr>
        <w:t xml:space="preserve">egu zamkniętym. </w:t>
      </w:r>
    </w:p>
    <w:p w14:paraId="7D095111" w14:textId="307194BA" w:rsidR="004724CE" w:rsidRPr="00624565" w:rsidRDefault="004724CE" w:rsidP="004724CE">
      <w:pPr>
        <w:pStyle w:val="Text1"/>
        <w:pBdr>
          <w:top w:val="single" w:sz="4" w:space="1" w:color="000000"/>
          <w:left w:val="single" w:sz="4" w:space="4" w:color="000000"/>
          <w:bottom w:val="single" w:sz="4" w:space="1" w:color="000000"/>
          <w:right w:val="single" w:sz="4" w:space="4" w:color="000000"/>
        </w:pBdr>
        <w:rPr>
          <w:noProof/>
        </w:rPr>
      </w:pPr>
      <w:r w:rsidRPr="00624565">
        <w:rPr>
          <w:noProof/>
        </w:rPr>
        <w:t>Fundusz innowacyjny jest jednym</w:t>
      </w:r>
      <w:r w:rsidR="003F3D2B" w:rsidRPr="00624565">
        <w:rPr>
          <w:noProof/>
        </w:rPr>
        <w:t xml:space="preserve"> z</w:t>
      </w:r>
      <w:r w:rsidR="003F3D2B">
        <w:rPr>
          <w:noProof/>
        </w:rPr>
        <w:t> </w:t>
      </w:r>
      <w:r w:rsidR="003F3D2B" w:rsidRPr="00624565">
        <w:rPr>
          <w:noProof/>
        </w:rPr>
        <w:t>naj</w:t>
      </w:r>
      <w:r w:rsidRPr="00624565">
        <w:rPr>
          <w:noProof/>
        </w:rPr>
        <w:t>większych na świecie programów finansowania demonstracji innowacyjnych technologii</w:t>
      </w:r>
      <w:r w:rsidR="003F3D2B" w:rsidRPr="00624565">
        <w:rPr>
          <w:noProof/>
        </w:rPr>
        <w:t xml:space="preserve"> i</w:t>
      </w:r>
      <w:r w:rsidR="003F3D2B">
        <w:rPr>
          <w:noProof/>
        </w:rPr>
        <w:t> </w:t>
      </w:r>
      <w:r w:rsidR="003F3D2B" w:rsidRPr="00624565">
        <w:rPr>
          <w:noProof/>
        </w:rPr>
        <w:t>roz</w:t>
      </w:r>
      <w:r w:rsidRPr="00624565">
        <w:rPr>
          <w:noProof/>
        </w:rPr>
        <w:t>wiązań niskoemisyjnych. Dzięki niemu</w:t>
      </w:r>
      <w:r w:rsidR="003F3D2B" w:rsidRPr="00624565">
        <w:rPr>
          <w:noProof/>
        </w:rPr>
        <w:t xml:space="preserve"> w</w:t>
      </w:r>
      <w:r w:rsidR="003F3D2B">
        <w:rPr>
          <w:noProof/>
        </w:rPr>
        <w:t> </w:t>
      </w:r>
      <w:r w:rsidR="003F3D2B" w:rsidRPr="00624565">
        <w:rPr>
          <w:noProof/>
        </w:rPr>
        <w:t>lat</w:t>
      </w:r>
      <w:r w:rsidRPr="00624565">
        <w:rPr>
          <w:noProof/>
        </w:rPr>
        <w:t>ach 2020–2030 przyznane zostanie wsparcie</w:t>
      </w:r>
      <w:r w:rsidR="003F3D2B" w:rsidRPr="00624565">
        <w:rPr>
          <w:noProof/>
        </w:rPr>
        <w:t xml:space="preserve"> w</w:t>
      </w:r>
      <w:r w:rsidR="003F3D2B">
        <w:rPr>
          <w:noProof/>
        </w:rPr>
        <w:t> </w:t>
      </w:r>
      <w:r w:rsidR="003F3D2B" w:rsidRPr="00624565">
        <w:rPr>
          <w:noProof/>
        </w:rPr>
        <w:t>wys</w:t>
      </w:r>
      <w:r w:rsidRPr="00624565">
        <w:rPr>
          <w:noProof/>
        </w:rPr>
        <w:t>okości około 10 mld EUR,</w:t>
      </w:r>
      <w:r w:rsidR="003F3D2B" w:rsidRPr="00624565">
        <w:rPr>
          <w:noProof/>
        </w:rPr>
        <w:t xml:space="preserve"> a</w:t>
      </w:r>
      <w:r w:rsidR="003F3D2B">
        <w:rPr>
          <w:noProof/>
        </w:rPr>
        <w:t> </w:t>
      </w:r>
      <w:r w:rsidR="003F3D2B" w:rsidRPr="00624565">
        <w:rPr>
          <w:noProof/>
        </w:rPr>
        <w:t>jeg</w:t>
      </w:r>
      <w:r w:rsidRPr="00624565">
        <w:rPr>
          <w:noProof/>
        </w:rPr>
        <w:t>o celem będzie wprowadzenie na rynek rozwiązań przemysłowych służących dekarbonizacji Europy</w:t>
      </w:r>
      <w:r w:rsidR="003F3D2B" w:rsidRPr="00624565">
        <w:rPr>
          <w:noProof/>
        </w:rPr>
        <w:t xml:space="preserve"> i</w:t>
      </w:r>
      <w:r w:rsidR="003F3D2B">
        <w:rPr>
          <w:noProof/>
        </w:rPr>
        <w:t> </w:t>
      </w:r>
      <w:r w:rsidR="003F3D2B" w:rsidRPr="00624565">
        <w:rPr>
          <w:noProof/>
        </w:rPr>
        <w:t>wsp</w:t>
      </w:r>
      <w:r w:rsidRPr="00624565">
        <w:rPr>
          <w:noProof/>
        </w:rPr>
        <w:t>ieraniu jej transformacji</w:t>
      </w:r>
      <w:r w:rsidR="003F3D2B" w:rsidRPr="00624565">
        <w:rPr>
          <w:noProof/>
        </w:rPr>
        <w:t xml:space="preserve"> w</w:t>
      </w:r>
      <w:r w:rsidR="003F3D2B">
        <w:rPr>
          <w:noProof/>
        </w:rPr>
        <w:t> </w:t>
      </w:r>
      <w:r w:rsidR="003F3D2B" w:rsidRPr="00624565">
        <w:rPr>
          <w:noProof/>
        </w:rPr>
        <w:t>kie</w:t>
      </w:r>
      <w:r w:rsidRPr="00624565">
        <w:rPr>
          <w:noProof/>
        </w:rPr>
        <w:t>runku neutralności klimatycznej.</w:t>
      </w:r>
    </w:p>
    <w:p w14:paraId="6978018B" w14:textId="40EC9AB5" w:rsidR="009769E5" w:rsidRPr="00624565" w:rsidRDefault="009769E5" w:rsidP="009769E5">
      <w:pPr>
        <w:pStyle w:val="ManualHeading3"/>
        <w:rPr>
          <w:noProof/>
        </w:rPr>
      </w:pPr>
      <w:r w:rsidRPr="00624565">
        <w:rPr>
          <w:noProof/>
        </w:rPr>
        <w:t>1.5.5.</w:t>
      </w:r>
      <w:r w:rsidRPr="00624565">
        <w:rPr>
          <w:noProof/>
        </w:rPr>
        <w:tab/>
        <w:t>Ocena różnych dostępnych możliwości finansowania,</w:t>
      </w:r>
      <w:r w:rsidR="003F3D2B" w:rsidRPr="00624565">
        <w:rPr>
          <w:noProof/>
        </w:rPr>
        <w:t xml:space="preserve"> w</w:t>
      </w:r>
      <w:r w:rsidR="003F3D2B">
        <w:rPr>
          <w:noProof/>
        </w:rPr>
        <w:t> </w:t>
      </w:r>
      <w:r w:rsidR="003F3D2B" w:rsidRPr="00624565">
        <w:rPr>
          <w:noProof/>
        </w:rPr>
        <w:t>tym</w:t>
      </w:r>
      <w:r w:rsidRPr="00624565">
        <w:rPr>
          <w:noProof/>
        </w:rPr>
        <w:t xml:space="preserve"> zakresu przegrupowania środków</w:t>
      </w:r>
    </w:p>
    <w:p w14:paraId="3BE021D0" w14:textId="135F718E" w:rsidR="004724CE" w:rsidRPr="00624565" w:rsidRDefault="004724CE" w:rsidP="004724CE">
      <w:pPr>
        <w:pStyle w:val="Text1"/>
        <w:pBdr>
          <w:top w:val="single" w:sz="4" w:space="1" w:color="000000"/>
          <w:left w:val="single" w:sz="4" w:space="4" w:color="000000"/>
          <w:bottom w:val="single" w:sz="4" w:space="1" w:color="000000"/>
          <w:right w:val="single" w:sz="4" w:space="4" w:color="000000"/>
        </w:pBdr>
        <w:rPr>
          <w:noProof/>
        </w:rPr>
      </w:pPr>
      <w:r w:rsidRPr="00624565">
        <w:rPr>
          <w:noProof/>
        </w:rPr>
        <w:t>Oceniono szereg wariantów,</w:t>
      </w:r>
      <w:r w:rsidR="003F3D2B" w:rsidRPr="00624565">
        <w:rPr>
          <w:noProof/>
        </w:rPr>
        <w:t xml:space="preserve"> w</w:t>
      </w:r>
      <w:r w:rsidR="003F3D2B">
        <w:rPr>
          <w:noProof/>
        </w:rPr>
        <w:t> </w:t>
      </w:r>
      <w:r w:rsidR="003F3D2B" w:rsidRPr="00624565">
        <w:rPr>
          <w:noProof/>
        </w:rPr>
        <w:t>tym</w:t>
      </w:r>
      <w:r w:rsidRPr="00624565">
        <w:rPr>
          <w:noProof/>
        </w:rPr>
        <w:t xml:space="preserve"> objęcie wyłącznie przez służby DG ds. Środowiska,</w:t>
      </w:r>
      <w:r w:rsidR="003F3D2B" w:rsidRPr="00624565">
        <w:rPr>
          <w:noProof/>
        </w:rPr>
        <w:t xml:space="preserve"> z</w:t>
      </w:r>
      <w:r w:rsidR="003F3D2B">
        <w:rPr>
          <w:noProof/>
        </w:rPr>
        <w:t> </w:t>
      </w:r>
      <w:r w:rsidR="003F3D2B" w:rsidRPr="00624565">
        <w:rPr>
          <w:noProof/>
        </w:rPr>
        <w:t>udz</w:t>
      </w:r>
      <w:r w:rsidRPr="00624565">
        <w:rPr>
          <w:noProof/>
        </w:rPr>
        <w:t>iałem usług na zamówienia zbiorów danych, po przeanalizowanie współpracy</w:t>
      </w:r>
      <w:r w:rsidR="003F3D2B" w:rsidRPr="00624565">
        <w:rPr>
          <w:noProof/>
        </w:rPr>
        <w:t xml:space="preserve"> z</w:t>
      </w:r>
      <w:r w:rsidR="003F3D2B">
        <w:rPr>
          <w:noProof/>
        </w:rPr>
        <w:t> </w:t>
      </w:r>
      <w:r w:rsidR="003F3D2B" w:rsidRPr="00624565">
        <w:rPr>
          <w:noProof/>
        </w:rPr>
        <w:t>inn</w:t>
      </w:r>
      <w:r w:rsidRPr="00624565">
        <w:rPr>
          <w:noProof/>
        </w:rPr>
        <w:t>ymi służbami</w:t>
      </w:r>
      <w:r w:rsidR="003F3D2B" w:rsidRPr="00624565">
        <w:rPr>
          <w:noProof/>
        </w:rPr>
        <w:t xml:space="preserve"> i</w:t>
      </w:r>
      <w:r w:rsidR="003F3D2B">
        <w:rPr>
          <w:noProof/>
        </w:rPr>
        <w:t> </w:t>
      </w:r>
      <w:r w:rsidR="003F3D2B" w:rsidRPr="00624565">
        <w:rPr>
          <w:noProof/>
        </w:rPr>
        <w:t>age</w:t>
      </w:r>
      <w:r w:rsidRPr="00624565">
        <w:rPr>
          <w:noProof/>
        </w:rPr>
        <w:t>ncjami. Najlepszy utrzymany wariant łączy zamawianie usług</w:t>
      </w:r>
      <w:r w:rsidR="003F3D2B" w:rsidRPr="00624565">
        <w:rPr>
          <w:noProof/>
        </w:rPr>
        <w:t xml:space="preserve"> w</w:t>
      </w:r>
      <w:r w:rsidR="003F3D2B">
        <w:rPr>
          <w:noProof/>
        </w:rPr>
        <w:t> </w:t>
      </w:r>
      <w:r w:rsidR="003F3D2B" w:rsidRPr="00624565">
        <w:rPr>
          <w:noProof/>
        </w:rPr>
        <w:t>zak</w:t>
      </w:r>
      <w:r w:rsidRPr="00624565">
        <w:rPr>
          <w:noProof/>
        </w:rPr>
        <w:t>resie zbiorów danych przez DG ds. Środowiska</w:t>
      </w:r>
      <w:r w:rsidR="003F3D2B" w:rsidRPr="00624565">
        <w:rPr>
          <w:noProof/>
        </w:rPr>
        <w:t xml:space="preserve"> i</w:t>
      </w:r>
      <w:r w:rsidR="003F3D2B">
        <w:rPr>
          <w:noProof/>
        </w:rPr>
        <w:t> </w:t>
      </w:r>
      <w:r w:rsidR="003F3D2B" w:rsidRPr="00624565">
        <w:rPr>
          <w:noProof/>
        </w:rPr>
        <w:t>wkł</w:t>
      </w:r>
      <w:r w:rsidRPr="00624565">
        <w:rPr>
          <w:noProof/>
        </w:rPr>
        <w:t>ad do EOG</w:t>
      </w:r>
      <w:r w:rsidR="003F3D2B" w:rsidRPr="00624565">
        <w:rPr>
          <w:noProof/>
        </w:rPr>
        <w:t xml:space="preserve"> w</w:t>
      </w:r>
      <w:r w:rsidR="003F3D2B">
        <w:rPr>
          <w:noProof/>
        </w:rPr>
        <w:t> </w:t>
      </w:r>
      <w:r w:rsidR="003F3D2B" w:rsidRPr="00624565">
        <w:rPr>
          <w:noProof/>
        </w:rPr>
        <w:t>cel</w:t>
      </w:r>
      <w:r w:rsidRPr="00624565">
        <w:rPr>
          <w:noProof/>
        </w:rPr>
        <w:t xml:space="preserve">u uzyskania wiedzy specjalistycznej od ich pracowników. </w:t>
      </w:r>
    </w:p>
    <w:p w14:paraId="207E0D1E" w14:textId="0153F8E1" w:rsidR="009769E5" w:rsidRPr="00624565" w:rsidRDefault="009769E5" w:rsidP="009769E5">
      <w:pPr>
        <w:pStyle w:val="ManualHeading2"/>
        <w:rPr>
          <w:bCs/>
          <w:noProof/>
          <w:szCs w:val="24"/>
        </w:rPr>
      </w:pPr>
      <w:r w:rsidRPr="00624565">
        <w:rPr>
          <w:noProof/>
        </w:rPr>
        <w:br w:type="page"/>
        <w:t>1.6.</w:t>
      </w:r>
      <w:r w:rsidRPr="00624565">
        <w:rPr>
          <w:noProof/>
        </w:rPr>
        <w:tab/>
        <w:t>Czas trwania</w:t>
      </w:r>
      <w:r w:rsidR="003F3D2B" w:rsidRPr="00624565">
        <w:rPr>
          <w:noProof/>
        </w:rPr>
        <w:t xml:space="preserve"> i</w:t>
      </w:r>
      <w:r w:rsidR="003F3D2B">
        <w:rPr>
          <w:noProof/>
        </w:rPr>
        <w:t> </w:t>
      </w:r>
      <w:r w:rsidR="003F3D2B" w:rsidRPr="00624565">
        <w:rPr>
          <w:noProof/>
        </w:rPr>
        <w:t>wpł</w:t>
      </w:r>
      <w:r w:rsidRPr="00624565">
        <w:rPr>
          <w:noProof/>
        </w:rPr>
        <w:t>yw finansowy wniosku/inicjatywy</w:t>
      </w:r>
    </w:p>
    <w:p w14:paraId="1ECA0899" w14:textId="77777777" w:rsidR="009769E5" w:rsidRPr="00624565" w:rsidRDefault="009769E5" w:rsidP="009769E5">
      <w:pPr>
        <w:pStyle w:val="Text1"/>
        <w:rPr>
          <w:noProof/>
        </w:rPr>
      </w:pPr>
      <w:r w:rsidRPr="00624565">
        <w:rPr>
          <w:rFonts w:ascii="Wingdings" w:hAnsi="Wingdings"/>
          <w:noProof/>
        </w:rPr>
        <w:t></w:t>
      </w:r>
      <w:r w:rsidRPr="00624565">
        <w:rPr>
          <w:noProof/>
        </w:rPr>
        <w:t xml:space="preserve"> </w:t>
      </w:r>
      <w:r w:rsidRPr="00624565">
        <w:rPr>
          <w:b/>
          <w:noProof/>
        </w:rPr>
        <w:t xml:space="preserve">Ograniczony czas trwania </w:t>
      </w:r>
    </w:p>
    <w:p w14:paraId="47B8A11C" w14:textId="77777777" w:rsidR="009769E5" w:rsidRPr="00624565" w:rsidRDefault="009769E5" w:rsidP="009769E5">
      <w:pPr>
        <w:pStyle w:val="ListDash2"/>
        <w:rPr>
          <w:noProof/>
        </w:rPr>
      </w:pPr>
      <w:r w:rsidRPr="00624565">
        <w:rPr>
          <w:rFonts w:ascii="Wingdings" w:hAnsi="Wingdings"/>
          <w:noProof/>
        </w:rPr>
        <w:t></w:t>
      </w:r>
      <w:r w:rsidRPr="00624565">
        <w:rPr>
          <w:noProof/>
        </w:rPr>
        <w:tab/>
        <w:t xml:space="preserve">Okres trwania wniosku/inicjatywy: od [DD/MM]RRRR r. do [DD/MM]RRRR r. </w:t>
      </w:r>
    </w:p>
    <w:p w14:paraId="11098C9C" w14:textId="350DA07C" w:rsidR="009769E5" w:rsidRPr="00624565" w:rsidRDefault="009769E5" w:rsidP="009769E5">
      <w:pPr>
        <w:pStyle w:val="ListDash2"/>
        <w:rPr>
          <w:noProof/>
        </w:rPr>
      </w:pPr>
      <w:r w:rsidRPr="00624565">
        <w:rPr>
          <w:rFonts w:ascii="Wingdings" w:hAnsi="Wingdings"/>
          <w:noProof/>
        </w:rPr>
        <w:t></w:t>
      </w:r>
      <w:r w:rsidRPr="00624565">
        <w:rPr>
          <w:noProof/>
        </w:rPr>
        <w:tab/>
        <w:t>Okres trwania wpływu finansowego: od RRRR r. do RRRR r.</w:t>
      </w:r>
      <w:r w:rsidR="003F3D2B" w:rsidRPr="00624565">
        <w:rPr>
          <w:noProof/>
        </w:rPr>
        <w:t xml:space="preserve"> w</w:t>
      </w:r>
      <w:r w:rsidR="003F3D2B">
        <w:rPr>
          <w:noProof/>
        </w:rPr>
        <w:t> </w:t>
      </w:r>
      <w:r w:rsidR="003F3D2B" w:rsidRPr="00624565">
        <w:rPr>
          <w:noProof/>
        </w:rPr>
        <w:t>odn</w:t>
      </w:r>
      <w:r w:rsidRPr="00624565">
        <w:rPr>
          <w:noProof/>
        </w:rPr>
        <w:t>iesieniu do środków na zobowiązania oraz od RRRR r. do RRRR r.</w:t>
      </w:r>
      <w:r w:rsidR="003F3D2B" w:rsidRPr="00624565">
        <w:rPr>
          <w:noProof/>
        </w:rPr>
        <w:t xml:space="preserve"> w</w:t>
      </w:r>
      <w:r w:rsidR="003F3D2B">
        <w:rPr>
          <w:noProof/>
        </w:rPr>
        <w:t> </w:t>
      </w:r>
      <w:r w:rsidR="003F3D2B" w:rsidRPr="00624565">
        <w:rPr>
          <w:noProof/>
        </w:rPr>
        <w:t>odn</w:t>
      </w:r>
      <w:r w:rsidRPr="00624565">
        <w:rPr>
          <w:noProof/>
        </w:rPr>
        <w:t xml:space="preserve">iesieniu do środków na płatności. </w:t>
      </w:r>
    </w:p>
    <w:p w14:paraId="3664038E" w14:textId="77777777" w:rsidR="00566A57" w:rsidRPr="00624565" w:rsidRDefault="00566A57" w:rsidP="00566A57">
      <w:pPr>
        <w:pStyle w:val="Text1"/>
        <w:rPr>
          <w:noProof/>
        </w:rPr>
      </w:pPr>
      <w:r w:rsidRPr="00624565">
        <w:rPr>
          <w:rFonts w:ascii="Wingdings" w:hAnsi="Wingdings"/>
          <w:b/>
          <w:noProof/>
        </w:rPr>
        <w:t></w:t>
      </w:r>
      <w:r w:rsidRPr="00624565">
        <w:rPr>
          <w:i/>
          <w:noProof/>
        </w:rPr>
        <w:t xml:space="preserve"> </w:t>
      </w:r>
      <w:r w:rsidRPr="00624565">
        <w:rPr>
          <w:b/>
          <w:noProof/>
        </w:rPr>
        <w:t>Nieograniczony czas trwania</w:t>
      </w:r>
    </w:p>
    <w:p w14:paraId="35E931FB" w14:textId="0D810C05" w:rsidR="009769E5" w:rsidRPr="00624565" w:rsidRDefault="009769E5" w:rsidP="009769E5">
      <w:pPr>
        <w:pStyle w:val="ListDash1"/>
        <w:rPr>
          <w:noProof/>
        </w:rPr>
      </w:pPr>
      <w:r w:rsidRPr="00624565">
        <w:rPr>
          <w:noProof/>
        </w:rPr>
        <w:t>Wprowadzenie</w:t>
      </w:r>
      <w:r w:rsidR="003F3D2B" w:rsidRPr="00624565">
        <w:rPr>
          <w:noProof/>
        </w:rPr>
        <w:t xml:space="preserve"> w</w:t>
      </w:r>
      <w:r w:rsidR="003F3D2B">
        <w:rPr>
          <w:noProof/>
        </w:rPr>
        <w:t> </w:t>
      </w:r>
      <w:r w:rsidR="003F3D2B" w:rsidRPr="00624565">
        <w:rPr>
          <w:noProof/>
        </w:rPr>
        <w:t>życ</w:t>
      </w:r>
      <w:r w:rsidRPr="00624565">
        <w:rPr>
          <w:noProof/>
        </w:rPr>
        <w:t>ie</w:t>
      </w:r>
      <w:r w:rsidR="003F3D2B" w:rsidRPr="00624565">
        <w:rPr>
          <w:noProof/>
        </w:rPr>
        <w:t xml:space="preserve"> z</w:t>
      </w:r>
      <w:r w:rsidR="003F3D2B">
        <w:rPr>
          <w:noProof/>
        </w:rPr>
        <w:t> </w:t>
      </w:r>
      <w:r w:rsidR="003F3D2B" w:rsidRPr="00624565">
        <w:rPr>
          <w:noProof/>
        </w:rPr>
        <w:t>okr</w:t>
      </w:r>
      <w:r w:rsidRPr="00624565">
        <w:rPr>
          <w:noProof/>
        </w:rPr>
        <w:t xml:space="preserve">esem rozruchu </w:t>
      </w:r>
      <w:r w:rsidRPr="003F3D2B">
        <w:rPr>
          <w:noProof/>
        </w:rPr>
        <w:t>od</w:t>
      </w:r>
      <w:r w:rsidR="003F3D2B" w:rsidRPr="003F3D2B">
        <w:rPr>
          <w:noProof/>
        </w:rPr>
        <w:t> </w:t>
      </w:r>
      <w:r w:rsidRPr="003F3D2B">
        <w:rPr>
          <w:noProof/>
        </w:rPr>
        <w:t>2</w:t>
      </w:r>
      <w:r w:rsidRPr="00624565">
        <w:rPr>
          <w:noProof/>
        </w:rPr>
        <w:t>0</w:t>
      </w:r>
      <w:r w:rsidRPr="003F3D2B">
        <w:rPr>
          <w:noProof/>
        </w:rPr>
        <w:t>24</w:t>
      </w:r>
      <w:r w:rsidR="003F3D2B" w:rsidRPr="003F3D2B">
        <w:rPr>
          <w:noProof/>
        </w:rPr>
        <w:t> </w:t>
      </w:r>
      <w:r w:rsidRPr="003F3D2B">
        <w:rPr>
          <w:noProof/>
        </w:rPr>
        <w:t>r.</w:t>
      </w:r>
      <w:r w:rsidRPr="00624565">
        <w:rPr>
          <w:noProof/>
        </w:rPr>
        <w:t xml:space="preserve"> </w:t>
      </w:r>
      <w:r w:rsidRPr="003F3D2B">
        <w:rPr>
          <w:noProof/>
        </w:rPr>
        <w:t>do</w:t>
      </w:r>
      <w:r w:rsidR="003F3D2B" w:rsidRPr="003F3D2B">
        <w:rPr>
          <w:noProof/>
        </w:rPr>
        <w:t> </w:t>
      </w:r>
      <w:r w:rsidRPr="003F3D2B">
        <w:rPr>
          <w:noProof/>
        </w:rPr>
        <w:t>2</w:t>
      </w:r>
      <w:r w:rsidRPr="00624565">
        <w:rPr>
          <w:noProof/>
        </w:rPr>
        <w:t>0</w:t>
      </w:r>
      <w:r w:rsidRPr="003F3D2B">
        <w:rPr>
          <w:noProof/>
        </w:rPr>
        <w:t>27</w:t>
      </w:r>
      <w:r w:rsidR="003F3D2B" w:rsidRPr="003F3D2B">
        <w:rPr>
          <w:noProof/>
        </w:rPr>
        <w:t> </w:t>
      </w:r>
      <w:r w:rsidRPr="003F3D2B">
        <w:rPr>
          <w:noProof/>
        </w:rPr>
        <w:t>r.</w:t>
      </w:r>
      <w:r w:rsidRPr="00624565">
        <w:rPr>
          <w:noProof/>
        </w:rPr>
        <w:t>,</w:t>
      </w:r>
    </w:p>
    <w:p w14:paraId="4E2F4A64" w14:textId="77777777" w:rsidR="009769E5" w:rsidRPr="00624565" w:rsidRDefault="009769E5" w:rsidP="009769E5">
      <w:pPr>
        <w:pStyle w:val="ListDash1"/>
        <w:rPr>
          <w:noProof/>
        </w:rPr>
      </w:pPr>
      <w:r w:rsidRPr="00624565">
        <w:rPr>
          <w:noProof/>
        </w:rPr>
        <w:t>po którym następuje faza operacyjna.</w:t>
      </w:r>
    </w:p>
    <w:p w14:paraId="0745C0DD" w14:textId="5568F3D8" w:rsidR="009769E5" w:rsidRPr="003F3D2B" w:rsidRDefault="009769E5" w:rsidP="009769E5">
      <w:pPr>
        <w:pStyle w:val="ManualHeading2"/>
        <w:rPr>
          <w:bCs/>
          <w:noProof/>
          <w:szCs w:val="24"/>
        </w:rPr>
      </w:pPr>
      <w:r w:rsidRPr="00624565">
        <w:rPr>
          <w:noProof/>
        </w:rPr>
        <w:t>1.7.</w:t>
      </w:r>
      <w:r w:rsidRPr="00624565">
        <w:rPr>
          <w:noProof/>
        </w:rPr>
        <w:tab/>
        <w:t>Planowane tryby zarządzania</w:t>
      </w:r>
      <w:r w:rsidRPr="003F3D2B">
        <w:rPr>
          <w:rStyle w:val="FootnoteReference"/>
          <w:noProof/>
        </w:rPr>
        <w:footnoteReference w:id="119"/>
      </w:r>
      <w:r w:rsidR="003F3D2B" w:rsidRPr="003F3D2B">
        <w:rPr>
          <w:rStyle w:val="FootnoteReference"/>
          <w:noProof/>
        </w:rPr>
        <w:t xml:space="preserve"> </w:t>
      </w:r>
    </w:p>
    <w:p w14:paraId="1A048C4B" w14:textId="77777777" w:rsidR="009769E5" w:rsidRPr="00624565" w:rsidRDefault="00B90074" w:rsidP="009769E5">
      <w:pPr>
        <w:pStyle w:val="Text1"/>
        <w:rPr>
          <w:noProof/>
        </w:rPr>
      </w:pPr>
      <w:r w:rsidRPr="00624565">
        <w:rPr>
          <w:rFonts w:ascii="Wingdings" w:hAnsi="Wingdings"/>
          <w:noProof/>
        </w:rPr>
        <w:t></w:t>
      </w:r>
      <w:r w:rsidRPr="00624565">
        <w:rPr>
          <w:i/>
          <w:noProof/>
        </w:rPr>
        <w:t xml:space="preserve"> </w:t>
      </w:r>
      <w:r w:rsidRPr="00624565">
        <w:rPr>
          <w:b/>
          <w:noProof/>
        </w:rPr>
        <w:t>Bezpośrednie zarządzanie</w:t>
      </w:r>
      <w:r w:rsidRPr="00624565">
        <w:rPr>
          <w:noProof/>
        </w:rPr>
        <w:t xml:space="preserve"> przez Komisję</w:t>
      </w:r>
    </w:p>
    <w:p w14:paraId="3B86E0F4" w14:textId="01D6D134" w:rsidR="009769E5" w:rsidRPr="00624565" w:rsidRDefault="00B90074" w:rsidP="009769E5">
      <w:pPr>
        <w:pStyle w:val="ListDash2"/>
        <w:rPr>
          <w:rFonts w:cs="EUAlbertina"/>
          <w:noProof/>
        </w:rPr>
      </w:pPr>
      <w:r w:rsidRPr="00624565">
        <w:rPr>
          <w:rFonts w:ascii="Wingdings" w:hAnsi="Wingdings"/>
          <w:noProof/>
        </w:rPr>
        <w:t></w:t>
      </w:r>
      <w:r w:rsidR="003F3D2B" w:rsidRPr="00624565">
        <w:rPr>
          <w:noProof/>
        </w:rPr>
        <w:t xml:space="preserve"> w</w:t>
      </w:r>
      <w:r w:rsidR="003F3D2B">
        <w:rPr>
          <w:noProof/>
        </w:rPr>
        <w:t> </w:t>
      </w:r>
      <w:r w:rsidR="003F3D2B" w:rsidRPr="00624565">
        <w:rPr>
          <w:noProof/>
        </w:rPr>
        <w:t>ram</w:t>
      </w:r>
      <w:r w:rsidRPr="00624565">
        <w:rPr>
          <w:noProof/>
        </w:rPr>
        <w:t>ach jej służb,</w:t>
      </w:r>
      <w:r w:rsidR="003F3D2B" w:rsidRPr="00624565">
        <w:rPr>
          <w:noProof/>
        </w:rPr>
        <w:t xml:space="preserve"> w</w:t>
      </w:r>
      <w:r w:rsidR="003F3D2B">
        <w:rPr>
          <w:noProof/>
        </w:rPr>
        <w:t> </w:t>
      </w:r>
      <w:r w:rsidR="003F3D2B" w:rsidRPr="00624565">
        <w:rPr>
          <w:noProof/>
        </w:rPr>
        <w:t>tym</w:t>
      </w:r>
      <w:r w:rsidRPr="00624565">
        <w:rPr>
          <w:noProof/>
        </w:rPr>
        <w:t xml:space="preserve"> za pośrednictwem jej pracowników</w:t>
      </w:r>
      <w:r w:rsidR="003F3D2B" w:rsidRPr="00624565">
        <w:rPr>
          <w:noProof/>
        </w:rPr>
        <w:t xml:space="preserve"> w</w:t>
      </w:r>
      <w:r w:rsidR="003F3D2B">
        <w:rPr>
          <w:noProof/>
        </w:rPr>
        <w:t> </w:t>
      </w:r>
      <w:r w:rsidR="003F3D2B" w:rsidRPr="00624565">
        <w:rPr>
          <w:noProof/>
        </w:rPr>
        <w:t>del</w:t>
      </w:r>
      <w:r w:rsidRPr="00624565">
        <w:rPr>
          <w:noProof/>
        </w:rPr>
        <w:t xml:space="preserve">egaturach Unii; </w:t>
      </w:r>
    </w:p>
    <w:p w14:paraId="4070C3F6" w14:textId="77777777" w:rsidR="009769E5" w:rsidRPr="00624565" w:rsidRDefault="009769E5" w:rsidP="009769E5">
      <w:pPr>
        <w:pStyle w:val="ListDash2"/>
        <w:rPr>
          <w:noProof/>
        </w:rPr>
      </w:pPr>
      <w:r w:rsidRPr="00624565">
        <w:rPr>
          <w:rFonts w:ascii="Wingdings" w:hAnsi="Wingdings"/>
          <w:noProof/>
        </w:rPr>
        <w:t></w:t>
      </w:r>
      <w:r w:rsidRPr="00624565">
        <w:rPr>
          <w:noProof/>
        </w:rPr>
        <w:t xml:space="preserve"> przez agencje wykonawcze; </w:t>
      </w:r>
    </w:p>
    <w:p w14:paraId="411A8D9B" w14:textId="013E86D0" w:rsidR="009769E5" w:rsidRPr="00624565" w:rsidRDefault="009769E5" w:rsidP="009769E5">
      <w:pPr>
        <w:pStyle w:val="Text1"/>
        <w:rPr>
          <w:noProof/>
        </w:rPr>
      </w:pPr>
      <w:r w:rsidRPr="00624565">
        <w:rPr>
          <w:rFonts w:ascii="Wingdings" w:hAnsi="Wingdings"/>
          <w:noProof/>
        </w:rPr>
        <w:t></w:t>
      </w:r>
      <w:r w:rsidRPr="00624565">
        <w:rPr>
          <w:b/>
          <w:i/>
          <w:noProof/>
        </w:rPr>
        <w:t xml:space="preserve"> </w:t>
      </w:r>
      <w:r w:rsidRPr="00624565">
        <w:rPr>
          <w:b/>
          <w:noProof/>
        </w:rPr>
        <w:t>Zarządzanie dzielone</w:t>
      </w:r>
      <w:r w:rsidR="003F3D2B" w:rsidRPr="00624565">
        <w:rPr>
          <w:noProof/>
        </w:rPr>
        <w:t xml:space="preserve"> z</w:t>
      </w:r>
      <w:r w:rsidR="003F3D2B">
        <w:rPr>
          <w:noProof/>
        </w:rPr>
        <w:t> </w:t>
      </w:r>
      <w:r w:rsidR="003F3D2B" w:rsidRPr="00624565">
        <w:rPr>
          <w:noProof/>
        </w:rPr>
        <w:t>pań</w:t>
      </w:r>
      <w:r w:rsidRPr="00624565">
        <w:rPr>
          <w:noProof/>
        </w:rPr>
        <w:t xml:space="preserve">stwami członkowskimi </w:t>
      </w:r>
    </w:p>
    <w:p w14:paraId="32B759F6" w14:textId="56D73673" w:rsidR="009769E5" w:rsidRPr="00624565" w:rsidRDefault="00B90074" w:rsidP="009769E5">
      <w:pPr>
        <w:pStyle w:val="Text1"/>
        <w:rPr>
          <w:noProof/>
        </w:rPr>
      </w:pPr>
      <w:r w:rsidRPr="00624565">
        <w:rPr>
          <w:rFonts w:ascii="Wingdings" w:hAnsi="Wingdings"/>
          <w:noProof/>
        </w:rPr>
        <w:t></w:t>
      </w:r>
      <w:r w:rsidRPr="00624565">
        <w:rPr>
          <w:i/>
          <w:noProof/>
        </w:rPr>
        <w:t xml:space="preserve"> </w:t>
      </w:r>
      <w:r w:rsidRPr="00624565">
        <w:rPr>
          <w:b/>
          <w:noProof/>
        </w:rPr>
        <w:t>Zarządzanie pośrednie</w:t>
      </w:r>
      <w:r w:rsidRPr="00624565">
        <w:rPr>
          <w:noProof/>
        </w:rPr>
        <w:t xml:space="preserve"> poprzez przekazanie zadań związanych</w:t>
      </w:r>
      <w:r w:rsidR="003F3D2B" w:rsidRPr="00624565">
        <w:rPr>
          <w:noProof/>
        </w:rPr>
        <w:t xml:space="preserve"> z</w:t>
      </w:r>
      <w:r w:rsidR="003F3D2B">
        <w:rPr>
          <w:noProof/>
        </w:rPr>
        <w:t> </w:t>
      </w:r>
      <w:r w:rsidR="003F3D2B" w:rsidRPr="00624565">
        <w:rPr>
          <w:noProof/>
        </w:rPr>
        <w:t>wyk</w:t>
      </w:r>
      <w:r w:rsidRPr="00624565">
        <w:rPr>
          <w:noProof/>
        </w:rPr>
        <w:t>onaniem budżetu:</w:t>
      </w:r>
    </w:p>
    <w:p w14:paraId="3F03065D" w14:textId="77777777" w:rsidR="009769E5" w:rsidRPr="00624565" w:rsidRDefault="009769E5" w:rsidP="009769E5">
      <w:pPr>
        <w:pStyle w:val="ListDash2"/>
        <w:rPr>
          <w:noProof/>
        </w:rPr>
      </w:pPr>
      <w:r w:rsidRPr="00624565">
        <w:rPr>
          <w:rFonts w:ascii="Wingdings" w:hAnsi="Wingdings"/>
          <w:noProof/>
        </w:rPr>
        <w:t></w:t>
      </w:r>
      <w:r w:rsidRPr="00624565">
        <w:rPr>
          <w:noProof/>
        </w:rPr>
        <w:t xml:space="preserve"> państwom trzecim lub organom przez nie wyznaczonym;</w:t>
      </w:r>
    </w:p>
    <w:p w14:paraId="7217E903" w14:textId="40A1F6CC" w:rsidR="009769E5" w:rsidRPr="00624565" w:rsidRDefault="009769E5" w:rsidP="009769E5">
      <w:pPr>
        <w:pStyle w:val="ListDash2"/>
        <w:rPr>
          <w:noProof/>
        </w:rPr>
      </w:pPr>
      <w:r w:rsidRPr="00624565">
        <w:rPr>
          <w:rFonts w:ascii="Wingdings" w:hAnsi="Wingdings"/>
          <w:noProof/>
        </w:rPr>
        <w:t></w:t>
      </w:r>
      <w:r w:rsidRPr="00624565">
        <w:rPr>
          <w:noProof/>
        </w:rPr>
        <w:t xml:space="preserve"> organizacjom międzynarodowym</w:t>
      </w:r>
      <w:r w:rsidR="003F3D2B" w:rsidRPr="00624565">
        <w:rPr>
          <w:noProof/>
        </w:rPr>
        <w:t xml:space="preserve"> i</w:t>
      </w:r>
      <w:r w:rsidR="003F3D2B">
        <w:rPr>
          <w:noProof/>
        </w:rPr>
        <w:t> </w:t>
      </w:r>
      <w:r w:rsidR="003F3D2B" w:rsidRPr="00624565">
        <w:rPr>
          <w:noProof/>
        </w:rPr>
        <w:t>ich</w:t>
      </w:r>
      <w:r w:rsidRPr="00624565">
        <w:rPr>
          <w:noProof/>
        </w:rPr>
        <w:t xml:space="preserve"> agencjom (należy wyszczególnić);</w:t>
      </w:r>
    </w:p>
    <w:p w14:paraId="1A530005" w14:textId="77777777" w:rsidR="009769E5" w:rsidRPr="00624565" w:rsidRDefault="009769E5" w:rsidP="009769E5">
      <w:pPr>
        <w:pStyle w:val="ListDash2"/>
        <w:rPr>
          <w:noProof/>
        </w:rPr>
      </w:pPr>
      <w:r w:rsidRPr="00624565">
        <w:rPr>
          <w:rFonts w:ascii="Wingdings" w:hAnsi="Wingdings"/>
          <w:noProof/>
        </w:rPr>
        <w:t></w:t>
      </w:r>
      <w:r w:rsidRPr="00624565">
        <w:rPr>
          <w:noProof/>
        </w:rPr>
        <w:t xml:space="preserve"> EBI oraz Europejskiemu Funduszowi Inwestycyjnemu;</w:t>
      </w:r>
    </w:p>
    <w:p w14:paraId="7D3470E4" w14:textId="53AA50A0" w:rsidR="009769E5" w:rsidRPr="00624565" w:rsidRDefault="00B90074" w:rsidP="009769E5">
      <w:pPr>
        <w:pStyle w:val="ListDash2"/>
        <w:rPr>
          <w:noProof/>
        </w:rPr>
      </w:pPr>
      <w:r w:rsidRPr="00624565">
        <w:rPr>
          <w:rFonts w:ascii="Wingdings" w:hAnsi="Wingdings"/>
          <w:noProof/>
        </w:rPr>
        <w:t></w:t>
      </w:r>
      <w:r w:rsidRPr="00624565">
        <w:rPr>
          <w:noProof/>
        </w:rPr>
        <w:t xml:space="preserve"> organom,</w:t>
      </w:r>
      <w:r w:rsidR="003F3D2B" w:rsidRPr="00624565">
        <w:rPr>
          <w:noProof/>
        </w:rPr>
        <w:t xml:space="preserve"> o</w:t>
      </w:r>
      <w:r w:rsidR="003F3D2B">
        <w:rPr>
          <w:noProof/>
        </w:rPr>
        <w:t> </w:t>
      </w:r>
      <w:r w:rsidR="003F3D2B" w:rsidRPr="00624565">
        <w:rPr>
          <w:noProof/>
        </w:rPr>
        <w:t>któ</w:t>
      </w:r>
      <w:r w:rsidRPr="00624565">
        <w:rPr>
          <w:noProof/>
        </w:rPr>
        <w:t>rych mowa</w:t>
      </w:r>
      <w:r w:rsidR="003F3D2B" w:rsidRPr="00624565">
        <w:rPr>
          <w:noProof/>
        </w:rPr>
        <w:t xml:space="preserve"> w</w:t>
      </w:r>
      <w:r w:rsidR="003F3D2B">
        <w:rPr>
          <w:noProof/>
        </w:rPr>
        <w:t> </w:t>
      </w:r>
      <w:r w:rsidR="003F3D2B" w:rsidRPr="003F3D2B">
        <w:rPr>
          <w:noProof/>
        </w:rPr>
        <w:t>art</w:t>
      </w:r>
      <w:r w:rsidRPr="003F3D2B">
        <w:rPr>
          <w:noProof/>
        </w:rPr>
        <w:t>.</w:t>
      </w:r>
      <w:r w:rsidR="003F3D2B" w:rsidRPr="003F3D2B">
        <w:rPr>
          <w:noProof/>
        </w:rPr>
        <w:t> </w:t>
      </w:r>
      <w:r w:rsidRPr="003F3D2B">
        <w:rPr>
          <w:noProof/>
        </w:rPr>
        <w:t>7</w:t>
      </w:r>
      <w:r w:rsidRPr="00624565">
        <w:rPr>
          <w:noProof/>
        </w:rPr>
        <w:t>0</w:t>
      </w:r>
      <w:r w:rsidR="003F3D2B" w:rsidRPr="00624565">
        <w:rPr>
          <w:noProof/>
        </w:rPr>
        <w:t xml:space="preserve"> i</w:t>
      </w:r>
      <w:r w:rsidR="003F3D2B">
        <w:rPr>
          <w:noProof/>
        </w:rPr>
        <w:t> </w:t>
      </w:r>
      <w:r w:rsidR="003F3D2B" w:rsidRPr="00624565">
        <w:rPr>
          <w:noProof/>
        </w:rPr>
        <w:t>7</w:t>
      </w:r>
      <w:r w:rsidRPr="00624565">
        <w:rPr>
          <w:noProof/>
        </w:rPr>
        <w:t>1 rozporządzenia finansowego;</w:t>
      </w:r>
    </w:p>
    <w:p w14:paraId="5FDBDA0E" w14:textId="77777777" w:rsidR="009769E5" w:rsidRPr="00624565" w:rsidRDefault="009769E5" w:rsidP="009769E5">
      <w:pPr>
        <w:pStyle w:val="ListDash2"/>
        <w:rPr>
          <w:noProof/>
        </w:rPr>
      </w:pPr>
      <w:r w:rsidRPr="00624565">
        <w:rPr>
          <w:rFonts w:ascii="Wingdings" w:hAnsi="Wingdings"/>
          <w:noProof/>
        </w:rPr>
        <w:t></w:t>
      </w:r>
      <w:r w:rsidRPr="00624565">
        <w:rPr>
          <w:noProof/>
        </w:rPr>
        <w:t xml:space="preserve"> organom prawa publicznego;</w:t>
      </w:r>
    </w:p>
    <w:p w14:paraId="1049356A" w14:textId="701FD6DD" w:rsidR="009769E5" w:rsidRPr="00624565" w:rsidRDefault="009769E5" w:rsidP="009769E5">
      <w:pPr>
        <w:pStyle w:val="ListDash2"/>
        <w:rPr>
          <w:noProof/>
        </w:rPr>
      </w:pPr>
      <w:r w:rsidRPr="00624565">
        <w:rPr>
          <w:rFonts w:ascii="Wingdings" w:hAnsi="Wingdings"/>
          <w:noProof/>
        </w:rPr>
        <w:t></w:t>
      </w:r>
      <w:r w:rsidRPr="00624565">
        <w:rPr>
          <w:noProof/>
        </w:rPr>
        <w:t xml:space="preserve"> podmiotom podlegającym prawu prywatnemu, które świadczą usługi użyteczności publicznej,</w:t>
      </w:r>
      <w:r w:rsidR="003F3D2B" w:rsidRPr="00624565">
        <w:rPr>
          <w:noProof/>
        </w:rPr>
        <w:t xml:space="preserve"> o</w:t>
      </w:r>
      <w:r w:rsidR="003F3D2B">
        <w:rPr>
          <w:noProof/>
        </w:rPr>
        <w:t> </w:t>
      </w:r>
      <w:r w:rsidR="003F3D2B" w:rsidRPr="00624565">
        <w:rPr>
          <w:noProof/>
        </w:rPr>
        <w:t>ile</w:t>
      </w:r>
      <w:r w:rsidRPr="00624565">
        <w:rPr>
          <w:noProof/>
        </w:rPr>
        <w:t xml:space="preserve"> są im zapewnione odpowiednie gwarancje finansowe;</w:t>
      </w:r>
    </w:p>
    <w:p w14:paraId="6392CD51" w14:textId="6B9C4D37" w:rsidR="009769E5" w:rsidRPr="00624565" w:rsidRDefault="009769E5" w:rsidP="009769E5">
      <w:pPr>
        <w:pStyle w:val="ListDash2"/>
        <w:rPr>
          <w:noProof/>
        </w:rPr>
      </w:pPr>
      <w:r w:rsidRPr="00624565">
        <w:rPr>
          <w:rFonts w:ascii="Wingdings" w:hAnsi="Wingdings"/>
          <w:noProof/>
        </w:rPr>
        <w:t></w:t>
      </w:r>
      <w:r w:rsidRPr="00624565">
        <w:rPr>
          <w:noProof/>
        </w:rPr>
        <w:t xml:space="preserve"> podmiotom podlegającym prawu prywatnemu państwa członkowskiego, którym powierzono realizację partnerstwa publiczno-prywatnego</w:t>
      </w:r>
      <w:r w:rsidR="003F3D2B" w:rsidRPr="00624565">
        <w:rPr>
          <w:noProof/>
        </w:rPr>
        <w:t xml:space="preserve"> i</w:t>
      </w:r>
      <w:r w:rsidR="003F3D2B">
        <w:rPr>
          <w:noProof/>
        </w:rPr>
        <w:t> </w:t>
      </w:r>
      <w:r w:rsidR="003F3D2B" w:rsidRPr="00624565">
        <w:rPr>
          <w:noProof/>
        </w:rPr>
        <w:t>zap</w:t>
      </w:r>
      <w:r w:rsidRPr="00624565">
        <w:rPr>
          <w:noProof/>
        </w:rPr>
        <w:t>ewniono odpowiednie gwarancje finansowe;</w:t>
      </w:r>
    </w:p>
    <w:p w14:paraId="11DB83E8" w14:textId="7F4AED65" w:rsidR="009769E5" w:rsidRPr="00624565" w:rsidRDefault="009769E5" w:rsidP="009769E5">
      <w:pPr>
        <w:pStyle w:val="ListDash2"/>
        <w:rPr>
          <w:noProof/>
        </w:rPr>
      </w:pPr>
      <w:r w:rsidRPr="00624565">
        <w:rPr>
          <w:rFonts w:ascii="Wingdings" w:hAnsi="Wingdings"/>
          <w:noProof/>
        </w:rPr>
        <w:t></w:t>
      </w:r>
      <w:r w:rsidRPr="00624565">
        <w:rPr>
          <w:noProof/>
        </w:rPr>
        <w:t xml:space="preserve"> osobom odpowiedzialnym za wykonanie określonych działań</w:t>
      </w:r>
      <w:r w:rsidR="003F3D2B" w:rsidRPr="00624565">
        <w:rPr>
          <w:noProof/>
        </w:rPr>
        <w:t xml:space="preserve"> w</w:t>
      </w:r>
      <w:r w:rsidR="003F3D2B">
        <w:rPr>
          <w:noProof/>
        </w:rPr>
        <w:t> </w:t>
      </w:r>
      <w:r w:rsidR="003F3D2B" w:rsidRPr="00624565">
        <w:rPr>
          <w:noProof/>
        </w:rPr>
        <w:t>dzi</w:t>
      </w:r>
      <w:r w:rsidRPr="00624565">
        <w:rPr>
          <w:noProof/>
        </w:rPr>
        <w:t>edzinie wspólnej polityki zagranicznej</w:t>
      </w:r>
      <w:r w:rsidR="003F3D2B" w:rsidRPr="00624565">
        <w:rPr>
          <w:noProof/>
        </w:rPr>
        <w:t xml:space="preserve"> i</w:t>
      </w:r>
      <w:r w:rsidR="003F3D2B">
        <w:rPr>
          <w:noProof/>
        </w:rPr>
        <w:t> </w:t>
      </w:r>
      <w:r w:rsidR="003F3D2B" w:rsidRPr="00624565">
        <w:rPr>
          <w:noProof/>
        </w:rPr>
        <w:t>bez</w:t>
      </w:r>
      <w:r w:rsidRPr="00624565">
        <w:rPr>
          <w:noProof/>
        </w:rPr>
        <w:t>pieczeństwa na mocy tytułu V Traktatu</w:t>
      </w:r>
      <w:r w:rsidR="003F3D2B" w:rsidRPr="00624565">
        <w:rPr>
          <w:noProof/>
        </w:rPr>
        <w:t xml:space="preserve"> o</w:t>
      </w:r>
      <w:r w:rsidR="003F3D2B">
        <w:rPr>
          <w:noProof/>
        </w:rPr>
        <w:t> </w:t>
      </w:r>
      <w:r w:rsidR="003F3D2B" w:rsidRPr="00624565">
        <w:rPr>
          <w:noProof/>
        </w:rPr>
        <w:t>Uni</w:t>
      </w:r>
      <w:r w:rsidRPr="00624565">
        <w:rPr>
          <w:noProof/>
        </w:rPr>
        <w:t>i Europejskiej oraz określonym we właściwym podstawowym akcie prawnym.</w:t>
      </w:r>
    </w:p>
    <w:p w14:paraId="2D6008D7" w14:textId="77777777" w:rsidR="009769E5" w:rsidRPr="00624565" w:rsidRDefault="009769E5" w:rsidP="009769E5">
      <w:pPr>
        <w:rPr>
          <w:noProof/>
        </w:rPr>
        <w:sectPr w:rsidR="009769E5" w:rsidRPr="00624565" w:rsidSect="006A11C7">
          <w:pgSz w:w="11907" w:h="16840" w:code="9"/>
          <w:pgMar w:top="1134" w:right="1418" w:bottom="1134" w:left="1418" w:header="709" w:footer="709" w:gutter="0"/>
          <w:cols w:space="708"/>
          <w:docGrid w:linePitch="360"/>
        </w:sectPr>
      </w:pPr>
    </w:p>
    <w:p w14:paraId="583FE45D" w14:textId="77777777" w:rsidR="009769E5" w:rsidRPr="00624565" w:rsidRDefault="009769E5" w:rsidP="009769E5">
      <w:pPr>
        <w:pStyle w:val="ManualHeading1"/>
        <w:rPr>
          <w:bCs/>
          <w:noProof/>
          <w:szCs w:val="24"/>
        </w:rPr>
      </w:pPr>
      <w:r w:rsidRPr="00624565">
        <w:rPr>
          <w:noProof/>
        </w:rPr>
        <w:t>2.</w:t>
      </w:r>
      <w:r w:rsidRPr="00624565">
        <w:rPr>
          <w:noProof/>
        </w:rPr>
        <w:tab/>
        <w:t xml:space="preserve">ŚRODKI ZARZĄDZANIA </w:t>
      </w:r>
    </w:p>
    <w:p w14:paraId="2628AFD5" w14:textId="0AFF55A8" w:rsidR="009769E5" w:rsidRPr="00624565" w:rsidRDefault="009769E5" w:rsidP="009769E5">
      <w:pPr>
        <w:pStyle w:val="ManualHeading2"/>
        <w:rPr>
          <w:noProof/>
        </w:rPr>
      </w:pPr>
      <w:r w:rsidRPr="00624565">
        <w:rPr>
          <w:noProof/>
        </w:rPr>
        <w:t>2.1.</w:t>
      </w:r>
      <w:r w:rsidRPr="00624565">
        <w:rPr>
          <w:noProof/>
        </w:rPr>
        <w:tab/>
        <w:t>Zasady nadzoru</w:t>
      </w:r>
      <w:r w:rsidR="003F3D2B" w:rsidRPr="00624565">
        <w:rPr>
          <w:noProof/>
        </w:rPr>
        <w:t xml:space="preserve"> i</w:t>
      </w:r>
      <w:r w:rsidR="003F3D2B">
        <w:rPr>
          <w:noProof/>
        </w:rPr>
        <w:t> </w:t>
      </w:r>
      <w:r w:rsidR="003F3D2B" w:rsidRPr="00624565">
        <w:rPr>
          <w:noProof/>
        </w:rPr>
        <w:t>spr</w:t>
      </w:r>
      <w:r w:rsidRPr="00624565">
        <w:rPr>
          <w:noProof/>
        </w:rPr>
        <w:t xml:space="preserve">awozdawczości </w:t>
      </w:r>
    </w:p>
    <w:p w14:paraId="01EE5560" w14:textId="0158FE1D" w:rsidR="009769E5" w:rsidRPr="00624565" w:rsidRDefault="009769E5" w:rsidP="009769E5">
      <w:pPr>
        <w:pStyle w:val="Text1"/>
        <w:rPr>
          <w:i/>
          <w:noProof/>
          <w:sz w:val="20"/>
        </w:rPr>
      </w:pPr>
      <w:r w:rsidRPr="00624565">
        <w:rPr>
          <w:i/>
          <w:noProof/>
          <w:sz w:val="20"/>
        </w:rPr>
        <w:t>Określić częstotliwość</w:t>
      </w:r>
      <w:r w:rsidR="003F3D2B" w:rsidRPr="00624565">
        <w:rPr>
          <w:i/>
          <w:noProof/>
          <w:sz w:val="20"/>
        </w:rPr>
        <w:t xml:space="preserve"> i</w:t>
      </w:r>
      <w:r w:rsidR="003F3D2B">
        <w:rPr>
          <w:i/>
          <w:noProof/>
          <w:sz w:val="20"/>
        </w:rPr>
        <w:t> </w:t>
      </w:r>
      <w:r w:rsidR="003F3D2B" w:rsidRPr="00624565">
        <w:rPr>
          <w:i/>
          <w:noProof/>
          <w:sz w:val="20"/>
        </w:rPr>
        <w:t>war</w:t>
      </w:r>
      <w:r w:rsidRPr="00624565">
        <w:rPr>
          <w:i/>
          <w:noProof/>
          <w:sz w:val="20"/>
        </w:rPr>
        <w:t>unki</w:t>
      </w:r>
    </w:p>
    <w:p w14:paraId="2F4DF2EE" w14:textId="6E9E75FB" w:rsidR="00E54BAD" w:rsidRPr="00624565" w:rsidRDefault="00E54BAD" w:rsidP="00E54BAD">
      <w:pPr>
        <w:pStyle w:val="Text1"/>
        <w:pBdr>
          <w:top w:val="single" w:sz="4" w:space="1" w:color="auto"/>
          <w:left w:val="single" w:sz="4" w:space="4" w:color="auto"/>
          <w:bottom w:val="single" w:sz="4" w:space="1" w:color="auto"/>
          <w:right w:val="single" w:sz="4" w:space="4" w:color="auto"/>
        </w:pBdr>
        <w:rPr>
          <w:noProof/>
        </w:rPr>
      </w:pPr>
      <w:r w:rsidRPr="00624565">
        <w:rPr>
          <w:noProof/>
        </w:rPr>
        <w:t>Inicjatywy te obejmują zamówienia publiczne, porozumienie administracyjne z JRC, zwiększenie wkładu na rzecz EEA oraz zmiany</w:t>
      </w:r>
      <w:r w:rsidR="003F3D2B" w:rsidRPr="00624565">
        <w:rPr>
          <w:noProof/>
        </w:rPr>
        <w:t xml:space="preserve"> w</w:t>
      </w:r>
      <w:r w:rsidR="003F3D2B">
        <w:rPr>
          <w:noProof/>
        </w:rPr>
        <w:t> </w:t>
      </w:r>
      <w:r w:rsidR="003F3D2B" w:rsidRPr="00624565">
        <w:rPr>
          <w:noProof/>
        </w:rPr>
        <w:t>zas</w:t>
      </w:r>
      <w:r w:rsidRPr="00624565">
        <w:rPr>
          <w:noProof/>
        </w:rPr>
        <w:t>obach ludzkich Komisji. Zastosowanie mają standardowe zasady dotyczące tego typu wydatków.</w:t>
      </w:r>
    </w:p>
    <w:p w14:paraId="5C6D7100" w14:textId="590E5D34" w:rsidR="009769E5" w:rsidRPr="00624565" w:rsidRDefault="009769E5" w:rsidP="009769E5">
      <w:pPr>
        <w:pStyle w:val="ManualHeading2"/>
        <w:rPr>
          <w:bCs/>
          <w:noProof/>
          <w:szCs w:val="24"/>
        </w:rPr>
      </w:pPr>
      <w:r w:rsidRPr="00624565">
        <w:rPr>
          <w:noProof/>
        </w:rPr>
        <w:t>2.2.</w:t>
      </w:r>
      <w:r w:rsidRPr="00624565">
        <w:rPr>
          <w:noProof/>
        </w:rPr>
        <w:tab/>
        <w:t>System zarządzania</w:t>
      </w:r>
      <w:r w:rsidR="003F3D2B" w:rsidRPr="00624565">
        <w:rPr>
          <w:noProof/>
        </w:rPr>
        <w:t xml:space="preserve"> i</w:t>
      </w:r>
      <w:r w:rsidR="003F3D2B">
        <w:rPr>
          <w:noProof/>
        </w:rPr>
        <w:t> </w:t>
      </w:r>
      <w:r w:rsidR="003F3D2B" w:rsidRPr="00624565">
        <w:rPr>
          <w:noProof/>
        </w:rPr>
        <w:t>kon</w:t>
      </w:r>
      <w:r w:rsidRPr="00624565">
        <w:rPr>
          <w:noProof/>
        </w:rPr>
        <w:t xml:space="preserve">troli </w:t>
      </w:r>
    </w:p>
    <w:p w14:paraId="6D94E3FD" w14:textId="02E7F72C" w:rsidR="009769E5" w:rsidRPr="00624565" w:rsidRDefault="009769E5" w:rsidP="009769E5">
      <w:pPr>
        <w:pStyle w:val="ManualHeading3"/>
        <w:rPr>
          <w:noProof/>
        </w:rPr>
      </w:pPr>
      <w:r w:rsidRPr="00624565">
        <w:rPr>
          <w:noProof/>
        </w:rPr>
        <w:t>2.2.1.</w:t>
      </w:r>
      <w:r w:rsidRPr="00624565">
        <w:rPr>
          <w:noProof/>
        </w:rPr>
        <w:tab/>
        <w:t>Uzasadnienie dla systemu zarządzania, mechanizmów finansowania wykonania, warunków płatności</w:t>
      </w:r>
      <w:r w:rsidR="003F3D2B" w:rsidRPr="00624565">
        <w:rPr>
          <w:noProof/>
        </w:rPr>
        <w:t xml:space="preserve"> i</w:t>
      </w:r>
      <w:r w:rsidR="003F3D2B">
        <w:rPr>
          <w:noProof/>
        </w:rPr>
        <w:t> </w:t>
      </w:r>
      <w:r w:rsidR="003F3D2B" w:rsidRPr="00624565">
        <w:rPr>
          <w:noProof/>
        </w:rPr>
        <w:t>pro</w:t>
      </w:r>
      <w:r w:rsidRPr="00624565">
        <w:rPr>
          <w:noProof/>
        </w:rPr>
        <w:t>ponowanej strategii kontroli</w:t>
      </w:r>
    </w:p>
    <w:p w14:paraId="03FB5CB2" w14:textId="77777777" w:rsidR="009769E5" w:rsidRPr="00624565" w:rsidRDefault="00E54BAD" w:rsidP="00E54BAD">
      <w:pPr>
        <w:pStyle w:val="Text1"/>
        <w:pBdr>
          <w:top w:val="single" w:sz="4" w:space="1" w:color="auto"/>
          <w:left w:val="single" w:sz="4" w:space="4" w:color="auto"/>
          <w:bottom w:val="single" w:sz="4" w:space="1" w:color="auto"/>
          <w:right w:val="single" w:sz="4" w:space="4" w:color="auto"/>
        </w:pBdr>
        <w:rPr>
          <w:noProof/>
          <w:color w:val="0000FF"/>
        </w:rPr>
      </w:pPr>
      <w:r w:rsidRPr="00624565">
        <w:rPr>
          <w:noProof/>
        </w:rPr>
        <w:t>Nie dotyczy – por. powyżej.</w:t>
      </w:r>
    </w:p>
    <w:p w14:paraId="5D1FCED6" w14:textId="13C2AF1F" w:rsidR="009769E5" w:rsidRPr="00624565" w:rsidRDefault="009769E5" w:rsidP="009769E5">
      <w:pPr>
        <w:pStyle w:val="ManualHeading3"/>
        <w:rPr>
          <w:bCs/>
          <w:noProof/>
          <w:szCs w:val="24"/>
        </w:rPr>
      </w:pPr>
      <w:r w:rsidRPr="00624565">
        <w:rPr>
          <w:noProof/>
        </w:rPr>
        <w:t>2.2.2.</w:t>
      </w:r>
      <w:r w:rsidRPr="00624565">
        <w:rPr>
          <w:noProof/>
        </w:rPr>
        <w:tab/>
        <w:t>Informacje dotyczące zidentyfikowanego ryzyka</w:t>
      </w:r>
      <w:r w:rsidR="003F3D2B" w:rsidRPr="00624565">
        <w:rPr>
          <w:noProof/>
        </w:rPr>
        <w:t xml:space="preserve"> i</w:t>
      </w:r>
      <w:r w:rsidR="003F3D2B">
        <w:rPr>
          <w:noProof/>
        </w:rPr>
        <w:t> </w:t>
      </w:r>
      <w:r w:rsidR="003F3D2B" w:rsidRPr="00624565">
        <w:rPr>
          <w:noProof/>
        </w:rPr>
        <w:t>sys</w:t>
      </w:r>
      <w:r w:rsidRPr="00624565">
        <w:rPr>
          <w:noProof/>
        </w:rPr>
        <w:t>temów kontroli wewnętrznej ustanowionych</w:t>
      </w:r>
      <w:r w:rsidR="003F3D2B" w:rsidRPr="00624565">
        <w:rPr>
          <w:noProof/>
        </w:rPr>
        <w:t xml:space="preserve"> w</w:t>
      </w:r>
      <w:r w:rsidR="003F3D2B">
        <w:rPr>
          <w:noProof/>
        </w:rPr>
        <w:t> </w:t>
      </w:r>
      <w:r w:rsidR="003F3D2B" w:rsidRPr="00624565">
        <w:rPr>
          <w:noProof/>
        </w:rPr>
        <w:t>cel</w:t>
      </w:r>
      <w:r w:rsidRPr="00624565">
        <w:rPr>
          <w:noProof/>
        </w:rPr>
        <w:t>u jego ograniczenia</w:t>
      </w:r>
    </w:p>
    <w:p w14:paraId="284ECE19" w14:textId="77777777" w:rsidR="009769E5" w:rsidRPr="00624565" w:rsidRDefault="00E54BAD" w:rsidP="00E54BAD">
      <w:pPr>
        <w:pStyle w:val="Text1"/>
        <w:pBdr>
          <w:top w:val="single" w:sz="4" w:space="1" w:color="auto"/>
          <w:left w:val="single" w:sz="4" w:space="4" w:color="auto"/>
          <w:bottom w:val="single" w:sz="4" w:space="1" w:color="auto"/>
          <w:right w:val="single" w:sz="4" w:space="4" w:color="auto"/>
        </w:pBdr>
        <w:rPr>
          <w:noProof/>
          <w:color w:val="0000FF"/>
        </w:rPr>
      </w:pPr>
      <w:r w:rsidRPr="00624565">
        <w:rPr>
          <w:noProof/>
        </w:rPr>
        <w:t>Nie dotyczy – por. powyżej.</w:t>
      </w:r>
    </w:p>
    <w:p w14:paraId="72454D33" w14:textId="11572317" w:rsidR="009769E5" w:rsidRPr="00624565" w:rsidRDefault="009769E5" w:rsidP="009769E5">
      <w:pPr>
        <w:pStyle w:val="ManualHeading3"/>
        <w:rPr>
          <w:noProof/>
        </w:rPr>
      </w:pPr>
      <w:r w:rsidRPr="00624565">
        <w:rPr>
          <w:noProof/>
        </w:rPr>
        <w:t>2.2.3.</w:t>
      </w:r>
      <w:r w:rsidRPr="00624565">
        <w:rPr>
          <w:noProof/>
        </w:rPr>
        <w:tab/>
        <w:t>Oszacowanie</w:t>
      </w:r>
      <w:r w:rsidR="003F3D2B" w:rsidRPr="00624565">
        <w:rPr>
          <w:noProof/>
        </w:rPr>
        <w:t xml:space="preserve"> i</w:t>
      </w:r>
      <w:r w:rsidR="003F3D2B">
        <w:rPr>
          <w:noProof/>
        </w:rPr>
        <w:t> </w:t>
      </w:r>
      <w:r w:rsidR="003F3D2B" w:rsidRPr="00624565">
        <w:rPr>
          <w:noProof/>
        </w:rPr>
        <w:t>uza</w:t>
      </w:r>
      <w:r w:rsidRPr="00624565">
        <w:rPr>
          <w:noProof/>
        </w:rPr>
        <w:t>sadnienie efektywności kosztowej kontroli (relacja kosztów kontroli do wartości zarządzanych funduszy powiązanych) oraz ocena prawdopodobnego ryzyka błędu (przy płatności</w:t>
      </w:r>
      <w:r w:rsidR="003F3D2B" w:rsidRPr="00624565">
        <w:rPr>
          <w:noProof/>
        </w:rPr>
        <w:t xml:space="preserve"> i</w:t>
      </w:r>
      <w:r w:rsidR="003F3D2B">
        <w:rPr>
          <w:noProof/>
        </w:rPr>
        <w:t> </w:t>
      </w:r>
      <w:r w:rsidR="003F3D2B" w:rsidRPr="00624565">
        <w:rPr>
          <w:noProof/>
        </w:rPr>
        <w:t>prz</w:t>
      </w:r>
      <w:r w:rsidRPr="00624565">
        <w:rPr>
          <w:noProof/>
        </w:rPr>
        <w:t xml:space="preserve">y zamykaniu) </w:t>
      </w:r>
    </w:p>
    <w:p w14:paraId="67AF9F9A" w14:textId="77777777" w:rsidR="00DA59BC" w:rsidRPr="00624565" w:rsidRDefault="00DA59BC" w:rsidP="00DA59BC">
      <w:pPr>
        <w:pStyle w:val="Text1"/>
        <w:pBdr>
          <w:top w:val="single" w:sz="4" w:space="1" w:color="auto"/>
          <w:left w:val="single" w:sz="4" w:space="4" w:color="auto"/>
          <w:bottom w:val="single" w:sz="4" w:space="1" w:color="auto"/>
          <w:right w:val="single" w:sz="4" w:space="4" w:color="auto"/>
        </w:pBdr>
        <w:rPr>
          <w:noProof/>
        </w:rPr>
      </w:pPr>
      <w:r w:rsidRPr="00624565">
        <w:rPr>
          <w:noProof/>
        </w:rPr>
        <w:t>Nie dotyczy – por. powyżej.</w:t>
      </w:r>
    </w:p>
    <w:p w14:paraId="578ABD5F" w14:textId="24E2B766" w:rsidR="009769E5" w:rsidRPr="00624565" w:rsidRDefault="009769E5" w:rsidP="009769E5">
      <w:pPr>
        <w:pStyle w:val="ManualHeading2"/>
        <w:rPr>
          <w:bCs/>
          <w:noProof/>
          <w:szCs w:val="24"/>
        </w:rPr>
      </w:pPr>
      <w:r w:rsidRPr="00624565">
        <w:rPr>
          <w:noProof/>
        </w:rPr>
        <w:t>2.3.</w:t>
      </w:r>
      <w:r w:rsidRPr="00624565">
        <w:rPr>
          <w:noProof/>
        </w:rPr>
        <w:tab/>
        <w:t>Środki zapobiegania nadużyciom finansowym</w:t>
      </w:r>
      <w:r w:rsidR="003F3D2B" w:rsidRPr="00624565">
        <w:rPr>
          <w:noProof/>
        </w:rPr>
        <w:t xml:space="preserve"> i</w:t>
      </w:r>
      <w:r w:rsidR="003F3D2B">
        <w:rPr>
          <w:noProof/>
        </w:rPr>
        <w:t> </w:t>
      </w:r>
      <w:r w:rsidR="003F3D2B" w:rsidRPr="00624565">
        <w:rPr>
          <w:noProof/>
        </w:rPr>
        <w:t>nie</w:t>
      </w:r>
      <w:r w:rsidRPr="00624565">
        <w:rPr>
          <w:noProof/>
        </w:rPr>
        <w:t xml:space="preserve">prawidłowościom </w:t>
      </w:r>
    </w:p>
    <w:p w14:paraId="008FCAF8" w14:textId="3CA1800F" w:rsidR="009769E5" w:rsidRPr="00624565" w:rsidRDefault="009769E5" w:rsidP="009769E5">
      <w:pPr>
        <w:pStyle w:val="Text1"/>
        <w:rPr>
          <w:i/>
          <w:noProof/>
          <w:sz w:val="20"/>
        </w:rPr>
      </w:pPr>
      <w:r w:rsidRPr="00624565">
        <w:rPr>
          <w:i/>
          <w:noProof/>
          <w:sz w:val="20"/>
        </w:rPr>
        <w:t>Określić istniejące lub przewidywane środki zapobiegania</w:t>
      </w:r>
      <w:r w:rsidR="003F3D2B" w:rsidRPr="00624565">
        <w:rPr>
          <w:i/>
          <w:noProof/>
          <w:sz w:val="20"/>
        </w:rPr>
        <w:t xml:space="preserve"> i</w:t>
      </w:r>
      <w:r w:rsidR="003F3D2B">
        <w:rPr>
          <w:i/>
          <w:noProof/>
          <w:sz w:val="20"/>
        </w:rPr>
        <w:t> </w:t>
      </w:r>
      <w:r w:rsidR="003F3D2B" w:rsidRPr="00624565">
        <w:rPr>
          <w:i/>
          <w:noProof/>
          <w:sz w:val="20"/>
        </w:rPr>
        <w:t>och</w:t>
      </w:r>
      <w:r w:rsidRPr="00624565">
        <w:rPr>
          <w:i/>
          <w:noProof/>
          <w:sz w:val="20"/>
        </w:rPr>
        <w:t>rony, np. ze strategii zwalczania nadużyć finansowych.</w:t>
      </w:r>
    </w:p>
    <w:p w14:paraId="276A3D53" w14:textId="77777777" w:rsidR="009769E5" w:rsidRPr="00624565" w:rsidRDefault="00DA59BC" w:rsidP="00DA59BC">
      <w:pPr>
        <w:pStyle w:val="Text1"/>
        <w:pBdr>
          <w:top w:val="single" w:sz="4" w:space="1" w:color="auto"/>
          <w:left w:val="single" w:sz="4" w:space="4" w:color="auto"/>
          <w:bottom w:val="single" w:sz="4" w:space="1" w:color="auto"/>
          <w:right w:val="single" w:sz="4" w:space="4" w:color="auto"/>
        </w:pBdr>
        <w:rPr>
          <w:noProof/>
          <w:color w:val="0000FF"/>
        </w:rPr>
      </w:pPr>
      <w:r w:rsidRPr="00624565">
        <w:rPr>
          <w:noProof/>
        </w:rPr>
        <w:t>Nie dotyczy – por. powyżej.</w:t>
      </w:r>
    </w:p>
    <w:p w14:paraId="31BF5998" w14:textId="77777777" w:rsidR="009769E5" w:rsidRPr="00624565" w:rsidRDefault="009769E5" w:rsidP="009769E5">
      <w:pPr>
        <w:rPr>
          <w:noProof/>
        </w:rPr>
        <w:sectPr w:rsidR="009769E5" w:rsidRPr="00624565" w:rsidSect="006A11C7">
          <w:pgSz w:w="11907" w:h="16840" w:code="9"/>
          <w:pgMar w:top="1134" w:right="1418" w:bottom="1134" w:left="1418" w:header="709" w:footer="709" w:gutter="0"/>
          <w:cols w:space="708"/>
          <w:docGrid w:linePitch="360"/>
        </w:sectPr>
      </w:pPr>
    </w:p>
    <w:p w14:paraId="14DCE34B" w14:textId="77777777" w:rsidR="009769E5" w:rsidRPr="00624565" w:rsidRDefault="009769E5" w:rsidP="009769E5">
      <w:pPr>
        <w:pStyle w:val="ManualHeading1"/>
        <w:rPr>
          <w:bCs/>
          <w:noProof/>
          <w:szCs w:val="24"/>
        </w:rPr>
      </w:pPr>
      <w:r w:rsidRPr="00624565">
        <w:rPr>
          <w:noProof/>
        </w:rPr>
        <w:t>3.</w:t>
      </w:r>
      <w:r w:rsidRPr="00624565">
        <w:rPr>
          <w:noProof/>
        </w:rPr>
        <w:tab/>
        <w:t xml:space="preserve">SZACUNKOWY WPŁYW FINANSOWY WNIOSKU/INICJATYWY </w:t>
      </w:r>
    </w:p>
    <w:p w14:paraId="79085F84" w14:textId="2F529C10" w:rsidR="009769E5" w:rsidRPr="00624565" w:rsidRDefault="009769E5" w:rsidP="009769E5">
      <w:pPr>
        <w:pStyle w:val="ManualHeading2"/>
        <w:rPr>
          <w:noProof/>
        </w:rPr>
      </w:pPr>
      <w:r w:rsidRPr="00624565">
        <w:rPr>
          <w:noProof/>
        </w:rPr>
        <w:t>3.1.</w:t>
      </w:r>
      <w:r w:rsidRPr="00624565">
        <w:rPr>
          <w:noProof/>
        </w:rPr>
        <w:tab/>
        <w:t>Działy wieloletnich ram finansowych</w:t>
      </w:r>
      <w:r w:rsidR="003F3D2B" w:rsidRPr="00624565">
        <w:rPr>
          <w:noProof/>
        </w:rPr>
        <w:t xml:space="preserve"> i</w:t>
      </w:r>
      <w:r w:rsidR="003F3D2B">
        <w:rPr>
          <w:noProof/>
        </w:rPr>
        <w:t> </w:t>
      </w:r>
      <w:r w:rsidR="003F3D2B" w:rsidRPr="00624565">
        <w:rPr>
          <w:noProof/>
        </w:rPr>
        <w:t>lin</w:t>
      </w:r>
      <w:r w:rsidRPr="00624565">
        <w:rPr>
          <w:noProof/>
        </w:rPr>
        <w:t xml:space="preserve">ie budżetowe po stronie wydatków, na które wniosek/inicjatywa ma wpływ </w:t>
      </w:r>
    </w:p>
    <w:p w14:paraId="5145340A" w14:textId="77777777" w:rsidR="009769E5" w:rsidRPr="00624565" w:rsidRDefault="009769E5" w:rsidP="009769E5">
      <w:pPr>
        <w:pStyle w:val="ListBullet1"/>
        <w:rPr>
          <w:noProof/>
        </w:rPr>
      </w:pPr>
      <w:r w:rsidRPr="00624565">
        <w:rPr>
          <w:noProof/>
        </w:rPr>
        <w:t xml:space="preserve">Istniejące linie budżetowe </w:t>
      </w:r>
    </w:p>
    <w:p w14:paraId="66EA4736" w14:textId="411D2E17" w:rsidR="009769E5" w:rsidRPr="00624565" w:rsidRDefault="009769E5" w:rsidP="009769E5">
      <w:pPr>
        <w:pStyle w:val="Text1"/>
        <w:rPr>
          <w:i/>
          <w:noProof/>
        </w:rPr>
      </w:pPr>
      <w:r w:rsidRPr="00624565">
        <w:rPr>
          <w:i/>
          <w:noProof/>
          <w:u w:val="single"/>
        </w:rPr>
        <w:t>Według</w:t>
      </w:r>
      <w:r w:rsidRPr="00624565">
        <w:rPr>
          <w:i/>
          <w:noProof/>
        </w:rPr>
        <w:t xml:space="preserve"> działów wieloletnich ram finansowych</w:t>
      </w:r>
      <w:r w:rsidR="003F3D2B" w:rsidRPr="00624565">
        <w:rPr>
          <w:i/>
          <w:noProof/>
        </w:rPr>
        <w:t xml:space="preserve"> i</w:t>
      </w:r>
      <w:r w:rsidR="003F3D2B">
        <w:rPr>
          <w:i/>
          <w:noProof/>
        </w:rPr>
        <w:t> </w:t>
      </w:r>
      <w:r w:rsidR="003F3D2B" w:rsidRPr="00624565">
        <w:rPr>
          <w:i/>
          <w:noProof/>
        </w:rPr>
        <w:t>lin</w:t>
      </w:r>
      <w:r w:rsidRPr="00624565">
        <w:rPr>
          <w:i/>
          <w:noProof/>
        </w:rPr>
        <w:t>ii budżetowych</w:t>
      </w:r>
    </w:p>
    <w:tbl>
      <w:tblPr>
        <w:tblW w:w="105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960"/>
        <w:gridCol w:w="1080"/>
        <w:gridCol w:w="956"/>
        <w:gridCol w:w="1080"/>
        <w:gridCol w:w="956"/>
        <w:gridCol w:w="1448"/>
      </w:tblGrid>
      <w:tr w:rsidR="009769E5" w:rsidRPr="00624565" w14:paraId="6E87B3DC" w14:textId="77777777" w:rsidTr="009769E5">
        <w:tc>
          <w:tcPr>
            <w:tcW w:w="1080" w:type="dxa"/>
            <w:vMerge w:val="restart"/>
            <w:vAlign w:val="center"/>
          </w:tcPr>
          <w:p w14:paraId="44BACBD1" w14:textId="77777777" w:rsidR="009769E5" w:rsidRPr="00624565" w:rsidRDefault="009769E5" w:rsidP="009769E5">
            <w:pPr>
              <w:spacing w:before="60" w:after="60"/>
              <w:jc w:val="center"/>
              <w:rPr>
                <w:noProof/>
              </w:rPr>
            </w:pPr>
            <w:r w:rsidRPr="00624565">
              <w:rPr>
                <w:noProof/>
                <w:sz w:val="18"/>
              </w:rPr>
              <w:t>Dział wieloletnich ram finansowych</w:t>
            </w:r>
          </w:p>
        </w:tc>
        <w:tc>
          <w:tcPr>
            <w:tcW w:w="3960" w:type="dxa"/>
            <w:vAlign w:val="center"/>
          </w:tcPr>
          <w:p w14:paraId="4D29EBAA" w14:textId="77777777" w:rsidR="009769E5" w:rsidRPr="00624565" w:rsidRDefault="009769E5" w:rsidP="009769E5">
            <w:pPr>
              <w:spacing w:before="60" w:after="60"/>
              <w:jc w:val="center"/>
              <w:rPr>
                <w:noProof/>
              </w:rPr>
            </w:pPr>
            <w:r w:rsidRPr="00624565">
              <w:rPr>
                <w:noProof/>
                <w:sz w:val="20"/>
              </w:rPr>
              <w:t>Linia budżetowa</w:t>
            </w:r>
          </w:p>
        </w:tc>
        <w:tc>
          <w:tcPr>
            <w:tcW w:w="1080" w:type="dxa"/>
            <w:vAlign w:val="center"/>
          </w:tcPr>
          <w:p w14:paraId="5C42B152" w14:textId="0CABBCF2" w:rsidR="009769E5" w:rsidRPr="00624565" w:rsidRDefault="009769E5" w:rsidP="009769E5">
            <w:pPr>
              <w:spacing w:before="60" w:after="60"/>
              <w:jc w:val="center"/>
              <w:rPr>
                <w:noProof/>
              </w:rPr>
            </w:pPr>
            <w:r w:rsidRPr="00624565">
              <w:rPr>
                <w:noProof/>
              </w:rPr>
              <w:t>Rodza</w:t>
            </w:r>
            <w:r w:rsidRPr="003F3D2B">
              <w:rPr>
                <w:noProof/>
              </w:rPr>
              <w:t>j</w:t>
            </w:r>
            <w:r w:rsidR="003F3D2B" w:rsidRPr="003F3D2B">
              <w:rPr>
                <w:noProof/>
                <w:sz w:val="18"/>
              </w:rPr>
              <w:t xml:space="preserve"> </w:t>
            </w:r>
            <w:r w:rsidRPr="003F3D2B">
              <w:rPr>
                <w:noProof/>
              </w:rPr>
              <w:br/>
            </w:r>
            <w:r w:rsidRPr="00624565">
              <w:rPr>
                <w:noProof/>
              </w:rPr>
              <w:t>środków</w:t>
            </w:r>
          </w:p>
        </w:tc>
        <w:tc>
          <w:tcPr>
            <w:tcW w:w="4440" w:type="dxa"/>
            <w:gridSpan w:val="4"/>
            <w:vAlign w:val="center"/>
          </w:tcPr>
          <w:p w14:paraId="05998B75" w14:textId="77777777" w:rsidR="009769E5" w:rsidRPr="00624565" w:rsidRDefault="009769E5" w:rsidP="009769E5">
            <w:pPr>
              <w:spacing w:before="60" w:after="60"/>
              <w:jc w:val="center"/>
              <w:rPr>
                <w:noProof/>
              </w:rPr>
            </w:pPr>
            <w:r w:rsidRPr="00624565">
              <w:rPr>
                <w:noProof/>
                <w:sz w:val="20"/>
              </w:rPr>
              <w:t xml:space="preserve">Wkład </w:t>
            </w:r>
          </w:p>
        </w:tc>
      </w:tr>
      <w:tr w:rsidR="009769E5" w:rsidRPr="00624565" w14:paraId="4E099DA4" w14:textId="77777777" w:rsidTr="009769E5">
        <w:tc>
          <w:tcPr>
            <w:tcW w:w="1080" w:type="dxa"/>
            <w:vMerge/>
            <w:vAlign w:val="center"/>
          </w:tcPr>
          <w:p w14:paraId="670BED24" w14:textId="77777777" w:rsidR="009769E5" w:rsidRPr="00624565" w:rsidRDefault="009769E5" w:rsidP="009769E5">
            <w:pPr>
              <w:jc w:val="center"/>
              <w:rPr>
                <w:noProof/>
              </w:rPr>
            </w:pPr>
          </w:p>
        </w:tc>
        <w:tc>
          <w:tcPr>
            <w:tcW w:w="3960" w:type="dxa"/>
            <w:vAlign w:val="center"/>
          </w:tcPr>
          <w:p w14:paraId="4F955F69" w14:textId="43A1E8F0" w:rsidR="009769E5" w:rsidRPr="00624565" w:rsidRDefault="009769E5" w:rsidP="009769E5">
            <w:pPr>
              <w:rPr>
                <w:noProof/>
              </w:rPr>
            </w:pPr>
            <w:r w:rsidRPr="00624565">
              <w:rPr>
                <w:noProof/>
                <w:sz w:val="20"/>
              </w:rPr>
              <w:t>Nume</w:t>
            </w:r>
            <w:r w:rsidRPr="003F3D2B">
              <w:rPr>
                <w:noProof/>
                <w:sz w:val="20"/>
              </w:rPr>
              <w:t>r</w:t>
            </w:r>
            <w:r w:rsidR="003F3D2B" w:rsidRPr="003F3D2B">
              <w:rPr>
                <w:noProof/>
                <w:sz w:val="20"/>
              </w:rPr>
              <w:t xml:space="preserve"> </w:t>
            </w:r>
            <w:r w:rsidRPr="003F3D2B">
              <w:rPr>
                <w:noProof/>
              </w:rPr>
              <w:br/>
            </w:r>
          </w:p>
        </w:tc>
        <w:tc>
          <w:tcPr>
            <w:tcW w:w="1080" w:type="dxa"/>
            <w:vAlign w:val="center"/>
          </w:tcPr>
          <w:p w14:paraId="307A171D" w14:textId="77777777" w:rsidR="009769E5" w:rsidRPr="00624565" w:rsidRDefault="009769E5" w:rsidP="009769E5">
            <w:pPr>
              <w:jc w:val="center"/>
              <w:rPr>
                <w:noProof/>
              </w:rPr>
            </w:pPr>
            <w:r w:rsidRPr="00624565">
              <w:rPr>
                <w:noProof/>
                <w:sz w:val="18"/>
              </w:rPr>
              <w:t>Zróżn. / niezróżn.</w:t>
            </w:r>
            <w:r w:rsidRPr="00624565">
              <w:rPr>
                <w:rStyle w:val="FootnoteReference"/>
                <w:noProof/>
                <w:sz w:val="18"/>
                <w:szCs w:val="18"/>
              </w:rPr>
              <w:footnoteReference w:id="120"/>
            </w:r>
          </w:p>
        </w:tc>
        <w:tc>
          <w:tcPr>
            <w:tcW w:w="956" w:type="dxa"/>
            <w:vAlign w:val="center"/>
          </w:tcPr>
          <w:p w14:paraId="56D57073" w14:textId="77777777" w:rsidR="009769E5" w:rsidRPr="00624565" w:rsidRDefault="009769E5" w:rsidP="009769E5">
            <w:pPr>
              <w:jc w:val="center"/>
              <w:rPr>
                <w:b/>
                <w:noProof/>
                <w:sz w:val="18"/>
              </w:rPr>
            </w:pPr>
            <w:r w:rsidRPr="00624565">
              <w:rPr>
                <w:noProof/>
                <w:sz w:val="18"/>
              </w:rPr>
              <w:t>państw EFTA</w:t>
            </w:r>
            <w:r w:rsidRPr="00624565">
              <w:rPr>
                <w:rStyle w:val="FootnoteReference"/>
                <w:noProof/>
                <w:sz w:val="18"/>
                <w:szCs w:val="18"/>
              </w:rPr>
              <w:footnoteReference w:id="121"/>
            </w:r>
          </w:p>
        </w:tc>
        <w:tc>
          <w:tcPr>
            <w:tcW w:w="1080" w:type="dxa"/>
            <w:vAlign w:val="center"/>
          </w:tcPr>
          <w:p w14:paraId="5547DF77" w14:textId="2BCB5535" w:rsidR="009769E5" w:rsidRPr="00624565" w:rsidRDefault="009769E5" w:rsidP="009769E5">
            <w:pPr>
              <w:jc w:val="center"/>
              <w:rPr>
                <w:noProof/>
                <w:sz w:val="18"/>
              </w:rPr>
            </w:pPr>
            <w:r w:rsidRPr="00624565">
              <w:rPr>
                <w:noProof/>
                <w:sz w:val="18"/>
              </w:rPr>
              <w:t>krajów kandydujących</w:t>
            </w:r>
            <w:r w:rsidR="003F3D2B" w:rsidRPr="00624565">
              <w:rPr>
                <w:noProof/>
                <w:sz w:val="18"/>
              </w:rPr>
              <w:t xml:space="preserve"> i</w:t>
            </w:r>
            <w:r w:rsidR="003F3D2B">
              <w:rPr>
                <w:noProof/>
                <w:sz w:val="18"/>
              </w:rPr>
              <w:t> </w:t>
            </w:r>
            <w:r w:rsidR="003F3D2B" w:rsidRPr="00624565">
              <w:rPr>
                <w:noProof/>
                <w:sz w:val="18"/>
              </w:rPr>
              <w:t>pot</w:t>
            </w:r>
            <w:r w:rsidRPr="00624565">
              <w:rPr>
                <w:noProof/>
                <w:sz w:val="18"/>
              </w:rPr>
              <w:t>encjalnych krajów kandydujących</w:t>
            </w:r>
            <w:r w:rsidRPr="00624565">
              <w:rPr>
                <w:rStyle w:val="FootnoteReference"/>
                <w:noProof/>
                <w:sz w:val="18"/>
                <w:szCs w:val="18"/>
              </w:rPr>
              <w:footnoteReference w:id="122"/>
            </w:r>
          </w:p>
        </w:tc>
        <w:tc>
          <w:tcPr>
            <w:tcW w:w="956" w:type="dxa"/>
            <w:vAlign w:val="center"/>
          </w:tcPr>
          <w:p w14:paraId="4154C374" w14:textId="77777777" w:rsidR="009769E5" w:rsidRPr="00624565" w:rsidRDefault="009769E5" w:rsidP="009769E5">
            <w:pPr>
              <w:jc w:val="center"/>
              <w:rPr>
                <w:noProof/>
                <w:sz w:val="18"/>
              </w:rPr>
            </w:pPr>
            <w:r w:rsidRPr="00624565">
              <w:rPr>
                <w:noProof/>
                <w:sz w:val="18"/>
              </w:rPr>
              <w:t>innych państw</w:t>
            </w:r>
          </w:p>
        </w:tc>
        <w:tc>
          <w:tcPr>
            <w:tcW w:w="1448" w:type="dxa"/>
            <w:vAlign w:val="center"/>
          </w:tcPr>
          <w:p w14:paraId="6BDB1034" w14:textId="00B822D9" w:rsidR="009769E5" w:rsidRPr="00624565" w:rsidRDefault="009769E5" w:rsidP="009769E5">
            <w:pPr>
              <w:jc w:val="center"/>
              <w:rPr>
                <w:noProof/>
              </w:rPr>
            </w:pPr>
            <w:r w:rsidRPr="00624565">
              <w:rPr>
                <w:noProof/>
                <w:sz w:val="18"/>
              </w:rPr>
              <w:t>pochodzący</w:t>
            </w:r>
            <w:r w:rsidR="003F3D2B" w:rsidRPr="00624565">
              <w:rPr>
                <w:noProof/>
                <w:sz w:val="18"/>
              </w:rPr>
              <w:t xml:space="preserve"> z</w:t>
            </w:r>
            <w:r w:rsidR="003F3D2B">
              <w:rPr>
                <w:noProof/>
                <w:sz w:val="18"/>
              </w:rPr>
              <w:t> </w:t>
            </w:r>
            <w:r w:rsidR="003F3D2B" w:rsidRPr="00624565">
              <w:rPr>
                <w:noProof/>
                <w:sz w:val="18"/>
              </w:rPr>
              <w:t>poz</w:t>
            </w:r>
            <w:r w:rsidRPr="00624565">
              <w:rPr>
                <w:noProof/>
                <w:sz w:val="18"/>
              </w:rPr>
              <w:t>ostałych dochodów przeznaczonych na określony cel</w:t>
            </w:r>
          </w:p>
        </w:tc>
      </w:tr>
      <w:tr w:rsidR="00420B72" w:rsidRPr="00624565" w14:paraId="2C7E3D3B" w14:textId="77777777" w:rsidTr="009769E5">
        <w:tc>
          <w:tcPr>
            <w:tcW w:w="1080" w:type="dxa"/>
            <w:vAlign w:val="center"/>
          </w:tcPr>
          <w:p w14:paraId="61F17511" w14:textId="77777777" w:rsidR="00420B72" w:rsidRPr="00624565" w:rsidRDefault="00420B72" w:rsidP="00420B72">
            <w:pPr>
              <w:jc w:val="center"/>
              <w:rPr>
                <w:noProof/>
                <w:color w:val="0000FF"/>
              </w:rPr>
            </w:pPr>
            <w:r w:rsidRPr="00624565">
              <w:rPr>
                <w:noProof/>
                <w:color w:val="000000"/>
              </w:rPr>
              <w:t>3</w:t>
            </w:r>
          </w:p>
        </w:tc>
        <w:tc>
          <w:tcPr>
            <w:tcW w:w="3960" w:type="dxa"/>
            <w:vAlign w:val="center"/>
          </w:tcPr>
          <w:p w14:paraId="0724FAE0" w14:textId="4370A1DF" w:rsidR="00420B72" w:rsidRPr="00624565" w:rsidRDefault="00420B72" w:rsidP="00420B72">
            <w:pPr>
              <w:spacing w:before="60" w:line="276" w:lineRule="auto"/>
              <w:rPr>
                <w:rFonts w:eastAsia="Calibri"/>
                <w:noProof/>
                <w:color w:val="000000"/>
              </w:rPr>
            </w:pPr>
            <w:r w:rsidRPr="00624565">
              <w:rPr>
                <w:noProof/>
                <w:color w:val="000000"/>
              </w:rPr>
              <w:t>09 02 02 – Gospodarka</w:t>
            </w:r>
            <w:r w:rsidR="003F3D2B" w:rsidRPr="00624565">
              <w:rPr>
                <w:noProof/>
                <w:color w:val="000000"/>
              </w:rPr>
              <w:t xml:space="preserve"> o</w:t>
            </w:r>
            <w:r w:rsidR="003F3D2B">
              <w:rPr>
                <w:noProof/>
                <w:color w:val="000000"/>
              </w:rPr>
              <w:t> </w:t>
            </w:r>
            <w:r w:rsidR="003F3D2B" w:rsidRPr="00624565">
              <w:rPr>
                <w:noProof/>
                <w:color w:val="000000"/>
              </w:rPr>
              <w:t>obi</w:t>
            </w:r>
            <w:r w:rsidRPr="00624565">
              <w:rPr>
                <w:noProof/>
                <w:color w:val="000000"/>
              </w:rPr>
              <w:t>egu zamkniętym</w:t>
            </w:r>
            <w:r w:rsidR="003F3D2B" w:rsidRPr="00624565">
              <w:rPr>
                <w:noProof/>
                <w:color w:val="000000"/>
              </w:rPr>
              <w:t xml:space="preserve"> i</w:t>
            </w:r>
            <w:r w:rsidR="003F3D2B">
              <w:rPr>
                <w:noProof/>
                <w:color w:val="000000"/>
              </w:rPr>
              <w:t> </w:t>
            </w:r>
            <w:r w:rsidR="003F3D2B" w:rsidRPr="00624565">
              <w:rPr>
                <w:noProof/>
                <w:color w:val="000000"/>
              </w:rPr>
              <w:t>jak</w:t>
            </w:r>
            <w:r w:rsidRPr="00624565">
              <w:rPr>
                <w:noProof/>
                <w:color w:val="000000"/>
              </w:rPr>
              <w:t>ość życia</w:t>
            </w:r>
          </w:p>
          <w:p w14:paraId="30B913DB" w14:textId="77777777" w:rsidR="00420B72" w:rsidRPr="00624565" w:rsidRDefault="00420B72" w:rsidP="00420B72">
            <w:pPr>
              <w:spacing w:after="60"/>
              <w:rPr>
                <w:noProof/>
              </w:rPr>
            </w:pPr>
          </w:p>
        </w:tc>
        <w:tc>
          <w:tcPr>
            <w:tcW w:w="1080" w:type="dxa"/>
            <w:vAlign w:val="center"/>
          </w:tcPr>
          <w:p w14:paraId="473B800A" w14:textId="77777777" w:rsidR="00420B72" w:rsidRPr="00624565" w:rsidRDefault="00420B72" w:rsidP="00420B72">
            <w:pPr>
              <w:jc w:val="center"/>
              <w:rPr>
                <w:noProof/>
                <w:color w:val="0000FF"/>
              </w:rPr>
            </w:pPr>
            <w:r w:rsidRPr="00624565">
              <w:rPr>
                <w:noProof/>
                <w:color w:val="000000"/>
              </w:rPr>
              <w:t>Zróżn.</w:t>
            </w:r>
          </w:p>
        </w:tc>
        <w:tc>
          <w:tcPr>
            <w:tcW w:w="956" w:type="dxa"/>
            <w:vAlign w:val="center"/>
          </w:tcPr>
          <w:p w14:paraId="50ABE469" w14:textId="77777777" w:rsidR="00420B72" w:rsidRPr="00624565" w:rsidRDefault="00420B72" w:rsidP="00420B72">
            <w:pPr>
              <w:jc w:val="center"/>
              <w:rPr>
                <w:noProof/>
                <w:sz w:val="20"/>
                <w:szCs w:val="20"/>
              </w:rPr>
            </w:pPr>
            <w:r w:rsidRPr="00624565">
              <w:rPr>
                <w:noProof/>
                <w:color w:val="000000"/>
                <w:sz w:val="20"/>
              </w:rPr>
              <w:t>TAK</w:t>
            </w:r>
          </w:p>
        </w:tc>
        <w:tc>
          <w:tcPr>
            <w:tcW w:w="1080" w:type="dxa"/>
            <w:vAlign w:val="center"/>
          </w:tcPr>
          <w:p w14:paraId="6D6675BF" w14:textId="77777777" w:rsidR="00420B72" w:rsidRPr="00624565" w:rsidRDefault="00420B72" w:rsidP="00420B72">
            <w:pPr>
              <w:jc w:val="center"/>
              <w:rPr>
                <w:noProof/>
                <w:sz w:val="20"/>
                <w:szCs w:val="20"/>
              </w:rPr>
            </w:pPr>
            <w:r w:rsidRPr="00624565">
              <w:rPr>
                <w:noProof/>
                <w:color w:val="000000"/>
                <w:sz w:val="20"/>
              </w:rPr>
              <w:t>NIE</w:t>
            </w:r>
          </w:p>
        </w:tc>
        <w:tc>
          <w:tcPr>
            <w:tcW w:w="956" w:type="dxa"/>
            <w:vAlign w:val="center"/>
          </w:tcPr>
          <w:p w14:paraId="0EC005EB" w14:textId="77777777" w:rsidR="00420B72" w:rsidRPr="00624565" w:rsidRDefault="00420B72" w:rsidP="00420B72">
            <w:pPr>
              <w:jc w:val="center"/>
              <w:rPr>
                <w:noProof/>
                <w:sz w:val="20"/>
                <w:szCs w:val="20"/>
              </w:rPr>
            </w:pPr>
            <w:r w:rsidRPr="00624565">
              <w:rPr>
                <w:noProof/>
                <w:color w:val="000000" w:themeColor="text1"/>
                <w:sz w:val="20"/>
              </w:rPr>
              <w:t>TAK</w:t>
            </w:r>
          </w:p>
        </w:tc>
        <w:tc>
          <w:tcPr>
            <w:tcW w:w="1448" w:type="dxa"/>
            <w:vAlign w:val="center"/>
          </w:tcPr>
          <w:p w14:paraId="77AFC0A4" w14:textId="77777777" w:rsidR="00420B72" w:rsidRPr="00624565" w:rsidRDefault="00420B72" w:rsidP="00420B72">
            <w:pPr>
              <w:jc w:val="center"/>
              <w:rPr>
                <w:noProof/>
                <w:sz w:val="20"/>
                <w:szCs w:val="20"/>
              </w:rPr>
            </w:pPr>
            <w:r w:rsidRPr="00624565">
              <w:rPr>
                <w:noProof/>
                <w:color w:val="000000"/>
                <w:sz w:val="20"/>
              </w:rPr>
              <w:t>NIE</w:t>
            </w:r>
          </w:p>
        </w:tc>
      </w:tr>
      <w:tr w:rsidR="00420B72" w:rsidRPr="00624565" w14:paraId="3C80840F" w14:textId="77777777" w:rsidTr="009769E5">
        <w:tc>
          <w:tcPr>
            <w:tcW w:w="1080" w:type="dxa"/>
            <w:vAlign w:val="center"/>
          </w:tcPr>
          <w:p w14:paraId="01FFB869" w14:textId="77777777" w:rsidR="00420B72" w:rsidRPr="00624565" w:rsidRDefault="00420B72" w:rsidP="00420B72">
            <w:pPr>
              <w:jc w:val="center"/>
              <w:rPr>
                <w:noProof/>
                <w:color w:val="0000FF"/>
              </w:rPr>
            </w:pPr>
            <w:r w:rsidRPr="00624565">
              <w:rPr>
                <w:noProof/>
                <w:color w:val="000000"/>
              </w:rPr>
              <w:t>3</w:t>
            </w:r>
          </w:p>
        </w:tc>
        <w:tc>
          <w:tcPr>
            <w:tcW w:w="3960" w:type="dxa"/>
            <w:vAlign w:val="center"/>
          </w:tcPr>
          <w:p w14:paraId="4A523B8E" w14:textId="77777777" w:rsidR="00420B72" w:rsidRPr="00624565" w:rsidRDefault="00420B72" w:rsidP="00420B72">
            <w:pPr>
              <w:spacing w:before="60"/>
              <w:rPr>
                <w:noProof/>
                <w:sz w:val="22"/>
              </w:rPr>
            </w:pPr>
            <w:r w:rsidRPr="00624565">
              <w:rPr>
                <w:noProof/>
                <w:color w:val="000000"/>
              </w:rPr>
              <w:t>09 10 02 – Europejska Agencja Środowiska</w:t>
            </w:r>
          </w:p>
        </w:tc>
        <w:tc>
          <w:tcPr>
            <w:tcW w:w="1080" w:type="dxa"/>
            <w:vAlign w:val="center"/>
          </w:tcPr>
          <w:p w14:paraId="4FC3A542" w14:textId="77777777" w:rsidR="00420B72" w:rsidRPr="00624565" w:rsidRDefault="00420B72" w:rsidP="00420B72">
            <w:pPr>
              <w:jc w:val="center"/>
              <w:rPr>
                <w:noProof/>
                <w:sz w:val="22"/>
              </w:rPr>
            </w:pPr>
            <w:r w:rsidRPr="00624565">
              <w:rPr>
                <w:noProof/>
                <w:color w:val="000000"/>
              </w:rPr>
              <w:t>Zróżn.</w:t>
            </w:r>
          </w:p>
        </w:tc>
        <w:tc>
          <w:tcPr>
            <w:tcW w:w="956" w:type="dxa"/>
            <w:vAlign w:val="center"/>
          </w:tcPr>
          <w:p w14:paraId="1FA7AA52" w14:textId="77777777" w:rsidR="00420B72" w:rsidRPr="00624565" w:rsidRDefault="00420B72" w:rsidP="00420B72">
            <w:pPr>
              <w:jc w:val="center"/>
              <w:rPr>
                <w:noProof/>
                <w:sz w:val="20"/>
                <w:szCs w:val="20"/>
              </w:rPr>
            </w:pPr>
            <w:r w:rsidRPr="00624565">
              <w:rPr>
                <w:noProof/>
                <w:color w:val="000000"/>
                <w:sz w:val="20"/>
              </w:rPr>
              <w:t>TAK</w:t>
            </w:r>
          </w:p>
        </w:tc>
        <w:tc>
          <w:tcPr>
            <w:tcW w:w="1080" w:type="dxa"/>
            <w:vAlign w:val="center"/>
          </w:tcPr>
          <w:p w14:paraId="7E3DE15B" w14:textId="77777777" w:rsidR="00420B72" w:rsidRPr="00624565" w:rsidRDefault="00420B72" w:rsidP="00420B72">
            <w:pPr>
              <w:jc w:val="center"/>
              <w:rPr>
                <w:noProof/>
                <w:sz w:val="20"/>
                <w:szCs w:val="20"/>
              </w:rPr>
            </w:pPr>
            <w:r w:rsidRPr="00624565">
              <w:rPr>
                <w:noProof/>
                <w:color w:val="000000"/>
                <w:sz w:val="20"/>
              </w:rPr>
              <w:t>TAK</w:t>
            </w:r>
          </w:p>
        </w:tc>
        <w:tc>
          <w:tcPr>
            <w:tcW w:w="956" w:type="dxa"/>
            <w:vAlign w:val="center"/>
          </w:tcPr>
          <w:p w14:paraId="26FB4A89" w14:textId="77777777" w:rsidR="00420B72" w:rsidRPr="00624565" w:rsidRDefault="00420B72" w:rsidP="00420B72">
            <w:pPr>
              <w:jc w:val="center"/>
              <w:rPr>
                <w:noProof/>
                <w:sz w:val="20"/>
                <w:szCs w:val="20"/>
              </w:rPr>
            </w:pPr>
            <w:r w:rsidRPr="00624565">
              <w:rPr>
                <w:noProof/>
                <w:color w:val="000000"/>
                <w:sz w:val="20"/>
              </w:rPr>
              <w:t>NIE</w:t>
            </w:r>
          </w:p>
        </w:tc>
        <w:tc>
          <w:tcPr>
            <w:tcW w:w="1448" w:type="dxa"/>
            <w:vAlign w:val="center"/>
          </w:tcPr>
          <w:p w14:paraId="11672198" w14:textId="77777777" w:rsidR="00420B72" w:rsidRPr="00624565" w:rsidRDefault="00420B72" w:rsidP="00420B72">
            <w:pPr>
              <w:jc w:val="center"/>
              <w:rPr>
                <w:noProof/>
                <w:sz w:val="20"/>
                <w:szCs w:val="20"/>
              </w:rPr>
            </w:pPr>
            <w:r w:rsidRPr="00624565">
              <w:rPr>
                <w:noProof/>
                <w:color w:val="000000"/>
                <w:sz w:val="20"/>
              </w:rPr>
              <w:t>NIE</w:t>
            </w:r>
          </w:p>
        </w:tc>
      </w:tr>
      <w:tr w:rsidR="00420B72" w:rsidRPr="00624565" w14:paraId="7D0A3450" w14:textId="77777777" w:rsidTr="009769E5">
        <w:tc>
          <w:tcPr>
            <w:tcW w:w="1080" w:type="dxa"/>
            <w:vAlign w:val="center"/>
          </w:tcPr>
          <w:p w14:paraId="29570400" w14:textId="77777777" w:rsidR="00420B72" w:rsidRPr="00624565" w:rsidRDefault="00420B72" w:rsidP="00420B72">
            <w:pPr>
              <w:jc w:val="center"/>
              <w:rPr>
                <w:noProof/>
                <w:color w:val="0000FF"/>
              </w:rPr>
            </w:pPr>
            <w:r w:rsidRPr="00624565">
              <w:rPr>
                <w:noProof/>
                <w:color w:val="000000"/>
              </w:rPr>
              <w:t>7</w:t>
            </w:r>
          </w:p>
        </w:tc>
        <w:tc>
          <w:tcPr>
            <w:tcW w:w="3960" w:type="dxa"/>
            <w:vAlign w:val="center"/>
          </w:tcPr>
          <w:p w14:paraId="0A413198" w14:textId="1D9F033F" w:rsidR="00420B72" w:rsidRPr="00624565" w:rsidRDefault="00420B72" w:rsidP="00420B72">
            <w:pPr>
              <w:spacing w:before="60"/>
              <w:rPr>
                <w:noProof/>
                <w:sz w:val="22"/>
              </w:rPr>
            </w:pPr>
            <w:r w:rsidRPr="00624565">
              <w:rPr>
                <w:noProof/>
                <w:color w:val="000000"/>
              </w:rPr>
              <w:t>20 01 02 01 – Wynagrodzenia</w:t>
            </w:r>
            <w:r w:rsidR="003F3D2B" w:rsidRPr="00624565">
              <w:rPr>
                <w:noProof/>
                <w:color w:val="000000"/>
              </w:rPr>
              <w:t xml:space="preserve"> i</w:t>
            </w:r>
            <w:r w:rsidR="003F3D2B">
              <w:rPr>
                <w:noProof/>
                <w:color w:val="000000"/>
              </w:rPr>
              <w:t> </w:t>
            </w:r>
            <w:r w:rsidR="003F3D2B" w:rsidRPr="00624565">
              <w:rPr>
                <w:noProof/>
                <w:color w:val="000000"/>
              </w:rPr>
              <w:t>rez</w:t>
            </w:r>
            <w:r w:rsidRPr="00624565">
              <w:rPr>
                <w:noProof/>
                <w:color w:val="000000"/>
              </w:rPr>
              <w:t>erwy</w:t>
            </w:r>
          </w:p>
        </w:tc>
        <w:tc>
          <w:tcPr>
            <w:tcW w:w="1080" w:type="dxa"/>
            <w:vAlign w:val="center"/>
          </w:tcPr>
          <w:p w14:paraId="0218538A" w14:textId="77777777" w:rsidR="00420B72" w:rsidRPr="00624565" w:rsidRDefault="00420B72" w:rsidP="00420B72">
            <w:pPr>
              <w:jc w:val="center"/>
              <w:rPr>
                <w:noProof/>
                <w:sz w:val="22"/>
              </w:rPr>
            </w:pPr>
            <w:r w:rsidRPr="00624565">
              <w:rPr>
                <w:noProof/>
                <w:color w:val="000000"/>
              </w:rPr>
              <w:t>Środki niezróżnicowane</w:t>
            </w:r>
          </w:p>
        </w:tc>
        <w:tc>
          <w:tcPr>
            <w:tcW w:w="956" w:type="dxa"/>
            <w:vAlign w:val="center"/>
          </w:tcPr>
          <w:p w14:paraId="7A4974E6" w14:textId="77777777" w:rsidR="00420B72" w:rsidRPr="00624565" w:rsidRDefault="00420B72" w:rsidP="00420B72">
            <w:pPr>
              <w:jc w:val="center"/>
              <w:rPr>
                <w:noProof/>
                <w:sz w:val="20"/>
                <w:szCs w:val="20"/>
              </w:rPr>
            </w:pPr>
            <w:r w:rsidRPr="00624565">
              <w:rPr>
                <w:noProof/>
                <w:color w:val="000000"/>
                <w:sz w:val="20"/>
              </w:rPr>
              <w:t>NIE</w:t>
            </w:r>
          </w:p>
        </w:tc>
        <w:tc>
          <w:tcPr>
            <w:tcW w:w="1080" w:type="dxa"/>
            <w:vAlign w:val="center"/>
          </w:tcPr>
          <w:p w14:paraId="6F169C5B" w14:textId="77777777" w:rsidR="00420B72" w:rsidRPr="00624565" w:rsidRDefault="00420B72" w:rsidP="00420B72">
            <w:pPr>
              <w:jc w:val="center"/>
              <w:rPr>
                <w:noProof/>
                <w:sz w:val="20"/>
                <w:szCs w:val="20"/>
              </w:rPr>
            </w:pPr>
            <w:r w:rsidRPr="00624565">
              <w:rPr>
                <w:noProof/>
                <w:color w:val="000000"/>
                <w:sz w:val="20"/>
              </w:rPr>
              <w:t>NIE</w:t>
            </w:r>
          </w:p>
        </w:tc>
        <w:tc>
          <w:tcPr>
            <w:tcW w:w="956" w:type="dxa"/>
            <w:vAlign w:val="center"/>
          </w:tcPr>
          <w:p w14:paraId="5179491E" w14:textId="77777777" w:rsidR="00420B72" w:rsidRPr="00624565" w:rsidRDefault="00420B72" w:rsidP="00420B72">
            <w:pPr>
              <w:jc w:val="center"/>
              <w:rPr>
                <w:noProof/>
                <w:sz w:val="20"/>
                <w:szCs w:val="20"/>
              </w:rPr>
            </w:pPr>
            <w:r w:rsidRPr="00624565">
              <w:rPr>
                <w:noProof/>
                <w:color w:val="000000"/>
                <w:sz w:val="20"/>
              </w:rPr>
              <w:t>NIE</w:t>
            </w:r>
          </w:p>
        </w:tc>
        <w:tc>
          <w:tcPr>
            <w:tcW w:w="1448" w:type="dxa"/>
            <w:vAlign w:val="center"/>
          </w:tcPr>
          <w:p w14:paraId="34F6D9B1" w14:textId="77777777" w:rsidR="00420B72" w:rsidRPr="00624565" w:rsidRDefault="00420B72" w:rsidP="00420B72">
            <w:pPr>
              <w:jc w:val="center"/>
              <w:rPr>
                <w:noProof/>
                <w:sz w:val="20"/>
                <w:szCs w:val="20"/>
              </w:rPr>
            </w:pPr>
            <w:r w:rsidRPr="00624565">
              <w:rPr>
                <w:noProof/>
                <w:color w:val="000000"/>
                <w:sz w:val="20"/>
              </w:rPr>
              <w:t>NIE</w:t>
            </w:r>
          </w:p>
        </w:tc>
      </w:tr>
      <w:tr w:rsidR="00420B72" w:rsidRPr="00624565" w14:paraId="72E77071" w14:textId="77777777" w:rsidTr="009769E5">
        <w:tc>
          <w:tcPr>
            <w:tcW w:w="1080" w:type="dxa"/>
            <w:vAlign w:val="center"/>
          </w:tcPr>
          <w:p w14:paraId="0B85D92D" w14:textId="77777777" w:rsidR="00420B72" w:rsidRPr="00624565" w:rsidRDefault="00420B72" w:rsidP="00420B72">
            <w:pPr>
              <w:jc w:val="center"/>
              <w:rPr>
                <w:noProof/>
                <w:color w:val="0000FF"/>
              </w:rPr>
            </w:pPr>
            <w:r w:rsidRPr="00624565">
              <w:rPr>
                <w:noProof/>
                <w:color w:val="000000"/>
              </w:rPr>
              <w:t>7</w:t>
            </w:r>
          </w:p>
        </w:tc>
        <w:tc>
          <w:tcPr>
            <w:tcW w:w="3960" w:type="dxa"/>
            <w:vAlign w:val="center"/>
          </w:tcPr>
          <w:p w14:paraId="28E94D6B" w14:textId="77777777" w:rsidR="00420B72" w:rsidRPr="00624565" w:rsidRDefault="00420B72" w:rsidP="00420B72">
            <w:pPr>
              <w:spacing w:before="60"/>
              <w:rPr>
                <w:noProof/>
                <w:sz w:val="22"/>
              </w:rPr>
            </w:pPr>
            <w:r w:rsidRPr="00624565">
              <w:rPr>
                <w:noProof/>
                <w:color w:val="000000"/>
              </w:rPr>
              <w:t xml:space="preserve">20 02 01 03 – Krajowi urzędnicy służby cywilnej czasowo oddelegowani do instytucji </w:t>
            </w:r>
          </w:p>
        </w:tc>
        <w:tc>
          <w:tcPr>
            <w:tcW w:w="1080" w:type="dxa"/>
            <w:vAlign w:val="center"/>
          </w:tcPr>
          <w:p w14:paraId="194BD2F2" w14:textId="77777777" w:rsidR="00420B72" w:rsidRPr="00624565" w:rsidRDefault="00420B72" w:rsidP="00420B72">
            <w:pPr>
              <w:jc w:val="center"/>
              <w:rPr>
                <w:noProof/>
                <w:sz w:val="22"/>
              </w:rPr>
            </w:pPr>
            <w:r w:rsidRPr="00624565">
              <w:rPr>
                <w:noProof/>
                <w:color w:val="000000"/>
              </w:rPr>
              <w:t>Środki niezróżnicowane</w:t>
            </w:r>
          </w:p>
        </w:tc>
        <w:tc>
          <w:tcPr>
            <w:tcW w:w="956" w:type="dxa"/>
            <w:vAlign w:val="center"/>
          </w:tcPr>
          <w:p w14:paraId="0CE855EC" w14:textId="77777777" w:rsidR="00420B72" w:rsidRPr="00624565" w:rsidRDefault="00420B72" w:rsidP="00420B72">
            <w:pPr>
              <w:jc w:val="center"/>
              <w:rPr>
                <w:noProof/>
                <w:sz w:val="20"/>
                <w:szCs w:val="20"/>
              </w:rPr>
            </w:pPr>
            <w:r w:rsidRPr="00624565">
              <w:rPr>
                <w:noProof/>
                <w:color w:val="000000"/>
                <w:sz w:val="20"/>
              </w:rPr>
              <w:t>NIE</w:t>
            </w:r>
          </w:p>
        </w:tc>
        <w:tc>
          <w:tcPr>
            <w:tcW w:w="1080" w:type="dxa"/>
            <w:vAlign w:val="center"/>
          </w:tcPr>
          <w:p w14:paraId="48350791" w14:textId="77777777" w:rsidR="00420B72" w:rsidRPr="00624565" w:rsidRDefault="00420B72" w:rsidP="00420B72">
            <w:pPr>
              <w:jc w:val="center"/>
              <w:rPr>
                <w:noProof/>
                <w:sz w:val="20"/>
                <w:szCs w:val="20"/>
              </w:rPr>
            </w:pPr>
            <w:r w:rsidRPr="00624565">
              <w:rPr>
                <w:noProof/>
                <w:color w:val="000000"/>
                <w:sz w:val="20"/>
              </w:rPr>
              <w:t>NIE</w:t>
            </w:r>
          </w:p>
        </w:tc>
        <w:tc>
          <w:tcPr>
            <w:tcW w:w="956" w:type="dxa"/>
            <w:vAlign w:val="center"/>
          </w:tcPr>
          <w:p w14:paraId="35700E6F" w14:textId="77777777" w:rsidR="00420B72" w:rsidRPr="00624565" w:rsidRDefault="00420B72" w:rsidP="00420B72">
            <w:pPr>
              <w:jc w:val="center"/>
              <w:rPr>
                <w:noProof/>
                <w:sz w:val="20"/>
                <w:szCs w:val="20"/>
              </w:rPr>
            </w:pPr>
            <w:r w:rsidRPr="00624565">
              <w:rPr>
                <w:noProof/>
                <w:color w:val="000000"/>
                <w:sz w:val="20"/>
              </w:rPr>
              <w:t>NIE</w:t>
            </w:r>
          </w:p>
        </w:tc>
        <w:tc>
          <w:tcPr>
            <w:tcW w:w="1448" w:type="dxa"/>
            <w:vAlign w:val="center"/>
          </w:tcPr>
          <w:p w14:paraId="26E67A1D" w14:textId="77777777" w:rsidR="00420B72" w:rsidRPr="00624565" w:rsidRDefault="00420B72" w:rsidP="00420B72">
            <w:pPr>
              <w:jc w:val="center"/>
              <w:rPr>
                <w:noProof/>
                <w:sz w:val="20"/>
                <w:szCs w:val="20"/>
              </w:rPr>
            </w:pPr>
            <w:r w:rsidRPr="00624565">
              <w:rPr>
                <w:noProof/>
                <w:color w:val="000000"/>
                <w:sz w:val="20"/>
              </w:rPr>
              <w:t>NIE</w:t>
            </w:r>
          </w:p>
        </w:tc>
      </w:tr>
      <w:tr w:rsidR="00420B72" w:rsidRPr="00624565" w14:paraId="5E2F3E93" w14:textId="77777777" w:rsidTr="009769E5">
        <w:tc>
          <w:tcPr>
            <w:tcW w:w="1080" w:type="dxa"/>
            <w:vAlign w:val="center"/>
          </w:tcPr>
          <w:p w14:paraId="33D18AF3" w14:textId="77777777" w:rsidR="00420B72" w:rsidRPr="00624565" w:rsidRDefault="00420B72" w:rsidP="00420B72">
            <w:pPr>
              <w:jc w:val="center"/>
              <w:rPr>
                <w:noProof/>
                <w:color w:val="0000FF"/>
              </w:rPr>
            </w:pPr>
            <w:r w:rsidRPr="00624565">
              <w:rPr>
                <w:noProof/>
                <w:color w:val="000000"/>
              </w:rPr>
              <w:t>7</w:t>
            </w:r>
          </w:p>
        </w:tc>
        <w:tc>
          <w:tcPr>
            <w:tcW w:w="3960" w:type="dxa"/>
            <w:vAlign w:val="center"/>
          </w:tcPr>
          <w:p w14:paraId="08CC5556" w14:textId="77777777" w:rsidR="00420B72" w:rsidRPr="00624565" w:rsidRDefault="00420B72" w:rsidP="00420B72">
            <w:pPr>
              <w:spacing w:before="60"/>
              <w:rPr>
                <w:noProof/>
                <w:sz w:val="22"/>
              </w:rPr>
            </w:pPr>
            <w:r w:rsidRPr="00624565">
              <w:rPr>
                <w:noProof/>
              </w:rPr>
              <w:t>20 02 06 02 – Spotkania, grupy ekspertów</w:t>
            </w:r>
          </w:p>
        </w:tc>
        <w:tc>
          <w:tcPr>
            <w:tcW w:w="1080" w:type="dxa"/>
            <w:vAlign w:val="center"/>
          </w:tcPr>
          <w:p w14:paraId="21F27B8B" w14:textId="77777777" w:rsidR="00420B72" w:rsidRPr="00624565" w:rsidRDefault="00420B72" w:rsidP="00420B72">
            <w:pPr>
              <w:jc w:val="center"/>
              <w:rPr>
                <w:noProof/>
                <w:sz w:val="22"/>
              </w:rPr>
            </w:pPr>
            <w:r w:rsidRPr="00624565">
              <w:rPr>
                <w:noProof/>
                <w:color w:val="000000"/>
              </w:rPr>
              <w:t>Środki niezróżnicowane</w:t>
            </w:r>
          </w:p>
        </w:tc>
        <w:tc>
          <w:tcPr>
            <w:tcW w:w="956" w:type="dxa"/>
            <w:vAlign w:val="center"/>
          </w:tcPr>
          <w:p w14:paraId="6E7A38EB" w14:textId="77777777" w:rsidR="00420B72" w:rsidRPr="00624565" w:rsidRDefault="00420B72" w:rsidP="00420B72">
            <w:pPr>
              <w:jc w:val="center"/>
              <w:rPr>
                <w:noProof/>
                <w:sz w:val="20"/>
                <w:szCs w:val="20"/>
              </w:rPr>
            </w:pPr>
            <w:r w:rsidRPr="00624565">
              <w:rPr>
                <w:noProof/>
                <w:color w:val="000000"/>
                <w:sz w:val="20"/>
              </w:rPr>
              <w:t>NIE</w:t>
            </w:r>
          </w:p>
        </w:tc>
        <w:tc>
          <w:tcPr>
            <w:tcW w:w="1080" w:type="dxa"/>
            <w:vAlign w:val="center"/>
          </w:tcPr>
          <w:p w14:paraId="61E67CC4" w14:textId="77777777" w:rsidR="00420B72" w:rsidRPr="00624565" w:rsidRDefault="00420B72" w:rsidP="00420B72">
            <w:pPr>
              <w:jc w:val="center"/>
              <w:rPr>
                <w:noProof/>
                <w:sz w:val="20"/>
                <w:szCs w:val="20"/>
              </w:rPr>
            </w:pPr>
            <w:r w:rsidRPr="00624565">
              <w:rPr>
                <w:noProof/>
                <w:color w:val="000000"/>
                <w:sz w:val="20"/>
              </w:rPr>
              <w:t>NIE</w:t>
            </w:r>
          </w:p>
        </w:tc>
        <w:tc>
          <w:tcPr>
            <w:tcW w:w="956" w:type="dxa"/>
            <w:vAlign w:val="center"/>
          </w:tcPr>
          <w:p w14:paraId="624D4C89" w14:textId="77777777" w:rsidR="00420B72" w:rsidRPr="00624565" w:rsidRDefault="00420B72" w:rsidP="00420B72">
            <w:pPr>
              <w:jc w:val="center"/>
              <w:rPr>
                <w:noProof/>
                <w:sz w:val="20"/>
                <w:szCs w:val="20"/>
              </w:rPr>
            </w:pPr>
            <w:r w:rsidRPr="00624565">
              <w:rPr>
                <w:noProof/>
                <w:color w:val="000000"/>
                <w:sz w:val="20"/>
              </w:rPr>
              <w:t>NIE</w:t>
            </w:r>
          </w:p>
        </w:tc>
        <w:tc>
          <w:tcPr>
            <w:tcW w:w="1448" w:type="dxa"/>
            <w:vAlign w:val="center"/>
          </w:tcPr>
          <w:p w14:paraId="4A7DFBBC" w14:textId="77777777" w:rsidR="00420B72" w:rsidRPr="00624565" w:rsidRDefault="00420B72" w:rsidP="00420B72">
            <w:pPr>
              <w:jc w:val="center"/>
              <w:rPr>
                <w:noProof/>
                <w:sz w:val="20"/>
                <w:szCs w:val="20"/>
              </w:rPr>
            </w:pPr>
            <w:r w:rsidRPr="00624565">
              <w:rPr>
                <w:noProof/>
                <w:color w:val="000000"/>
                <w:sz w:val="20"/>
              </w:rPr>
              <w:t>NIE</w:t>
            </w:r>
          </w:p>
        </w:tc>
      </w:tr>
    </w:tbl>
    <w:p w14:paraId="55808117" w14:textId="77777777" w:rsidR="009769E5" w:rsidRPr="00624565" w:rsidRDefault="009769E5" w:rsidP="009769E5">
      <w:pPr>
        <w:pStyle w:val="ListBullet1"/>
        <w:rPr>
          <w:noProof/>
        </w:rPr>
      </w:pPr>
      <w:r w:rsidRPr="00624565">
        <w:rPr>
          <w:noProof/>
        </w:rPr>
        <w:t xml:space="preserve">Proponowane nowe linie budżetowe </w:t>
      </w:r>
    </w:p>
    <w:p w14:paraId="3DE53A94" w14:textId="77777777" w:rsidR="009769E5" w:rsidRPr="00624565" w:rsidRDefault="00420B72" w:rsidP="00420B72">
      <w:pPr>
        <w:pStyle w:val="Text1"/>
        <w:pBdr>
          <w:top w:val="single" w:sz="4" w:space="1" w:color="auto"/>
          <w:left w:val="single" w:sz="4" w:space="4" w:color="auto"/>
          <w:bottom w:val="single" w:sz="4" w:space="1" w:color="auto"/>
          <w:right w:val="single" w:sz="4" w:space="4" w:color="auto"/>
        </w:pBdr>
        <w:rPr>
          <w:noProof/>
        </w:rPr>
        <w:sectPr w:rsidR="009769E5" w:rsidRPr="00624565" w:rsidSect="006A11C7">
          <w:pgSz w:w="11907" w:h="16840" w:code="1"/>
          <w:pgMar w:top="1134" w:right="1418" w:bottom="1134" w:left="1418" w:header="709" w:footer="709" w:gutter="0"/>
          <w:cols w:space="708"/>
          <w:docGrid w:linePitch="360"/>
        </w:sectPr>
      </w:pPr>
      <w:r w:rsidRPr="00624565">
        <w:rPr>
          <w:noProof/>
        </w:rPr>
        <w:t xml:space="preserve">Nie dotyczy </w:t>
      </w:r>
    </w:p>
    <w:p w14:paraId="1E0516D6" w14:textId="77777777" w:rsidR="009769E5" w:rsidRPr="00624565" w:rsidRDefault="009769E5" w:rsidP="009769E5">
      <w:pPr>
        <w:pStyle w:val="ManualHeading2"/>
        <w:rPr>
          <w:bCs/>
          <w:noProof/>
          <w:szCs w:val="24"/>
        </w:rPr>
      </w:pPr>
      <w:r w:rsidRPr="00624565">
        <w:rPr>
          <w:noProof/>
        </w:rPr>
        <w:t>3.2.</w:t>
      </w:r>
      <w:r w:rsidRPr="00624565">
        <w:rPr>
          <w:noProof/>
        </w:rPr>
        <w:tab/>
        <w:t xml:space="preserve">Szacunkowy wpływ finansowy wniosku na środki </w:t>
      </w:r>
    </w:p>
    <w:p w14:paraId="4449C5C4" w14:textId="77777777" w:rsidR="009769E5" w:rsidRPr="00624565" w:rsidRDefault="009769E5" w:rsidP="009769E5">
      <w:pPr>
        <w:pStyle w:val="ManualHeading3"/>
        <w:rPr>
          <w:noProof/>
        </w:rPr>
      </w:pPr>
      <w:r w:rsidRPr="00624565">
        <w:rPr>
          <w:noProof/>
        </w:rPr>
        <w:t>3.2.1.</w:t>
      </w:r>
      <w:r w:rsidRPr="00624565">
        <w:rPr>
          <w:noProof/>
        </w:rPr>
        <w:tab/>
        <w:t xml:space="preserve">Podsumowanie szacunkowego wpływu na środki operacyjne </w:t>
      </w:r>
    </w:p>
    <w:p w14:paraId="5D34C89E" w14:textId="6E8F47A8" w:rsidR="009769E5" w:rsidRPr="00624565" w:rsidRDefault="009769E5" w:rsidP="009769E5">
      <w:pPr>
        <w:pStyle w:val="ListDash1"/>
        <w:rPr>
          <w:noProof/>
        </w:rPr>
      </w:pPr>
      <w:r w:rsidRPr="00624565">
        <w:rPr>
          <w:rFonts w:ascii="Wingdings" w:hAnsi="Wingdings"/>
          <w:noProof/>
        </w:rPr>
        <w:t></w:t>
      </w:r>
      <w:r w:rsidRPr="00624565">
        <w:rPr>
          <w:noProof/>
        </w:rPr>
        <w:tab/>
        <w:t>Wniosek/inicjatywa nie wiąże się</w:t>
      </w:r>
      <w:r w:rsidR="003F3D2B" w:rsidRPr="00624565">
        <w:rPr>
          <w:noProof/>
        </w:rPr>
        <w:t xml:space="preserve"> z</w:t>
      </w:r>
      <w:r w:rsidR="003F3D2B">
        <w:rPr>
          <w:noProof/>
        </w:rPr>
        <w:t> </w:t>
      </w:r>
      <w:r w:rsidR="003F3D2B" w:rsidRPr="00624565">
        <w:rPr>
          <w:noProof/>
        </w:rPr>
        <w:t>kon</w:t>
      </w:r>
      <w:r w:rsidRPr="00624565">
        <w:rPr>
          <w:noProof/>
        </w:rPr>
        <w:t xml:space="preserve">iecznością wykorzystania środków operacyjnych </w:t>
      </w:r>
    </w:p>
    <w:p w14:paraId="4D013C20" w14:textId="5998C41B" w:rsidR="009769E5" w:rsidRPr="00624565" w:rsidRDefault="00DD0F6F" w:rsidP="009769E5">
      <w:pPr>
        <w:pStyle w:val="ListDash1"/>
        <w:rPr>
          <w:noProof/>
        </w:rPr>
      </w:pPr>
      <w:r w:rsidRPr="00624565">
        <w:rPr>
          <w:rFonts w:ascii="Wingdings" w:hAnsi="Wingdings"/>
          <w:b/>
          <w:noProof/>
        </w:rPr>
        <w:t></w:t>
      </w:r>
      <w:r w:rsidRPr="00624565">
        <w:rPr>
          <w:noProof/>
        </w:rPr>
        <w:tab/>
        <w:t>Wniosek/inicjatywa wiąże się</w:t>
      </w:r>
      <w:r w:rsidR="003F3D2B" w:rsidRPr="00624565">
        <w:rPr>
          <w:noProof/>
        </w:rPr>
        <w:t xml:space="preserve"> z</w:t>
      </w:r>
      <w:r w:rsidR="003F3D2B">
        <w:rPr>
          <w:noProof/>
        </w:rPr>
        <w:t> </w:t>
      </w:r>
      <w:r w:rsidR="003F3D2B" w:rsidRPr="00624565">
        <w:rPr>
          <w:noProof/>
        </w:rPr>
        <w:t>kon</w:t>
      </w:r>
      <w:r w:rsidRPr="00624565">
        <w:rPr>
          <w:noProof/>
        </w:rPr>
        <w:t>iecznością wykorzystania środków operacyjnych, jak określono poniżej:</w:t>
      </w:r>
    </w:p>
    <w:p w14:paraId="436C7297" w14:textId="77777777" w:rsidR="009769E5" w:rsidRPr="00624565" w:rsidRDefault="009769E5" w:rsidP="009769E5">
      <w:pPr>
        <w:jc w:val="right"/>
        <w:rPr>
          <w:noProof/>
          <w:sz w:val="18"/>
          <w:szCs w:val="18"/>
        </w:rPr>
      </w:pPr>
      <w:r w:rsidRPr="00624565">
        <w:rPr>
          <w:noProof/>
          <w:sz w:val="18"/>
        </w:rPr>
        <w:t>w mln EUR (do trzech miejsc po przecinku)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rsidR="00DD0F6F" w:rsidRPr="00624565" w14:paraId="43507063" w14:textId="77777777" w:rsidTr="009769E5">
        <w:trPr>
          <w:jc w:val="center"/>
        </w:trPr>
        <w:tc>
          <w:tcPr>
            <w:tcW w:w="4744" w:type="dxa"/>
            <w:shd w:val="thinDiagStripe" w:color="C0C0C0" w:fill="auto"/>
            <w:vAlign w:val="center"/>
          </w:tcPr>
          <w:p w14:paraId="3274D1F7" w14:textId="735CA88D" w:rsidR="00DD0F6F" w:rsidRPr="00624565" w:rsidRDefault="00DD0F6F" w:rsidP="00DD0F6F">
            <w:pPr>
              <w:spacing w:before="60" w:after="60"/>
              <w:jc w:val="center"/>
              <w:rPr>
                <w:b/>
                <w:noProof/>
              </w:rPr>
            </w:pPr>
            <w:r w:rsidRPr="00624565">
              <w:rPr>
                <w:b/>
                <w:noProof/>
                <w:sz w:val="22"/>
              </w:rPr>
              <w:t>Dział wieloletnich ra</w:t>
            </w:r>
            <w:r w:rsidRPr="003F3D2B">
              <w:rPr>
                <w:b/>
                <w:noProof/>
                <w:sz w:val="22"/>
              </w:rPr>
              <w:t>m</w:t>
            </w:r>
            <w:r w:rsidR="003F3D2B" w:rsidRPr="003F3D2B">
              <w:rPr>
                <w:b/>
                <w:noProof/>
                <w:sz w:val="22"/>
              </w:rPr>
              <w:t xml:space="preserve"> </w:t>
            </w:r>
            <w:r w:rsidRPr="003F3D2B">
              <w:rPr>
                <w:b/>
                <w:noProof/>
                <w:sz w:val="22"/>
              </w:rPr>
              <w:br/>
            </w:r>
            <w:r w:rsidRPr="00624565">
              <w:rPr>
                <w:b/>
                <w:noProof/>
                <w:sz w:val="22"/>
              </w:rPr>
              <w:t xml:space="preserve">finansowych </w:t>
            </w:r>
          </w:p>
        </w:tc>
        <w:tc>
          <w:tcPr>
            <w:tcW w:w="1080" w:type="dxa"/>
            <w:vAlign w:val="center"/>
          </w:tcPr>
          <w:p w14:paraId="46A7B2AB" w14:textId="77777777" w:rsidR="00DD0F6F" w:rsidRPr="00624565" w:rsidRDefault="00DD0F6F" w:rsidP="00DD0F6F">
            <w:pPr>
              <w:spacing w:before="60" w:after="60"/>
              <w:jc w:val="center"/>
              <w:rPr>
                <w:noProof/>
              </w:rPr>
            </w:pPr>
            <w:r w:rsidRPr="00624565">
              <w:rPr>
                <w:b/>
                <w:noProof/>
                <w:sz w:val="22"/>
              </w:rPr>
              <w:t>3</w:t>
            </w:r>
          </w:p>
        </w:tc>
        <w:tc>
          <w:tcPr>
            <w:tcW w:w="7817" w:type="dxa"/>
            <w:vAlign w:val="center"/>
          </w:tcPr>
          <w:p w14:paraId="2A7E1DF8" w14:textId="4649BECB" w:rsidR="00DD0F6F" w:rsidRPr="00624565" w:rsidRDefault="00DD0F6F" w:rsidP="00DD0F6F">
            <w:pPr>
              <w:spacing w:before="60" w:after="60"/>
              <w:rPr>
                <w:noProof/>
              </w:rPr>
            </w:pPr>
            <w:r w:rsidRPr="00624565">
              <w:rPr>
                <w:noProof/>
              </w:rPr>
              <w:t>Zasoby naturalne</w:t>
            </w:r>
            <w:r w:rsidR="003F3D2B" w:rsidRPr="00624565">
              <w:rPr>
                <w:noProof/>
              </w:rPr>
              <w:t xml:space="preserve"> i</w:t>
            </w:r>
            <w:r w:rsidR="003F3D2B">
              <w:rPr>
                <w:noProof/>
              </w:rPr>
              <w:t> </w:t>
            </w:r>
            <w:r w:rsidR="003F3D2B" w:rsidRPr="00624565">
              <w:rPr>
                <w:noProof/>
              </w:rPr>
              <w:t>śro</w:t>
            </w:r>
            <w:r w:rsidRPr="00624565">
              <w:rPr>
                <w:noProof/>
              </w:rPr>
              <w:t>dowisko</w:t>
            </w:r>
          </w:p>
        </w:tc>
      </w:tr>
    </w:tbl>
    <w:p w14:paraId="7FF44FC4" w14:textId="77777777" w:rsidR="009769E5" w:rsidRPr="00624565" w:rsidRDefault="009769E5" w:rsidP="009769E5">
      <w:pPr>
        <w:rPr>
          <w:noProof/>
          <w:sz w:val="16"/>
        </w:rPr>
      </w:pPr>
    </w:p>
    <w:tbl>
      <w:tblPr>
        <w:tblW w:w="113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13"/>
        <w:gridCol w:w="1440"/>
        <w:gridCol w:w="120"/>
        <w:gridCol w:w="534"/>
        <w:gridCol w:w="868"/>
        <w:gridCol w:w="868"/>
        <w:gridCol w:w="868"/>
        <w:gridCol w:w="914"/>
        <w:gridCol w:w="1998"/>
      </w:tblGrid>
      <w:tr w:rsidR="009168C9" w:rsidRPr="00624565" w14:paraId="1DF07E87" w14:textId="77777777" w:rsidTr="009168C9">
        <w:trPr>
          <w:trHeight w:val="300"/>
        </w:trPr>
        <w:tc>
          <w:tcPr>
            <w:tcW w:w="3713" w:type="dxa"/>
            <w:tcBorders>
              <w:top w:val="single" w:sz="4" w:space="0" w:color="auto"/>
              <w:left w:val="single" w:sz="4" w:space="0" w:color="auto"/>
              <w:bottom w:val="single" w:sz="4" w:space="0" w:color="auto"/>
              <w:right w:val="single" w:sz="4" w:space="0" w:color="auto"/>
            </w:tcBorders>
            <w:vAlign w:val="center"/>
            <w:hideMark/>
          </w:tcPr>
          <w:p w14:paraId="5AA50F2F" w14:textId="77777777" w:rsidR="009168C9" w:rsidRPr="00624565" w:rsidRDefault="009168C9" w:rsidP="006333CA">
            <w:pPr>
              <w:spacing w:line="276" w:lineRule="auto"/>
              <w:jc w:val="center"/>
              <w:rPr>
                <w:b/>
                <w:noProof/>
              </w:rPr>
            </w:pPr>
            <w:r w:rsidRPr="00624565">
              <w:rPr>
                <w:b/>
                <w:noProof/>
                <w:sz w:val="22"/>
              </w:rPr>
              <w:t>Dyrekcja Generalna: ENV</w:t>
            </w:r>
          </w:p>
        </w:tc>
        <w:tc>
          <w:tcPr>
            <w:tcW w:w="1560" w:type="dxa"/>
            <w:gridSpan w:val="2"/>
            <w:tcBorders>
              <w:top w:val="single" w:sz="4" w:space="0" w:color="auto"/>
              <w:left w:val="single" w:sz="4" w:space="0" w:color="auto"/>
              <w:bottom w:val="single" w:sz="4" w:space="0" w:color="auto"/>
              <w:right w:val="single" w:sz="4" w:space="0" w:color="auto"/>
            </w:tcBorders>
          </w:tcPr>
          <w:p w14:paraId="09445705" w14:textId="77777777" w:rsidR="009168C9" w:rsidRPr="00624565" w:rsidRDefault="009168C9" w:rsidP="006333CA">
            <w:pPr>
              <w:spacing w:line="276" w:lineRule="auto"/>
              <w:rPr>
                <w:noProof/>
                <w:sz w:val="20"/>
              </w:rPr>
            </w:pPr>
          </w:p>
        </w:tc>
        <w:tc>
          <w:tcPr>
            <w:tcW w:w="534" w:type="dxa"/>
            <w:tcBorders>
              <w:top w:val="single" w:sz="4" w:space="0" w:color="auto"/>
              <w:left w:val="single" w:sz="4" w:space="0" w:color="auto"/>
              <w:bottom w:val="single" w:sz="4" w:space="0" w:color="auto"/>
              <w:right w:val="single" w:sz="4" w:space="0" w:color="auto"/>
            </w:tcBorders>
          </w:tcPr>
          <w:p w14:paraId="1DCAFF3C" w14:textId="77777777" w:rsidR="009168C9" w:rsidRPr="00624565" w:rsidRDefault="009168C9" w:rsidP="006333CA">
            <w:pPr>
              <w:spacing w:line="276" w:lineRule="auto"/>
              <w:jc w:val="center"/>
              <w:rPr>
                <w:noProof/>
                <w:sz w:val="20"/>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0FAE5EEA" w14:textId="77777777" w:rsidR="009168C9" w:rsidRPr="00624565" w:rsidRDefault="009168C9" w:rsidP="006333CA">
            <w:pPr>
              <w:spacing w:line="276" w:lineRule="auto"/>
              <w:jc w:val="center"/>
              <w:rPr>
                <w:b/>
                <w:noProof/>
                <w:sz w:val="20"/>
              </w:rPr>
            </w:pPr>
            <w:r w:rsidRPr="00624565">
              <w:rPr>
                <w:b/>
                <w:noProof/>
                <w:sz w:val="20"/>
              </w:rPr>
              <w:t>2024</w:t>
            </w:r>
          </w:p>
        </w:tc>
        <w:tc>
          <w:tcPr>
            <w:tcW w:w="868" w:type="dxa"/>
            <w:tcBorders>
              <w:top w:val="single" w:sz="4" w:space="0" w:color="auto"/>
              <w:left w:val="single" w:sz="4" w:space="0" w:color="auto"/>
              <w:bottom w:val="single" w:sz="4" w:space="0" w:color="auto"/>
              <w:right w:val="single" w:sz="4" w:space="0" w:color="auto"/>
            </w:tcBorders>
            <w:vAlign w:val="center"/>
            <w:hideMark/>
          </w:tcPr>
          <w:p w14:paraId="2F7C00BD" w14:textId="77777777" w:rsidR="009168C9" w:rsidRPr="00624565" w:rsidRDefault="009168C9" w:rsidP="006333CA">
            <w:pPr>
              <w:spacing w:line="276" w:lineRule="auto"/>
              <w:jc w:val="center"/>
              <w:rPr>
                <w:b/>
                <w:noProof/>
                <w:sz w:val="20"/>
              </w:rPr>
            </w:pPr>
            <w:r w:rsidRPr="00624565">
              <w:rPr>
                <w:b/>
                <w:noProof/>
                <w:sz w:val="20"/>
              </w:rPr>
              <w:t>2025</w:t>
            </w:r>
          </w:p>
        </w:tc>
        <w:tc>
          <w:tcPr>
            <w:tcW w:w="868" w:type="dxa"/>
            <w:tcBorders>
              <w:top w:val="single" w:sz="4" w:space="0" w:color="auto"/>
              <w:left w:val="single" w:sz="4" w:space="0" w:color="auto"/>
              <w:bottom w:val="single" w:sz="4" w:space="0" w:color="auto"/>
              <w:right w:val="single" w:sz="4" w:space="0" w:color="auto"/>
            </w:tcBorders>
            <w:vAlign w:val="center"/>
            <w:hideMark/>
          </w:tcPr>
          <w:p w14:paraId="4335224F" w14:textId="77777777" w:rsidR="009168C9" w:rsidRPr="00624565" w:rsidRDefault="009168C9" w:rsidP="006333CA">
            <w:pPr>
              <w:spacing w:line="276" w:lineRule="auto"/>
              <w:jc w:val="center"/>
              <w:rPr>
                <w:b/>
                <w:noProof/>
                <w:sz w:val="20"/>
              </w:rPr>
            </w:pPr>
            <w:r w:rsidRPr="00624565">
              <w:rPr>
                <w:b/>
                <w:noProof/>
                <w:sz w:val="20"/>
              </w:rPr>
              <w:t>2026</w:t>
            </w:r>
          </w:p>
        </w:tc>
        <w:tc>
          <w:tcPr>
            <w:tcW w:w="914" w:type="dxa"/>
            <w:tcBorders>
              <w:top w:val="single" w:sz="4" w:space="0" w:color="auto"/>
              <w:left w:val="single" w:sz="4" w:space="0" w:color="auto"/>
              <w:bottom w:val="single" w:sz="4" w:space="0" w:color="auto"/>
              <w:right w:val="single" w:sz="4" w:space="0" w:color="auto"/>
            </w:tcBorders>
            <w:hideMark/>
          </w:tcPr>
          <w:p w14:paraId="68720DC2" w14:textId="77777777" w:rsidR="009168C9" w:rsidRPr="00624565" w:rsidRDefault="009168C9" w:rsidP="006333CA">
            <w:pPr>
              <w:spacing w:line="276" w:lineRule="auto"/>
              <w:jc w:val="center"/>
              <w:rPr>
                <w:noProof/>
                <w:sz w:val="18"/>
              </w:rPr>
            </w:pPr>
            <w:r w:rsidRPr="00624565">
              <w:rPr>
                <w:b/>
                <w:noProof/>
                <w:sz w:val="20"/>
              </w:rPr>
              <w:t>2027 (i kolejne lata)</w:t>
            </w:r>
          </w:p>
        </w:tc>
        <w:tc>
          <w:tcPr>
            <w:tcW w:w="1998" w:type="dxa"/>
            <w:tcBorders>
              <w:top w:val="single" w:sz="4" w:space="0" w:color="auto"/>
              <w:left w:val="single" w:sz="4" w:space="0" w:color="auto"/>
              <w:bottom w:val="single" w:sz="4" w:space="0" w:color="auto"/>
              <w:right w:val="single" w:sz="4" w:space="0" w:color="auto"/>
            </w:tcBorders>
            <w:vAlign w:val="center"/>
            <w:hideMark/>
          </w:tcPr>
          <w:p w14:paraId="7A86BC3E" w14:textId="77777777" w:rsidR="009168C9" w:rsidRPr="00624565" w:rsidRDefault="009168C9" w:rsidP="006333CA">
            <w:pPr>
              <w:spacing w:line="276" w:lineRule="auto"/>
              <w:jc w:val="center"/>
              <w:rPr>
                <w:b/>
                <w:noProof/>
                <w:sz w:val="20"/>
              </w:rPr>
            </w:pPr>
            <w:r w:rsidRPr="00624565">
              <w:rPr>
                <w:b/>
                <w:noProof/>
                <w:sz w:val="20"/>
              </w:rPr>
              <w:t>OGÓŁEM</w:t>
            </w:r>
          </w:p>
        </w:tc>
      </w:tr>
      <w:tr w:rsidR="009168C9" w:rsidRPr="00624565" w14:paraId="02B512B5" w14:textId="77777777" w:rsidTr="009168C9">
        <w:trPr>
          <w:trHeight w:val="213"/>
        </w:trPr>
        <w:tc>
          <w:tcPr>
            <w:tcW w:w="5807" w:type="dxa"/>
            <w:gridSpan w:val="4"/>
            <w:tcBorders>
              <w:top w:val="single" w:sz="4" w:space="0" w:color="auto"/>
              <w:left w:val="single" w:sz="4" w:space="0" w:color="auto"/>
              <w:bottom w:val="single" w:sz="4" w:space="0" w:color="auto"/>
              <w:right w:val="single" w:sz="4" w:space="0" w:color="auto"/>
            </w:tcBorders>
            <w:vAlign w:val="center"/>
            <w:hideMark/>
          </w:tcPr>
          <w:p w14:paraId="2E32B904" w14:textId="77777777" w:rsidR="009168C9" w:rsidRPr="00624565" w:rsidRDefault="009168C9" w:rsidP="006333CA">
            <w:pPr>
              <w:spacing w:before="20" w:after="20" w:line="276" w:lineRule="auto"/>
              <w:rPr>
                <w:noProof/>
                <w:sz w:val="21"/>
              </w:rPr>
            </w:pPr>
            <w:r w:rsidRPr="00624565">
              <w:rPr>
                <w:rFonts w:ascii="Wingdings" w:hAnsi="Wingdings"/>
                <w:noProof/>
                <w:sz w:val="21"/>
              </w:rPr>
              <w:t>□</w:t>
            </w:r>
            <w:r w:rsidRPr="00624565">
              <w:rPr>
                <w:noProof/>
              </w:rPr>
              <w:t xml:space="preserve"> </w:t>
            </w:r>
            <w:r w:rsidRPr="00624565">
              <w:rPr>
                <w:noProof/>
                <w:sz w:val="21"/>
              </w:rPr>
              <w:t xml:space="preserve">Środki operacyjne </w:t>
            </w:r>
          </w:p>
        </w:tc>
        <w:tc>
          <w:tcPr>
            <w:tcW w:w="868" w:type="dxa"/>
            <w:tcBorders>
              <w:top w:val="single" w:sz="4" w:space="0" w:color="auto"/>
              <w:left w:val="single" w:sz="4" w:space="0" w:color="auto"/>
              <w:bottom w:val="single" w:sz="4" w:space="0" w:color="auto"/>
              <w:right w:val="single" w:sz="4" w:space="0" w:color="auto"/>
            </w:tcBorders>
            <w:vAlign w:val="center"/>
          </w:tcPr>
          <w:p w14:paraId="6AF09C3A" w14:textId="77777777" w:rsidR="009168C9" w:rsidRPr="00624565" w:rsidRDefault="009168C9" w:rsidP="006333CA">
            <w:pPr>
              <w:spacing w:line="276" w:lineRule="auto"/>
              <w:rPr>
                <w:noProof/>
                <w:sz w:val="20"/>
              </w:rPr>
            </w:pPr>
          </w:p>
        </w:tc>
        <w:tc>
          <w:tcPr>
            <w:tcW w:w="868" w:type="dxa"/>
            <w:tcBorders>
              <w:top w:val="single" w:sz="4" w:space="0" w:color="auto"/>
              <w:left w:val="single" w:sz="4" w:space="0" w:color="auto"/>
              <w:bottom w:val="single" w:sz="4" w:space="0" w:color="auto"/>
              <w:right w:val="single" w:sz="4" w:space="0" w:color="auto"/>
            </w:tcBorders>
            <w:vAlign w:val="center"/>
          </w:tcPr>
          <w:p w14:paraId="2BA64BBE" w14:textId="77777777" w:rsidR="009168C9" w:rsidRPr="00624565" w:rsidRDefault="009168C9" w:rsidP="006333CA">
            <w:pPr>
              <w:spacing w:line="276" w:lineRule="auto"/>
              <w:rPr>
                <w:noProof/>
                <w:sz w:val="20"/>
              </w:rPr>
            </w:pPr>
          </w:p>
        </w:tc>
        <w:tc>
          <w:tcPr>
            <w:tcW w:w="868" w:type="dxa"/>
            <w:tcBorders>
              <w:top w:val="single" w:sz="4" w:space="0" w:color="auto"/>
              <w:left w:val="single" w:sz="4" w:space="0" w:color="auto"/>
              <w:bottom w:val="single" w:sz="4" w:space="0" w:color="auto"/>
              <w:right w:val="single" w:sz="4" w:space="0" w:color="auto"/>
            </w:tcBorders>
            <w:vAlign w:val="center"/>
          </w:tcPr>
          <w:p w14:paraId="25B47671" w14:textId="77777777" w:rsidR="009168C9" w:rsidRPr="00624565" w:rsidRDefault="009168C9" w:rsidP="006333CA">
            <w:pPr>
              <w:spacing w:line="276" w:lineRule="auto"/>
              <w:rPr>
                <w:noProof/>
                <w:sz w:val="20"/>
              </w:rPr>
            </w:pPr>
          </w:p>
        </w:tc>
        <w:tc>
          <w:tcPr>
            <w:tcW w:w="914" w:type="dxa"/>
            <w:tcBorders>
              <w:top w:val="single" w:sz="4" w:space="0" w:color="auto"/>
              <w:left w:val="single" w:sz="4" w:space="0" w:color="auto"/>
              <w:bottom w:val="single" w:sz="4" w:space="0" w:color="auto"/>
              <w:right w:val="single" w:sz="4" w:space="0" w:color="auto"/>
            </w:tcBorders>
          </w:tcPr>
          <w:p w14:paraId="17308C4B" w14:textId="77777777" w:rsidR="009168C9" w:rsidRPr="00624565" w:rsidRDefault="009168C9" w:rsidP="006333CA">
            <w:pPr>
              <w:spacing w:line="276" w:lineRule="auto"/>
              <w:rPr>
                <w:noProof/>
                <w:sz w:val="20"/>
              </w:rPr>
            </w:pPr>
          </w:p>
        </w:tc>
        <w:tc>
          <w:tcPr>
            <w:tcW w:w="1998" w:type="dxa"/>
            <w:tcBorders>
              <w:top w:val="single" w:sz="4" w:space="0" w:color="auto"/>
              <w:left w:val="single" w:sz="4" w:space="0" w:color="auto"/>
              <w:bottom w:val="single" w:sz="4" w:space="0" w:color="auto"/>
              <w:right w:val="single" w:sz="4" w:space="0" w:color="auto"/>
            </w:tcBorders>
            <w:vAlign w:val="center"/>
          </w:tcPr>
          <w:p w14:paraId="3C82D869" w14:textId="77777777" w:rsidR="009168C9" w:rsidRPr="00624565" w:rsidRDefault="009168C9" w:rsidP="006333CA">
            <w:pPr>
              <w:spacing w:line="276" w:lineRule="auto"/>
              <w:rPr>
                <w:b/>
                <w:noProof/>
                <w:sz w:val="20"/>
              </w:rPr>
            </w:pPr>
          </w:p>
        </w:tc>
      </w:tr>
      <w:tr w:rsidR="009168C9" w:rsidRPr="00624565" w14:paraId="28F7F8FC" w14:textId="77777777" w:rsidTr="009168C9">
        <w:trPr>
          <w:trHeight w:val="300"/>
        </w:trPr>
        <w:tc>
          <w:tcPr>
            <w:tcW w:w="3713" w:type="dxa"/>
            <w:vMerge w:val="restart"/>
            <w:tcBorders>
              <w:top w:val="single" w:sz="4" w:space="0" w:color="auto"/>
              <w:left w:val="single" w:sz="4" w:space="0" w:color="auto"/>
              <w:bottom w:val="single" w:sz="4" w:space="0" w:color="auto"/>
              <w:right w:val="single" w:sz="4" w:space="0" w:color="auto"/>
            </w:tcBorders>
            <w:vAlign w:val="center"/>
            <w:hideMark/>
          </w:tcPr>
          <w:p w14:paraId="779B6611" w14:textId="18ECE372" w:rsidR="009168C9" w:rsidRPr="00624565" w:rsidRDefault="009168C9" w:rsidP="006333CA">
            <w:pPr>
              <w:spacing w:line="276" w:lineRule="auto"/>
              <w:rPr>
                <w:noProof/>
                <w:sz w:val="20"/>
              </w:rPr>
            </w:pPr>
            <w:r w:rsidRPr="00624565">
              <w:rPr>
                <w:noProof/>
                <w:sz w:val="20"/>
              </w:rPr>
              <w:t>09 02 02 – Gospodarka</w:t>
            </w:r>
            <w:r w:rsidR="003F3D2B" w:rsidRPr="00624565">
              <w:rPr>
                <w:noProof/>
                <w:sz w:val="20"/>
              </w:rPr>
              <w:t xml:space="preserve"> o</w:t>
            </w:r>
            <w:r w:rsidR="003F3D2B">
              <w:rPr>
                <w:noProof/>
                <w:sz w:val="20"/>
              </w:rPr>
              <w:t> </w:t>
            </w:r>
            <w:r w:rsidR="003F3D2B" w:rsidRPr="00624565">
              <w:rPr>
                <w:noProof/>
                <w:sz w:val="20"/>
              </w:rPr>
              <w:t>obi</w:t>
            </w:r>
            <w:r w:rsidRPr="00624565">
              <w:rPr>
                <w:noProof/>
                <w:sz w:val="20"/>
              </w:rPr>
              <w:t>egu zamkniętym</w:t>
            </w:r>
            <w:r w:rsidR="003F3D2B" w:rsidRPr="00624565">
              <w:rPr>
                <w:noProof/>
                <w:sz w:val="20"/>
              </w:rPr>
              <w:t xml:space="preserve"> i</w:t>
            </w:r>
            <w:r w:rsidR="003F3D2B">
              <w:rPr>
                <w:noProof/>
                <w:sz w:val="20"/>
              </w:rPr>
              <w:t> </w:t>
            </w:r>
            <w:r w:rsidR="003F3D2B" w:rsidRPr="00624565">
              <w:rPr>
                <w:noProof/>
                <w:sz w:val="20"/>
              </w:rPr>
              <w:t>jak</w:t>
            </w:r>
            <w:r w:rsidRPr="00624565">
              <w:rPr>
                <w:noProof/>
                <w:sz w:val="20"/>
              </w:rPr>
              <w:t>ość życia</w:t>
            </w:r>
          </w:p>
        </w:tc>
        <w:tc>
          <w:tcPr>
            <w:tcW w:w="1440" w:type="dxa"/>
            <w:tcBorders>
              <w:top w:val="single" w:sz="4" w:space="0" w:color="auto"/>
              <w:left w:val="single" w:sz="4" w:space="0" w:color="auto"/>
              <w:bottom w:val="single" w:sz="4" w:space="0" w:color="auto"/>
              <w:right w:val="single" w:sz="4" w:space="0" w:color="auto"/>
            </w:tcBorders>
            <w:vAlign w:val="center"/>
            <w:hideMark/>
          </w:tcPr>
          <w:p w14:paraId="1FA7A2DA" w14:textId="77777777" w:rsidR="009168C9" w:rsidRPr="00624565" w:rsidRDefault="009168C9" w:rsidP="006333CA">
            <w:pPr>
              <w:spacing w:before="20" w:after="20" w:line="276" w:lineRule="auto"/>
              <w:rPr>
                <w:noProof/>
                <w:sz w:val="18"/>
              </w:rPr>
            </w:pPr>
            <w:r w:rsidRPr="00624565">
              <w:rPr>
                <w:noProof/>
                <w:sz w:val="18"/>
              </w:rPr>
              <w:t>Środki na zobowiązania</w:t>
            </w:r>
          </w:p>
        </w:tc>
        <w:tc>
          <w:tcPr>
            <w:tcW w:w="654" w:type="dxa"/>
            <w:gridSpan w:val="2"/>
            <w:tcBorders>
              <w:top w:val="single" w:sz="4" w:space="0" w:color="auto"/>
              <w:left w:val="single" w:sz="4" w:space="0" w:color="auto"/>
              <w:bottom w:val="single" w:sz="4" w:space="0" w:color="auto"/>
              <w:right w:val="single" w:sz="4" w:space="0" w:color="auto"/>
            </w:tcBorders>
            <w:vAlign w:val="center"/>
            <w:hideMark/>
          </w:tcPr>
          <w:p w14:paraId="7D1F355F" w14:textId="77777777" w:rsidR="009168C9" w:rsidRPr="00624565" w:rsidRDefault="009168C9" w:rsidP="006333CA">
            <w:pPr>
              <w:spacing w:before="20" w:after="20" w:line="276" w:lineRule="auto"/>
              <w:jc w:val="center"/>
              <w:rPr>
                <w:noProof/>
                <w:sz w:val="14"/>
              </w:rPr>
            </w:pPr>
            <w:r w:rsidRPr="00624565">
              <w:rPr>
                <w:noProof/>
                <w:sz w:val="14"/>
              </w:rPr>
              <w:t>(1)</w:t>
            </w:r>
          </w:p>
        </w:tc>
        <w:tc>
          <w:tcPr>
            <w:tcW w:w="868" w:type="dxa"/>
            <w:tcBorders>
              <w:top w:val="single" w:sz="4" w:space="0" w:color="auto"/>
              <w:left w:val="single" w:sz="4" w:space="0" w:color="auto"/>
              <w:bottom w:val="single" w:sz="4" w:space="0" w:color="auto"/>
              <w:right w:val="single" w:sz="4" w:space="0" w:color="auto"/>
            </w:tcBorders>
            <w:vAlign w:val="bottom"/>
            <w:hideMark/>
          </w:tcPr>
          <w:p w14:paraId="314F75D9" w14:textId="77777777" w:rsidR="009168C9" w:rsidRPr="00624565" w:rsidRDefault="009168C9" w:rsidP="006333CA">
            <w:pPr>
              <w:spacing w:before="20" w:after="20" w:line="276" w:lineRule="auto"/>
              <w:jc w:val="right"/>
              <w:rPr>
                <w:noProof/>
                <w:sz w:val="20"/>
                <w:szCs w:val="20"/>
              </w:rPr>
            </w:pPr>
            <w:r w:rsidRPr="00624565">
              <w:rPr>
                <w:rFonts w:ascii="Calibri" w:hAnsi="Calibri"/>
                <w:noProof/>
                <w:color w:val="000000" w:themeColor="text1"/>
                <w:sz w:val="22"/>
              </w:rPr>
              <w:t>2,540</w:t>
            </w:r>
          </w:p>
        </w:tc>
        <w:tc>
          <w:tcPr>
            <w:tcW w:w="868" w:type="dxa"/>
            <w:tcBorders>
              <w:top w:val="single" w:sz="4" w:space="0" w:color="auto"/>
              <w:left w:val="single" w:sz="4" w:space="0" w:color="auto"/>
              <w:bottom w:val="single" w:sz="4" w:space="0" w:color="auto"/>
              <w:right w:val="single" w:sz="4" w:space="0" w:color="auto"/>
            </w:tcBorders>
            <w:vAlign w:val="bottom"/>
            <w:hideMark/>
          </w:tcPr>
          <w:p w14:paraId="5068D4E1" w14:textId="77777777" w:rsidR="009168C9" w:rsidRPr="00624565" w:rsidRDefault="009168C9" w:rsidP="006333CA">
            <w:pPr>
              <w:spacing w:before="20" w:after="20" w:line="276" w:lineRule="auto"/>
              <w:jc w:val="right"/>
              <w:rPr>
                <w:noProof/>
                <w:sz w:val="20"/>
                <w:szCs w:val="20"/>
              </w:rPr>
            </w:pPr>
            <w:r w:rsidRPr="00624565">
              <w:rPr>
                <w:rFonts w:ascii="Calibri" w:hAnsi="Calibri"/>
                <w:noProof/>
                <w:color w:val="000000" w:themeColor="text1"/>
                <w:sz w:val="22"/>
              </w:rPr>
              <w:t>6,964</w:t>
            </w:r>
          </w:p>
        </w:tc>
        <w:tc>
          <w:tcPr>
            <w:tcW w:w="868" w:type="dxa"/>
            <w:tcBorders>
              <w:top w:val="single" w:sz="4" w:space="0" w:color="auto"/>
              <w:left w:val="single" w:sz="4" w:space="0" w:color="auto"/>
              <w:bottom w:val="single" w:sz="4" w:space="0" w:color="auto"/>
              <w:right w:val="single" w:sz="4" w:space="0" w:color="auto"/>
            </w:tcBorders>
            <w:vAlign w:val="bottom"/>
            <w:hideMark/>
          </w:tcPr>
          <w:p w14:paraId="60BBADC7" w14:textId="77777777" w:rsidR="009168C9" w:rsidRPr="00624565" w:rsidRDefault="009168C9" w:rsidP="006333CA">
            <w:pPr>
              <w:spacing w:before="20" w:after="20" w:line="276" w:lineRule="auto"/>
              <w:jc w:val="right"/>
              <w:rPr>
                <w:noProof/>
                <w:sz w:val="20"/>
                <w:szCs w:val="20"/>
              </w:rPr>
            </w:pPr>
            <w:r w:rsidRPr="00624565">
              <w:rPr>
                <w:rFonts w:ascii="Calibri" w:hAnsi="Calibri"/>
                <w:noProof/>
                <w:color w:val="000000" w:themeColor="text1"/>
                <w:sz w:val="22"/>
              </w:rPr>
              <w:t>5,264</w:t>
            </w:r>
          </w:p>
        </w:tc>
        <w:tc>
          <w:tcPr>
            <w:tcW w:w="914" w:type="dxa"/>
            <w:tcBorders>
              <w:top w:val="single" w:sz="4" w:space="0" w:color="auto"/>
              <w:left w:val="single" w:sz="4" w:space="0" w:color="auto"/>
              <w:bottom w:val="single" w:sz="4" w:space="0" w:color="auto"/>
              <w:right w:val="single" w:sz="4" w:space="0" w:color="auto"/>
            </w:tcBorders>
            <w:vAlign w:val="bottom"/>
            <w:hideMark/>
          </w:tcPr>
          <w:p w14:paraId="1B0696AB" w14:textId="77777777" w:rsidR="009168C9" w:rsidRPr="00624565" w:rsidRDefault="009168C9" w:rsidP="006333CA">
            <w:pPr>
              <w:spacing w:before="20" w:after="20" w:line="276" w:lineRule="auto"/>
              <w:jc w:val="right"/>
              <w:rPr>
                <w:noProof/>
                <w:sz w:val="20"/>
                <w:szCs w:val="20"/>
              </w:rPr>
            </w:pPr>
            <w:r w:rsidRPr="00624565">
              <w:rPr>
                <w:rFonts w:ascii="Calibri" w:hAnsi="Calibri"/>
                <w:noProof/>
                <w:color w:val="000000" w:themeColor="text1"/>
                <w:sz w:val="22"/>
              </w:rPr>
              <w:t>5,214</w:t>
            </w:r>
          </w:p>
        </w:tc>
        <w:tc>
          <w:tcPr>
            <w:tcW w:w="1998" w:type="dxa"/>
            <w:tcBorders>
              <w:top w:val="single" w:sz="4" w:space="0" w:color="auto"/>
              <w:left w:val="single" w:sz="4" w:space="0" w:color="auto"/>
              <w:bottom w:val="single" w:sz="4" w:space="0" w:color="auto"/>
              <w:right w:val="single" w:sz="4" w:space="0" w:color="auto"/>
            </w:tcBorders>
            <w:vAlign w:val="bottom"/>
            <w:hideMark/>
          </w:tcPr>
          <w:p w14:paraId="66CEDCC2" w14:textId="77777777" w:rsidR="009168C9" w:rsidRPr="00624565" w:rsidRDefault="009168C9" w:rsidP="006333CA">
            <w:pPr>
              <w:spacing w:before="20" w:after="20" w:line="276" w:lineRule="auto"/>
              <w:jc w:val="right"/>
              <w:rPr>
                <w:b/>
                <w:noProof/>
                <w:sz w:val="20"/>
                <w:szCs w:val="20"/>
              </w:rPr>
            </w:pPr>
            <w:r w:rsidRPr="00624565">
              <w:rPr>
                <w:rFonts w:ascii="Calibri" w:hAnsi="Calibri"/>
                <w:b/>
                <w:noProof/>
                <w:color w:val="000000" w:themeColor="text1"/>
                <w:sz w:val="22"/>
              </w:rPr>
              <w:t>19,982</w:t>
            </w:r>
          </w:p>
        </w:tc>
      </w:tr>
      <w:tr w:rsidR="009168C9" w:rsidRPr="00624565" w14:paraId="01C722E1" w14:textId="77777777" w:rsidTr="009168C9">
        <w:trPr>
          <w:trHeight w:val="300"/>
        </w:trPr>
        <w:tc>
          <w:tcPr>
            <w:tcW w:w="3713" w:type="dxa"/>
            <w:vMerge/>
            <w:vAlign w:val="center"/>
            <w:hideMark/>
          </w:tcPr>
          <w:p w14:paraId="4C17B4B6" w14:textId="77777777" w:rsidR="009168C9" w:rsidRPr="00624565" w:rsidRDefault="009168C9" w:rsidP="006333CA">
            <w:pPr>
              <w:spacing w:before="0" w:after="0" w:line="276" w:lineRule="auto"/>
              <w:jc w:val="left"/>
              <w:rPr>
                <w:noProof/>
                <w:sz w:val="20"/>
              </w:rPr>
            </w:pPr>
          </w:p>
        </w:tc>
        <w:tc>
          <w:tcPr>
            <w:tcW w:w="1440" w:type="dxa"/>
            <w:tcBorders>
              <w:top w:val="single" w:sz="4" w:space="0" w:color="auto"/>
              <w:left w:val="single" w:sz="4" w:space="0" w:color="auto"/>
              <w:bottom w:val="single" w:sz="4" w:space="0" w:color="auto"/>
              <w:right w:val="single" w:sz="4" w:space="0" w:color="auto"/>
            </w:tcBorders>
            <w:vAlign w:val="center"/>
            <w:hideMark/>
          </w:tcPr>
          <w:p w14:paraId="447C89CD" w14:textId="77777777" w:rsidR="009168C9" w:rsidRPr="00624565" w:rsidRDefault="009168C9" w:rsidP="006333CA">
            <w:pPr>
              <w:spacing w:before="20" w:after="20" w:line="276" w:lineRule="auto"/>
              <w:rPr>
                <w:noProof/>
                <w:sz w:val="18"/>
              </w:rPr>
            </w:pPr>
            <w:r w:rsidRPr="00624565">
              <w:rPr>
                <w:noProof/>
                <w:sz w:val="18"/>
              </w:rPr>
              <w:t>Środki na płatności</w:t>
            </w:r>
          </w:p>
        </w:tc>
        <w:tc>
          <w:tcPr>
            <w:tcW w:w="654" w:type="dxa"/>
            <w:gridSpan w:val="2"/>
            <w:tcBorders>
              <w:top w:val="single" w:sz="4" w:space="0" w:color="auto"/>
              <w:left w:val="single" w:sz="4" w:space="0" w:color="auto"/>
              <w:bottom w:val="single" w:sz="4" w:space="0" w:color="auto"/>
              <w:right w:val="single" w:sz="4" w:space="0" w:color="auto"/>
            </w:tcBorders>
            <w:vAlign w:val="center"/>
            <w:hideMark/>
          </w:tcPr>
          <w:p w14:paraId="78BF5596" w14:textId="77777777" w:rsidR="009168C9" w:rsidRPr="00624565" w:rsidRDefault="009168C9" w:rsidP="006333CA">
            <w:pPr>
              <w:spacing w:before="20" w:after="20" w:line="276" w:lineRule="auto"/>
              <w:jc w:val="center"/>
              <w:rPr>
                <w:noProof/>
                <w:sz w:val="14"/>
              </w:rPr>
            </w:pPr>
            <w:r w:rsidRPr="00624565">
              <w:rPr>
                <w:noProof/>
                <w:sz w:val="14"/>
              </w:rPr>
              <w:t>(2)</w:t>
            </w:r>
          </w:p>
        </w:tc>
        <w:tc>
          <w:tcPr>
            <w:tcW w:w="868" w:type="dxa"/>
            <w:tcBorders>
              <w:top w:val="single" w:sz="4" w:space="0" w:color="auto"/>
              <w:left w:val="single" w:sz="4" w:space="0" w:color="auto"/>
              <w:bottom w:val="single" w:sz="4" w:space="0" w:color="auto"/>
              <w:right w:val="single" w:sz="4" w:space="0" w:color="auto"/>
            </w:tcBorders>
            <w:vAlign w:val="bottom"/>
            <w:hideMark/>
          </w:tcPr>
          <w:p w14:paraId="5F434CB5" w14:textId="77777777" w:rsidR="009168C9" w:rsidRPr="00624565" w:rsidRDefault="009168C9" w:rsidP="006333CA">
            <w:pPr>
              <w:spacing w:before="20" w:after="20" w:line="276" w:lineRule="auto"/>
              <w:jc w:val="right"/>
              <w:rPr>
                <w:noProof/>
                <w:sz w:val="20"/>
                <w:szCs w:val="20"/>
              </w:rPr>
            </w:pPr>
            <w:r w:rsidRPr="00624565">
              <w:rPr>
                <w:rFonts w:ascii="Calibri" w:hAnsi="Calibri"/>
                <w:noProof/>
                <w:color w:val="000000" w:themeColor="text1"/>
                <w:sz w:val="22"/>
              </w:rPr>
              <w:t>2,540</w:t>
            </w:r>
          </w:p>
        </w:tc>
        <w:tc>
          <w:tcPr>
            <w:tcW w:w="868" w:type="dxa"/>
            <w:tcBorders>
              <w:top w:val="single" w:sz="4" w:space="0" w:color="auto"/>
              <w:left w:val="single" w:sz="4" w:space="0" w:color="auto"/>
              <w:bottom w:val="single" w:sz="4" w:space="0" w:color="auto"/>
              <w:right w:val="single" w:sz="4" w:space="0" w:color="auto"/>
            </w:tcBorders>
            <w:vAlign w:val="bottom"/>
            <w:hideMark/>
          </w:tcPr>
          <w:p w14:paraId="33E2A747" w14:textId="77777777" w:rsidR="009168C9" w:rsidRPr="00624565" w:rsidRDefault="009168C9" w:rsidP="006333CA">
            <w:pPr>
              <w:spacing w:before="20" w:after="20" w:line="276" w:lineRule="auto"/>
              <w:jc w:val="right"/>
              <w:rPr>
                <w:noProof/>
                <w:sz w:val="20"/>
                <w:szCs w:val="20"/>
              </w:rPr>
            </w:pPr>
            <w:r w:rsidRPr="00624565">
              <w:rPr>
                <w:rFonts w:ascii="Calibri" w:hAnsi="Calibri"/>
                <w:noProof/>
                <w:color w:val="000000" w:themeColor="text1"/>
                <w:sz w:val="22"/>
              </w:rPr>
              <w:t>6,964</w:t>
            </w:r>
          </w:p>
        </w:tc>
        <w:tc>
          <w:tcPr>
            <w:tcW w:w="868" w:type="dxa"/>
            <w:tcBorders>
              <w:top w:val="single" w:sz="4" w:space="0" w:color="auto"/>
              <w:left w:val="single" w:sz="4" w:space="0" w:color="auto"/>
              <w:bottom w:val="single" w:sz="4" w:space="0" w:color="auto"/>
              <w:right w:val="single" w:sz="4" w:space="0" w:color="auto"/>
            </w:tcBorders>
            <w:vAlign w:val="bottom"/>
            <w:hideMark/>
          </w:tcPr>
          <w:p w14:paraId="19381B5F" w14:textId="77777777" w:rsidR="009168C9" w:rsidRPr="00624565" w:rsidRDefault="009168C9" w:rsidP="006333CA">
            <w:pPr>
              <w:spacing w:before="20" w:after="20" w:line="276" w:lineRule="auto"/>
              <w:jc w:val="right"/>
              <w:rPr>
                <w:noProof/>
                <w:sz w:val="20"/>
                <w:szCs w:val="20"/>
              </w:rPr>
            </w:pPr>
            <w:r w:rsidRPr="00624565">
              <w:rPr>
                <w:rFonts w:ascii="Calibri" w:hAnsi="Calibri"/>
                <w:noProof/>
                <w:color w:val="000000" w:themeColor="text1"/>
                <w:sz w:val="22"/>
              </w:rPr>
              <w:t>5,264</w:t>
            </w:r>
          </w:p>
        </w:tc>
        <w:tc>
          <w:tcPr>
            <w:tcW w:w="914" w:type="dxa"/>
            <w:tcBorders>
              <w:top w:val="single" w:sz="4" w:space="0" w:color="auto"/>
              <w:left w:val="single" w:sz="4" w:space="0" w:color="auto"/>
              <w:bottom w:val="single" w:sz="4" w:space="0" w:color="auto"/>
              <w:right w:val="single" w:sz="4" w:space="0" w:color="auto"/>
            </w:tcBorders>
            <w:vAlign w:val="bottom"/>
            <w:hideMark/>
          </w:tcPr>
          <w:p w14:paraId="187ED76B" w14:textId="77777777" w:rsidR="009168C9" w:rsidRPr="00624565" w:rsidRDefault="009168C9" w:rsidP="006333CA">
            <w:pPr>
              <w:spacing w:before="20" w:after="20" w:line="276" w:lineRule="auto"/>
              <w:jc w:val="right"/>
              <w:rPr>
                <w:noProof/>
                <w:sz w:val="20"/>
                <w:szCs w:val="20"/>
              </w:rPr>
            </w:pPr>
            <w:r w:rsidRPr="00624565">
              <w:rPr>
                <w:rFonts w:ascii="Calibri" w:hAnsi="Calibri"/>
                <w:noProof/>
                <w:color w:val="000000" w:themeColor="text1"/>
                <w:sz w:val="22"/>
              </w:rPr>
              <w:t>5,214</w:t>
            </w:r>
          </w:p>
        </w:tc>
        <w:tc>
          <w:tcPr>
            <w:tcW w:w="1998" w:type="dxa"/>
            <w:tcBorders>
              <w:top w:val="single" w:sz="4" w:space="0" w:color="auto"/>
              <w:left w:val="single" w:sz="4" w:space="0" w:color="auto"/>
              <w:bottom w:val="single" w:sz="4" w:space="0" w:color="auto"/>
              <w:right w:val="single" w:sz="4" w:space="0" w:color="auto"/>
            </w:tcBorders>
            <w:vAlign w:val="bottom"/>
            <w:hideMark/>
          </w:tcPr>
          <w:p w14:paraId="551AD76C" w14:textId="77777777" w:rsidR="009168C9" w:rsidRPr="00624565" w:rsidRDefault="009168C9" w:rsidP="006333CA">
            <w:pPr>
              <w:spacing w:before="20" w:after="20" w:line="276" w:lineRule="auto"/>
              <w:jc w:val="right"/>
              <w:rPr>
                <w:b/>
                <w:noProof/>
                <w:sz w:val="20"/>
                <w:szCs w:val="20"/>
              </w:rPr>
            </w:pPr>
            <w:r w:rsidRPr="00624565">
              <w:rPr>
                <w:rFonts w:ascii="Calibri" w:hAnsi="Calibri"/>
                <w:b/>
                <w:noProof/>
                <w:color w:val="000000" w:themeColor="text1"/>
                <w:sz w:val="22"/>
              </w:rPr>
              <w:t>19,982</w:t>
            </w:r>
          </w:p>
        </w:tc>
      </w:tr>
      <w:tr w:rsidR="009168C9" w:rsidRPr="00624565" w14:paraId="7BFCE1C3" w14:textId="77777777" w:rsidTr="009168C9">
        <w:trPr>
          <w:trHeight w:val="300"/>
        </w:trPr>
        <w:tc>
          <w:tcPr>
            <w:tcW w:w="3713" w:type="dxa"/>
            <w:vMerge w:val="restart"/>
            <w:tcBorders>
              <w:top w:val="single" w:sz="4" w:space="0" w:color="auto"/>
              <w:left w:val="single" w:sz="4" w:space="0" w:color="auto"/>
              <w:bottom w:val="single" w:sz="4" w:space="0" w:color="auto"/>
              <w:right w:val="single" w:sz="4" w:space="0" w:color="auto"/>
            </w:tcBorders>
            <w:vAlign w:val="center"/>
            <w:hideMark/>
          </w:tcPr>
          <w:p w14:paraId="4F91C0A5" w14:textId="77777777" w:rsidR="009168C9" w:rsidRPr="00624565" w:rsidRDefault="009168C9" w:rsidP="006333CA">
            <w:pPr>
              <w:spacing w:line="276" w:lineRule="auto"/>
              <w:jc w:val="center"/>
              <w:rPr>
                <w:b/>
                <w:noProof/>
              </w:rPr>
            </w:pPr>
            <w:r w:rsidRPr="00624565">
              <w:rPr>
                <w:b/>
                <w:noProof/>
                <w:sz w:val="22"/>
              </w:rPr>
              <w:t>OGÓŁEM środki</w:t>
            </w:r>
            <w:r w:rsidRPr="00624565">
              <w:rPr>
                <w:noProof/>
              </w:rPr>
              <w:t xml:space="preserve"> </w:t>
            </w:r>
            <w:r w:rsidRPr="00624565">
              <w:rPr>
                <w:noProof/>
              </w:rPr>
              <w:br/>
            </w:r>
            <w:r w:rsidRPr="00624565">
              <w:rPr>
                <w:b/>
                <w:noProof/>
                <w:sz w:val="22"/>
              </w:rPr>
              <w:t>dla DG ENV</w:t>
            </w:r>
          </w:p>
        </w:tc>
        <w:tc>
          <w:tcPr>
            <w:tcW w:w="1440" w:type="dxa"/>
            <w:tcBorders>
              <w:top w:val="single" w:sz="4" w:space="0" w:color="auto"/>
              <w:left w:val="single" w:sz="4" w:space="0" w:color="auto"/>
              <w:bottom w:val="single" w:sz="4" w:space="0" w:color="auto"/>
              <w:right w:val="single" w:sz="4" w:space="0" w:color="auto"/>
            </w:tcBorders>
            <w:vAlign w:val="center"/>
            <w:hideMark/>
          </w:tcPr>
          <w:p w14:paraId="2598488C" w14:textId="77777777" w:rsidR="009168C9" w:rsidRPr="00624565" w:rsidRDefault="009168C9" w:rsidP="006333CA">
            <w:pPr>
              <w:spacing w:line="276" w:lineRule="auto"/>
              <w:rPr>
                <w:noProof/>
                <w:sz w:val="18"/>
              </w:rPr>
            </w:pPr>
            <w:r w:rsidRPr="00624565">
              <w:rPr>
                <w:noProof/>
                <w:sz w:val="18"/>
              </w:rPr>
              <w:t>Środki na zobowiązania</w:t>
            </w:r>
          </w:p>
        </w:tc>
        <w:tc>
          <w:tcPr>
            <w:tcW w:w="654" w:type="dxa"/>
            <w:gridSpan w:val="2"/>
            <w:tcBorders>
              <w:top w:val="single" w:sz="4" w:space="0" w:color="auto"/>
              <w:left w:val="single" w:sz="4" w:space="0" w:color="auto"/>
              <w:bottom w:val="single" w:sz="4" w:space="0" w:color="auto"/>
              <w:right w:val="single" w:sz="4" w:space="0" w:color="auto"/>
            </w:tcBorders>
            <w:vAlign w:val="center"/>
            <w:hideMark/>
          </w:tcPr>
          <w:p w14:paraId="5E23DBBA" w14:textId="77777777" w:rsidR="009168C9" w:rsidRPr="00624565" w:rsidRDefault="009168C9" w:rsidP="006333CA">
            <w:pPr>
              <w:spacing w:line="276" w:lineRule="auto"/>
              <w:jc w:val="center"/>
              <w:rPr>
                <w:noProof/>
                <w:sz w:val="14"/>
                <w:szCs w:val="14"/>
              </w:rPr>
            </w:pPr>
            <w:r w:rsidRPr="00624565">
              <w:rPr>
                <w:noProof/>
                <w:sz w:val="14"/>
              </w:rPr>
              <w:t>= (1)</w:t>
            </w:r>
          </w:p>
        </w:tc>
        <w:tc>
          <w:tcPr>
            <w:tcW w:w="868" w:type="dxa"/>
            <w:tcBorders>
              <w:top w:val="single" w:sz="4" w:space="0" w:color="auto"/>
              <w:left w:val="single" w:sz="4" w:space="0" w:color="auto"/>
              <w:bottom w:val="single" w:sz="4" w:space="0" w:color="auto"/>
              <w:right w:val="single" w:sz="4" w:space="0" w:color="auto"/>
            </w:tcBorders>
            <w:vAlign w:val="bottom"/>
            <w:hideMark/>
          </w:tcPr>
          <w:p w14:paraId="20B1699B" w14:textId="43AEA4B4" w:rsidR="009168C9" w:rsidRPr="00624565" w:rsidRDefault="009168C9" w:rsidP="006333CA">
            <w:pPr>
              <w:spacing w:before="20" w:after="20" w:line="276" w:lineRule="auto"/>
              <w:jc w:val="right"/>
              <w:rPr>
                <w:noProof/>
                <w:sz w:val="20"/>
                <w:szCs w:val="20"/>
              </w:rPr>
            </w:pPr>
            <w:r w:rsidRPr="00624565">
              <w:rPr>
                <w:rFonts w:ascii="Calibri" w:hAnsi="Calibri"/>
                <w:noProof/>
                <w:color w:val="000000" w:themeColor="text1"/>
                <w:sz w:val="22"/>
              </w:rPr>
              <w:t>2,540</w:t>
            </w:r>
          </w:p>
        </w:tc>
        <w:tc>
          <w:tcPr>
            <w:tcW w:w="868" w:type="dxa"/>
            <w:tcBorders>
              <w:top w:val="single" w:sz="4" w:space="0" w:color="auto"/>
              <w:left w:val="single" w:sz="4" w:space="0" w:color="auto"/>
              <w:bottom w:val="single" w:sz="4" w:space="0" w:color="auto"/>
              <w:right w:val="single" w:sz="4" w:space="0" w:color="auto"/>
            </w:tcBorders>
            <w:vAlign w:val="bottom"/>
            <w:hideMark/>
          </w:tcPr>
          <w:p w14:paraId="512D1C86" w14:textId="77777777" w:rsidR="009168C9" w:rsidRPr="00624565" w:rsidRDefault="009168C9" w:rsidP="006333CA">
            <w:pPr>
              <w:spacing w:before="20" w:after="20" w:line="276" w:lineRule="auto"/>
              <w:jc w:val="right"/>
              <w:rPr>
                <w:b/>
                <w:noProof/>
                <w:sz w:val="20"/>
                <w:szCs w:val="20"/>
              </w:rPr>
            </w:pPr>
            <w:r w:rsidRPr="00624565">
              <w:rPr>
                <w:rFonts w:ascii="Calibri" w:hAnsi="Calibri"/>
                <w:b/>
                <w:noProof/>
                <w:color w:val="000000" w:themeColor="text1"/>
                <w:sz w:val="22"/>
              </w:rPr>
              <w:t>6,964</w:t>
            </w:r>
          </w:p>
        </w:tc>
        <w:tc>
          <w:tcPr>
            <w:tcW w:w="868" w:type="dxa"/>
            <w:tcBorders>
              <w:top w:val="single" w:sz="4" w:space="0" w:color="auto"/>
              <w:left w:val="single" w:sz="4" w:space="0" w:color="auto"/>
              <w:bottom w:val="single" w:sz="4" w:space="0" w:color="auto"/>
              <w:right w:val="single" w:sz="4" w:space="0" w:color="auto"/>
            </w:tcBorders>
            <w:vAlign w:val="bottom"/>
            <w:hideMark/>
          </w:tcPr>
          <w:p w14:paraId="4AAC29E1" w14:textId="77777777" w:rsidR="009168C9" w:rsidRPr="00624565" w:rsidRDefault="009168C9" w:rsidP="006333CA">
            <w:pPr>
              <w:spacing w:before="20" w:after="20" w:line="276" w:lineRule="auto"/>
              <w:jc w:val="right"/>
              <w:rPr>
                <w:noProof/>
                <w:sz w:val="20"/>
                <w:szCs w:val="20"/>
              </w:rPr>
            </w:pPr>
            <w:r w:rsidRPr="00624565">
              <w:rPr>
                <w:rFonts w:ascii="Calibri" w:hAnsi="Calibri"/>
                <w:b/>
                <w:noProof/>
                <w:color w:val="000000" w:themeColor="text1"/>
                <w:sz w:val="22"/>
              </w:rPr>
              <w:t>5</w:t>
            </w:r>
            <w:r w:rsidRPr="00624565">
              <w:rPr>
                <w:rFonts w:ascii="Calibri" w:hAnsi="Calibri"/>
                <w:noProof/>
                <w:color w:val="000000" w:themeColor="text1"/>
                <w:sz w:val="22"/>
              </w:rPr>
              <w:t>,264</w:t>
            </w:r>
          </w:p>
        </w:tc>
        <w:tc>
          <w:tcPr>
            <w:tcW w:w="914" w:type="dxa"/>
            <w:tcBorders>
              <w:top w:val="single" w:sz="4" w:space="0" w:color="auto"/>
              <w:left w:val="single" w:sz="4" w:space="0" w:color="auto"/>
              <w:bottom w:val="single" w:sz="4" w:space="0" w:color="auto"/>
              <w:right w:val="single" w:sz="4" w:space="0" w:color="auto"/>
            </w:tcBorders>
            <w:vAlign w:val="bottom"/>
            <w:hideMark/>
          </w:tcPr>
          <w:p w14:paraId="49CF777A" w14:textId="77777777" w:rsidR="009168C9" w:rsidRPr="00624565" w:rsidRDefault="009168C9" w:rsidP="006333CA">
            <w:pPr>
              <w:spacing w:before="20" w:after="20" w:line="276" w:lineRule="auto"/>
              <w:jc w:val="right"/>
              <w:rPr>
                <w:b/>
                <w:noProof/>
                <w:sz w:val="20"/>
                <w:szCs w:val="20"/>
              </w:rPr>
            </w:pPr>
            <w:r w:rsidRPr="00624565">
              <w:rPr>
                <w:rFonts w:ascii="Calibri" w:hAnsi="Calibri"/>
                <w:b/>
                <w:noProof/>
                <w:color w:val="000000" w:themeColor="text1"/>
                <w:sz w:val="22"/>
              </w:rPr>
              <w:t>5,214</w:t>
            </w:r>
          </w:p>
        </w:tc>
        <w:tc>
          <w:tcPr>
            <w:tcW w:w="1998" w:type="dxa"/>
            <w:tcBorders>
              <w:top w:val="single" w:sz="4" w:space="0" w:color="auto"/>
              <w:left w:val="single" w:sz="4" w:space="0" w:color="auto"/>
              <w:bottom w:val="single" w:sz="4" w:space="0" w:color="auto"/>
              <w:right w:val="single" w:sz="4" w:space="0" w:color="auto"/>
            </w:tcBorders>
            <w:vAlign w:val="bottom"/>
            <w:hideMark/>
          </w:tcPr>
          <w:p w14:paraId="37275BE3" w14:textId="77777777" w:rsidR="009168C9" w:rsidRPr="00624565" w:rsidRDefault="009168C9" w:rsidP="006333CA">
            <w:pPr>
              <w:spacing w:before="20" w:after="20" w:line="276" w:lineRule="auto"/>
              <w:jc w:val="right"/>
              <w:rPr>
                <w:b/>
                <w:noProof/>
                <w:sz w:val="20"/>
                <w:szCs w:val="20"/>
              </w:rPr>
            </w:pPr>
            <w:r w:rsidRPr="00624565">
              <w:rPr>
                <w:rFonts w:ascii="Calibri" w:hAnsi="Calibri"/>
                <w:b/>
                <w:noProof/>
                <w:color w:val="000000" w:themeColor="text1"/>
                <w:sz w:val="22"/>
              </w:rPr>
              <w:t>19,982</w:t>
            </w:r>
          </w:p>
        </w:tc>
      </w:tr>
      <w:tr w:rsidR="009168C9" w:rsidRPr="00624565" w14:paraId="4C6BEC70" w14:textId="77777777" w:rsidTr="009168C9">
        <w:trPr>
          <w:trHeight w:val="300"/>
        </w:trPr>
        <w:tc>
          <w:tcPr>
            <w:tcW w:w="3713" w:type="dxa"/>
            <w:vMerge/>
            <w:vAlign w:val="center"/>
            <w:hideMark/>
          </w:tcPr>
          <w:p w14:paraId="2F6DEEED" w14:textId="77777777" w:rsidR="009168C9" w:rsidRPr="00624565" w:rsidRDefault="009168C9" w:rsidP="006333CA">
            <w:pPr>
              <w:spacing w:before="0" w:after="0" w:line="276" w:lineRule="auto"/>
              <w:jc w:val="left"/>
              <w:rPr>
                <w:b/>
                <w:noProof/>
              </w:rPr>
            </w:pPr>
          </w:p>
        </w:tc>
        <w:tc>
          <w:tcPr>
            <w:tcW w:w="1440" w:type="dxa"/>
            <w:tcBorders>
              <w:top w:val="single" w:sz="4" w:space="0" w:color="auto"/>
              <w:left w:val="single" w:sz="4" w:space="0" w:color="auto"/>
              <w:bottom w:val="single" w:sz="4" w:space="0" w:color="auto"/>
              <w:right w:val="single" w:sz="4" w:space="0" w:color="auto"/>
            </w:tcBorders>
            <w:vAlign w:val="center"/>
            <w:hideMark/>
          </w:tcPr>
          <w:p w14:paraId="2773C1F5" w14:textId="77777777" w:rsidR="009168C9" w:rsidRPr="00624565" w:rsidRDefault="009168C9" w:rsidP="006333CA">
            <w:pPr>
              <w:spacing w:line="276" w:lineRule="auto"/>
              <w:rPr>
                <w:noProof/>
                <w:sz w:val="18"/>
              </w:rPr>
            </w:pPr>
            <w:r w:rsidRPr="00624565">
              <w:rPr>
                <w:noProof/>
                <w:sz w:val="18"/>
              </w:rPr>
              <w:t>Środki na płatności</w:t>
            </w:r>
          </w:p>
        </w:tc>
        <w:tc>
          <w:tcPr>
            <w:tcW w:w="654" w:type="dxa"/>
            <w:gridSpan w:val="2"/>
            <w:tcBorders>
              <w:top w:val="single" w:sz="4" w:space="0" w:color="auto"/>
              <w:left w:val="single" w:sz="4" w:space="0" w:color="auto"/>
              <w:bottom w:val="single" w:sz="4" w:space="0" w:color="auto"/>
              <w:right w:val="single" w:sz="4" w:space="0" w:color="auto"/>
            </w:tcBorders>
            <w:vAlign w:val="center"/>
            <w:hideMark/>
          </w:tcPr>
          <w:p w14:paraId="1EE48EE6" w14:textId="77777777" w:rsidR="009168C9" w:rsidRPr="00624565" w:rsidRDefault="009168C9" w:rsidP="006333CA">
            <w:pPr>
              <w:spacing w:line="276" w:lineRule="auto"/>
              <w:jc w:val="center"/>
              <w:rPr>
                <w:noProof/>
                <w:sz w:val="14"/>
                <w:szCs w:val="14"/>
              </w:rPr>
            </w:pPr>
            <w:r w:rsidRPr="00624565">
              <w:rPr>
                <w:noProof/>
                <w:sz w:val="14"/>
              </w:rPr>
              <w:t>= (2)</w:t>
            </w:r>
          </w:p>
        </w:tc>
        <w:tc>
          <w:tcPr>
            <w:tcW w:w="868" w:type="dxa"/>
            <w:tcBorders>
              <w:top w:val="single" w:sz="4" w:space="0" w:color="auto"/>
              <w:left w:val="single" w:sz="4" w:space="0" w:color="auto"/>
              <w:bottom w:val="single" w:sz="4" w:space="0" w:color="auto"/>
              <w:right w:val="single" w:sz="4" w:space="0" w:color="auto"/>
            </w:tcBorders>
            <w:vAlign w:val="bottom"/>
            <w:hideMark/>
          </w:tcPr>
          <w:p w14:paraId="414ADE8D" w14:textId="77777777" w:rsidR="009168C9" w:rsidRPr="00624565" w:rsidRDefault="009168C9" w:rsidP="006333CA">
            <w:pPr>
              <w:spacing w:before="20" w:after="20" w:line="276" w:lineRule="auto"/>
              <w:jc w:val="right"/>
              <w:rPr>
                <w:noProof/>
                <w:sz w:val="20"/>
                <w:szCs w:val="20"/>
              </w:rPr>
            </w:pPr>
            <w:r w:rsidRPr="00624565">
              <w:rPr>
                <w:rFonts w:ascii="Calibri" w:hAnsi="Calibri"/>
                <w:noProof/>
                <w:color w:val="000000" w:themeColor="text1"/>
                <w:sz w:val="22"/>
              </w:rPr>
              <w:t>2,540</w:t>
            </w:r>
          </w:p>
        </w:tc>
        <w:tc>
          <w:tcPr>
            <w:tcW w:w="868" w:type="dxa"/>
            <w:tcBorders>
              <w:top w:val="single" w:sz="4" w:space="0" w:color="auto"/>
              <w:left w:val="single" w:sz="4" w:space="0" w:color="auto"/>
              <w:bottom w:val="single" w:sz="4" w:space="0" w:color="auto"/>
              <w:right w:val="single" w:sz="4" w:space="0" w:color="auto"/>
            </w:tcBorders>
            <w:vAlign w:val="bottom"/>
            <w:hideMark/>
          </w:tcPr>
          <w:p w14:paraId="7048AE9F" w14:textId="77777777" w:rsidR="009168C9" w:rsidRPr="00624565" w:rsidRDefault="009168C9" w:rsidP="006333CA">
            <w:pPr>
              <w:spacing w:before="20" w:after="20" w:line="276" w:lineRule="auto"/>
              <w:jc w:val="right"/>
              <w:rPr>
                <w:b/>
                <w:noProof/>
                <w:sz w:val="20"/>
                <w:szCs w:val="20"/>
              </w:rPr>
            </w:pPr>
            <w:r w:rsidRPr="00624565">
              <w:rPr>
                <w:rFonts w:ascii="Calibri" w:hAnsi="Calibri"/>
                <w:b/>
                <w:noProof/>
                <w:color w:val="000000" w:themeColor="text1"/>
                <w:sz w:val="22"/>
              </w:rPr>
              <w:t>6,964</w:t>
            </w:r>
          </w:p>
        </w:tc>
        <w:tc>
          <w:tcPr>
            <w:tcW w:w="868" w:type="dxa"/>
            <w:tcBorders>
              <w:top w:val="single" w:sz="4" w:space="0" w:color="auto"/>
              <w:left w:val="single" w:sz="4" w:space="0" w:color="auto"/>
              <w:bottom w:val="single" w:sz="4" w:space="0" w:color="auto"/>
              <w:right w:val="single" w:sz="4" w:space="0" w:color="auto"/>
            </w:tcBorders>
            <w:vAlign w:val="bottom"/>
            <w:hideMark/>
          </w:tcPr>
          <w:p w14:paraId="2F5FFD14" w14:textId="77777777" w:rsidR="009168C9" w:rsidRPr="00624565" w:rsidRDefault="009168C9" w:rsidP="006333CA">
            <w:pPr>
              <w:spacing w:before="20" w:after="20" w:line="276" w:lineRule="auto"/>
              <w:jc w:val="right"/>
              <w:rPr>
                <w:noProof/>
                <w:sz w:val="20"/>
                <w:szCs w:val="20"/>
              </w:rPr>
            </w:pPr>
            <w:r w:rsidRPr="00624565">
              <w:rPr>
                <w:rFonts w:ascii="Calibri" w:hAnsi="Calibri"/>
                <w:b/>
                <w:noProof/>
                <w:color w:val="000000" w:themeColor="text1"/>
                <w:sz w:val="22"/>
              </w:rPr>
              <w:t>5</w:t>
            </w:r>
            <w:r w:rsidRPr="00624565">
              <w:rPr>
                <w:rFonts w:ascii="Calibri" w:hAnsi="Calibri"/>
                <w:noProof/>
                <w:color w:val="000000" w:themeColor="text1"/>
                <w:sz w:val="22"/>
              </w:rPr>
              <w:t>,264</w:t>
            </w:r>
          </w:p>
        </w:tc>
        <w:tc>
          <w:tcPr>
            <w:tcW w:w="914" w:type="dxa"/>
            <w:tcBorders>
              <w:top w:val="single" w:sz="4" w:space="0" w:color="auto"/>
              <w:left w:val="single" w:sz="4" w:space="0" w:color="auto"/>
              <w:bottom w:val="single" w:sz="4" w:space="0" w:color="auto"/>
              <w:right w:val="single" w:sz="4" w:space="0" w:color="auto"/>
            </w:tcBorders>
            <w:vAlign w:val="bottom"/>
            <w:hideMark/>
          </w:tcPr>
          <w:p w14:paraId="107CB0B9" w14:textId="77777777" w:rsidR="009168C9" w:rsidRPr="00624565" w:rsidRDefault="009168C9" w:rsidP="006333CA">
            <w:pPr>
              <w:spacing w:before="20" w:after="20" w:line="276" w:lineRule="auto"/>
              <w:jc w:val="right"/>
              <w:rPr>
                <w:b/>
                <w:noProof/>
                <w:sz w:val="20"/>
                <w:szCs w:val="20"/>
              </w:rPr>
            </w:pPr>
            <w:r w:rsidRPr="00624565">
              <w:rPr>
                <w:rFonts w:ascii="Calibri" w:hAnsi="Calibri"/>
                <w:b/>
                <w:noProof/>
                <w:color w:val="000000" w:themeColor="text1"/>
                <w:sz w:val="22"/>
              </w:rPr>
              <w:t>5,214</w:t>
            </w:r>
          </w:p>
        </w:tc>
        <w:tc>
          <w:tcPr>
            <w:tcW w:w="1998" w:type="dxa"/>
            <w:tcBorders>
              <w:top w:val="single" w:sz="4" w:space="0" w:color="auto"/>
              <w:left w:val="single" w:sz="4" w:space="0" w:color="auto"/>
              <w:bottom w:val="single" w:sz="4" w:space="0" w:color="auto"/>
              <w:right w:val="single" w:sz="4" w:space="0" w:color="auto"/>
            </w:tcBorders>
            <w:vAlign w:val="bottom"/>
            <w:hideMark/>
          </w:tcPr>
          <w:p w14:paraId="1A94757D" w14:textId="77777777" w:rsidR="009168C9" w:rsidRPr="00624565" w:rsidRDefault="009168C9" w:rsidP="006333CA">
            <w:pPr>
              <w:spacing w:before="20" w:after="20" w:line="276" w:lineRule="auto"/>
              <w:jc w:val="right"/>
              <w:rPr>
                <w:b/>
                <w:bCs/>
                <w:noProof/>
                <w:sz w:val="20"/>
                <w:szCs w:val="20"/>
              </w:rPr>
            </w:pPr>
            <w:r w:rsidRPr="00624565">
              <w:rPr>
                <w:rFonts w:ascii="Calibri" w:hAnsi="Calibri"/>
                <w:b/>
                <w:noProof/>
                <w:color w:val="000000" w:themeColor="text1"/>
                <w:sz w:val="22"/>
              </w:rPr>
              <w:t>19,982</w:t>
            </w:r>
          </w:p>
        </w:tc>
      </w:tr>
    </w:tbl>
    <w:p w14:paraId="635A6F15" w14:textId="77777777" w:rsidR="009168C9" w:rsidRPr="00624565" w:rsidRDefault="009168C9" w:rsidP="009168C9">
      <w:pPr>
        <w:rPr>
          <w:noProof/>
        </w:rPr>
      </w:pPr>
      <w:r w:rsidRPr="00624565">
        <w:rPr>
          <w:noProof/>
        </w:rPr>
        <w:t>Kwota ujęta powyżej będzie potrzebna na sfinansowanie następujących działań:</w:t>
      </w:r>
    </w:p>
    <w:p w14:paraId="1F647623" w14:textId="6DA3DBD6" w:rsidR="009168C9" w:rsidRPr="00624565" w:rsidRDefault="009168C9" w:rsidP="006E3743">
      <w:pPr>
        <w:pStyle w:val="Bullet0"/>
        <w:rPr>
          <w:rFonts w:eastAsia="Times New Roman"/>
          <w:noProof/>
        </w:rPr>
      </w:pPr>
      <w:r w:rsidRPr="00624565">
        <w:rPr>
          <w:noProof/>
        </w:rPr>
        <w:t>Nabycie wtórnych zbiorów danych dotyczących śladu środowiskowego, zapewniających kluczowe średnie dane dotyczące zużycia zasobów</w:t>
      </w:r>
      <w:r w:rsidR="003F3D2B" w:rsidRPr="00624565">
        <w:rPr>
          <w:noProof/>
        </w:rPr>
        <w:t xml:space="preserve"> i</w:t>
      </w:r>
      <w:r w:rsidR="003F3D2B">
        <w:rPr>
          <w:noProof/>
        </w:rPr>
        <w:t> </w:t>
      </w:r>
      <w:r w:rsidR="003F3D2B" w:rsidRPr="00624565">
        <w:rPr>
          <w:noProof/>
        </w:rPr>
        <w:t>emi</w:t>
      </w:r>
      <w:r w:rsidRPr="00624565">
        <w:rPr>
          <w:noProof/>
        </w:rPr>
        <w:t>sji dla kluczowych procesów, które mogą być wykorzystane przez wiele przedsiębiorstw do oceny ich łańcuchów wartości, nabycie</w:t>
      </w:r>
      <w:r w:rsidR="003F3D2B" w:rsidRPr="00624565">
        <w:rPr>
          <w:noProof/>
        </w:rPr>
        <w:t xml:space="preserve"> i</w:t>
      </w:r>
      <w:r w:rsidR="003F3D2B">
        <w:rPr>
          <w:noProof/>
        </w:rPr>
        <w:t> </w:t>
      </w:r>
      <w:r w:rsidR="003F3D2B" w:rsidRPr="00624565">
        <w:rPr>
          <w:noProof/>
        </w:rPr>
        <w:t>opr</w:t>
      </w:r>
      <w:r w:rsidRPr="00624565">
        <w:rPr>
          <w:noProof/>
        </w:rPr>
        <w:t>acowanie danych</w:t>
      </w:r>
      <w:r w:rsidR="003F3D2B" w:rsidRPr="00624565">
        <w:rPr>
          <w:noProof/>
        </w:rPr>
        <w:t xml:space="preserve"> w</w:t>
      </w:r>
      <w:r w:rsidR="003F3D2B">
        <w:rPr>
          <w:noProof/>
        </w:rPr>
        <w:t> </w:t>
      </w:r>
      <w:r w:rsidR="003F3D2B" w:rsidRPr="00624565">
        <w:rPr>
          <w:noProof/>
        </w:rPr>
        <w:t>cel</w:t>
      </w:r>
      <w:r w:rsidRPr="00624565">
        <w:rPr>
          <w:noProof/>
        </w:rPr>
        <w:t>u wypełnienia ewentualnych luk</w:t>
      </w:r>
      <w:r w:rsidR="003F3D2B" w:rsidRPr="00624565">
        <w:rPr>
          <w:noProof/>
        </w:rPr>
        <w:t xml:space="preserve"> w</w:t>
      </w:r>
      <w:r w:rsidR="003F3D2B">
        <w:rPr>
          <w:noProof/>
        </w:rPr>
        <w:t> </w:t>
      </w:r>
      <w:r w:rsidR="003F3D2B" w:rsidRPr="00624565">
        <w:rPr>
          <w:noProof/>
        </w:rPr>
        <w:t>dan</w:t>
      </w:r>
      <w:r w:rsidRPr="00624565">
        <w:rPr>
          <w:noProof/>
        </w:rPr>
        <w:t>ych, koszty rozwoju platformy informatycznej dla bazy danych dotyczących śladu środowiskowego, jak również utrzymanie bazy danych</w:t>
      </w:r>
      <w:r w:rsidR="003F3D2B" w:rsidRPr="00624565">
        <w:rPr>
          <w:noProof/>
        </w:rPr>
        <w:t xml:space="preserve"> w</w:t>
      </w:r>
      <w:r w:rsidR="003F3D2B">
        <w:rPr>
          <w:noProof/>
        </w:rPr>
        <w:t> </w:t>
      </w:r>
      <w:r w:rsidR="003F3D2B" w:rsidRPr="00624565">
        <w:rPr>
          <w:noProof/>
        </w:rPr>
        <w:t>lat</w:t>
      </w:r>
      <w:r w:rsidRPr="00624565">
        <w:rPr>
          <w:noProof/>
        </w:rPr>
        <w:t>ach 2026–2027 (10,095 mln EUR). Dostęp do zbiorów danych dotyczących śladu środowiskowego będzie stanowił wsparcie dla przedsiębiorstw, zwłaszcza MŚP,</w:t>
      </w:r>
      <w:r w:rsidR="003F3D2B" w:rsidRPr="00624565">
        <w:rPr>
          <w:noProof/>
        </w:rPr>
        <w:t xml:space="preserve"> w</w:t>
      </w:r>
      <w:r w:rsidR="003F3D2B">
        <w:rPr>
          <w:noProof/>
        </w:rPr>
        <w:t> </w:t>
      </w:r>
      <w:r w:rsidR="003F3D2B" w:rsidRPr="00624565">
        <w:rPr>
          <w:noProof/>
        </w:rPr>
        <w:t>spe</w:t>
      </w:r>
      <w:r w:rsidRPr="00624565">
        <w:rPr>
          <w:noProof/>
        </w:rPr>
        <w:t>łnianiu wymogów dyrektywy</w:t>
      </w:r>
      <w:r w:rsidR="003F3D2B" w:rsidRPr="00624565">
        <w:rPr>
          <w:noProof/>
        </w:rPr>
        <w:t xml:space="preserve"> w</w:t>
      </w:r>
      <w:r w:rsidR="003F3D2B">
        <w:rPr>
          <w:noProof/>
        </w:rPr>
        <w:t> </w:t>
      </w:r>
      <w:r w:rsidR="003F3D2B" w:rsidRPr="00624565">
        <w:rPr>
          <w:noProof/>
        </w:rPr>
        <w:t>spr</w:t>
      </w:r>
      <w:r w:rsidRPr="00624565">
        <w:rPr>
          <w:noProof/>
        </w:rPr>
        <w:t>awi</w:t>
      </w:r>
      <w:r w:rsidRPr="003F3D2B">
        <w:rPr>
          <w:noProof/>
        </w:rPr>
        <w:t>e</w:t>
      </w:r>
      <w:r w:rsidR="003F3D2B" w:rsidRPr="003F3D2B">
        <w:rPr>
          <w:noProof/>
        </w:rPr>
        <w:t xml:space="preserve"> </w:t>
      </w:r>
      <w:r w:rsidRPr="003F3D2B">
        <w:rPr>
          <w:noProof/>
        </w:rPr>
        <w:t>o</w:t>
      </w:r>
      <w:r w:rsidRPr="00624565">
        <w:rPr>
          <w:noProof/>
        </w:rPr>
        <w:t>świadczeń środowiskowych</w:t>
      </w:r>
      <w:r w:rsidR="003F3D2B" w:rsidRPr="00624565">
        <w:rPr>
          <w:noProof/>
        </w:rPr>
        <w:t xml:space="preserve"> w</w:t>
      </w:r>
      <w:r w:rsidR="003F3D2B">
        <w:rPr>
          <w:noProof/>
        </w:rPr>
        <w:t> </w:t>
      </w:r>
      <w:r w:rsidR="003F3D2B" w:rsidRPr="00624565">
        <w:rPr>
          <w:noProof/>
        </w:rPr>
        <w:t>spo</w:t>
      </w:r>
      <w:r w:rsidRPr="00624565">
        <w:rPr>
          <w:noProof/>
        </w:rPr>
        <w:t>sób bardziej racjonalny pod względem kosztów</w:t>
      </w:r>
      <w:r w:rsidR="003F3D2B" w:rsidRPr="00624565">
        <w:rPr>
          <w:noProof/>
        </w:rPr>
        <w:t xml:space="preserve"> i</w:t>
      </w:r>
      <w:r w:rsidR="003F3D2B">
        <w:rPr>
          <w:noProof/>
        </w:rPr>
        <w:t> </w:t>
      </w:r>
      <w:r w:rsidR="003F3D2B" w:rsidRPr="00624565">
        <w:rPr>
          <w:noProof/>
        </w:rPr>
        <w:t>mni</w:t>
      </w:r>
      <w:r w:rsidRPr="00624565">
        <w:rPr>
          <w:noProof/>
        </w:rPr>
        <w:t>ej uciążliwy. Łatwy dostęp do wysokiej jakości danych dotyczących ekologiczności produktów będzie dla wszystkich przedsiębiorstw,</w:t>
      </w:r>
      <w:r w:rsidR="003F3D2B" w:rsidRPr="00624565">
        <w:rPr>
          <w:noProof/>
        </w:rPr>
        <w:t xml:space="preserve"> a</w:t>
      </w:r>
      <w:r w:rsidR="003F3D2B">
        <w:rPr>
          <w:noProof/>
        </w:rPr>
        <w:t> </w:t>
      </w:r>
      <w:r w:rsidR="003F3D2B" w:rsidRPr="00624565">
        <w:rPr>
          <w:noProof/>
        </w:rPr>
        <w:t>zwł</w:t>
      </w:r>
      <w:r w:rsidRPr="00624565">
        <w:rPr>
          <w:noProof/>
        </w:rPr>
        <w:t>aszcza dla MŚP, kluczowym czynnikiem umożliwiającym uzasadnienie oświadczeń środowiskowych</w:t>
      </w:r>
      <w:r w:rsidR="003F3D2B" w:rsidRPr="00624565">
        <w:rPr>
          <w:noProof/>
        </w:rPr>
        <w:t xml:space="preserve"> w</w:t>
      </w:r>
      <w:r w:rsidR="003F3D2B">
        <w:rPr>
          <w:noProof/>
        </w:rPr>
        <w:t> </w:t>
      </w:r>
      <w:r w:rsidR="003F3D2B" w:rsidRPr="00624565">
        <w:rPr>
          <w:noProof/>
        </w:rPr>
        <w:t>spo</w:t>
      </w:r>
      <w:r w:rsidRPr="00624565">
        <w:rPr>
          <w:noProof/>
        </w:rPr>
        <w:t xml:space="preserve">sób rzetelny, bez względu na to, czy obowiązują akty delegowane przyjęte na podstawie </w:t>
      </w:r>
      <w:r w:rsidRPr="003F3D2B">
        <w:rPr>
          <w:noProof/>
        </w:rPr>
        <w:t>art.</w:t>
      </w:r>
      <w:r w:rsidR="003F3D2B" w:rsidRPr="003F3D2B">
        <w:rPr>
          <w:noProof/>
        </w:rPr>
        <w:t> </w:t>
      </w:r>
      <w:r w:rsidRPr="003F3D2B">
        <w:rPr>
          <w:noProof/>
        </w:rPr>
        <w:t>3</w:t>
      </w:r>
      <w:r w:rsidRPr="00624565">
        <w:rPr>
          <w:noProof/>
        </w:rPr>
        <w:t xml:space="preserve"> niniejszego wniosku</w:t>
      </w:r>
      <w:r w:rsidR="003F3D2B" w:rsidRPr="00624565">
        <w:rPr>
          <w:noProof/>
        </w:rPr>
        <w:t xml:space="preserve"> w</w:t>
      </w:r>
      <w:r w:rsidR="003F3D2B">
        <w:rPr>
          <w:noProof/>
        </w:rPr>
        <w:t> </w:t>
      </w:r>
      <w:r w:rsidR="003F3D2B" w:rsidRPr="00624565">
        <w:rPr>
          <w:noProof/>
        </w:rPr>
        <w:t>spr</w:t>
      </w:r>
      <w:r w:rsidRPr="00624565">
        <w:rPr>
          <w:noProof/>
        </w:rPr>
        <w:t>awie oświadczeń środowiskowych, czy też nie. Dostęp do zbiorów danych dotyczących śladu środowiskowego wesprze również wdrożenie innych strategii politycznych UE dotyczących zrównoważenia środowiskowego oraz pomoże konsumentom</w:t>
      </w:r>
      <w:r w:rsidR="003F3D2B" w:rsidRPr="00624565">
        <w:rPr>
          <w:noProof/>
        </w:rPr>
        <w:t xml:space="preserve"> w</w:t>
      </w:r>
      <w:r w:rsidR="003F3D2B">
        <w:rPr>
          <w:noProof/>
        </w:rPr>
        <w:t> </w:t>
      </w:r>
      <w:r w:rsidR="003F3D2B" w:rsidRPr="00624565">
        <w:rPr>
          <w:noProof/>
        </w:rPr>
        <w:t>pod</w:t>
      </w:r>
      <w:r w:rsidRPr="00624565">
        <w:rPr>
          <w:noProof/>
        </w:rPr>
        <w:t>ejmowaniu właściwych wyborów, do których zalicza się wniosek dotyczący rozporządzenia</w:t>
      </w:r>
      <w:r w:rsidR="003F3D2B" w:rsidRPr="00624565">
        <w:rPr>
          <w:noProof/>
        </w:rPr>
        <w:t xml:space="preserve"> w</w:t>
      </w:r>
      <w:r w:rsidR="003F3D2B">
        <w:rPr>
          <w:noProof/>
        </w:rPr>
        <w:t> </w:t>
      </w:r>
      <w:r w:rsidR="003F3D2B" w:rsidRPr="00624565">
        <w:rPr>
          <w:noProof/>
        </w:rPr>
        <w:t>spr</w:t>
      </w:r>
      <w:r w:rsidRPr="00624565">
        <w:rPr>
          <w:noProof/>
        </w:rPr>
        <w:t>awie ekoprojektu dla zrównoważonych produktów</w:t>
      </w:r>
      <w:r w:rsidRPr="00624565">
        <w:rPr>
          <w:noProof/>
          <w:vertAlign w:val="superscript"/>
        </w:rPr>
        <w:t xml:space="preserve"> </w:t>
      </w:r>
      <w:r w:rsidRPr="00624565">
        <w:rPr>
          <w:rStyle w:val="FootnoteReference"/>
          <w:noProof/>
        </w:rPr>
        <w:footnoteReference w:id="123"/>
      </w:r>
      <w:r w:rsidR="003F3D2B" w:rsidRPr="00624565">
        <w:rPr>
          <w:noProof/>
        </w:rPr>
        <w:t>. W</w:t>
      </w:r>
      <w:r w:rsidR="003F3D2B">
        <w:rPr>
          <w:noProof/>
        </w:rPr>
        <w:t> </w:t>
      </w:r>
      <w:r w:rsidR="003F3D2B" w:rsidRPr="00624565">
        <w:rPr>
          <w:noProof/>
        </w:rPr>
        <w:t>roz</w:t>
      </w:r>
      <w:r w:rsidRPr="00624565">
        <w:rPr>
          <w:noProof/>
        </w:rPr>
        <w:t>porządzeniu</w:t>
      </w:r>
      <w:r w:rsidR="003F3D2B" w:rsidRPr="00624565">
        <w:rPr>
          <w:noProof/>
        </w:rPr>
        <w:t xml:space="preserve"> w</w:t>
      </w:r>
      <w:r w:rsidR="003F3D2B">
        <w:rPr>
          <w:noProof/>
        </w:rPr>
        <w:t> </w:t>
      </w:r>
      <w:r w:rsidR="003F3D2B" w:rsidRPr="00624565">
        <w:rPr>
          <w:noProof/>
        </w:rPr>
        <w:t>spr</w:t>
      </w:r>
      <w:r w:rsidRPr="00624565">
        <w:rPr>
          <w:noProof/>
        </w:rPr>
        <w:t>awie ekoprojektu dla zrównoważonych produktów wprowadzono możliwość ustanowienia obowiązkowych wymogów informacyjnych, które mogą być również powiązane</w:t>
      </w:r>
      <w:r w:rsidR="003F3D2B" w:rsidRPr="00624565">
        <w:rPr>
          <w:noProof/>
        </w:rPr>
        <w:t xml:space="preserve"> z</w:t>
      </w:r>
      <w:r w:rsidR="003F3D2B">
        <w:rPr>
          <w:noProof/>
        </w:rPr>
        <w:t> </w:t>
      </w:r>
      <w:r w:rsidR="003F3D2B" w:rsidRPr="00624565">
        <w:rPr>
          <w:noProof/>
        </w:rPr>
        <w:t>wym</w:t>
      </w:r>
      <w:r w:rsidRPr="00624565">
        <w:rPr>
          <w:noProof/>
        </w:rPr>
        <w:t>ogami dotyczącymi oznakowania, przy czym rozporządzenie to przyczyni się do poprawy przepływów informacji za pośrednictwem cyfrowych paszportów produktu. Zbiory danych dotyczących śladu środowiskowego pomogą również</w:t>
      </w:r>
      <w:r w:rsidR="003F3D2B" w:rsidRPr="00624565">
        <w:rPr>
          <w:noProof/>
        </w:rPr>
        <w:t xml:space="preserve"> w</w:t>
      </w:r>
      <w:r w:rsidR="003F3D2B">
        <w:rPr>
          <w:noProof/>
        </w:rPr>
        <w:t> </w:t>
      </w:r>
      <w:r w:rsidR="003F3D2B" w:rsidRPr="00624565">
        <w:rPr>
          <w:noProof/>
        </w:rPr>
        <w:t>obl</w:t>
      </w:r>
      <w:r w:rsidRPr="00624565">
        <w:rPr>
          <w:noProof/>
        </w:rPr>
        <w:t>iczaniu</w:t>
      </w:r>
      <w:r w:rsidR="003F3D2B" w:rsidRPr="00624565">
        <w:rPr>
          <w:noProof/>
        </w:rPr>
        <w:t xml:space="preserve"> i</w:t>
      </w:r>
      <w:r w:rsidR="003F3D2B">
        <w:rPr>
          <w:noProof/>
        </w:rPr>
        <w:t> </w:t>
      </w:r>
      <w:r w:rsidR="003F3D2B" w:rsidRPr="00624565">
        <w:rPr>
          <w:noProof/>
        </w:rPr>
        <w:t>for</w:t>
      </w:r>
      <w:r w:rsidRPr="00624565">
        <w:rPr>
          <w:noProof/>
        </w:rPr>
        <w:t>mułowaniu wymogów informacyjnych</w:t>
      </w:r>
      <w:r w:rsidR="003F3D2B" w:rsidRPr="00624565">
        <w:rPr>
          <w:noProof/>
        </w:rPr>
        <w:t xml:space="preserve"> i</w:t>
      </w:r>
      <w:r w:rsidR="003F3D2B">
        <w:rPr>
          <w:noProof/>
        </w:rPr>
        <w:t> </w:t>
      </w:r>
      <w:r w:rsidR="003F3D2B" w:rsidRPr="00624565">
        <w:rPr>
          <w:noProof/>
        </w:rPr>
        <w:t>wym</w:t>
      </w:r>
      <w:r w:rsidRPr="00624565">
        <w:rPr>
          <w:noProof/>
        </w:rPr>
        <w:t>ogów dotyczących efektywności, np.</w:t>
      </w:r>
      <w:r w:rsidR="003F3D2B" w:rsidRPr="00624565">
        <w:rPr>
          <w:noProof/>
        </w:rPr>
        <w:t xml:space="preserve"> w</w:t>
      </w:r>
      <w:r w:rsidR="003F3D2B">
        <w:rPr>
          <w:noProof/>
        </w:rPr>
        <w:t> </w:t>
      </w:r>
      <w:r w:rsidR="003F3D2B" w:rsidRPr="00624565">
        <w:rPr>
          <w:noProof/>
        </w:rPr>
        <w:t>odn</w:t>
      </w:r>
      <w:r w:rsidRPr="00624565">
        <w:rPr>
          <w:noProof/>
        </w:rPr>
        <w:t>iesieniu do śladu węglowego</w:t>
      </w:r>
      <w:r w:rsidR="003F3D2B" w:rsidRPr="00624565">
        <w:rPr>
          <w:noProof/>
        </w:rPr>
        <w:t xml:space="preserve"> i</w:t>
      </w:r>
      <w:r w:rsidR="003F3D2B">
        <w:rPr>
          <w:noProof/>
        </w:rPr>
        <w:t> </w:t>
      </w:r>
      <w:r w:rsidR="003F3D2B" w:rsidRPr="00624565">
        <w:rPr>
          <w:noProof/>
        </w:rPr>
        <w:t>śro</w:t>
      </w:r>
      <w:r w:rsidRPr="00624565">
        <w:rPr>
          <w:noProof/>
        </w:rPr>
        <w:t>dowiskowego – jak przewidziano we wniosku dotyczącym rozporządzenia</w:t>
      </w:r>
      <w:r w:rsidR="003F3D2B" w:rsidRPr="00624565">
        <w:rPr>
          <w:noProof/>
        </w:rPr>
        <w:t xml:space="preserve"> w</w:t>
      </w:r>
      <w:r w:rsidR="003F3D2B">
        <w:rPr>
          <w:noProof/>
        </w:rPr>
        <w:t> </w:t>
      </w:r>
      <w:r w:rsidR="003F3D2B" w:rsidRPr="00624565">
        <w:rPr>
          <w:noProof/>
        </w:rPr>
        <w:t>spr</w:t>
      </w:r>
      <w:r w:rsidRPr="00624565">
        <w:rPr>
          <w:noProof/>
        </w:rPr>
        <w:t xml:space="preserve">awie ekoprojektu dla zrównoważonych produktów – na podstawie zharmonizowanego zbioru wysokiej jakości danych wtórnych. </w:t>
      </w:r>
    </w:p>
    <w:p w14:paraId="6C14D9B4" w14:textId="0DBF68DF" w:rsidR="009168C9" w:rsidRPr="00624565" w:rsidRDefault="009168C9" w:rsidP="006E3743">
      <w:pPr>
        <w:pStyle w:val="Bullet0"/>
        <w:rPr>
          <w:noProof/>
        </w:rPr>
      </w:pPr>
      <w:r w:rsidRPr="00624565">
        <w:rPr>
          <w:noProof/>
        </w:rPr>
        <w:t>Zakup badań</w:t>
      </w:r>
      <w:r w:rsidR="003F3D2B" w:rsidRPr="00624565">
        <w:rPr>
          <w:noProof/>
        </w:rPr>
        <w:t xml:space="preserve"> i</w:t>
      </w:r>
      <w:r w:rsidR="003F3D2B">
        <w:rPr>
          <w:noProof/>
        </w:rPr>
        <w:t> </w:t>
      </w:r>
      <w:r w:rsidR="003F3D2B" w:rsidRPr="00624565">
        <w:rPr>
          <w:noProof/>
        </w:rPr>
        <w:t>ank</w:t>
      </w:r>
      <w:r w:rsidRPr="00624565">
        <w:rPr>
          <w:noProof/>
        </w:rPr>
        <w:t>iet dotyczących stosowania metod uzasadniania przez zainteresowane strony oraz oceny dyrektywy</w:t>
      </w:r>
      <w:r w:rsidR="003F3D2B" w:rsidRPr="00624565">
        <w:rPr>
          <w:noProof/>
        </w:rPr>
        <w:t xml:space="preserve"> w</w:t>
      </w:r>
      <w:r w:rsidR="003F3D2B">
        <w:rPr>
          <w:noProof/>
        </w:rPr>
        <w:t> </w:t>
      </w:r>
      <w:r w:rsidR="003F3D2B" w:rsidRPr="00624565">
        <w:rPr>
          <w:noProof/>
        </w:rPr>
        <w:t>spr</w:t>
      </w:r>
      <w:r w:rsidRPr="00624565">
        <w:rPr>
          <w:noProof/>
        </w:rPr>
        <w:t>awie oświadczeń środowiskowych (0,150 mln EUR)</w:t>
      </w:r>
    </w:p>
    <w:p w14:paraId="76F0C90C" w14:textId="74B8871D" w:rsidR="009168C9" w:rsidRPr="00624565" w:rsidRDefault="009168C9" w:rsidP="006E3743">
      <w:pPr>
        <w:pStyle w:val="Bullet0"/>
        <w:rPr>
          <w:noProof/>
        </w:rPr>
      </w:pPr>
      <w:r w:rsidRPr="00624565">
        <w:rPr>
          <w:noProof/>
        </w:rPr>
        <w:t>Kluczową rolę we wspieraniu Komisji</w:t>
      </w:r>
      <w:r w:rsidR="003F3D2B" w:rsidRPr="00624565">
        <w:rPr>
          <w:noProof/>
        </w:rPr>
        <w:t xml:space="preserve"> w</w:t>
      </w:r>
      <w:r w:rsidR="003F3D2B">
        <w:rPr>
          <w:noProof/>
        </w:rPr>
        <w:t> </w:t>
      </w:r>
      <w:r w:rsidR="003F3D2B" w:rsidRPr="00624565">
        <w:rPr>
          <w:noProof/>
        </w:rPr>
        <w:t>nie</w:t>
      </w:r>
      <w:r w:rsidRPr="00624565">
        <w:rPr>
          <w:noProof/>
        </w:rPr>
        <w:t>których niezbędnych pracach technicznych odegra JRC. Oczekuje się, że porozumienie administracyjne będzie opiewało na kwotę około 1,700 mln EUR.</w:t>
      </w:r>
    </w:p>
    <w:p w14:paraId="0E5DB88A" w14:textId="4223CB55" w:rsidR="009168C9" w:rsidRPr="00624565" w:rsidRDefault="009168C9" w:rsidP="006E3743">
      <w:pPr>
        <w:pStyle w:val="Bullet0"/>
        <w:rPr>
          <w:noProof/>
        </w:rPr>
      </w:pPr>
      <w:r w:rsidRPr="00624565">
        <w:rPr>
          <w:noProof/>
        </w:rPr>
        <w:t>Istotnymi wydatkami będą również wydatki na wsparcie administracyjne</w:t>
      </w:r>
      <w:r w:rsidR="003F3D2B" w:rsidRPr="00624565">
        <w:rPr>
          <w:noProof/>
        </w:rPr>
        <w:t xml:space="preserve"> i</w:t>
      </w:r>
      <w:r w:rsidR="003F3D2B">
        <w:rPr>
          <w:noProof/>
        </w:rPr>
        <w:t> </w:t>
      </w:r>
      <w:r w:rsidR="003F3D2B" w:rsidRPr="00624565">
        <w:rPr>
          <w:noProof/>
        </w:rPr>
        <w:t>tec</w:t>
      </w:r>
      <w:r w:rsidRPr="00624565">
        <w:rPr>
          <w:noProof/>
        </w:rPr>
        <w:t>hniczne podczas przygotowywania aktów delegowanych zgodnie</w:t>
      </w:r>
      <w:r w:rsidR="003F3D2B" w:rsidRPr="00624565">
        <w:rPr>
          <w:noProof/>
        </w:rPr>
        <w:t xml:space="preserve"> z</w:t>
      </w:r>
      <w:r w:rsidR="003F3D2B">
        <w:rPr>
          <w:noProof/>
        </w:rPr>
        <w:t> </w:t>
      </w:r>
      <w:r w:rsidR="003F3D2B" w:rsidRPr="003F3D2B">
        <w:rPr>
          <w:noProof/>
        </w:rPr>
        <w:t>art</w:t>
      </w:r>
      <w:r w:rsidRPr="003F3D2B">
        <w:rPr>
          <w:noProof/>
        </w:rPr>
        <w:t>.</w:t>
      </w:r>
      <w:r w:rsidR="003F3D2B" w:rsidRPr="003F3D2B">
        <w:rPr>
          <w:noProof/>
        </w:rPr>
        <w:t> </w:t>
      </w:r>
      <w:r w:rsidRPr="003F3D2B">
        <w:rPr>
          <w:noProof/>
        </w:rPr>
        <w:t>3</w:t>
      </w:r>
      <w:r w:rsidRPr="00624565">
        <w:rPr>
          <w:noProof/>
        </w:rPr>
        <w:t xml:space="preserve"> </w:t>
      </w:r>
      <w:r w:rsidRPr="003F3D2B">
        <w:rPr>
          <w:noProof/>
        </w:rPr>
        <w:t>ust.</w:t>
      </w:r>
      <w:r w:rsidR="003F3D2B" w:rsidRPr="003F3D2B">
        <w:rPr>
          <w:noProof/>
        </w:rPr>
        <w:t> </w:t>
      </w:r>
      <w:r w:rsidRPr="003F3D2B">
        <w:rPr>
          <w:noProof/>
        </w:rPr>
        <w:t>4</w:t>
      </w:r>
      <w:r w:rsidR="003F3D2B" w:rsidRPr="00624565">
        <w:rPr>
          <w:noProof/>
        </w:rPr>
        <w:t xml:space="preserve"> w</w:t>
      </w:r>
      <w:r w:rsidR="003F3D2B">
        <w:rPr>
          <w:noProof/>
        </w:rPr>
        <w:t> </w:t>
      </w:r>
      <w:r w:rsidR="003F3D2B" w:rsidRPr="00624565">
        <w:rPr>
          <w:noProof/>
        </w:rPr>
        <w:t>spr</w:t>
      </w:r>
      <w:r w:rsidRPr="00624565">
        <w:rPr>
          <w:noProof/>
        </w:rPr>
        <w:t>awie dalszego doprecyzowania wymogów dotyczących uzasadniania wyraźnych oświadczeń środowiskowych, określających zasady oparte na cyklu życia dla określonych grup produktów lub sektorów</w:t>
      </w:r>
      <w:r w:rsidR="003F3D2B" w:rsidRPr="00624565">
        <w:rPr>
          <w:noProof/>
        </w:rPr>
        <w:t>. W</w:t>
      </w:r>
      <w:r w:rsidR="003F3D2B">
        <w:rPr>
          <w:noProof/>
        </w:rPr>
        <w:t> </w:t>
      </w:r>
      <w:r w:rsidR="003F3D2B" w:rsidRPr="00624565">
        <w:rPr>
          <w:noProof/>
        </w:rPr>
        <w:t>ram</w:t>
      </w:r>
      <w:r w:rsidRPr="00624565">
        <w:rPr>
          <w:noProof/>
        </w:rPr>
        <w:t>ach tej pozycji budżetowej uwzględniono przygotowanie sześciu takich aktów delegowanych (6,827 mln EUR)</w:t>
      </w:r>
    </w:p>
    <w:p w14:paraId="3C7D3E41" w14:textId="41B953FE" w:rsidR="009168C9" w:rsidRPr="00624565" w:rsidRDefault="009168C9" w:rsidP="006E3743">
      <w:pPr>
        <w:pStyle w:val="Bullet0"/>
        <w:rPr>
          <w:noProof/>
        </w:rPr>
      </w:pPr>
      <w:r w:rsidRPr="00624565">
        <w:rPr>
          <w:noProof/>
        </w:rPr>
        <w:t>Środki wspierające mające na celu pomoc MŚP</w:t>
      </w:r>
      <w:r w:rsidR="003F3D2B" w:rsidRPr="00624565">
        <w:rPr>
          <w:noProof/>
        </w:rPr>
        <w:t xml:space="preserve"> w</w:t>
      </w:r>
      <w:r w:rsidR="003F3D2B">
        <w:rPr>
          <w:noProof/>
        </w:rPr>
        <w:t> </w:t>
      </w:r>
      <w:r w:rsidR="003F3D2B" w:rsidRPr="00624565">
        <w:rPr>
          <w:noProof/>
        </w:rPr>
        <w:t>dos</w:t>
      </w:r>
      <w:r w:rsidRPr="00624565">
        <w:rPr>
          <w:noProof/>
        </w:rPr>
        <w:t>tosowaniu się do niniejszej dyrektywy,</w:t>
      </w:r>
      <w:r w:rsidR="003F3D2B" w:rsidRPr="00624565">
        <w:rPr>
          <w:noProof/>
        </w:rPr>
        <w:t xml:space="preserve"> w</w:t>
      </w:r>
      <w:r w:rsidR="003F3D2B">
        <w:rPr>
          <w:noProof/>
        </w:rPr>
        <w:t> </w:t>
      </w:r>
      <w:r w:rsidR="003F3D2B" w:rsidRPr="00624565">
        <w:rPr>
          <w:noProof/>
        </w:rPr>
        <w:t>tym</w:t>
      </w:r>
      <w:r w:rsidRPr="00624565">
        <w:rPr>
          <w:noProof/>
        </w:rPr>
        <w:t xml:space="preserve"> opracowanie narzędzi do obliczania opartych na wymogach opisanych</w:t>
      </w:r>
      <w:r w:rsidR="003F3D2B" w:rsidRPr="00624565">
        <w:rPr>
          <w:noProof/>
        </w:rPr>
        <w:t xml:space="preserve"> w</w:t>
      </w:r>
      <w:r w:rsidR="003F3D2B">
        <w:rPr>
          <w:noProof/>
        </w:rPr>
        <w:t> </w:t>
      </w:r>
      <w:r w:rsidR="003F3D2B" w:rsidRPr="00624565">
        <w:rPr>
          <w:noProof/>
        </w:rPr>
        <w:t>akt</w:t>
      </w:r>
      <w:r w:rsidRPr="00624565">
        <w:rPr>
          <w:noProof/>
        </w:rPr>
        <w:t>ach delegowanych zgodnie</w:t>
      </w:r>
      <w:r w:rsidR="003F3D2B" w:rsidRPr="00624565">
        <w:rPr>
          <w:noProof/>
        </w:rPr>
        <w:t xml:space="preserve"> z</w:t>
      </w:r>
      <w:r w:rsidR="003F3D2B">
        <w:rPr>
          <w:noProof/>
        </w:rPr>
        <w:t> </w:t>
      </w:r>
      <w:r w:rsidR="003F3D2B" w:rsidRPr="003F3D2B">
        <w:rPr>
          <w:noProof/>
        </w:rPr>
        <w:t>art</w:t>
      </w:r>
      <w:r w:rsidRPr="003F3D2B">
        <w:rPr>
          <w:noProof/>
        </w:rPr>
        <w:t>.</w:t>
      </w:r>
      <w:r w:rsidR="003F3D2B" w:rsidRPr="003F3D2B">
        <w:rPr>
          <w:noProof/>
        </w:rPr>
        <w:t> </w:t>
      </w:r>
      <w:r w:rsidRPr="003F3D2B">
        <w:rPr>
          <w:noProof/>
        </w:rPr>
        <w:t>3</w:t>
      </w:r>
      <w:r w:rsidRPr="00624565">
        <w:rPr>
          <w:noProof/>
        </w:rPr>
        <w:t xml:space="preserve"> </w:t>
      </w:r>
      <w:r w:rsidRPr="003F3D2B">
        <w:rPr>
          <w:noProof/>
        </w:rPr>
        <w:t>ust.</w:t>
      </w:r>
      <w:r w:rsidR="003F3D2B" w:rsidRPr="003F3D2B">
        <w:rPr>
          <w:noProof/>
        </w:rPr>
        <w:t> </w:t>
      </w:r>
      <w:r w:rsidRPr="003F3D2B">
        <w:rPr>
          <w:noProof/>
        </w:rPr>
        <w:t>4</w:t>
      </w:r>
      <w:r w:rsidRPr="00624565">
        <w:rPr>
          <w:noProof/>
        </w:rPr>
        <w:t xml:space="preserve"> (1,210 mln EUR).</w:t>
      </w:r>
    </w:p>
    <w:p w14:paraId="2BCA1F54" w14:textId="77777777" w:rsidR="009168C9" w:rsidRPr="00624565" w:rsidRDefault="009168C9" w:rsidP="009769E5">
      <w:pPr>
        <w:spacing w:before="0" w:after="0"/>
        <w:jc w:val="left"/>
        <w:rPr>
          <w:noProof/>
        </w:rPr>
      </w:pPr>
    </w:p>
    <w:tbl>
      <w:tblPr>
        <w:tblW w:w="11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14"/>
        <w:gridCol w:w="1659"/>
        <w:gridCol w:w="1559"/>
        <w:gridCol w:w="1276"/>
        <w:gridCol w:w="964"/>
        <w:gridCol w:w="1134"/>
        <w:gridCol w:w="2126"/>
      </w:tblGrid>
      <w:tr w:rsidR="009168C9" w:rsidRPr="00624565" w14:paraId="320872B1" w14:textId="77777777" w:rsidTr="006333CA">
        <w:trPr>
          <w:trHeight w:val="482"/>
        </w:trPr>
        <w:tc>
          <w:tcPr>
            <w:tcW w:w="3014" w:type="dxa"/>
            <w:tcBorders>
              <w:top w:val="single" w:sz="4" w:space="0" w:color="auto"/>
              <w:left w:val="single" w:sz="4" w:space="0" w:color="auto"/>
              <w:bottom w:val="single" w:sz="4" w:space="0" w:color="auto"/>
              <w:right w:val="single" w:sz="4" w:space="0" w:color="auto"/>
            </w:tcBorders>
            <w:vAlign w:val="center"/>
            <w:hideMark/>
          </w:tcPr>
          <w:p w14:paraId="04209995" w14:textId="77777777" w:rsidR="009168C9" w:rsidRPr="00624565" w:rsidRDefault="009168C9" w:rsidP="006333CA">
            <w:pPr>
              <w:spacing w:line="276" w:lineRule="auto"/>
              <w:jc w:val="center"/>
              <w:rPr>
                <w:b/>
                <w:bCs/>
                <w:noProof/>
              </w:rPr>
            </w:pPr>
            <w:r w:rsidRPr="00624565">
              <w:rPr>
                <w:b/>
                <w:noProof/>
                <w:sz w:val="22"/>
              </w:rPr>
              <w:t>Agencja: EEA</w:t>
            </w:r>
          </w:p>
        </w:tc>
        <w:tc>
          <w:tcPr>
            <w:tcW w:w="1659" w:type="dxa"/>
            <w:tcBorders>
              <w:top w:val="single" w:sz="4" w:space="0" w:color="auto"/>
              <w:left w:val="single" w:sz="4" w:space="0" w:color="auto"/>
              <w:bottom w:val="single" w:sz="4" w:space="0" w:color="auto"/>
              <w:right w:val="single" w:sz="4" w:space="0" w:color="auto"/>
            </w:tcBorders>
          </w:tcPr>
          <w:p w14:paraId="71B0A837" w14:textId="77777777" w:rsidR="009168C9" w:rsidRPr="00624565" w:rsidRDefault="009168C9" w:rsidP="006333CA">
            <w:pPr>
              <w:spacing w:line="276" w:lineRule="auto"/>
              <w:rPr>
                <w:noProof/>
                <w:sz w:val="20"/>
              </w:rPr>
            </w:pPr>
          </w:p>
        </w:tc>
        <w:tc>
          <w:tcPr>
            <w:tcW w:w="1559" w:type="dxa"/>
            <w:tcBorders>
              <w:top w:val="single" w:sz="4" w:space="0" w:color="auto"/>
              <w:left w:val="single" w:sz="4" w:space="0" w:color="auto"/>
              <w:bottom w:val="single" w:sz="4" w:space="0" w:color="auto"/>
              <w:right w:val="single" w:sz="4" w:space="0" w:color="auto"/>
            </w:tcBorders>
          </w:tcPr>
          <w:p w14:paraId="213243F0" w14:textId="77777777" w:rsidR="009168C9" w:rsidRPr="00624565" w:rsidRDefault="009168C9" w:rsidP="006333CA">
            <w:pPr>
              <w:spacing w:line="276" w:lineRule="auto"/>
              <w:jc w:val="center"/>
              <w:rPr>
                <w:noProof/>
                <w:sz w:val="20"/>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20650EB4" w14:textId="77777777" w:rsidR="009168C9" w:rsidRPr="00624565" w:rsidRDefault="009168C9" w:rsidP="006333CA">
            <w:pPr>
              <w:spacing w:line="276" w:lineRule="auto"/>
              <w:jc w:val="center"/>
              <w:rPr>
                <w:noProof/>
                <w:sz w:val="20"/>
              </w:rPr>
            </w:pPr>
            <w:r w:rsidRPr="00624565">
              <w:rPr>
                <w:b/>
                <w:noProof/>
                <w:sz w:val="20"/>
              </w:rPr>
              <w:t>2025</w:t>
            </w:r>
          </w:p>
        </w:tc>
        <w:tc>
          <w:tcPr>
            <w:tcW w:w="964" w:type="dxa"/>
            <w:tcBorders>
              <w:top w:val="single" w:sz="4" w:space="0" w:color="auto"/>
              <w:left w:val="single" w:sz="4" w:space="0" w:color="auto"/>
              <w:bottom w:val="single" w:sz="4" w:space="0" w:color="auto"/>
              <w:right w:val="single" w:sz="4" w:space="0" w:color="auto"/>
            </w:tcBorders>
            <w:vAlign w:val="center"/>
            <w:hideMark/>
          </w:tcPr>
          <w:p w14:paraId="5FF1D1ED" w14:textId="77777777" w:rsidR="009168C9" w:rsidRPr="00624565" w:rsidRDefault="009168C9" w:rsidP="006333CA">
            <w:pPr>
              <w:spacing w:line="276" w:lineRule="auto"/>
              <w:jc w:val="center"/>
              <w:rPr>
                <w:noProof/>
                <w:sz w:val="20"/>
              </w:rPr>
            </w:pPr>
            <w:r w:rsidRPr="00624565">
              <w:rPr>
                <w:b/>
                <w:noProof/>
                <w:sz w:val="20"/>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B0F5653" w14:textId="77777777" w:rsidR="009168C9" w:rsidRPr="00624565" w:rsidRDefault="009168C9" w:rsidP="006333CA">
            <w:pPr>
              <w:spacing w:line="276" w:lineRule="auto"/>
              <w:jc w:val="center"/>
              <w:rPr>
                <w:noProof/>
                <w:sz w:val="20"/>
              </w:rPr>
            </w:pPr>
            <w:r w:rsidRPr="00624565">
              <w:rPr>
                <w:b/>
                <w:noProof/>
                <w:sz w:val="20"/>
              </w:rPr>
              <w:t>2027</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66F9733" w14:textId="77777777" w:rsidR="009168C9" w:rsidRPr="00624565" w:rsidRDefault="009168C9" w:rsidP="006333CA">
            <w:pPr>
              <w:spacing w:line="276" w:lineRule="auto"/>
              <w:jc w:val="center"/>
              <w:rPr>
                <w:b/>
                <w:noProof/>
                <w:sz w:val="20"/>
              </w:rPr>
            </w:pPr>
            <w:r w:rsidRPr="00624565">
              <w:rPr>
                <w:b/>
                <w:noProof/>
                <w:sz w:val="20"/>
              </w:rPr>
              <w:t>OGÓŁEM</w:t>
            </w:r>
          </w:p>
        </w:tc>
      </w:tr>
      <w:tr w:rsidR="009168C9" w:rsidRPr="00624565" w14:paraId="76E21989" w14:textId="77777777" w:rsidTr="006333CA">
        <w:trPr>
          <w:trHeight w:val="210"/>
        </w:trPr>
        <w:tc>
          <w:tcPr>
            <w:tcW w:w="6232" w:type="dxa"/>
            <w:gridSpan w:val="3"/>
            <w:tcBorders>
              <w:top w:val="single" w:sz="4" w:space="0" w:color="auto"/>
              <w:left w:val="single" w:sz="4" w:space="0" w:color="auto"/>
              <w:bottom w:val="single" w:sz="4" w:space="0" w:color="auto"/>
              <w:right w:val="single" w:sz="4" w:space="0" w:color="auto"/>
            </w:tcBorders>
            <w:vAlign w:val="center"/>
          </w:tcPr>
          <w:p w14:paraId="0924D130" w14:textId="77777777" w:rsidR="009168C9" w:rsidRPr="00624565" w:rsidRDefault="009168C9" w:rsidP="006333CA">
            <w:pPr>
              <w:spacing w:before="20" w:after="20" w:line="276" w:lineRule="auto"/>
              <w:rPr>
                <w:noProof/>
                <w:sz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6479CC97" w14:textId="77777777" w:rsidR="009168C9" w:rsidRPr="00624565" w:rsidRDefault="009168C9" w:rsidP="006333CA">
            <w:pPr>
              <w:spacing w:line="276" w:lineRule="auto"/>
              <w:rPr>
                <w:noProof/>
                <w:sz w:val="20"/>
              </w:rPr>
            </w:pPr>
          </w:p>
        </w:tc>
        <w:tc>
          <w:tcPr>
            <w:tcW w:w="964" w:type="dxa"/>
            <w:tcBorders>
              <w:top w:val="single" w:sz="4" w:space="0" w:color="auto"/>
              <w:left w:val="single" w:sz="4" w:space="0" w:color="auto"/>
              <w:bottom w:val="single" w:sz="4" w:space="0" w:color="auto"/>
              <w:right w:val="single" w:sz="4" w:space="0" w:color="auto"/>
            </w:tcBorders>
            <w:vAlign w:val="center"/>
          </w:tcPr>
          <w:p w14:paraId="2FAAB8DD" w14:textId="77777777" w:rsidR="009168C9" w:rsidRPr="00624565" w:rsidRDefault="009168C9" w:rsidP="006333CA">
            <w:pPr>
              <w:spacing w:line="276" w:lineRule="auto"/>
              <w:rPr>
                <w:noProof/>
                <w:sz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4382C15D" w14:textId="77777777" w:rsidR="009168C9" w:rsidRPr="00624565" w:rsidRDefault="009168C9" w:rsidP="006333CA">
            <w:pPr>
              <w:spacing w:line="276" w:lineRule="auto"/>
              <w:rPr>
                <w:noProof/>
                <w:sz w:val="20"/>
              </w:rPr>
            </w:pPr>
          </w:p>
        </w:tc>
        <w:tc>
          <w:tcPr>
            <w:tcW w:w="2126" w:type="dxa"/>
            <w:tcBorders>
              <w:top w:val="single" w:sz="4" w:space="0" w:color="auto"/>
              <w:left w:val="single" w:sz="4" w:space="0" w:color="auto"/>
              <w:bottom w:val="single" w:sz="4" w:space="0" w:color="auto"/>
              <w:right w:val="single" w:sz="4" w:space="0" w:color="auto"/>
            </w:tcBorders>
            <w:vAlign w:val="center"/>
          </w:tcPr>
          <w:p w14:paraId="0A40E6C7" w14:textId="77777777" w:rsidR="009168C9" w:rsidRPr="00624565" w:rsidRDefault="009168C9" w:rsidP="006333CA">
            <w:pPr>
              <w:spacing w:line="276" w:lineRule="auto"/>
              <w:rPr>
                <w:b/>
                <w:noProof/>
                <w:sz w:val="20"/>
              </w:rPr>
            </w:pPr>
          </w:p>
        </w:tc>
      </w:tr>
      <w:tr w:rsidR="009168C9" w:rsidRPr="00624565" w14:paraId="7C6A49E7" w14:textId="77777777" w:rsidTr="006333CA">
        <w:trPr>
          <w:trHeight w:val="273"/>
        </w:trPr>
        <w:tc>
          <w:tcPr>
            <w:tcW w:w="3014" w:type="dxa"/>
            <w:vMerge w:val="restart"/>
            <w:tcBorders>
              <w:top w:val="single" w:sz="4" w:space="0" w:color="auto"/>
              <w:left w:val="single" w:sz="4" w:space="0" w:color="auto"/>
              <w:bottom w:val="single" w:sz="4" w:space="0" w:color="auto"/>
              <w:right w:val="single" w:sz="4" w:space="0" w:color="auto"/>
            </w:tcBorders>
            <w:vAlign w:val="center"/>
            <w:hideMark/>
          </w:tcPr>
          <w:p w14:paraId="5AFA9447" w14:textId="77777777" w:rsidR="009168C9" w:rsidRPr="00624565" w:rsidRDefault="009168C9" w:rsidP="006333CA">
            <w:pPr>
              <w:spacing w:line="276" w:lineRule="auto"/>
              <w:rPr>
                <w:noProof/>
              </w:rPr>
            </w:pPr>
            <w:r w:rsidRPr="00624565">
              <w:rPr>
                <w:noProof/>
                <w:sz w:val="20"/>
              </w:rPr>
              <w:t>Tytuł 1: Wydatki na personel</w:t>
            </w:r>
          </w:p>
        </w:tc>
        <w:tc>
          <w:tcPr>
            <w:tcW w:w="1659" w:type="dxa"/>
            <w:tcBorders>
              <w:top w:val="single" w:sz="4" w:space="0" w:color="auto"/>
              <w:left w:val="single" w:sz="4" w:space="0" w:color="auto"/>
              <w:bottom w:val="single" w:sz="4" w:space="0" w:color="auto"/>
              <w:right w:val="single" w:sz="4" w:space="0" w:color="auto"/>
            </w:tcBorders>
            <w:vAlign w:val="center"/>
            <w:hideMark/>
          </w:tcPr>
          <w:p w14:paraId="5A175D34" w14:textId="77777777" w:rsidR="009168C9" w:rsidRPr="00624565" w:rsidRDefault="009168C9" w:rsidP="006333CA">
            <w:pPr>
              <w:spacing w:before="20" w:after="20" w:line="276" w:lineRule="auto"/>
              <w:rPr>
                <w:noProof/>
                <w:sz w:val="18"/>
              </w:rPr>
            </w:pPr>
            <w:r w:rsidRPr="00624565">
              <w:rPr>
                <w:noProof/>
                <w:sz w:val="18"/>
              </w:rPr>
              <w:t>Środki na zobowiązania</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D5F85EE" w14:textId="77777777" w:rsidR="009168C9" w:rsidRPr="00624565" w:rsidRDefault="009168C9" w:rsidP="006333CA">
            <w:pPr>
              <w:spacing w:before="20" w:after="20" w:line="276" w:lineRule="auto"/>
              <w:jc w:val="center"/>
              <w:rPr>
                <w:noProof/>
                <w:sz w:val="14"/>
              </w:rPr>
            </w:pPr>
            <w:r w:rsidRPr="00624565">
              <w:rPr>
                <w:noProof/>
                <w:sz w:val="14"/>
              </w:rPr>
              <w:t>(1a)</w:t>
            </w:r>
          </w:p>
        </w:tc>
        <w:tc>
          <w:tcPr>
            <w:tcW w:w="1276" w:type="dxa"/>
            <w:tcBorders>
              <w:top w:val="single" w:sz="4" w:space="0" w:color="auto"/>
              <w:left w:val="single" w:sz="4" w:space="0" w:color="auto"/>
              <w:bottom w:val="single" w:sz="4" w:space="0" w:color="auto"/>
              <w:right w:val="single" w:sz="4" w:space="0" w:color="auto"/>
            </w:tcBorders>
            <w:vAlign w:val="bottom"/>
            <w:hideMark/>
          </w:tcPr>
          <w:p w14:paraId="64A1E6D5" w14:textId="77777777" w:rsidR="009168C9" w:rsidRPr="00624565" w:rsidRDefault="009168C9" w:rsidP="006333CA">
            <w:pPr>
              <w:spacing w:before="20" w:after="20" w:line="276" w:lineRule="auto"/>
              <w:jc w:val="right"/>
              <w:rPr>
                <w:noProof/>
                <w:sz w:val="20"/>
                <w:szCs w:val="20"/>
              </w:rPr>
            </w:pPr>
            <w:r w:rsidRPr="00624565">
              <w:rPr>
                <w:noProof/>
                <w:sz w:val="20"/>
              </w:rPr>
              <w:t>0,180</w:t>
            </w:r>
          </w:p>
        </w:tc>
        <w:tc>
          <w:tcPr>
            <w:tcW w:w="964" w:type="dxa"/>
            <w:tcBorders>
              <w:top w:val="single" w:sz="4" w:space="0" w:color="auto"/>
              <w:left w:val="single" w:sz="4" w:space="0" w:color="auto"/>
              <w:bottom w:val="single" w:sz="4" w:space="0" w:color="auto"/>
              <w:right w:val="single" w:sz="4" w:space="0" w:color="auto"/>
            </w:tcBorders>
            <w:vAlign w:val="bottom"/>
            <w:hideMark/>
          </w:tcPr>
          <w:p w14:paraId="32215E62" w14:textId="77777777" w:rsidR="009168C9" w:rsidRPr="00624565" w:rsidRDefault="009168C9" w:rsidP="006333CA">
            <w:pPr>
              <w:spacing w:before="20" w:after="20" w:line="276" w:lineRule="auto"/>
              <w:jc w:val="right"/>
              <w:rPr>
                <w:noProof/>
                <w:sz w:val="20"/>
                <w:szCs w:val="20"/>
              </w:rPr>
            </w:pPr>
            <w:r w:rsidRPr="00624565">
              <w:rPr>
                <w:noProof/>
                <w:sz w:val="20"/>
              </w:rPr>
              <w:t>0,367</w:t>
            </w:r>
          </w:p>
        </w:tc>
        <w:tc>
          <w:tcPr>
            <w:tcW w:w="1134" w:type="dxa"/>
            <w:tcBorders>
              <w:top w:val="single" w:sz="4" w:space="0" w:color="auto"/>
              <w:left w:val="single" w:sz="4" w:space="0" w:color="auto"/>
              <w:bottom w:val="single" w:sz="4" w:space="0" w:color="auto"/>
              <w:right w:val="single" w:sz="4" w:space="0" w:color="auto"/>
            </w:tcBorders>
            <w:vAlign w:val="bottom"/>
            <w:hideMark/>
          </w:tcPr>
          <w:p w14:paraId="452EA9BF" w14:textId="77777777" w:rsidR="009168C9" w:rsidRPr="00624565" w:rsidRDefault="009168C9" w:rsidP="006333CA">
            <w:pPr>
              <w:spacing w:before="20" w:after="20" w:line="276" w:lineRule="auto"/>
              <w:jc w:val="right"/>
              <w:rPr>
                <w:noProof/>
                <w:sz w:val="20"/>
                <w:szCs w:val="20"/>
              </w:rPr>
            </w:pPr>
            <w:r w:rsidRPr="00624565">
              <w:rPr>
                <w:noProof/>
                <w:sz w:val="20"/>
              </w:rPr>
              <w:t>0,375</w:t>
            </w:r>
          </w:p>
        </w:tc>
        <w:tc>
          <w:tcPr>
            <w:tcW w:w="2126" w:type="dxa"/>
            <w:tcBorders>
              <w:top w:val="single" w:sz="4" w:space="0" w:color="auto"/>
              <w:left w:val="single" w:sz="4" w:space="0" w:color="auto"/>
              <w:bottom w:val="single" w:sz="4" w:space="0" w:color="auto"/>
              <w:right w:val="single" w:sz="4" w:space="0" w:color="auto"/>
            </w:tcBorders>
            <w:vAlign w:val="bottom"/>
            <w:hideMark/>
          </w:tcPr>
          <w:p w14:paraId="2A32DD8E" w14:textId="77777777" w:rsidR="009168C9" w:rsidRPr="00624565" w:rsidRDefault="009168C9" w:rsidP="006333CA">
            <w:pPr>
              <w:spacing w:before="20" w:after="20" w:line="276" w:lineRule="auto"/>
              <w:jc w:val="right"/>
              <w:rPr>
                <w:b/>
                <w:noProof/>
                <w:sz w:val="20"/>
                <w:szCs w:val="20"/>
              </w:rPr>
            </w:pPr>
            <w:r w:rsidRPr="00624565">
              <w:rPr>
                <w:b/>
                <w:noProof/>
                <w:sz w:val="20"/>
              </w:rPr>
              <w:t>0,922</w:t>
            </w:r>
          </w:p>
        </w:tc>
      </w:tr>
      <w:tr w:rsidR="009168C9" w:rsidRPr="00624565" w14:paraId="5C2DF696" w14:textId="77777777" w:rsidTr="006333CA">
        <w:trPr>
          <w:trHeight w:val="281"/>
        </w:trPr>
        <w:tc>
          <w:tcPr>
            <w:tcW w:w="3014" w:type="dxa"/>
            <w:vMerge/>
            <w:vAlign w:val="center"/>
            <w:hideMark/>
          </w:tcPr>
          <w:p w14:paraId="14A22166" w14:textId="77777777" w:rsidR="009168C9" w:rsidRPr="00624565" w:rsidRDefault="009168C9" w:rsidP="006333CA">
            <w:pPr>
              <w:spacing w:before="0" w:after="0" w:line="276" w:lineRule="auto"/>
              <w:jc w:val="left"/>
              <w:rPr>
                <w:noProof/>
              </w:rPr>
            </w:pPr>
          </w:p>
        </w:tc>
        <w:tc>
          <w:tcPr>
            <w:tcW w:w="1659" w:type="dxa"/>
            <w:tcBorders>
              <w:top w:val="single" w:sz="4" w:space="0" w:color="auto"/>
              <w:left w:val="single" w:sz="4" w:space="0" w:color="auto"/>
              <w:bottom w:val="single" w:sz="4" w:space="0" w:color="auto"/>
              <w:right w:val="single" w:sz="4" w:space="0" w:color="auto"/>
            </w:tcBorders>
            <w:vAlign w:val="center"/>
            <w:hideMark/>
          </w:tcPr>
          <w:p w14:paraId="2AE810E9" w14:textId="77777777" w:rsidR="009168C9" w:rsidRPr="00624565" w:rsidRDefault="009168C9" w:rsidP="006333CA">
            <w:pPr>
              <w:spacing w:before="20" w:after="20" w:line="276" w:lineRule="auto"/>
              <w:rPr>
                <w:noProof/>
                <w:sz w:val="18"/>
              </w:rPr>
            </w:pPr>
            <w:r w:rsidRPr="00624565">
              <w:rPr>
                <w:noProof/>
                <w:sz w:val="18"/>
              </w:rPr>
              <w:t>Środki na płatności</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3DD7FBB" w14:textId="77777777" w:rsidR="009168C9" w:rsidRPr="00624565" w:rsidRDefault="009168C9" w:rsidP="006333CA">
            <w:pPr>
              <w:spacing w:before="20" w:after="20" w:line="276" w:lineRule="auto"/>
              <w:jc w:val="center"/>
              <w:rPr>
                <w:noProof/>
                <w:sz w:val="14"/>
              </w:rPr>
            </w:pPr>
            <w:r w:rsidRPr="00624565">
              <w:rPr>
                <w:noProof/>
                <w:sz w:val="14"/>
              </w:rPr>
              <w:t>(2a)</w:t>
            </w:r>
          </w:p>
        </w:tc>
        <w:tc>
          <w:tcPr>
            <w:tcW w:w="1276" w:type="dxa"/>
            <w:tcBorders>
              <w:top w:val="single" w:sz="4" w:space="0" w:color="auto"/>
              <w:left w:val="single" w:sz="4" w:space="0" w:color="auto"/>
              <w:bottom w:val="single" w:sz="4" w:space="0" w:color="auto"/>
              <w:right w:val="single" w:sz="4" w:space="0" w:color="auto"/>
            </w:tcBorders>
            <w:vAlign w:val="bottom"/>
            <w:hideMark/>
          </w:tcPr>
          <w:p w14:paraId="0379EE8C" w14:textId="77777777" w:rsidR="009168C9" w:rsidRPr="00624565" w:rsidRDefault="009168C9" w:rsidP="006333CA">
            <w:pPr>
              <w:spacing w:before="20" w:after="20" w:line="276" w:lineRule="auto"/>
              <w:jc w:val="right"/>
              <w:rPr>
                <w:noProof/>
                <w:sz w:val="20"/>
                <w:szCs w:val="20"/>
              </w:rPr>
            </w:pPr>
            <w:r w:rsidRPr="00624565">
              <w:rPr>
                <w:noProof/>
                <w:sz w:val="20"/>
              </w:rPr>
              <w:t>0,180</w:t>
            </w:r>
          </w:p>
        </w:tc>
        <w:tc>
          <w:tcPr>
            <w:tcW w:w="964" w:type="dxa"/>
            <w:tcBorders>
              <w:top w:val="single" w:sz="4" w:space="0" w:color="auto"/>
              <w:left w:val="single" w:sz="4" w:space="0" w:color="auto"/>
              <w:bottom w:val="single" w:sz="4" w:space="0" w:color="auto"/>
              <w:right w:val="single" w:sz="4" w:space="0" w:color="auto"/>
            </w:tcBorders>
            <w:vAlign w:val="bottom"/>
            <w:hideMark/>
          </w:tcPr>
          <w:p w14:paraId="77C11A84" w14:textId="77777777" w:rsidR="009168C9" w:rsidRPr="00624565" w:rsidRDefault="009168C9" w:rsidP="006333CA">
            <w:pPr>
              <w:spacing w:before="20" w:after="20" w:line="276" w:lineRule="auto"/>
              <w:jc w:val="right"/>
              <w:rPr>
                <w:noProof/>
                <w:sz w:val="20"/>
                <w:szCs w:val="20"/>
              </w:rPr>
            </w:pPr>
            <w:r w:rsidRPr="00624565">
              <w:rPr>
                <w:noProof/>
                <w:sz w:val="20"/>
              </w:rPr>
              <w:t>0,367</w:t>
            </w:r>
          </w:p>
        </w:tc>
        <w:tc>
          <w:tcPr>
            <w:tcW w:w="1134" w:type="dxa"/>
            <w:tcBorders>
              <w:top w:val="single" w:sz="4" w:space="0" w:color="auto"/>
              <w:left w:val="single" w:sz="4" w:space="0" w:color="auto"/>
              <w:bottom w:val="single" w:sz="4" w:space="0" w:color="auto"/>
              <w:right w:val="single" w:sz="4" w:space="0" w:color="auto"/>
            </w:tcBorders>
            <w:vAlign w:val="bottom"/>
            <w:hideMark/>
          </w:tcPr>
          <w:p w14:paraId="462339DB" w14:textId="77777777" w:rsidR="009168C9" w:rsidRPr="00624565" w:rsidRDefault="009168C9" w:rsidP="006333CA">
            <w:pPr>
              <w:spacing w:before="20" w:after="20" w:line="276" w:lineRule="auto"/>
              <w:jc w:val="right"/>
              <w:rPr>
                <w:noProof/>
                <w:sz w:val="20"/>
                <w:szCs w:val="20"/>
              </w:rPr>
            </w:pPr>
            <w:r w:rsidRPr="00624565">
              <w:rPr>
                <w:noProof/>
                <w:sz w:val="20"/>
              </w:rPr>
              <w:t>0,375</w:t>
            </w:r>
          </w:p>
        </w:tc>
        <w:tc>
          <w:tcPr>
            <w:tcW w:w="2126" w:type="dxa"/>
            <w:tcBorders>
              <w:top w:val="single" w:sz="4" w:space="0" w:color="auto"/>
              <w:left w:val="single" w:sz="4" w:space="0" w:color="auto"/>
              <w:bottom w:val="single" w:sz="4" w:space="0" w:color="auto"/>
              <w:right w:val="single" w:sz="4" w:space="0" w:color="auto"/>
            </w:tcBorders>
            <w:vAlign w:val="bottom"/>
            <w:hideMark/>
          </w:tcPr>
          <w:p w14:paraId="506F62CB" w14:textId="77777777" w:rsidR="009168C9" w:rsidRPr="00624565" w:rsidRDefault="009168C9" w:rsidP="006333CA">
            <w:pPr>
              <w:spacing w:before="20" w:after="20" w:line="276" w:lineRule="auto"/>
              <w:jc w:val="right"/>
              <w:rPr>
                <w:noProof/>
                <w:sz w:val="20"/>
                <w:szCs w:val="20"/>
              </w:rPr>
            </w:pPr>
            <w:r w:rsidRPr="00624565">
              <w:rPr>
                <w:noProof/>
                <w:sz w:val="20"/>
              </w:rPr>
              <w:t>0,922</w:t>
            </w:r>
          </w:p>
        </w:tc>
      </w:tr>
      <w:tr w:rsidR="009168C9" w:rsidRPr="00624565" w14:paraId="381885B2" w14:textId="77777777" w:rsidTr="006333CA">
        <w:trPr>
          <w:trHeight w:val="268"/>
        </w:trPr>
        <w:tc>
          <w:tcPr>
            <w:tcW w:w="3014" w:type="dxa"/>
            <w:vMerge w:val="restart"/>
            <w:tcBorders>
              <w:top w:val="single" w:sz="4" w:space="0" w:color="auto"/>
              <w:left w:val="single" w:sz="4" w:space="0" w:color="auto"/>
              <w:bottom w:val="single" w:sz="4" w:space="0" w:color="auto"/>
              <w:right w:val="single" w:sz="4" w:space="0" w:color="auto"/>
            </w:tcBorders>
            <w:vAlign w:val="center"/>
            <w:hideMark/>
          </w:tcPr>
          <w:p w14:paraId="6A59C775" w14:textId="77777777" w:rsidR="009168C9" w:rsidRPr="00624565" w:rsidRDefault="009168C9" w:rsidP="006333CA">
            <w:pPr>
              <w:spacing w:line="276" w:lineRule="auto"/>
              <w:rPr>
                <w:noProof/>
                <w:sz w:val="20"/>
              </w:rPr>
            </w:pPr>
            <w:r w:rsidRPr="00624565">
              <w:rPr>
                <w:noProof/>
                <w:sz w:val="20"/>
              </w:rPr>
              <w:t>Tytuł 2: Infrastruktura</w:t>
            </w:r>
          </w:p>
        </w:tc>
        <w:tc>
          <w:tcPr>
            <w:tcW w:w="1659" w:type="dxa"/>
            <w:tcBorders>
              <w:top w:val="single" w:sz="4" w:space="0" w:color="auto"/>
              <w:left w:val="single" w:sz="4" w:space="0" w:color="auto"/>
              <w:bottom w:val="single" w:sz="4" w:space="0" w:color="auto"/>
              <w:right w:val="single" w:sz="4" w:space="0" w:color="auto"/>
            </w:tcBorders>
            <w:vAlign w:val="center"/>
            <w:hideMark/>
          </w:tcPr>
          <w:p w14:paraId="1145D416" w14:textId="77777777" w:rsidR="009168C9" w:rsidRPr="00624565" w:rsidRDefault="009168C9" w:rsidP="006333CA">
            <w:pPr>
              <w:spacing w:before="20" w:after="20" w:line="276" w:lineRule="auto"/>
              <w:rPr>
                <w:noProof/>
                <w:sz w:val="18"/>
              </w:rPr>
            </w:pPr>
            <w:r w:rsidRPr="00624565">
              <w:rPr>
                <w:noProof/>
                <w:sz w:val="18"/>
              </w:rPr>
              <w:t>Środki na zobowiązania</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EE5F7C8" w14:textId="77777777" w:rsidR="009168C9" w:rsidRPr="00624565" w:rsidRDefault="009168C9" w:rsidP="006333CA">
            <w:pPr>
              <w:spacing w:before="20" w:after="20" w:line="276" w:lineRule="auto"/>
              <w:jc w:val="center"/>
              <w:rPr>
                <w:noProof/>
                <w:sz w:val="14"/>
              </w:rPr>
            </w:pPr>
            <w:r w:rsidRPr="00624565">
              <w:rPr>
                <w:noProof/>
                <w:sz w:val="14"/>
              </w:rPr>
              <w:t>(1b)</w:t>
            </w:r>
          </w:p>
        </w:tc>
        <w:tc>
          <w:tcPr>
            <w:tcW w:w="1276" w:type="dxa"/>
            <w:tcBorders>
              <w:top w:val="single" w:sz="4" w:space="0" w:color="auto"/>
              <w:left w:val="single" w:sz="4" w:space="0" w:color="auto"/>
              <w:bottom w:val="single" w:sz="4" w:space="0" w:color="auto"/>
              <w:right w:val="single" w:sz="4" w:space="0" w:color="auto"/>
            </w:tcBorders>
            <w:vAlign w:val="center"/>
          </w:tcPr>
          <w:p w14:paraId="175F7871" w14:textId="77777777" w:rsidR="009168C9" w:rsidRPr="00624565" w:rsidRDefault="009168C9" w:rsidP="006333CA">
            <w:pPr>
              <w:spacing w:before="20" w:after="20" w:line="276" w:lineRule="auto"/>
              <w:jc w:val="right"/>
              <w:rPr>
                <w:noProof/>
                <w:sz w:val="20"/>
              </w:rPr>
            </w:pPr>
          </w:p>
        </w:tc>
        <w:tc>
          <w:tcPr>
            <w:tcW w:w="964" w:type="dxa"/>
            <w:tcBorders>
              <w:top w:val="single" w:sz="4" w:space="0" w:color="auto"/>
              <w:left w:val="single" w:sz="4" w:space="0" w:color="auto"/>
              <w:bottom w:val="single" w:sz="4" w:space="0" w:color="auto"/>
              <w:right w:val="single" w:sz="4" w:space="0" w:color="auto"/>
            </w:tcBorders>
            <w:vAlign w:val="center"/>
          </w:tcPr>
          <w:p w14:paraId="449C5726" w14:textId="77777777" w:rsidR="009168C9" w:rsidRPr="00624565" w:rsidRDefault="009168C9" w:rsidP="006333CA">
            <w:pPr>
              <w:spacing w:before="20" w:after="20" w:line="276" w:lineRule="auto"/>
              <w:jc w:val="right"/>
              <w:rPr>
                <w:noProof/>
                <w:sz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3CC82D50" w14:textId="77777777" w:rsidR="009168C9" w:rsidRPr="00624565" w:rsidRDefault="009168C9" w:rsidP="006333CA">
            <w:pPr>
              <w:spacing w:before="20" w:after="20" w:line="276" w:lineRule="auto"/>
              <w:jc w:val="right"/>
              <w:rPr>
                <w:noProof/>
                <w:sz w:val="20"/>
              </w:rPr>
            </w:pPr>
          </w:p>
        </w:tc>
        <w:tc>
          <w:tcPr>
            <w:tcW w:w="2126" w:type="dxa"/>
            <w:tcBorders>
              <w:top w:val="single" w:sz="4" w:space="0" w:color="auto"/>
              <w:left w:val="single" w:sz="4" w:space="0" w:color="auto"/>
              <w:bottom w:val="single" w:sz="4" w:space="0" w:color="auto"/>
              <w:right w:val="single" w:sz="4" w:space="0" w:color="auto"/>
            </w:tcBorders>
            <w:vAlign w:val="center"/>
          </w:tcPr>
          <w:p w14:paraId="667F2E1A" w14:textId="77777777" w:rsidR="009168C9" w:rsidRPr="00624565" w:rsidRDefault="009168C9" w:rsidP="006333CA">
            <w:pPr>
              <w:spacing w:before="20" w:after="20" w:line="276" w:lineRule="auto"/>
              <w:rPr>
                <w:b/>
                <w:noProof/>
                <w:sz w:val="20"/>
              </w:rPr>
            </w:pPr>
          </w:p>
        </w:tc>
      </w:tr>
      <w:tr w:rsidR="009168C9" w:rsidRPr="00624565" w14:paraId="53DA1548" w14:textId="77777777" w:rsidTr="006333CA">
        <w:trPr>
          <w:trHeight w:val="268"/>
        </w:trPr>
        <w:tc>
          <w:tcPr>
            <w:tcW w:w="3014" w:type="dxa"/>
            <w:vMerge/>
            <w:vAlign w:val="center"/>
            <w:hideMark/>
          </w:tcPr>
          <w:p w14:paraId="1FCDC6DF" w14:textId="77777777" w:rsidR="009168C9" w:rsidRPr="00624565" w:rsidRDefault="009168C9" w:rsidP="006333CA">
            <w:pPr>
              <w:spacing w:before="0" w:after="0" w:line="276" w:lineRule="auto"/>
              <w:jc w:val="left"/>
              <w:rPr>
                <w:noProof/>
                <w:sz w:val="20"/>
              </w:rPr>
            </w:pPr>
          </w:p>
        </w:tc>
        <w:tc>
          <w:tcPr>
            <w:tcW w:w="1659" w:type="dxa"/>
            <w:tcBorders>
              <w:top w:val="single" w:sz="4" w:space="0" w:color="auto"/>
              <w:left w:val="single" w:sz="4" w:space="0" w:color="auto"/>
              <w:bottom w:val="single" w:sz="4" w:space="0" w:color="auto"/>
              <w:right w:val="single" w:sz="4" w:space="0" w:color="auto"/>
            </w:tcBorders>
            <w:vAlign w:val="center"/>
            <w:hideMark/>
          </w:tcPr>
          <w:p w14:paraId="34531E3F" w14:textId="77777777" w:rsidR="009168C9" w:rsidRPr="00624565" w:rsidRDefault="009168C9" w:rsidP="006333CA">
            <w:pPr>
              <w:spacing w:before="20" w:after="20" w:line="276" w:lineRule="auto"/>
              <w:rPr>
                <w:noProof/>
                <w:sz w:val="18"/>
              </w:rPr>
            </w:pPr>
            <w:r w:rsidRPr="00624565">
              <w:rPr>
                <w:noProof/>
                <w:sz w:val="18"/>
              </w:rPr>
              <w:t>Środki na płatności</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3BC2A6E" w14:textId="77777777" w:rsidR="009168C9" w:rsidRPr="00624565" w:rsidRDefault="009168C9" w:rsidP="006333CA">
            <w:pPr>
              <w:spacing w:before="20" w:after="20" w:line="276" w:lineRule="auto"/>
              <w:jc w:val="center"/>
              <w:rPr>
                <w:noProof/>
                <w:sz w:val="14"/>
              </w:rPr>
            </w:pPr>
            <w:r w:rsidRPr="00624565">
              <w:rPr>
                <w:noProof/>
                <w:sz w:val="14"/>
              </w:rPr>
              <w:t>(2b)</w:t>
            </w:r>
          </w:p>
        </w:tc>
        <w:tc>
          <w:tcPr>
            <w:tcW w:w="1276" w:type="dxa"/>
            <w:tcBorders>
              <w:top w:val="single" w:sz="4" w:space="0" w:color="auto"/>
              <w:left w:val="single" w:sz="4" w:space="0" w:color="auto"/>
              <w:bottom w:val="single" w:sz="4" w:space="0" w:color="auto"/>
              <w:right w:val="single" w:sz="4" w:space="0" w:color="auto"/>
            </w:tcBorders>
            <w:vAlign w:val="center"/>
          </w:tcPr>
          <w:p w14:paraId="14B4AC1C" w14:textId="77777777" w:rsidR="009168C9" w:rsidRPr="00624565" w:rsidRDefault="009168C9" w:rsidP="006333CA">
            <w:pPr>
              <w:spacing w:before="20" w:after="20" w:line="276" w:lineRule="auto"/>
              <w:jc w:val="right"/>
              <w:rPr>
                <w:noProof/>
                <w:sz w:val="20"/>
              </w:rPr>
            </w:pPr>
          </w:p>
        </w:tc>
        <w:tc>
          <w:tcPr>
            <w:tcW w:w="964" w:type="dxa"/>
            <w:tcBorders>
              <w:top w:val="single" w:sz="4" w:space="0" w:color="auto"/>
              <w:left w:val="single" w:sz="4" w:space="0" w:color="auto"/>
              <w:bottom w:val="single" w:sz="4" w:space="0" w:color="auto"/>
              <w:right w:val="single" w:sz="4" w:space="0" w:color="auto"/>
            </w:tcBorders>
            <w:vAlign w:val="center"/>
          </w:tcPr>
          <w:p w14:paraId="723B623F" w14:textId="77777777" w:rsidR="009168C9" w:rsidRPr="00624565" w:rsidRDefault="009168C9" w:rsidP="006333CA">
            <w:pPr>
              <w:spacing w:before="20" w:after="20" w:line="276" w:lineRule="auto"/>
              <w:jc w:val="right"/>
              <w:rPr>
                <w:noProof/>
                <w:sz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6B34EDF1" w14:textId="77777777" w:rsidR="009168C9" w:rsidRPr="00624565" w:rsidRDefault="009168C9" w:rsidP="006333CA">
            <w:pPr>
              <w:spacing w:before="20" w:after="20" w:line="276" w:lineRule="auto"/>
              <w:jc w:val="right"/>
              <w:rPr>
                <w:noProof/>
                <w:sz w:val="20"/>
              </w:rPr>
            </w:pPr>
          </w:p>
        </w:tc>
        <w:tc>
          <w:tcPr>
            <w:tcW w:w="2126" w:type="dxa"/>
            <w:tcBorders>
              <w:top w:val="single" w:sz="4" w:space="0" w:color="auto"/>
              <w:left w:val="single" w:sz="4" w:space="0" w:color="auto"/>
              <w:bottom w:val="single" w:sz="4" w:space="0" w:color="auto"/>
              <w:right w:val="single" w:sz="4" w:space="0" w:color="auto"/>
            </w:tcBorders>
            <w:vAlign w:val="center"/>
          </w:tcPr>
          <w:p w14:paraId="6899157C" w14:textId="77777777" w:rsidR="009168C9" w:rsidRPr="00624565" w:rsidRDefault="009168C9" w:rsidP="006333CA">
            <w:pPr>
              <w:spacing w:before="20" w:after="20" w:line="276" w:lineRule="auto"/>
              <w:jc w:val="right"/>
              <w:rPr>
                <w:b/>
                <w:noProof/>
                <w:sz w:val="20"/>
              </w:rPr>
            </w:pPr>
          </w:p>
        </w:tc>
      </w:tr>
      <w:tr w:rsidR="009168C9" w:rsidRPr="00624565" w14:paraId="56F5561B" w14:textId="77777777" w:rsidTr="006333CA">
        <w:trPr>
          <w:trHeight w:val="268"/>
        </w:trPr>
        <w:tc>
          <w:tcPr>
            <w:tcW w:w="3014" w:type="dxa"/>
            <w:vMerge w:val="restart"/>
            <w:tcBorders>
              <w:top w:val="single" w:sz="4" w:space="0" w:color="auto"/>
              <w:left w:val="single" w:sz="4" w:space="0" w:color="auto"/>
              <w:bottom w:val="single" w:sz="4" w:space="0" w:color="auto"/>
              <w:right w:val="single" w:sz="4" w:space="0" w:color="auto"/>
            </w:tcBorders>
            <w:vAlign w:val="center"/>
            <w:hideMark/>
          </w:tcPr>
          <w:p w14:paraId="706F3FD3" w14:textId="77777777" w:rsidR="009168C9" w:rsidRPr="00624565" w:rsidRDefault="009168C9" w:rsidP="006333CA">
            <w:pPr>
              <w:spacing w:line="276" w:lineRule="auto"/>
              <w:rPr>
                <w:noProof/>
              </w:rPr>
            </w:pPr>
            <w:r w:rsidRPr="00624565">
              <w:rPr>
                <w:noProof/>
                <w:sz w:val="20"/>
              </w:rPr>
              <w:t>Tytuł 3: Wydatki operacyjne</w:t>
            </w:r>
          </w:p>
        </w:tc>
        <w:tc>
          <w:tcPr>
            <w:tcW w:w="1659" w:type="dxa"/>
            <w:tcBorders>
              <w:top w:val="single" w:sz="4" w:space="0" w:color="auto"/>
              <w:left w:val="single" w:sz="4" w:space="0" w:color="auto"/>
              <w:bottom w:val="single" w:sz="4" w:space="0" w:color="auto"/>
              <w:right w:val="single" w:sz="4" w:space="0" w:color="auto"/>
            </w:tcBorders>
            <w:vAlign w:val="center"/>
            <w:hideMark/>
          </w:tcPr>
          <w:p w14:paraId="76F0653B" w14:textId="77777777" w:rsidR="009168C9" w:rsidRPr="00624565" w:rsidRDefault="009168C9" w:rsidP="006333CA">
            <w:pPr>
              <w:spacing w:before="20" w:after="20" w:line="276" w:lineRule="auto"/>
              <w:rPr>
                <w:noProof/>
                <w:sz w:val="18"/>
              </w:rPr>
            </w:pPr>
            <w:r w:rsidRPr="00624565">
              <w:rPr>
                <w:noProof/>
                <w:sz w:val="18"/>
              </w:rPr>
              <w:t>Środki na zobowiązania</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F6871B4" w14:textId="77777777" w:rsidR="009168C9" w:rsidRPr="00624565" w:rsidRDefault="009168C9" w:rsidP="006333CA">
            <w:pPr>
              <w:spacing w:before="20" w:after="20" w:line="276" w:lineRule="auto"/>
              <w:jc w:val="center"/>
              <w:rPr>
                <w:noProof/>
                <w:sz w:val="14"/>
              </w:rPr>
            </w:pPr>
            <w:r w:rsidRPr="00624565">
              <w:rPr>
                <w:noProof/>
                <w:sz w:val="14"/>
              </w:rPr>
              <w:t>(1c)</w:t>
            </w:r>
          </w:p>
        </w:tc>
        <w:tc>
          <w:tcPr>
            <w:tcW w:w="1276" w:type="dxa"/>
            <w:tcBorders>
              <w:top w:val="single" w:sz="4" w:space="0" w:color="auto"/>
              <w:left w:val="single" w:sz="4" w:space="0" w:color="auto"/>
              <w:bottom w:val="single" w:sz="4" w:space="0" w:color="auto"/>
              <w:right w:val="single" w:sz="4" w:space="0" w:color="auto"/>
            </w:tcBorders>
            <w:vAlign w:val="bottom"/>
            <w:hideMark/>
          </w:tcPr>
          <w:p w14:paraId="64DF0E89" w14:textId="77777777" w:rsidR="009168C9" w:rsidRPr="00624565" w:rsidRDefault="009168C9" w:rsidP="006333CA">
            <w:pPr>
              <w:spacing w:before="20" w:after="20" w:line="276" w:lineRule="auto"/>
              <w:jc w:val="right"/>
              <w:rPr>
                <w:noProof/>
                <w:sz w:val="20"/>
                <w:szCs w:val="20"/>
              </w:rPr>
            </w:pPr>
            <w:r w:rsidRPr="00624565">
              <w:rPr>
                <w:noProof/>
                <w:sz w:val="20"/>
              </w:rPr>
              <w:t>0,095</w:t>
            </w:r>
          </w:p>
        </w:tc>
        <w:tc>
          <w:tcPr>
            <w:tcW w:w="964" w:type="dxa"/>
            <w:tcBorders>
              <w:top w:val="single" w:sz="4" w:space="0" w:color="auto"/>
              <w:left w:val="single" w:sz="4" w:space="0" w:color="auto"/>
              <w:bottom w:val="single" w:sz="4" w:space="0" w:color="auto"/>
              <w:right w:val="single" w:sz="4" w:space="0" w:color="auto"/>
            </w:tcBorders>
            <w:vAlign w:val="bottom"/>
            <w:hideMark/>
          </w:tcPr>
          <w:p w14:paraId="5C3D7941" w14:textId="77777777" w:rsidR="009168C9" w:rsidRPr="00624565" w:rsidRDefault="009168C9" w:rsidP="006333CA">
            <w:pPr>
              <w:spacing w:before="20" w:after="20" w:line="276" w:lineRule="auto"/>
              <w:jc w:val="right"/>
              <w:rPr>
                <w:noProof/>
                <w:sz w:val="20"/>
              </w:rPr>
            </w:pPr>
            <w:r w:rsidRPr="00624565">
              <w:rPr>
                <w:noProof/>
                <w:sz w:val="20"/>
              </w:rPr>
              <w:t>0,065</w:t>
            </w:r>
          </w:p>
        </w:tc>
        <w:tc>
          <w:tcPr>
            <w:tcW w:w="1134" w:type="dxa"/>
            <w:tcBorders>
              <w:top w:val="single" w:sz="4" w:space="0" w:color="auto"/>
              <w:left w:val="single" w:sz="4" w:space="0" w:color="auto"/>
              <w:bottom w:val="single" w:sz="4" w:space="0" w:color="auto"/>
              <w:right w:val="single" w:sz="4" w:space="0" w:color="auto"/>
            </w:tcBorders>
            <w:vAlign w:val="bottom"/>
            <w:hideMark/>
          </w:tcPr>
          <w:p w14:paraId="3D61AA80" w14:textId="77777777" w:rsidR="009168C9" w:rsidRPr="00624565" w:rsidRDefault="009168C9" w:rsidP="006333CA">
            <w:pPr>
              <w:spacing w:before="20" w:after="20" w:line="276" w:lineRule="auto"/>
              <w:jc w:val="right"/>
              <w:rPr>
                <w:noProof/>
                <w:sz w:val="20"/>
              </w:rPr>
            </w:pPr>
            <w:r w:rsidRPr="00624565">
              <w:rPr>
                <w:noProof/>
                <w:sz w:val="20"/>
              </w:rPr>
              <w:t>0,065</w:t>
            </w:r>
          </w:p>
        </w:tc>
        <w:tc>
          <w:tcPr>
            <w:tcW w:w="2126" w:type="dxa"/>
            <w:tcBorders>
              <w:top w:val="single" w:sz="4" w:space="0" w:color="auto"/>
              <w:left w:val="single" w:sz="4" w:space="0" w:color="auto"/>
              <w:bottom w:val="single" w:sz="4" w:space="0" w:color="auto"/>
              <w:right w:val="single" w:sz="4" w:space="0" w:color="auto"/>
            </w:tcBorders>
            <w:vAlign w:val="bottom"/>
            <w:hideMark/>
          </w:tcPr>
          <w:p w14:paraId="66D6BBF3" w14:textId="77777777" w:rsidR="009168C9" w:rsidRPr="00624565" w:rsidRDefault="009168C9" w:rsidP="006333CA">
            <w:pPr>
              <w:spacing w:before="20" w:after="20" w:line="276" w:lineRule="auto"/>
              <w:jc w:val="right"/>
              <w:rPr>
                <w:b/>
                <w:noProof/>
                <w:sz w:val="20"/>
              </w:rPr>
            </w:pPr>
            <w:r w:rsidRPr="00624565">
              <w:rPr>
                <w:b/>
                <w:noProof/>
                <w:sz w:val="20"/>
              </w:rPr>
              <w:t>0,225</w:t>
            </w:r>
          </w:p>
        </w:tc>
      </w:tr>
      <w:tr w:rsidR="009168C9" w:rsidRPr="00624565" w14:paraId="5A466DE0" w14:textId="77777777" w:rsidTr="006333CA">
        <w:trPr>
          <w:trHeight w:val="281"/>
        </w:trPr>
        <w:tc>
          <w:tcPr>
            <w:tcW w:w="3014" w:type="dxa"/>
            <w:vMerge/>
            <w:vAlign w:val="center"/>
            <w:hideMark/>
          </w:tcPr>
          <w:p w14:paraId="1CF53B2D" w14:textId="77777777" w:rsidR="009168C9" w:rsidRPr="00624565" w:rsidRDefault="009168C9" w:rsidP="006333CA">
            <w:pPr>
              <w:spacing w:before="0" w:after="0" w:line="276" w:lineRule="auto"/>
              <w:jc w:val="left"/>
              <w:rPr>
                <w:noProof/>
              </w:rPr>
            </w:pPr>
          </w:p>
        </w:tc>
        <w:tc>
          <w:tcPr>
            <w:tcW w:w="1659" w:type="dxa"/>
            <w:tcBorders>
              <w:top w:val="single" w:sz="4" w:space="0" w:color="auto"/>
              <w:left w:val="single" w:sz="4" w:space="0" w:color="auto"/>
              <w:bottom w:val="single" w:sz="4" w:space="0" w:color="auto"/>
              <w:right w:val="single" w:sz="4" w:space="0" w:color="auto"/>
            </w:tcBorders>
            <w:vAlign w:val="center"/>
            <w:hideMark/>
          </w:tcPr>
          <w:p w14:paraId="06EC005F" w14:textId="77777777" w:rsidR="009168C9" w:rsidRPr="00624565" w:rsidRDefault="009168C9" w:rsidP="006333CA">
            <w:pPr>
              <w:spacing w:before="20" w:after="20" w:line="276" w:lineRule="auto"/>
              <w:rPr>
                <w:noProof/>
                <w:sz w:val="18"/>
              </w:rPr>
            </w:pPr>
            <w:r w:rsidRPr="00624565">
              <w:rPr>
                <w:noProof/>
                <w:sz w:val="18"/>
              </w:rPr>
              <w:t>Środki na płatności</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6D6F9E1" w14:textId="77777777" w:rsidR="009168C9" w:rsidRPr="00624565" w:rsidRDefault="009168C9" w:rsidP="006333CA">
            <w:pPr>
              <w:spacing w:before="20" w:after="20" w:line="276" w:lineRule="auto"/>
              <w:jc w:val="center"/>
              <w:rPr>
                <w:noProof/>
                <w:sz w:val="14"/>
              </w:rPr>
            </w:pPr>
            <w:r w:rsidRPr="00624565">
              <w:rPr>
                <w:noProof/>
                <w:sz w:val="14"/>
              </w:rPr>
              <w:t>(2c)</w:t>
            </w:r>
          </w:p>
        </w:tc>
        <w:tc>
          <w:tcPr>
            <w:tcW w:w="1276" w:type="dxa"/>
            <w:tcBorders>
              <w:top w:val="single" w:sz="4" w:space="0" w:color="auto"/>
              <w:left w:val="single" w:sz="4" w:space="0" w:color="auto"/>
              <w:bottom w:val="single" w:sz="4" w:space="0" w:color="auto"/>
              <w:right w:val="single" w:sz="4" w:space="0" w:color="auto"/>
            </w:tcBorders>
            <w:vAlign w:val="bottom"/>
            <w:hideMark/>
          </w:tcPr>
          <w:p w14:paraId="203CFD83" w14:textId="77777777" w:rsidR="009168C9" w:rsidRPr="00624565" w:rsidRDefault="009168C9" w:rsidP="006333CA">
            <w:pPr>
              <w:spacing w:before="20" w:after="20" w:line="276" w:lineRule="auto"/>
              <w:jc w:val="right"/>
              <w:rPr>
                <w:noProof/>
                <w:sz w:val="20"/>
                <w:szCs w:val="20"/>
              </w:rPr>
            </w:pPr>
            <w:r w:rsidRPr="00624565">
              <w:rPr>
                <w:noProof/>
                <w:sz w:val="20"/>
              </w:rPr>
              <w:t>0,095</w:t>
            </w:r>
          </w:p>
        </w:tc>
        <w:tc>
          <w:tcPr>
            <w:tcW w:w="964" w:type="dxa"/>
            <w:tcBorders>
              <w:top w:val="single" w:sz="4" w:space="0" w:color="auto"/>
              <w:left w:val="single" w:sz="4" w:space="0" w:color="auto"/>
              <w:bottom w:val="single" w:sz="4" w:space="0" w:color="auto"/>
              <w:right w:val="single" w:sz="4" w:space="0" w:color="auto"/>
            </w:tcBorders>
            <w:vAlign w:val="bottom"/>
            <w:hideMark/>
          </w:tcPr>
          <w:p w14:paraId="5ED65D16" w14:textId="77777777" w:rsidR="009168C9" w:rsidRPr="00624565" w:rsidRDefault="009168C9" w:rsidP="006333CA">
            <w:pPr>
              <w:spacing w:before="20" w:after="20" w:line="276" w:lineRule="auto"/>
              <w:jc w:val="right"/>
              <w:rPr>
                <w:noProof/>
                <w:sz w:val="20"/>
              </w:rPr>
            </w:pPr>
            <w:r w:rsidRPr="00624565">
              <w:rPr>
                <w:noProof/>
                <w:sz w:val="20"/>
              </w:rPr>
              <w:t>0,065</w:t>
            </w:r>
          </w:p>
        </w:tc>
        <w:tc>
          <w:tcPr>
            <w:tcW w:w="1134" w:type="dxa"/>
            <w:tcBorders>
              <w:top w:val="single" w:sz="4" w:space="0" w:color="auto"/>
              <w:left w:val="single" w:sz="4" w:space="0" w:color="auto"/>
              <w:bottom w:val="single" w:sz="4" w:space="0" w:color="auto"/>
              <w:right w:val="single" w:sz="4" w:space="0" w:color="auto"/>
            </w:tcBorders>
            <w:vAlign w:val="bottom"/>
            <w:hideMark/>
          </w:tcPr>
          <w:p w14:paraId="60BDEE4E" w14:textId="77777777" w:rsidR="009168C9" w:rsidRPr="00624565" w:rsidRDefault="009168C9" w:rsidP="006333CA">
            <w:pPr>
              <w:spacing w:before="20" w:after="20" w:line="276" w:lineRule="auto"/>
              <w:jc w:val="right"/>
              <w:rPr>
                <w:noProof/>
                <w:sz w:val="20"/>
              </w:rPr>
            </w:pPr>
            <w:r w:rsidRPr="00624565">
              <w:rPr>
                <w:noProof/>
                <w:sz w:val="20"/>
              </w:rPr>
              <w:t>0,065</w:t>
            </w:r>
          </w:p>
        </w:tc>
        <w:tc>
          <w:tcPr>
            <w:tcW w:w="2126" w:type="dxa"/>
            <w:tcBorders>
              <w:top w:val="single" w:sz="4" w:space="0" w:color="auto"/>
              <w:left w:val="single" w:sz="4" w:space="0" w:color="auto"/>
              <w:bottom w:val="single" w:sz="4" w:space="0" w:color="auto"/>
              <w:right w:val="single" w:sz="4" w:space="0" w:color="auto"/>
            </w:tcBorders>
            <w:vAlign w:val="bottom"/>
            <w:hideMark/>
          </w:tcPr>
          <w:p w14:paraId="716C13F4" w14:textId="77777777" w:rsidR="009168C9" w:rsidRPr="00624565" w:rsidRDefault="009168C9" w:rsidP="006333CA">
            <w:pPr>
              <w:spacing w:before="20" w:after="20" w:line="276" w:lineRule="auto"/>
              <w:jc w:val="right"/>
              <w:rPr>
                <w:b/>
                <w:noProof/>
                <w:sz w:val="20"/>
              </w:rPr>
            </w:pPr>
            <w:r w:rsidRPr="00624565">
              <w:rPr>
                <w:b/>
                <w:noProof/>
                <w:sz w:val="20"/>
              </w:rPr>
              <w:t>0,225</w:t>
            </w:r>
          </w:p>
        </w:tc>
      </w:tr>
      <w:tr w:rsidR="009168C9" w:rsidRPr="00624565" w14:paraId="697419BE" w14:textId="77777777" w:rsidTr="006333CA">
        <w:trPr>
          <w:trHeight w:val="549"/>
        </w:trPr>
        <w:tc>
          <w:tcPr>
            <w:tcW w:w="3014" w:type="dxa"/>
            <w:vMerge w:val="restart"/>
            <w:tcBorders>
              <w:top w:val="single" w:sz="4" w:space="0" w:color="auto"/>
              <w:left w:val="single" w:sz="4" w:space="0" w:color="auto"/>
              <w:bottom w:val="single" w:sz="4" w:space="0" w:color="auto"/>
              <w:right w:val="single" w:sz="4" w:space="0" w:color="auto"/>
            </w:tcBorders>
            <w:vAlign w:val="center"/>
            <w:hideMark/>
          </w:tcPr>
          <w:p w14:paraId="5AF21C7D" w14:textId="77777777" w:rsidR="009168C9" w:rsidRPr="00624565" w:rsidRDefault="009168C9" w:rsidP="006333CA">
            <w:pPr>
              <w:spacing w:line="276" w:lineRule="auto"/>
              <w:jc w:val="center"/>
              <w:rPr>
                <w:b/>
                <w:noProof/>
              </w:rPr>
            </w:pPr>
            <w:r w:rsidRPr="00624565">
              <w:rPr>
                <w:b/>
                <w:noProof/>
                <w:sz w:val="22"/>
              </w:rPr>
              <w:t>OGÓŁEM środki</w:t>
            </w:r>
            <w:r w:rsidRPr="00624565">
              <w:rPr>
                <w:noProof/>
              </w:rPr>
              <w:t xml:space="preserve"> </w:t>
            </w:r>
            <w:r w:rsidRPr="00624565">
              <w:rPr>
                <w:noProof/>
              </w:rPr>
              <w:br/>
            </w:r>
            <w:r w:rsidRPr="00624565">
              <w:rPr>
                <w:b/>
                <w:noProof/>
                <w:sz w:val="22"/>
              </w:rPr>
              <w:t>dla agencji EEA</w:t>
            </w:r>
          </w:p>
        </w:tc>
        <w:tc>
          <w:tcPr>
            <w:tcW w:w="1659" w:type="dxa"/>
            <w:tcBorders>
              <w:top w:val="single" w:sz="4" w:space="0" w:color="auto"/>
              <w:left w:val="single" w:sz="4" w:space="0" w:color="auto"/>
              <w:bottom w:val="single" w:sz="4" w:space="0" w:color="auto"/>
              <w:right w:val="single" w:sz="4" w:space="0" w:color="auto"/>
            </w:tcBorders>
            <w:vAlign w:val="center"/>
            <w:hideMark/>
          </w:tcPr>
          <w:p w14:paraId="153BD9C1" w14:textId="77777777" w:rsidR="009168C9" w:rsidRPr="00624565" w:rsidRDefault="009168C9" w:rsidP="006333CA">
            <w:pPr>
              <w:spacing w:line="276" w:lineRule="auto"/>
              <w:rPr>
                <w:noProof/>
                <w:sz w:val="18"/>
              </w:rPr>
            </w:pPr>
            <w:r w:rsidRPr="00624565">
              <w:rPr>
                <w:noProof/>
                <w:sz w:val="18"/>
              </w:rPr>
              <w:t>Środki na zobowiązania</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41D7BA2" w14:textId="77777777" w:rsidR="009168C9" w:rsidRPr="00624565" w:rsidRDefault="009168C9" w:rsidP="006333CA">
            <w:pPr>
              <w:spacing w:line="276" w:lineRule="auto"/>
              <w:jc w:val="center"/>
              <w:rPr>
                <w:noProof/>
                <w:sz w:val="14"/>
              </w:rPr>
            </w:pPr>
            <w:r w:rsidRPr="00624565">
              <w:rPr>
                <w:noProof/>
                <w:sz w:val="14"/>
              </w:rPr>
              <w:t>=1a+1b+1c</w:t>
            </w:r>
          </w:p>
        </w:tc>
        <w:tc>
          <w:tcPr>
            <w:tcW w:w="1276" w:type="dxa"/>
            <w:tcBorders>
              <w:top w:val="single" w:sz="4" w:space="0" w:color="auto"/>
              <w:left w:val="single" w:sz="4" w:space="0" w:color="auto"/>
              <w:bottom w:val="single" w:sz="4" w:space="0" w:color="auto"/>
              <w:right w:val="single" w:sz="4" w:space="0" w:color="auto"/>
            </w:tcBorders>
            <w:vAlign w:val="bottom"/>
            <w:hideMark/>
          </w:tcPr>
          <w:p w14:paraId="6A1CCA5E" w14:textId="77777777" w:rsidR="009168C9" w:rsidRPr="00624565" w:rsidRDefault="009168C9" w:rsidP="006333CA">
            <w:pPr>
              <w:spacing w:before="20" w:after="20" w:line="276" w:lineRule="auto"/>
              <w:jc w:val="right"/>
              <w:rPr>
                <w:b/>
                <w:noProof/>
                <w:sz w:val="20"/>
                <w:szCs w:val="20"/>
              </w:rPr>
            </w:pPr>
            <w:r w:rsidRPr="00624565">
              <w:rPr>
                <w:b/>
                <w:noProof/>
                <w:sz w:val="20"/>
              </w:rPr>
              <w:t>0,275</w:t>
            </w:r>
          </w:p>
        </w:tc>
        <w:tc>
          <w:tcPr>
            <w:tcW w:w="964" w:type="dxa"/>
            <w:tcBorders>
              <w:top w:val="single" w:sz="4" w:space="0" w:color="auto"/>
              <w:left w:val="single" w:sz="4" w:space="0" w:color="auto"/>
              <w:bottom w:val="single" w:sz="4" w:space="0" w:color="auto"/>
              <w:right w:val="single" w:sz="4" w:space="0" w:color="auto"/>
            </w:tcBorders>
            <w:vAlign w:val="bottom"/>
            <w:hideMark/>
          </w:tcPr>
          <w:p w14:paraId="6D8C7427" w14:textId="77777777" w:rsidR="009168C9" w:rsidRPr="00624565" w:rsidRDefault="009168C9" w:rsidP="006333CA">
            <w:pPr>
              <w:spacing w:before="20" w:after="20" w:line="276" w:lineRule="auto"/>
              <w:jc w:val="right"/>
              <w:rPr>
                <w:b/>
                <w:noProof/>
                <w:sz w:val="20"/>
                <w:szCs w:val="20"/>
              </w:rPr>
            </w:pPr>
            <w:r w:rsidRPr="00624565">
              <w:rPr>
                <w:b/>
                <w:noProof/>
                <w:sz w:val="20"/>
              </w:rPr>
              <w:t>0,432</w:t>
            </w:r>
          </w:p>
        </w:tc>
        <w:tc>
          <w:tcPr>
            <w:tcW w:w="1134" w:type="dxa"/>
            <w:tcBorders>
              <w:top w:val="single" w:sz="4" w:space="0" w:color="auto"/>
              <w:left w:val="single" w:sz="4" w:space="0" w:color="auto"/>
              <w:bottom w:val="single" w:sz="4" w:space="0" w:color="auto"/>
              <w:right w:val="single" w:sz="4" w:space="0" w:color="auto"/>
            </w:tcBorders>
            <w:vAlign w:val="bottom"/>
            <w:hideMark/>
          </w:tcPr>
          <w:p w14:paraId="4050ED9C" w14:textId="77777777" w:rsidR="009168C9" w:rsidRPr="00624565" w:rsidRDefault="009168C9" w:rsidP="006333CA">
            <w:pPr>
              <w:spacing w:before="20" w:after="20" w:line="276" w:lineRule="auto"/>
              <w:jc w:val="right"/>
              <w:rPr>
                <w:b/>
                <w:noProof/>
                <w:sz w:val="20"/>
                <w:szCs w:val="20"/>
              </w:rPr>
            </w:pPr>
            <w:r w:rsidRPr="00624565">
              <w:rPr>
                <w:b/>
                <w:noProof/>
                <w:sz w:val="20"/>
              </w:rPr>
              <w:t>0,440</w:t>
            </w:r>
          </w:p>
        </w:tc>
        <w:tc>
          <w:tcPr>
            <w:tcW w:w="2126" w:type="dxa"/>
            <w:tcBorders>
              <w:top w:val="single" w:sz="4" w:space="0" w:color="auto"/>
              <w:left w:val="single" w:sz="4" w:space="0" w:color="auto"/>
              <w:bottom w:val="single" w:sz="4" w:space="0" w:color="auto"/>
              <w:right w:val="single" w:sz="4" w:space="0" w:color="auto"/>
            </w:tcBorders>
            <w:vAlign w:val="bottom"/>
            <w:hideMark/>
          </w:tcPr>
          <w:p w14:paraId="7BB853CF" w14:textId="77777777" w:rsidR="009168C9" w:rsidRPr="00624565" w:rsidRDefault="009168C9" w:rsidP="006333CA">
            <w:pPr>
              <w:spacing w:before="20" w:after="20" w:line="276" w:lineRule="auto"/>
              <w:jc w:val="right"/>
              <w:rPr>
                <w:b/>
                <w:noProof/>
                <w:sz w:val="20"/>
                <w:szCs w:val="20"/>
              </w:rPr>
            </w:pPr>
            <w:r w:rsidRPr="00624565">
              <w:rPr>
                <w:b/>
                <w:noProof/>
                <w:sz w:val="20"/>
              </w:rPr>
              <w:t>1,147</w:t>
            </w:r>
          </w:p>
        </w:tc>
      </w:tr>
      <w:tr w:rsidR="009168C9" w:rsidRPr="00624565" w14:paraId="006AD949" w14:textId="77777777" w:rsidTr="006333CA">
        <w:trPr>
          <w:trHeight w:val="536"/>
        </w:trPr>
        <w:tc>
          <w:tcPr>
            <w:tcW w:w="3014" w:type="dxa"/>
            <w:vMerge/>
            <w:vAlign w:val="center"/>
            <w:hideMark/>
          </w:tcPr>
          <w:p w14:paraId="260C7D72" w14:textId="77777777" w:rsidR="009168C9" w:rsidRPr="00624565" w:rsidRDefault="009168C9" w:rsidP="006333CA">
            <w:pPr>
              <w:spacing w:before="0" w:after="0" w:line="276" w:lineRule="auto"/>
              <w:jc w:val="left"/>
              <w:rPr>
                <w:b/>
                <w:noProof/>
              </w:rPr>
            </w:pPr>
          </w:p>
        </w:tc>
        <w:tc>
          <w:tcPr>
            <w:tcW w:w="1659" w:type="dxa"/>
            <w:tcBorders>
              <w:top w:val="single" w:sz="4" w:space="0" w:color="auto"/>
              <w:left w:val="single" w:sz="4" w:space="0" w:color="auto"/>
              <w:bottom w:val="single" w:sz="4" w:space="0" w:color="auto"/>
              <w:right w:val="single" w:sz="4" w:space="0" w:color="auto"/>
            </w:tcBorders>
            <w:vAlign w:val="center"/>
            <w:hideMark/>
          </w:tcPr>
          <w:p w14:paraId="483535B6" w14:textId="77777777" w:rsidR="009168C9" w:rsidRPr="00624565" w:rsidRDefault="009168C9" w:rsidP="006333CA">
            <w:pPr>
              <w:spacing w:line="276" w:lineRule="auto"/>
              <w:rPr>
                <w:noProof/>
                <w:sz w:val="18"/>
              </w:rPr>
            </w:pPr>
            <w:r w:rsidRPr="00624565">
              <w:rPr>
                <w:noProof/>
                <w:sz w:val="18"/>
              </w:rPr>
              <w:t>Środki na płatności</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C5A62E8" w14:textId="77777777" w:rsidR="009168C9" w:rsidRPr="00624565" w:rsidRDefault="009168C9" w:rsidP="006333CA">
            <w:pPr>
              <w:spacing w:line="276" w:lineRule="auto"/>
              <w:jc w:val="center"/>
              <w:rPr>
                <w:noProof/>
                <w:sz w:val="14"/>
              </w:rPr>
            </w:pPr>
            <w:r w:rsidRPr="00624565">
              <w:rPr>
                <w:noProof/>
                <w:sz w:val="14"/>
              </w:rPr>
              <w:t>=2a+2b+2c</w:t>
            </w:r>
          </w:p>
        </w:tc>
        <w:tc>
          <w:tcPr>
            <w:tcW w:w="1276" w:type="dxa"/>
            <w:tcBorders>
              <w:top w:val="single" w:sz="4" w:space="0" w:color="auto"/>
              <w:left w:val="single" w:sz="4" w:space="0" w:color="auto"/>
              <w:bottom w:val="single" w:sz="4" w:space="0" w:color="auto"/>
              <w:right w:val="single" w:sz="4" w:space="0" w:color="auto"/>
            </w:tcBorders>
            <w:vAlign w:val="bottom"/>
            <w:hideMark/>
          </w:tcPr>
          <w:p w14:paraId="7291254F" w14:textId="77777777" w:rsidR="009168C9" w:rsidRPr="00624565" w:rsidRDefault="009168C9" w:rsidP="006333CA">
            <w:pPr>
              <w:spacing w:before="20" w:after="20" w:line="276" w:lineRule="auto"/>
              <w:jc w:val="right"/>
              <w:rPr>
                <w:noProof/>
                <w:sz w:val="20"/>
                <w:szCs w:val="20"/>
              </w:rPr>
            </w:pPr>
            <w:r w:rsidRPr="00624565">
              <w:rPr>
                <w:b/>
                <w:noProof/>
                <w:sz w:val="20"/>
              </w:rPr>
              <w:t>0,275</w:t>
            </w:r>
          </w:p>
        </w:tc>
        <w:tc>
          <w:tcPr>
            <w:tcW w:w="964" w:type="dxa"/>
            <w:tcBorders>
              <w:top w:val="single" w:sz="4" w:space="0" w:color="auto"/>
              <w:left w:val="single" w:sz="4" w:space="0" w:color="auto"/>
              <w:bottom w:val="single" w:sz="4" w:space="0" w:color="auto"/>
              <w:right w:val="single" w:sz="4" w:space="0" w:color="auto"/>
            </w:tcBorders>
            <w:vAlign w:val="bottom"/>
            <w:hideMark/>
          </w:tcPr>
          <w:p w14:paraId="45514F65" w14:textId="77777777" w:rsidR="009168C9" w:rsidRPr="00624565" w:rsidRDefault="009168C9" w:rsidP="006333CA">
            <w:pPr>
              <w:spacing w:before="20" w:after="20" w:line="276" w:lineRule="auto"/>
              <w:jc w:val="right"/>
              <w:rPr>
                <w:noProof/>
                <w:sz w:val="20"/>
                <w:szCs w:val="20"/>
              </w:rPr>
            </w:pPr>
            <w:r w:rsidRPr="00624565">
              <w:rPr>
                <w:b/>
                <w:noProof/>
                <w:sz w:val="20"/>
              </w:rPr>
              <w:t>0,432</w:t>
            </w:r>
          </w:p>
        </w:tc>
        <w:tc>
          <w:tcPr>
            <w:tcW w:w="1134" w:type="dxa"/>
            <w:tcBorders>
              <w:top w:val="single" w:sz="4" w:space="0" w:color="auto"/>
              <w:left w:val="single" w:sz="4" w:space="0" w:color="auto"/>
              <w:bottom w:val="single" w:sz="4" w:space="0" w:color="auto"/>
              <w:right w:val="single" w:sz="4" w:space="0" w:color="auto"/>
            </w:tcBorders>
            <w:vAlign w:val="bottom"/>
            <w:hideMark/>
          </w:tcPr>
          <w:p w14:paraId="5B5FADBB" w14:textId="77777777" w:rsidR="009168C9" w:rsidRPr="00624565" w:rsidRDefault="009168C9" w:rsidP="006333CA">
            <w:pPr>
              <w:spacing w:before="20" w:after="20" w:line="276" w:lineRule="auto"/>
              <w:jc w:val="right"/>
              <w:rPr>
                <w:noProof/>
                <w:sz w:val="20"/>
                <w:szCs w:val="20"/>
              </w:rPr>
            </w:pPr>
            <w:r w:rsidRPr="00624565">
              <w:rPr>
                <w:b/>
                <w:noProof/>
                <w:sz w:val="20"/>
              </w:rPr>
              <w:t>0,440</w:t>
            </w:r>
          </w:p>
        </w:tc>
        <w:tc>
          <w:tcPr>
            <w:tcW w:w="2126" w:type="dxa"/>
            <w:tcBorders>
              <w:top w:val="single" w:sz="4" w:space="0" w:color="auto"/>
              <w:left w:val="single" w:sz="4" w:space="0" w:color="auto"/>
              <w:bottom w:val="single" w:sz="4" w:space="0" w:color="auto"/>
              <w:right w:val="single" w:sz="4" w:space="0" w:color="auto"/>
            </w:tcBorders>
            <w:vAlign w:val="bottom"/>
            <w:hideMark/>
          </w:tcPr>
          <w:p w14:paraId="0098C930" w14:textId="77777777" w:rsidR="009168C9" w:rsidRPr="00624565" w:rsidRDefault="009168C9" w:rsidP="006333CA">
            <w:pPr>
              <w:spacing w:before="20" w:after="20" w:line="276" w:lineRule="auto"/>
              <w:jc w:val="right"/>
              <w:rPr>
                <w:noProof/>
                <w:sz w:val="20"/>
                <w:szCs w:val="20"/>
              </w:rPr>
            </w:pPr>
            <w:r w:rsidRPr="00624565">
              <w:rPr>
                <w:b/>
                <w:noProof/>
                <w:sz w:val="20"/>
              </w:rPr>
              <w:t>1,147</w:t>
            </w:r>
          </w:p>
        </w:tc>
      </w:tr>
    </w:tbl>
    <w:p w14:paraId="1E1E6465" w14:textId="77777777" w:rsidR="009168C9" w:rsidRPr="00624565" w:rsidRDefault="009168C9" w:rsidP="009769E5">
      <w:pPr>
        <w:spacing w:before="0" w:after="0"/>
        <w:jc w:val="left"/>
        <w:rPr>
          <w:noProof/>
        </w:rPr>
      </w:pPr>
    </w:p>
    <w:p w14:paraId="0EFE2F60" w14:textId="3E963691" w:rsidR="009168C9" w:rsidRPr="00624565" w:rsidRDefault="009168C9" w:rsidP="00443524">
      <w:pPr>
        <w:rPr>
          <w:noProof/>
        </w:rPr>
      </w:pPr>
      <w:r w:rsidRPr="00624565">
        <w:rPr>
          <w:noProof/>
        </w:rPr>
        <w:t>Koszty EOG obejmują koszty 2 dodatkowych EPC (jednego dla personelu zatrudnionego na czas określony</w:t>
      </w:r>
      <w:r w:rsidR="003F3D2B" w:rsidRPr="00624565">
        <w:rPr>
          <w:noProof/>
        </w:rPr>
        <w:t xml:space="preserve"> i</w:t>
      </w:r>
      <w:r w:rsidR="003F3D2B">
        <w:rPr>
          <w:noProof/>
        </w:rPr>
        <w:t> </w:t>
      </w:r>
      <w:r w:rsidR="003F3D2B" w:rsidRPr="00624565">
        <w:rPr>
          <w:noProof/>
        </w:rPr>
        <w:t>jed</w:t>
      </w:r>
      <w:r w:rsidRPr="00624565">
        <w:rPr>
          <w:noProof/>
        </w:rPr>
        <w:t>nego dla personelu kontraktowego), jak również wydatki operacyjne do celów monitorowania oświadczeń środowiskowych wprowadzanych na rynek unijny po wdrożeniu dyrektywy zgodnie</w:t>
      </w:r>
      <w:r w:rsidR="003F3D2B" w:rsidRPr="00624565">
        <w:rPr>
          <w:noProof/>
        </w:rPr>
        <w:t xml:space="preserve"> z</w:t>
      </w:r>
      <w:r w:rsidR="003F3D2B">
        <w:rPr>
          <w:noProof/>
        </w:rPr>
        <w:t> </w:t>
      </w:r>
      <w:r w:rsidR="003F3D2B" w:rsidRPr="003F3D2B">
        <w:rPr>
          <w:noProof/>
        </w:rPr>
        <w:t>art</w:t>
      </w:r>
      <w:r w:rsidRPr="003F3D2B">
        <w:rPr>
          <w:noProof/>
        </w:rPr>
        <w:t>.</w:t>
      </w:r>
      <w:r w:rsidR="003F3D2B" w:rsidRPr="003F3D2B">
        <w:rPr>
          <w:noProof/>
        </w:rPr>
        <w:t> </w:t>
      </w:r>
      <w:r w:rsidRPr="003F3D2B">
        <w:rPr>
          <w:noProof/>
        </w:rPr>
        <w:t>2</w:t>
      </w:r>
      <w:r w:rsidRPr="00624565">
        <w:rPr>
          <w:noProof/>
        </w:rPr>
        <w:t xml:space="preserve">0 </w:t>
      </w:r>
      <w:r w:rsidRPr="003F3D2B">
        <w:rPr>
          <w:noProof/>
        </w:rPr>
        <w:t>ust.</w:t>
      </w:r>
      <w:r w:rsidR="003F3D2B" w:rsidRPr="003F3D2B">
        <w:rPr>
          <w:noProof/>
        </w:rPr>
        <w:t> </w:t>
      </w:r>
      <w:r w:rsidRPr="003F3D2B">
        <w:rPr>
          <w:noProof/>
        </w:rPr>
        <w:t>4</w:t>
      </w:r>
      <w:r w:rsidRPr="00624565">
        <w:rPr>
          <w:noProof/>
        </w:rPr>
        <w:t>. Do zadań Agencji będzie należało dokonywanie szczegółowej analizy informacji przekazywanych przez państwa członkowskie zgodnie</w:t>
      </w:r>
      <w:r w:rsidR="003F3D2B" w:rsidRPr="00624565">
        <w:rPr>
          <w:noProof/>
        </w:rPr>
        <w:t xml:space="preserve"> z</w:t>
      </w:r>
      <w:r w:rsidR="003F3D2B">
        <w:rPr>
          <w:noProof/>
        </w:rPr>
        <w:t> </w:t>
      </w:r>
      <w:r w:rsidR="003F3D2B" w:rsidRPr="003F3D2B">
        <w:rPr>
          <w:noProof/>
        </w:rPr>
        <w:t>art</w:t>
      </w:r>
      <w:r w:rsidRPr="003F3D2B">
        <w:rPr>
          <w:noProof/>
        </w:rPr>
        <w:t>.</w:t>
      </w:r>
      <w:r w:rsidR="003F3D2B" w:rsidRPr="003F3D2B">
        <w:rPr>
          <w:noProof/>
        </w:rPr>
        <w:t> </w:t>
      </w:r>
      <w:r w:rsidRPr="003F3D2B">
        <w:rPr>
          <w:noProof/>
        </w:rPr>
        <w:t>2</w:t>
      </w:r>
      <w:r w:rsidRPr="00624565">
        <w:rPr>
          <w:noProof/>
        </w:rPr>
        <w:t xml:space="preserve">0 </w:t>
      </w:r>
      <w:r w:rsidRPr="003F3D2B">
        <w:rPr>
          <w:noProof/>
        </w:rPr>
        <w:t>ust.</w:t>
      </w:r>
      <w:r w:rsidR="003F3D2B" w:rsidRPr="003F3D2B">
        <w:rPr>
          <w:noProof/>
        </w:rPr>
        <w:t> </w:t>
      </w:r>
      <w:r w:rsidRPr="003F3D2B">
        <w:rPr>
          <w:noProof/>
        </w:rPr>
        <w:t>1</w:t>
      </w:r>
      <w:r w:rsidRPr="00624565">
        <w:rPr>
          <w:noProof/>
        </w:rPr>
        <w:t>–3 oraz publikowanie co dwa lata sprawozdań zawierających ocenę zmian oświadczeń środowiskowych</w:t>
      </w:r>
      <w:r w:rsidR="003F3D2B" w:rsidRPr="00624565">
        <w:rPr>
          <w:noProof/>
        </w:rPr>
        <w:t xml:space="preserve"> w</w:t>
      </w:r>
      <w:r w:rsidR="003F3D2B">
        <w:rPr>
          <w:noProof/>
        </w:rPr>
        <w:t> </w:t>
      </w:r>
      <w:r w:rsidR="003F3D2B" w:rsidRPr="00624565">
        <w:rPr>
          <w:noProof/>
        </w:rPr>
        <w:t>cał</w:t>
      </w:r>
      <w:r w:rsidRPr="00624565">
        <w:rPr>
          <w:noProof/>
        </w:rPr>
        <w:t>ej UE. Szacunki te obejmują większość dowodów dotyczących sprawozdań półrocznych, które mają być sporządzane przez państwa członkowskie</w:t>
      </w:r>
      <w:r w:rsidR="003F3D2B" w:rsidRPr="00624565">
        <w:rPr>
          <w:noProof/>
        </w:rPr>
        <w:t xml:space="preserve"> i</w:t>
      </w:r>
      <w:r w:rsidR="003F3D2B">
        <w:rPr>
          <w:noProof/>
        </w:rPr>
        <w:t> </w:t>
      </w:r>
      <w:r w:rsidR="003F3D2B" w:rsidRPr="00624565">
        <w:rPr>
          <w:noProof/>
        </w:rPr>
        <w:t>prz</w:t>
      </w:r>
      <w:r w:rsidRPr="00624565">
        <w:rPr>
          <w:noProof/>
        </w:rPr>
        <w:t>ekazywane na szczeblu europejskim za pomocą kwestionariuszy. EEA zaproponuje te kwestionariusze</w:t>
      </w:r>
      <w:r w:rsidR="003F3D2B" w:rsidRPr="00624565">
        <w:rPr>
          <w:noProof/>
        </w:rPr>
        <w:t xml:space="preserve"> w</w:t>
      </w:r>
      <w:r w:rsidR="003F3D2B">
        <w:rPr>
          <w:noProof/>
        </w:rPr>
        <w:t> </w:t>
      </w:r>
      <w:r w:rsidR="003F3D2B" w:rsidRPr="00624565">
        <w:rPr>
          <w:noProof/>
        </w:rPr>
        <w:t>ram</w:t>
      </w:r>
      <w:r w:rsidRPr="00624565">
        <w:rPr>
          <w:noProof/>
        </w:rPr>
        <w:t>ach porozumienia z DG ENV</w:t>
      </w:r>
      <w:r w:rsidR="003F3D2B" w:rsidRPr="00624565">
        <w:rPr>
          <w:noProof/>
        </w:rPr>
        <w:t xml:space="preserve"> i</w:t>
      </w:r>
      <w:r w:rsidR="003F3D2B">
        <w:rPr>
          <w:noProof/>
        </w:rPr>
        <w:t> </w:t>
      </w:r>
      <w:r w:rsidR="003F3D2B" w:rsidRPr="00624565">
        <w:rPr>
          <w:noProof/>
        </w:rPr>
        <w:t>udo</w:t>
      </w:r>
      <w:r w:rsidRPr="00624565">
        <w:rPr>
          <w:noProof/>
        </w:rPr>
        <w:t>stępni je za pomocą standardowego narzędzia elektronicznego. Informacje przekazywane przez państwa członkowskie będą stanowiły połączenie statystyk dotyczących oświadczeń na ich rynkach krajowych oraz jakościowego opisu charakteru fałszywych oświadczeń</w:t>
      </w:r>
      <w:r w:rsidR="003F3D2B" w:rsidRPr="00624565">
        <w:rPr>
          <w:noProof/>
        </w:rPr>
        <w:t xml:space="preserve"> i</w:t>
      </w:r>
      <w:r w:rsidR="003F3D2B">
        <w:rPr>
          <w:noProof/>
        </w:rPr>
        <w:t> </w:t>
      </w:r>
      <w:r w:rsidR="003F3D2B" w:rsidRPr="00624565">
        <w:rPr>
          <w:noProof/>
        </w:rPr>
        <w:t>prz</w:t>
      </w:r>
      <w:r w:rsidRPr="00624565">
        <w:rPr>
          <w:noProof/>
        </w:rPr>
        <w:t>eprowadzonych działań naprawczych. Zadania tych pracowników będą miały charakter stały</w:t>
      </w:r>
      <w:r w:rsidR="003F3D2B" w:rsidRPr="00624565">
        <w:rPr>
          <w:noProof/>
        </w:rPr>
        <w:t xml:space="preserve"> i</w:t>
      </w:r>
      <w:r w:rsidR="003F3D2B">
        <w:rPr>
          <w:noProof/>
        </w:rPr>
        <w:t> </w:t>
      </w:r>
      <w:r w:rsidR="003F3D2B" w:rsidRPr="00624565">
        <w:rPr>
          <w:noProof/>
        </w:rPr>
        <w:t>pol</w:t>
      </w:r>
      <w:r w:rsidRPr="00624565">
        <w:rPr>
          <w:noProof/>
        </w:rPr>
        <w:t>egały na składaniu sprawozdań dotyczących danych państw</w:t>
      </w:r>
      <w:r w:rsidR="003F3D2B" w:rsidRPr="00624565">
        <w:rPr>
          <w:noProof/>
        </w:rPr>
        <w:t xml:space="preserve"> i</w:t>
      </w:r>
      <w:r w:rsidR="003F3D2B">
        <w:rPr>
          <w:noProof/>
        </w:rPr>
        <w:t> </w:t>
      </w:r>
      <w:r w:rsidR="003F3D2B" w:rsidRPr="00624565">
        <w:rPr>
          <w:noProof/>
        </w:rPr>
        <w:t>spo</w:t>
      </w:r>
      <w:r w:rsidRPr="00624565">
        <w:rPr>
          <w:noProof/>
        </w:rPr>
        <w:t>rządzaniu co dwa lata sprawozdania</w:t>
      </w:r>
      <w:r w:rsidR="003F3D2B" w:rsidRPr="00624565">
        <w:rPr>
          <w:noProof/>
        </w:rPr>
        <w:t xml:space="preserve"> z</w:t>
      </w:r>
      <w:r w:rsidR="003F3D2B">
        <w:rPr>
          <w:noProof/>
        </w:rPr>
        <w:t> </w:t>
      </w:r>
      <w:r w:rsidR="003F3D2B" w:rsidRPr="00624565">
        <w:rPr>
          <w:noProof/>
        </w:rPr>
        <w:t>ana</w:t>
      </w:r>
      <w:r w:rsidRPr="00624565">
        <w:rPr>
          <w:noProof/>
        </w:rPr>
        <w:t>lizy, jak również na wykonywaniu zadań pomocniczych, które są niezbędne</w:t>
      </w:r>
      <w:r w:rsidR="003F3D2B" w:rsidRPr="00624565">
        <w:rPr>
          <w:noProof/>
        </w:rPr>
        <w:t xml:space="preserve"> w</w:t>
      </w:r>
      <w:r w:rsidR="003F3D2B">
        <w:rPr>
          <w:noProof/>
        </w:rPr>
        <w:t> </w:t>
      </w:r>
      <w:r w:rsidR="003F3D2B" w:rsidRPr="00624565">
        <w:rPr>
          <w:noProof/>
        </w:rPr>
        <w:t>ram</w:t>
      </w:r>
      <w:r w:rsidRPr="00624565">
        <w:rPr>
          <w:noProof/>
        </w:rPr>
        <w:t>ach zaplecza (administracja, komunikacja, rozwój IT, wsparcie przedsiębiorstw itp.).</w:t>
      </w:r>
    </w:p>
    <w:tbl>
      <w:tblPr>
        <w:tblW w:w="12066"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440"/>
        <w:gridCol w:w="654"/>
        <w:gridCol w:w="1134"/>
        <w:gridCol w:w="992"/>
        <w:gridCol w:w="1134"/>
        <w:gridCol w:w="992"/>
        <w:gridCol w:w="1760"/>
      </w:tblGrid>
      <w:tr w:rsidR="00DF0307" w:rsidRPr="00624565" w14:paraId="61DBEC97" w14:textId="77777777" w:rsidTr="00DF0307">
        <w:trPr>
          <w:trHeight w:val="277"/>
        </w:trPr>
        <w:tc>
          <w:tcPr>
            <w:tcW w:w="3960" w:type="dxa"/>
            <w:tcBorders>
              <w:top w:val="single" w:sz="4" w:space="0" w:color="auto"/>
              <w:left w:val="single" w:sz="4" w:space="0" w:color="auto"/>
              <w:bottom w:val="single" w:sz="4" w:space="0" w:color="auto"/>
              <w:right w:val="single" w:sz="4" w:space="0" w:color="auto"/>
            </w:tcBorders>
            <w:vAlign w:val="center"/>
            <w:hideMark/>
          </w:tcPr>
          <w:p w14:paraId="486C354D" w14:textId="77777777" w:rsidR="00DF0307" w:rsidRPr="00624565" w:rsidRDefault="00DF0307" w:rsidP="006333CA">
            <w:pPr>
              <w:spacing w:before="20" w:after="20" w:line="276" w:lineRule="auto"/>
              <w:rPr>
                <w:noProof/>
                <w:sz w:val="22"/>
              </w:rPr>
            </w:pPr>
            <w:r w:rsidRPr="00624565">
              <w:rPr>
                <w:noProof/>
              </w:rPr>
              <w:br w:type="page"/>
            </w:r>
            <w:r w:rsidRPr="00624565">
              <w:rPr>
                <w:noProof/>
                <w:sz w:val="22"/>
              </w:rPr>
              <w:t xml:space="preserve"> OGÓŁEM środki operacyjne </w:t>
            </w:r>
          </w:p>
        </w:tc>
        <w:tc>
          <w:tcPr>
            <w:tcW w:w="1440" w:type="dxa"/>
            <w:tcBorders>
              <w:top w:val="single" w:sz="4" w:space="0" w:color="auto"/>
              <w:left w:val="single" w:sz="4" w:space="0" w:color="auto"/>
              <w:bottom w:val="single" w:sz="4" w:space="0" w:color="auto"/>
              <w:right w:val="single" w:sz="4" w:space="0" w:color="auto"/>
            </w:tcBorders>
            <w:vAlign w:val="center"/>
          </w:tcPr>
          <w:p w14:paraId="7A45AEBD" w14:textId="77777777" w:rsidR="00DF0307" w:rsidRPr="00624565" w:rsidRDefault="00DF0307" w:rsidP="006333CA">
            <w:pPr>
              <w:spacing w:beforeLines="20" w:before="48" w:afterLines="20" w:after="48" w:line="276" w:lineRule="auto"/>
              <w:rPr>
                <w:noProof/>
                <w:sz w:val="18"/>
              </w:rPr>
            </w:pPr>
          </w:p>
        </w:tc>
        <w:tc>
          <w:tcPr>
            <w:tcW w:w="654" w:type="dxa"/>
            <w:tcBorders>
              <w:top w:val="single" w:sz="4" w:space="0" w:color="auto"/>
              <w:left w:val="single" w:sz="4" w:space="0" w:color="auto"/>
              <w:bottom w:val="single" w:sz="4" w:space="0" w:color="auto"/>
              <w:right w:val="single" w:sz="4" w:space="0" w:color="auto"/>
            </w:tcBorders>
            <w:vAlign w:val="center"/>
          </w:tcPr>
          <w:p w14:paraId="5E4D700F" w14:textId="77777777" w:rsidR="00DF0307" w:rsidRPr="00624565" w:rsidRDefault="00DF0307" w:rsidP="006333CA">
            <w:pPr>
              <w:spacing w:beforeLines="20" w:before="48" w:afterLines="20" w:after="48" w:line="276" w:lineRule="auto"/>
              <w:jc w:val="center"/>
              <w:rPr>
                <w:noProof/>
                <w:sz w:val="14"/>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BD0E2C3" w14:textId="77777777" w:rsidR="00DF0307" w:rsidRPr="00624565" w:rsidRDefault="00DF0307" w:rsidP="006333CA">
            <w:pPr>
              <w:spacing w:before="20" w:after="20" w:line="276" w:lineRule="auto"/>
              <w:jc w:val="right"/>
              <w:rPr>
                <w:b/>
                <w:noProof/>
                <w:sz w:val="20"/>
              </w:rPr>
            </w:pPr>
            <w:r w:rsidRPr="00624565">
              <w:rPr>
                <w:b/>
                <w:noProof/>
                <w:sz w:val="20"/>
              </w:rPr>
              <w:t>2024</w:t>
            </w:r>
          </w:p>
        </w:tc>
        <w:tc>
          <w:tcPr>
            <w:tcW w:w="992" w:type="dxa"/>
            <w:tcBorders>
              <w:top w:val="single" w:sz="4" w:space="0" w:color="auto"/>
              <w:left w:val="single" w:sz="4" w:space="0" w:color="auto"/>
              <w:bottom w:val="single" w:sz="4" w:space="0" w:color="auto"/>
              <w:right w:val="single" w:sz="4" w:space="0" w:color="auto"/>
            </w:tcBorders>
            <w:vAlign w:val="center"/>
            <w:hideMark/>
          </w:tcPr>
          <w:p w14:paraId="77984195" w14:textId="77777777" w:rsidR="00DF0307" w:rsidRPr="00624565" w:rsidRDefault="00DF0307" w:rsidP="006333CA">
            <w:pPr>
              <w:spacing w:before="20" w:after="20" w:line="276" w:lineRule="auto"/>
              <w:jc w:val="right"/>
              <w:rPr>
                <w:b/>
                <w:noProof/>
                <w:sz w:val="20"/>
              </w:rPr>
            </w:pPr>
            <w:r w:rsidRPr="00624565">
              <w:rPr>
                <w:b/>
                <w:noProof/>
                <w:sz w:val="20"/>
              </w:rPr>
              <w:t>2025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718DCCD" w14:textId="77777777" w:rsidR="00DF0307" w:rsidRPr="00624565" w:rsidRDefault="00DF0307" w:rsidP="006333CA">
            <w:pPr>
              <w:spacing w:before="20" w:after="20" w:line="276" w:lineRule="auto"/>
              <w:jc w:val="right"/>
              <w:rPr>
                <w:b/>
                <w:noProof/>
                <w:sz w:val="20"/>
              </w:rPr>
            </w:pPr>
            <w:r w:rsidRPr="00624565">
              <w:rPr>
                <w:b/>
                <w:noProof/>
                <w:sz w:val="20"/>
              </w:rPr>
              <w:t>2026</w:t>
            </w:r>
          </w:p>
        </w:tc>
        <w:tc>
          <w:tcPr>
            <w:tcW w:w="992" w:type="dxa"/>
            <w:tcBorders>
              <w:top w:val="single" w:sz="4" w:space="0" w:color="auto"/>
              <w:left w:val="single" w:sz="4" w:space="0" w:color="auto"/>
              <w:bottom w:val="single" w:sz="4" w:space="0" w:color="auto"/>
              <w:right w:val="single" w:sz="4" w:space="0" w:color="auto"/>
            </w:tcBorders>
            <w:vAlign w:val="center"/>
            <w:hideMark/>
          </w:tcPr>
          <w:p w14:paraId="7FDB7F0F" w14:textId="77777777" w:rsidR="00DF0307" w:rsidRPr="00624565" w:rsidRDefault="00DF0307" w:rsidP="006333CA">
            <w:pPr>
              <w:spacing w:before="20" w:after="20" w:line="276" w:lineRule="auto"/>
              <w:jc w:val="right"/>
              <w:rPr>
                <w:b/>
                <w:noProof/>
                <w:sz w:val="20"/>
              </w:rPr>
            </w:pPr>
            <w:r w:rsidRPr="00624565">
              <w:rPr>
                <w:b/>
                <w:noProof/>
                <w:sz w:val="20"/>
              </w:rPr>
              <w:t>2027</w:t>
            </w:r>
          </w:p>
        </w:tc>
        <w:tc>
          <w:tcPr>
            <w:tcW w:w="1760" w:type="dxa"/>
            <w:tcBorders>
              <w:top w:val="single" w:sz="4" w:space="0" w:color="auto"/>
              <w:left w:val="single" w:sz="4" w:space="0" w:color="auto"/>
              <w:bottom w:val="single" w:sz="4" w:space="0" w:color="auto"/>
              <w:right w:val="single" w:sz="4" w:space="0" w:color="auto"/>
            </w:tcBorders>
            <w:vAlign w:val="center"/>
            <w:hideMark/>
          </w:tcPr>
          <w:p w14:paraId="22A65371" w14:textId="77777777" w:rsidR="00DF0307" w:rsidRPr="00624565" w:rsidRDefault="00DF0307" w:rsidP="006333CA">
            <w:pPr>
              <w:spacing w:before="20" w:after="20" w:line="276" w:lineRule="auto"/>
              <w:jc w:val="right"/>
              <w:rPr>
                <w:b/>
                <w:noProof/>
                <w:sz w:val="20"/>
              </w:rPr>
            </w:pPr>
            <w:r w:rsidRPr="00624565">
              <w:rPr>
                <w:b/>
                <w:noProof/>
                <w:sz w:val="20"/>
              </w:rPr>
              <w:t>OGÓŁEM</w:t>
            </w:r>
          </w:p>
        </w:tc>
      </w:tr>
      <w:tr w:rsidR="00DF0307" w:rsidRPr="00624565" w14:paraId="4F3D1BFA" w14:textId="77777777" w:rsidTr="00DF0307">
        <w:trPr>
          <w:trHeight w:val="277"/>
        </w:trPr>
        <w:tc>
          <w:tcPr>
            <w:tcW w:w="3960" w:type="dxa"/>
            <w:tcBorders>
              <w:top w:val="single" w:sz="4" w:space="0" w:color="auto"/>
              <w:left w:val="single" w:sz="4" w:space="0" w:color="auto"/>
              <w:bottom w:val="single" w:sz="4" w:space="0" w:color="auto"/>
              <w:right w:val="single" w:sz="4" w:space="0" w:color="auto"/>
            </w:tcBorders>
            <w:vAlign w:val="center"/>
            <w:hideMark/>
          </w:tcPr>
          <w:p w14:paraId="4D105531" w14:textId="77777777" w:rsidR="00DF0307" w:rsidRPr="00624565" w:rsidRDefault="00DF0307" w:rsidP="00DF0307">
            <w:pPr>
              <w:spacing w:before="20" w:after="20" w:line="276" w:lineRule="auto"/>
              <w:rPr>
                <w:noProof/>
                <w:sz w:val="22"/>
              </w:rPr>
            </w:pPr>
          </w:p>
        </w:tc>
        <w:tc>
          <w:tcPr>
            <w:tcW w:w="1440" w:type="dxa"/>
            <w:tcBorders>
              <w:top w:val="single" w:sz="4" w:space="0" w:color="auto"/>
              <w:left w:val="single" w:sz="4" w:space="0" w:color="auto"/>
              <w:bottom w:val="single" w:sz="4" w:space="0" w:color="auto"/>
              <w:right w:val="single" w:sz="4" w:space="0" w:color="auto"/>
            </w:tcBorders>
            <w:vAlign w:val="center"/>
          </w:tcPr>
          <w:p w14:paraId="06A107B4" w14:textId="77777777" w:rsidR="00DF0307" w:rsidRPr="00624565" w:rsidRDefault="00DF0307" w:rsidP="006333CA">
            <w:pPr>
              <w:spacing w:beforeLines="20" w:before="48" w:afterLines="20" w:after="48" w:line="276" w:lineRule="auto"/>
              <w:rPr>
                <w:noProof/>
                <w:sz w:val="18"/>
              </w:rPr>
            </w:pPr>
            <w:r w:rsidRPr="00624565">
              <w:rPr>
                <w:noProof/>
                <w:sz w:val="18"/>
              </w:rPr>
              <w:t>Środki na zobowiązania</w:t>
            </w:r>
          </w:p>
        </w:tc>
        <w:tc>
          <w:tcPr>
            <w:tcW w:w="654" w:type="dxa"/>
            <w:tcBorders>
              <w:top w:val="single" w:sz="4" w:space="0" w:color="auto"/>
              <w:left w:val="single" w:sz="4" w:space="0" w:color="auto"/>
              <w:bottom w:val="single" w:sz="4" w:space="0" w:color="auto"/>
              <w:right w:val="single" w:sz="4" w:space="0" w:color="auto"/>
            </w:tcBorders>
            <w:vAlign w:val="center"/>
          </w:tcPr>
          <w:p w14:paraId="6AB14221" w14:textId="77777777" w:rsidR="00DF0307" w:rsidRPr="00624565" w:rsidRDefault="00DF0307" w:rsidP="006333CA">
            <w:pPr>
              <w:spacing w:beforeLines="20" w:before="48" w:afterLines="20" w:after="48" w:line="276" w:lineRule="auto"/>
              <w:jc w:val="center"/>
              <w:rPr>
                <w:noProof/>
                <w:sz w:val="14"/>
              </w:rPr>
            </w:pPr>
            <w:r w:rsidRPr="00624565">
              <w:rPr>
                <w:noProof/>
                <w:sz w:val="14"/>
              </w:rPr>
              <w:t>(4)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D42DF9B" w14:textId="77777777" w:rsidR="00DF0307" w:rsidRPr="00624565" w:rsidRDefault="00DF0307" w:rsidP="006333CA">
            <w:pPr>
              <w:spacing w:before="20" w:after="20" w:line="276" w:lineRule="auto"/>
              <w:jc w:val="right"/>
              <w:rPr>
                <w:b/>
                <w:noProof/>
                <w:sz w:val="20"/>
              </w:rPr>
            </w:pPr>
            <w:r w:rsidRPr="00624565">
              <w:rPr>
                <w:b/>
                <w:noProof/>
                <w:sz w:val="20"/>
              </w:rPr>
              <w:t>2,540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988FB32" w14:textId="77777777" w:rsidR="00DF0307" w:rsidRPr="00624565" w:rsidRDefault="00DF0307" w:rsidP="006333CA">
            <w:pPr>
              <w:spacing w:before="20" w:after="20" w:line="276" w:lineRule="auto"/>
              <w:jc w:val="right"/>
              <w:rPr>
                <w:b/>
                <w:noProof/>
                <w:sz w:val="20"/>
              </w:rPr>
            </w:pPr>
            <w:r w:rsidRPr="00624565">
              <w:rPr>
                <w:b/>
                <w:noProof/>
                <w:sz w:val="20"/>
              </w:rPr>
              <w:t>7,239</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719AEB8" w14:textId="77777777" w:rsidR="00DF0307" w:rsidRPr="00624565" w:rsidRDefault="00DF0307" w:rsidP="006333CA">
            <w:pPr>
              <w:spacing w:before="20" w:after="20" w:line="276" w:lineRule="auto"/>
              <w:jc w:val="right"/>
              <w:rPr>
                <w:b/>
                <w:noProof/>
                <w:sz w:val="20"/>
              </w:rPr>
            </w:pPr>
            <w:r w:rsidRPr="00624565">
              <w:rPr>
                <w:b/>
                <w:noProof/>
                <w:sz w:val="20"/>
              </w:rPr>
              <w:t>5,696</w:t>
            </w:r>
          </w:p>
        </w:tc>
        <w:tc>
          <w:tcPr>
            <w:tcW w:w="992" w:type="dxa"/>
            <w:tcBorders>
              <w:top w:val="single" w:sz="4" w:space="0" w:color="auto"/>
              <w:left w:val="single" w:sz="4" w:space="0" w:color="auto"/>
              <w:bottom w:val="single" w:sz="4" w:space="0" w:color="auto"/>
              <w:right w:val="single" w:sz="4" w:space="0" w:color="auto"/>
            </w:tcBorders>
            <w:vAlign w:val="center"/>
            <w:hideMark/>
          </w:tcPr>
          <w:p w14:paraId="4F507E91" w14:textId="77777777" w:rsidR="00DF0307" w:rsidRPr="00624565" w:rsidRDefault="00DF0307" w:rsidP="006333CA">
            <w:pPr>
              <w:spacing w:before="20" w:after="20" w:line="276" w:lineRule="auto"/>
              <w:jc w:val="right"/>
              <w:rPr>
                <w:b/>
                <w:noProof/>
                <w:sz w:val="20"/>
              </w:rPr>
            </w:pPr>
            <w:r w:rsidRPr="00624565">
              <w:rPr>
                <w:b/>
                <w:noProof/>
                <w:sz w:val="20"/>
              </w:rPr>
              <w:t>5,654</w:t>
            </w:r>
          </w:p>
        </w:tc>
        <w:tc>
          <w:tcPr>
            <w:tcW w:w="1760" w:type="dxa"/>
            <w:tcBorders>
              <w:top w:val="single" w:sz="4" w:space="0" w:color="auto"/>
              <w:left w:val="single" w:sz="4" w:space="0" w:color="auto"/>
              <w:bottom w:val="single" w:sz="4" w:space="0" w:color="auto"/>
              <w:right w:val="single" w:sz="4" w:space="0" w:color="auto"/>
            </w:tcBorders>
            <w:vAlign w:val="center"/>
            <w:hideMark/>
          </w:tcPr>
          <w:p w14:paraId="5E146394" w14:textId="77777777" w:rsidR="00DF0307" w:rsidRPr="00624565" w:rsidRDefault="00DF0307" w:rsidP="006333CA">
            <w:pPr>
              <w:spacing w:before="20" w:after="20" w:line="276" w:lineRule="auto"/>
              <w:jc w:val="right"/>
              <w:rPr>
                <w:b/>
                <w:noProof/>
                <w:sz w:val="20"/>
              </w:rPr>
            </w:pPr>
            <w:r w:rsidRPr="00624565">
              <w:rPr>
                <w:b/>
                <w:noProof/>
                <w:sz w:val="20"/>
              </w:rPr>
              <w:t>21,129</w:t>
            </w:r>
          </w:p>
        </w:tc>
      </w:tr>
      <w:tr w:rsidR="00DF0307" w:rsidRPr="00624565" w14:paraId="2A07CBC8" w14:textId="77777777" w:rsidTr="00DF0307">
        <w:trPr>
          <w:trHeight w:val="277"/>
        </w:trPr>
        <w:tc>
          <w:tcPr>
            <w:tcW w:w="3960" w:type="dxa"/>
            <w:tcBorders>
              <w:top w:val="single" w:sz="4" w:space="0" w:color="auto"/>
              <w:left w:val="single" w:sz="4" w:space="0" w:color="auto"/>
              <w:bottom w:val="single" w:sz="4" w:space="0" w:color="auto"/>
              <w:right w:val="single" w:sz="4" w:space="0" w:color="auto"/>
            </w:tcBorders>
            <w:vAlign w:val="center"/>
            <w:hideMark/>
          </w:tcPr>
          <w:p w14:paraId="76671F48" w14:textId="77777777" w:rsidR="00DF0307" w:rsidRPr="00624565" w:rsidRDefault="00DF0307" w:rsidP="00DF0307">
            <w:pPr>
              <w:spacing w:before="20" w:after="20" w:line="276" w:lineRule="auto"/>
              <w:rPr>
                <w:noProof/>
                <w:sz w:val="22"/>
              </w:rPr>
            </w:pPr>
          </w:p>
        </w:tc>
        <w:tc>
          <w:tcPr>
            <w:tcW w:w="1440" w:type="dxa"/>
            <w:tcBorders>
              <w:top w:val="single" w:sz="4" w:space="0" w:color="auto"/>
              <w:left w:val="single" w:sz="4" w:space="0" w:color="auto"/>
              <w:bottom w:val="single" w:sz="4" w:space="0" w:color="auto"/>
              <w:right w:val="single" w:sz="4" w:space="0" w:color="auto"/>
            </w:tcBorders>
            <w:vAlign w:val="center"/>
          </w:tcPr>
          <w:p w14:paraId="6D2808B6" w14:textId="77777777" w:rsidR="00DF0307" w:rsidRPr="00624565" w:rsidRDefault="00DF0307" w:rsidP="006333CA">
            <w:pPr>
              <w:spacing w:beforeLines="20" w:before="48" w:afterLines="20" w:after="48" w:line="276" w:lineRule="auto"/>
              <w:rPr>
                <w:noProof/>
                <w:sz w:val="18"/>
              </w:rPr>
            </w:pPr>
            <w:r w:rsidRPr="00624565">
              <w:rPr>
                <w:noProof/>
                <w:sz w:val="18"/>
              </w:rPr>
              <w:t>Środki na płatności</w:t>
            </w:r>
          </w:p>
        </w:tc>
        <w:tc>
          <w:tcPr>
            <w:tcW w:w="654" w:type="dxa"/>
            <w:tcBorders>
              <w:top w:val="single" w:sz="4" w:space="0" w:color="auto"/>
              <w:left w:val="single" w:sz="4" w:space="0" w:color="auto"/>
              <w:bottom w:val="single" w:sz="4" w:space="0" w:color="auto"/>
              <w:right w:val="single" w:sz="4" w:space="0" w:color="auto"/>
            </w:tcBorders>
            <w:vAlign w:val="center"/>
          </w:tcPr>
          <w:p w14:paraId="33E31C30" w14:textId="77777777" w:rsidR="00DF0307" w:rsidRPr="00624565" w:rsidRDefault="00DF0307" w:rsidP="006333CA">
            <w:pPr>
              <w:spacing w:beforeLines="20" w:before="48" w:afterLines="20" w:after="48" w:line="276" w:lineRule="auto"/>
              <w:jc w:val="center"/>
              <w:rPr>
                <w:noProof/>
                <w:sz w:val="14"/>
              </w:rPr>
            </w:pPr>
            <w:r w:rsidRPr="00624565">
              <w:rPr>
                <w:noProof/>
                <w:sz w:val="14"/>
              </w:rPr>
              <w:t>(5)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ABD30D6" w14:textId="77777777" w:rsidR="00DF0307" w:rsidRPr="00624565" w:rsidRDefault="00DF0307" w:rsidP="006333CA">
            <w:pPr>
              <w:spacing w:before="20" w:after="20" w:line="276" w:lineRule="auto"/>
              <w:jc w:val="right"/>
              <w:rPr>
                <w:b/>
                <w:noProof/>
                <w:sz w:val="20"/>
              </w:rPr>
            </w:pPr>
            <w:r w:rsidRPr="00624565">
              <w:rPr>
                <w:b/>
                <w:noProof/>
                <w:sz w:val="20"/>
              </w:rPr>
              <w:t>2,540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7073B96" w14:textId="77777777" w:rsidR="00DF0307" w:rsidRPr="00624565" w:rsidRDefault="00DF0307" w:rsidP="006333CA">
            <w:pPr>
              <w:spacing w:before="20" w:after="20" w:line="276" w:lineRule="auto"/>
              <w:jc w:val="right"/>
              <w:rPr>
                <w:b/>
                <w:noProof/>
                <w:sz w:val="20"/>
              </w:rPr>
            </w:pPr>
            <w:r w:rsidRPr="00624565">
              <w:rPr>
                <w:b/>
                <w:noProof/>
                <w:sz w:val="20"/>
              </w:rPr>
              <w:t>7,239</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B85CC06" w14:textId="77777777" w:rsidR="00DF0307" w:rsidRPr="00624565" w:rsidRDefault="00DF0307" w:rsidP="006333CA">
            <w:pPr>
              <w:spacing w:before="20" w:after="20" w:line="276" w:lineRule="auto"/>
              <w:jc w:val="right"/>
              <w:rPr>
                <w:b/>
                <w:noProof/>
                <w:sz w:val="20"/>
              </w:rPr>
            </w:pPr>
            <w:r w:rsidRPr="00624565">
              <w:rPr>
                <w:b/>
                <w:noProof/>
                <w:sz w:val="20"/>
              </w:rPr>
              <w:t>5,696</w:t>
            </w:r>
          </w:p>
        </w:tc>
        <w:tc>
          <w:tcPr>
            <w:tcW w:w="992" w:type="dxa"/>
            <w:tcBorders>
              <w:top w:val="single" w:sz="4" w:space="0" w:color="auto"/>
              <w:left w:val="single" w:sz="4" w:space="0" w:color="auto"/>
              <w:bottom w:val="single" w:sz="4" w:space="0" w:color="auto"/>
              <w:right w:val="single" w:sz="4" w:space="0" w:color="auto"/>
            </w:tcBorders>
            <w:vAlign w:val="center"/>
            <w:hideMark/>
          </w:tcPr>
          <w:p w14:paraId="46F0D68D" w14:textId="77777777" w:rsidR="00DF0307" w:rsidRPr="00624565" w:rsidRDefault="00DF0307" w:rsidP="006333CA">
            <w:pPr>
              <w:spacing w:before="20" w:after="20" w:line="276" w:lineRule="auto"/>
              <w:jc w:val="right"/>
              <w:rPr>
                <w:b/>
                <w:noProof/>
                <w:sz w:val="20"/>
              </w:rPr>
            </w:pPr>
            <w:r w:rsidRPr="00624565">
              <w:rPr>
                <w:b/>
                <w:noProof/>
                <w:sz w:val="20"/>
              </w:rPr>
              <w:t>5,654</w:t>
            </w:r>
          </w:p>
        </w:tc>
        <w:tc>
          <w:tcPr>
            <w:tcW w:w="1760" w:type="dxa"/>
            <w:tcBorders>
              <w:top w:val="single" w:sz="4" w:space="0" w:color="auto"/>
              <w:left w:val="single" w:sz="4" w:space="0" w:color="auto"/>
              <w:bottom w:val="single" w:sz="4" w:space="0" w:color="auto"/>
              <w:right w:val="single" w:sz="4" w:space="0" w:color="auto"/>
            </w:tcBorders>
            <w:vAlign w:val="center"/>
            <w:hideMark/>
          </w:tcPr>
          <w:p w14:paraId="2063A6EE" w14:textId="77777777" w:rsidR="00DF0307" w:rsidRPr="00624565" w:rsidRDefault="00DF0307" w:rsidP="006333CA">
            <w:pPr>
              <w:spacing w:before="20" w:after="20" w:line="276" w:lineRule="auto"/>
              <w:jc w:val="right"/>
              <w:rPr>
                <w:b/>
                <w:noProof/>
                <w:sz w:val="20"/>
              </w:rPr>
            </w:pPr>
            <w:r w:rsidRPr="00624565">
              <w:rPr>
                <w:b/>
                <w:noProof/>
                <w:sz w:val="20"/>
              </w:rPr>
              <w:t>21,129</w:t>
            </w:r>
          </w:p>
        </w:tc>
      </w:tr>
      <w:tr w:rsidR="00DF0307" w:rsidRPr="00624565" w14:paraId="7FEA0F08" w14:textId="77777777" w:rsidTr="00DF0307">
        <w:trPr>
          <w:trHeight w:val="277"/>
        </w:trPr>
        <w:tc>
          <w:tcPr>
            <w:tcW w:w="3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2190E6" w14:textId="7ADA0014" w:rsidR="00DF0307" w:rsidRPr="00624565" w:rsidRDefault="00DF0307" w:rsidP="00DF0307">
            <w:pPr>
              <w:spacing w:before="20" w:after="20" w:line="276" w:lineRule="auto"/>
              <w:jc w:val="center"/>
              <w:rPr>
                <w:b/>
                <w:noProof/>
                <w:sz w:val="22"/>
              </w:rPr>
            </w:pPr>
            <w:r w:rsidRPr="00624565">
              <w:rPr>
                <w:b/>
                <w:noProof/>
                <w:sz w:val="22"/>
              </w:rPr>
              <w:t xml:space="preserve">OGÓŁEM środki </w:t>
            </w:r>
            <w:r w:rsidRPr="00624565">
              <w:rPr>
                <w:noProof/>
              </w:rPr>
              <w:br/>
            </w:r>
            <w:r w:rsidRPr="00624565">
              <w:rPr>
                <w:b/>
                <w:noProof/>
                <w:sz w:val="22"/>
              </w:rPr>
              <w:t xml:space="preserve">na DZIAŁY 1 </w:t>
            </w:r>
            <w:r w:rsidRPr="003F3D2B">
              <w:rPr>
                <w:b/>
                <w:noProof/>
                <w:sz w:val="22"/>
              </w:rPr>
              <w:t>do</w:t>
            </w:r>
            <w:r w:rsidR="003F3D2B" w:rsidRPr="003F3D2B">
              <w:rPr>
                <w:b/>
                <w:noProof/>
                <w:sz w:val="22"/>
              </w:rPr>
              <w:t> </w:t>
            </w:r>
            <w:r w:rsidRPr="003F3D2B">
              <w:rPr>
                <w:b/>
                <w:noProof/>
                <w:sz w:val="22"/>
              </w:rPr>
              <w:t>3</w:t>
            </w:r>
          </w:p>
          <w:p w14:paraId="0AC087D9" w14:textId="77777777" w:rsidR="00DF0307" w:rsidRPr="00624565" w:rsidRDefault="00DF0307" w:rsidP="00DF0307">
            <w:pPr>
              <w:spacing w:before="20" w:after="20" w:line="276" w:lineRule="auto"/>
              <w:jc w:val="center"/>
              <w:rPr>
                <w:noProof/>
                <w:sz w:val="22"/>
              </w:rPr>
            </w:pPr>
            <w:r w:rsidRPr="00624565">
              <w:rPr>
                <w:noProof/>
                <w:sz w:val="22"/>
              </w:rPr>
              <w:t>wieloletnich ram finansowych</w:t>
            </w:r>
          </w:p>
        </w:tc>
        <w:tc>
          <w:tcPr>
            <w:tcW w:w="1440" w:type="dxa"/>
            <w:tcBorders>
              <w:top w:val="single" w:sz="4" w:space="0" w:color="auto"/>
              <w:left w:val="single" w:sz="4" w:space="0" w:color="auto"/>
              <w:bottom w:val="single" w:sz="4" w:space="0" w:color="auto"/>
              <w:right w:val="single" w:sz="4" w:space="0" w:color="auto"/>
            </w:tcBorders>
            <w:vAlign w:val="center"/>
          </w:tcPr>
          <w:p w14:paraId="17283D77" w14:textId="77777777" w:rsidR="00DF0307" w:rsidRPr="00624565" w:rsidRDefault="00DF0307" w:rsidP="00DF0307">
            <w:pPr>
              <w:spacing w:beforeLines="20" w:before="48" w:afterLines="20" w:after="48" w:line="276" w:lineRule="auto"/>
              <w:rPr>
                <w:noProof/>
                <w:sz w:val="18"/>
              </w:rPr>
            </w:pPr>
            <w:r w:rsidRPr="00624565">
              <w:rPr>
                <w:noProof/>
                <w:sz w:val="18"/>
              </w:rPr>
              <w:t>Środki na zobowiązania</w:t>
            </w:r>
          </w:p>
        </w:tc>
        <w:tc>
          <w:tcPr>
            <w:tcW w:w="654" w:type="dxa"/>
            <w:tcBorders>
              <w:top w:val="single" w:sz="4" w:space="0" w:color="auto"/>
              <w:left w:val="single" w:sz="4" w:space="0" w:color="auto"/>
              <w:bottom w:val="single" w:sz="4" w:space="0" w:color="auto"/>
              <w:right w:val="single" w:sz="4" w:space="0" w:color="auto"/>
            </w:tcBorders>
            <w:vAlign w:val="center"/>
          </w:tcPr>
          <w:p w14:paraId="7DCAC974" w14:textId="77777777" w:rsidR="00DF0307" w:rsidRPr="00624565" w:rsidRDefault="00DF0307" w:rsidP="00DF0307">
            <w:pPr>
              <w:spacing w:beforeLines="20" w:before="48" w:afterLines="20" w:after="48" w:line="276" w:lineRule="auto"/>
              <w:jc w:val="center"/>
              <w:rPr>
                <w:noProof/>
                <w:sz w:val="14"/>
              </w:rPr>
            </w:pPr>
            <w:r w:rsidRPr="00624565">
              <w:rPr>
                <w:noProof/>
                <w:sz w:val="14"/>
              </w:rPr>
              <w:t>=4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79F756D" w14:textId="77777777" w:rsidR="00DF0307" w:rsidRPr="00624565" w:rsidRDefault="00DF0307" w:rsidP="00DF0307">
            <w:pPr>
              <w:spacing w:before="20" w:after="20" w:line="276" w:lineRule="auto"/>
              <w:jc w:val="right"/>
              <w:rPr>
                <w:b/>
                <w:noProof/>
                <w:sz w:val="20"/>
              </w:rPr>
            </w:pPr>
            <w:r w:rsidRPr="00624565">
              <w:rPr>
                <w:b/>
                <w:noProof/>
                <w:sz w:val="20"/>
              </w:rPr>
              <w:t>2,540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B68D466" w14:textId="77777777" w:rsidR="00DF0307" w:rsidRPr="00624565" w:rsidRDefault="00DF0307" w:rsidP="00DF0307">
            <w:pPr>
              <w:spacing w:before="20" w:after="20" w:line="276" w:lineRule="auto"/>
              <w:jc w:val="right"/>
              <w:rPr>
                <w:b/>
                <w:noProof/>
                <w:sz w:val="20"/>
              </w:rPr>
            </w:pPr>
            <w:r w:rsidRPr="00624565">
              <w:rPr>
                <w:b/>
                <w:noProof/>
                <w:sz w:val="20"/>
              </w:rPr>
              <w:t>7,239</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FA94C49" w14:textId="77777777" w:rsidR="00DF0307" w:rsidRPr="00624565" w:rsidRDefault="00DF0307" w:rsidP="00DF0307">
            <w:pPr>
              <w:spacing w:before="20" w:after="20" w:line="276" w:lineRule="auto"/>
              <w:jc w:val="right"/>
              <w:rPr>
                <w:b/>
                <w:noProof/>
                <w:sz w:val="20"/>
              </w:rPr>
            </w:pPr>
            <w:r w:rsidRPr="00624565">
              <w:rPr>
                <w:b/>
                <w:noProof/>
                <w:sz w:val="20"/>
              </w:rPr>
              <w:t>5,696</w:t>
            </w:r>
          </w:p>
        </w:tc>
        <w:tc>
          <w:tcPr>
            <w:tcW w:w="992" w:type="dxa"/>
            <w:tcBorders>
              <w:top w:val="single" w:sz="4" w:space="0" w:color="auto"/>
              <w:left w:val="single" w:sz="4" w:space="0" w:color="auto"/>
              <w:bottom w:val="single" w:sz="4" w:space="0" w:color="auto"/>
              <w:right w:val="single" w:sz="4" w:space="0" w:color="auto"/>
            </w:tcBorders>
            <w:vAlign w:val="center"/>
            <w:hideMark/>
          </w:tcPr>
          <w:p w14:paraId="0CE0507C" w14:textId="77777777" w:rsidR="00DF0307" w:rsidRPr="00624565" w:rsidRDefault="00DF0307" w:rsidP="00DF0307">
            <w:pPr>
              <w:spacing w:before="20" w:after="20" w:line="276" w:lineRule="auto"/>
              <w:jc w:val="right"/>
              <w:rPr>
                <w:b/>
                <w:noProof/>
                <w:sz w:val="20"/>
              </w:rPr>
            </w:pPr>
            <w:r w:rsidRPr="00624565">
              <w:rPr>
                <w:b/>
                <w:noProof/>
                <w:sz w:val="20"/>
              </w:rPr>
              <w:t>5,654</w:t>
            </w:r>
          </w:p>
        </w:tc>
        <w:tc>
          <w:tcPr>
            <w:tcW w:w="1760" w:type="dxa"/>
            <w:tcBorders>
              <w:top w:val="single" w:sz="4" w:space="0" w:color="auto"/>
              <w:left w:val="single" w:sz="4" w:space="0" w:color="auto"/>
              <w:bottom w:val="single" w:sz="4" w:space="0" w:color="auto"/>
              <w:right w:val="single" w:sz="4" w:space="0" w:color="auto"/>
            </w:tcBorders>
            <w:vAlign w:val="center"/>
            <w:hideMark/>
          </w:tcPr>
          <w:p w14:paraId="147C4EDC" w14:textId="77777777" w:rsidR="00DF0307" w:rsidRPr="00624565" w:rsidRDefault="00DF0307" w:rsidP="00DF0307">
            <w:pPr>
              <w:spacing w:before="20" w:after="20" w:line="276" w:lineRule="auto"/>
              <w:jc w:val="right"/>
              <w:rPr>
                <w:b/>
                <w:noProof/>
                <w:sz w:val="20"/>
              </w:rPr>
            </w:pPr>
            <w:r w:rsidRPr="00624565">
              <w:rPr>
                <w:b/>
                <w:noProof/>
                <w:sz w:val="20"/>
              </w:rPr>
              <w:t>21,129</w:t>
            </w:r>
          </w:p>
        </w:tc>
      </w:tr>
    </w:tbl>
    <w:p w14:paraId="514FA030" w14:textId="77777777" w:rsidR="00DF0307" w:rsidRPr="00624565" w:rsidRDefault="009769E5" w:rsidP="00DF0307">
      <w:pPr>
        <w:rPr>
          <w:noProof/>
        </w:rPr>
      </w:pPr>
      <w:r w:rsidRPr="00624565">
        <w:rPr>
          <w:noProof/>
        </w:rPr>
        <w:t xml:space="preserve"> </w:t>
      </w:r>
      <w:r w:rsidRPr="00624565">
        <w:rPr>
          <w:noProof/>
        </w:rPr>
        <w:br/>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rsidR="00DF0307" w:rsidRPr="00624565" w14:paraId="74137938" w14:textId="77777777" w:rsidTr="006333CA">
        <w:trPr>
          <w:jc w:val="center"/>
        </w:trPr>
        <w:tc>
          <w:tcPr>
            <w:tcW w:w="4744" w:type="dxa"/>
            <w:tcBorders>
              <w:top w:val="single" w:sz="4" w:space="0" w:color="auto"/>
              <w:left w:val="single" w:sz="4" w:space="0" w:color="auto"/>
              <w:bottom w:val="single" w:sz="4" w:space="0" w:color="auto"/>
              <w:right w:val="single" w:sz="4" w:space="0" w:color="auto"/>
            </w:tcBorders>
            <w:shd w:val="thinDiagStripe" w:color="C0C0C0" w:fill="auto"/>
            <w:vAlign w:val="center"/>
            <w:hideMark/>
          </w:tcPr>
          <w:p w14:paraId="76C13C0F" w14:textId="423724EC" w:rsidR="00DF0307" w:rsidRPr="00624565" w:rsidRDefault="00DF0307" w:rsidP="006333CA">
            <w:pPr>
              <w:spacing w:before="60" w:after="60" w:line="276" w:lineRule="auto"/>
              <w:jc w:val="center"/>
              <w:rPr>
                <w:b/>
                <w:noProof/>
              </w:rPr>
            </w:pPr>
            <w:r w:rsidRPr="00624565">
              <w:rPr>
                <w:noProof/>
              </w:rPr>
              <w:br w:type="page"/>
            </w:r>
            <w:r w:rsidRPr="00624565">
              <w:rPr>
                <w:noProof/>
              </w:rPr>
              <w:br w:type="page"/>
            </w:r>
            <w:r w:rsidRPr="00624565">
              <w:rPr>
                <w:b/>
                <w:noProof/>
                <w:sz w:val="22"/>
              </w:rPr>
              <w:t>Dział wieloletnich ra</w:t>
            </w:r>
            <w:r w:rsidRPr="003F3D2B">
              <w:rPr>
                <w:b/>
                <w:noProof/>
                <w:sz w:val="22"/>
              </w:rPr>
              <w:t>m</w:t>
            </w:r>
            <w:r w:rsidR="003F3D2B" w:rsidRPr="003F3D2B">
              <w:rPr>
                <w:b/>
                <w:noProof/>
                <w:sz w:val="22"/>
              </w:rPr>
              <w:t xml:space="preserve"> </w:t>
            </w:r>
            <w:r w:rsidRPr="003F3D2B">
              <w:rPr>
                <w:b/>
                <w:noProof/>
                <w:sz w:val="22"/>
              </w:rPr>
              <w:br/>
            </w:r>
            <w:r w:rsidRPr="00624565">
              <w:rPr>
                <w:b/>
                <w:noProof/>
                <w:sz w:val="22"/>
              </w:rPr>
              <w:t xml:space="preserve">finansowych </w:t>
            </w:r>
          </w:p>
        </w:tc>
        <w:tc>
          <w:tcPr>
            <w:tcW w:w="1080" w:type="dxa"/>
            <w:tcBorders>
              <w:top w:val="single" w:sz="4" w:space="0" w:color="auto"/>
              <w:left w:val="single" w:sz="4" w:space="0" w:color="auto"/>
              <w:bottom w:val="single" w:sz="4" w:space="0" w:color="auto"/>
              <w:right w:val="single" w:sz="4" w:space="0" w:color="auto"/>
            </w:tcBorders>
            <w:shd w:val="thinDiagStripe" w:color="C0C0C0" w:fill="auto"/>
            <w:vAlign w:val="center"/>
            <w:hideMark/>
          </w:tcPr>
          <w:p w14:paraId="6E29F77E" w14:textId="77777777" w:rsidR="00DF0307" w:rsidRPr="00624565" w:rsidRDefault="00DF0307" w:rsidP="006333CA">
            <w:pPr>
              <w:spacing w:before="60" w:after="60" w:line="276" w:lineRule="auto"/>
              <w:jc w:val="center"/>
              <w:rPr>
                <w:noProof/>
              </w:rPr>
            </w:pPr>
            <w:r w:rsidRPr="00624565">
              <w:rPr>
                <w:b/>
                <w:noProof/>
                <w:sz w:val="22"/>
              </w:rPr>
              <w:t>7</w:t>
            </w:r>
          </w:p>
        </w:tc>
        <w:tc>
          <w:tcPr>
            <w:tcW w:w="7817" w:type="dxa"/>
            <w:tcBorders>
              <w:top w:val="single" w:sz="4" w:space="0" w:color="auto"/>
              <w:left w:val="single" w:sz="4" w:space="0" w:color="auto"/>
              <w:bottom w:val="single" w:sz="4" w:space="0" w:color="auto"/>
              <w:right w:val="single" w:sz="4" w:space="0" w:color="auto"/>
            </w:tcBorders>
            <w:vAlign w:val="center"/>
            <w:hideMark/>
          </w:tcPr>
          <w:p w14:paraId="5B089A47" w14:textId="77777777" w:rsidR="00DF0307" w:rsidRPr="00624565" w:rsidRDefault="00DF0307" w:rsidP="006333CA">
            <w:pPr>
              <w:spacing w:before="60" w:after="60" w:line="276" w:lineRule="auto"/>
              <w:rPr>
                <w:noProof/>
              </w:rPr>
            </w:pPr>
            <w:r w:rsidRPr="00624565">
              <w:rPr>
                <w:noProof/>
                <w:sz w:val="22"/>
              </w:rPr>
              <w:t>„Wydatki administracyjne”</w:t>
            </w:r>
          </w:p>
        </w:tc>
      </w:tr>
    </w:tbl>
    <w:p w14:paraId="2A1E5AF9" w14:textId="4A782C56" w:rsidR="00DF0307" w:rsidRPr="00624565" w:rsidRDefault="00DF0307" w:rsidP="00DF0307">
      <w:pPr>
        <w:jc w:val="left"/>
        <w:rPr>
          <w:noProof/>
        </w:rPr>
      </w:pPr>
      <w:r w:rsidRPr="00624565">
        <w:rPr>
          <w:noProof/>
        </w:rPr>
        <w:t>Niniejszą część uzupełnia się przy użyciu „danych budżetowych</w:t>
      </w:r>
      <w:r w:rsidR="003F3D2B" w:rsidRPr="00624565">
        <w:rPr>
          <w:noProof/>
        </w:rPr>
        <w:t xml:space="preserve"> o</w:t>
      </w:r>
      <w:r w:rsidR="003F3D2B">
        <w:rPr>
          <w:noProof/>
        </w:rPr>
        <w:t> </w:t>
      </w:r>
      <w:r w:rsidR="003F3D2B" w:rsidRPr="00624565">
        <w:rPr>
          <w:noProof/>
        </w:rPr>
        <w:t>cha</w:t>
      </w:r>
      <w:r w:rsidRPr="00624565">
        <w:rPr>
          <w:noProof/>
        </w:rPr>
        <w:t xml:space="preserve">rakterze administracyjnym”, które należy najpierw wprowadzić do </w:t>
      </w:r>
      <w:hyperlink r:id="rId18" w:history="1">
        <w:r w:rsidRPr="00624565">
          <w:rPr>
            <w:rStyle w:val="Hyperlink"/>
            <w:noProof/>
          </w:rPr>
          <w:t>załącznika do oceny skutków finansowych regulacji</w:t>
        </w:r>
      </w:hyperlink>
      <w:r w:rsidRPr="00624565">
        <w:rPr>
          <w:noProof/>
        </w:rPr>
        <w:t xml:space="preserve"> (załącznika V do zasad wewnętrznych), przesyłanego do DECIDE</w:t>
      </w:r>
      <w:r w:rsidR="003F3D2B" w:rsidRPr="00624565">
        <w:rPr>
          <w:noProof/>
        </w:rPr>
        <w:t xml:space="preserve"> w</w:t>
      </w:r>
      <w:r w:rsidR="003F3D2B">
        <w:rPr>
          <w:noProof/>
        </w:rPr>
        <w:t> </w:t>
      </w:r>
      <w:r w:rsidR="003F3D2B" w:rsidRPr="00624565">
        <w:rPr>
          <w:noProof/>
        </w:rPr>
        <w:t>cel</w:t>
      </w:r>
      <w:r w:rsidRPr="00624565">
        <w:rPr>
          <w:noProof/>
        </w:rPr>
        <w:t>u konsultacji między służbami.</w:t>
      </w:r>
    </w:p>
    <w:p w14:paraId="6994BF39" w14:textId="77777777" w:rsidR="00DF0307" w:rsidRPr="00624565" w:rsidRDefault="00DF0307" w:rsidP="00DF0307">
      <w:pPr>
        <w:jc w:val="right"/>
        <w:rPr>
          <w:noProof/>
          <w:sz w:val="20"/>
        </w:rPr>
      </w:pPr>
      <w:r w:rsidRPr="00624565">
        <w:rPr>
          <w:noProof/>
          <w:sz w:val="20"/>
        </w:rPr>
        <w:t>w mln EUR (do trzech miejsc po przecinku)</w:t>
      </w:r>
    </w:p>
    <w:tbl>
      <w:tblPr>
        <w:tblW w:w="11304"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47"/>
        <w:gridCol w:w="852"/>
        <w:gridCol w:w="676"/>
        <w:gridCol w:w="528"/>
        <w:gridCol w:w="852"/>
        <w:gridCol w:w="852"/>
        <w:gridCol w:w="852"/>
        <w:gridCol w:w="852"/>
        <w:gridCol w:w="172"/>
        <w:gridCol w:w="1706"/>
        <w:gridCol w:w="115"/>
      </w:tblGrid>
      <w:tr w:rsidR="00DF0307" w:rsidRPr="00624565" w14:paraId="6855BDBB" w14:textId="77777777" w:rsidTr="006333CA">
        <w:trPr>
          <w:gridAfter w:val="1"/>
          <w:wAfter w:w="115" w:type="dxa"/>
          <w:trHeight w:val="300"/>
        </w:trPr>
        <w:tc>
          <w:tcPr>
            <w:tcW w:w="3847" w:type="dxa"/>
            <w:tcBorders>
              <w:top w:val="nil"/>
              <w:left w:val="nil"/>
              <w:bottom w:val="single" w:sz="4" w:space="0" w:color="auto"/>
              <w:right w:val="nil"/>
            </w:tcBorders>
            <w:vAlign w:val="center"/>
          </w:tcPr>
          <w:p w14:paraId="0A78D377" w14:textId="77777777" w:rsidR="00DF0307" w:rsidRPr="00624565" w:rsidRDefault="00DF0307" w:rsidP="006333CA">
            <w:pPr>
              <w:spacing w:line="276" w:lineRule="auto"/>
              <w:jc w:val="center"/>
              <w:rPr>
                <w:noProof/>
              </w:rPr>
            </w:pPr>
          </w:p>
        </w:tc>
        <w:tc>
          <w:tcPr>
            <w:tcW w:w="1528" w:type="dxa"/>
            <w:gridSpan w:val="2"/>
            <w:tcBorders>
              <w:top w:val="nil"/>
              <w:left w:val="nil"/>
              <w:bottom w:val="single" w:sz="4" w:space="0" w:color="auto"/>
              <w:right w:val="nil"/>
            </w:tcBorders>
          </w:tcPr>
          <w:p w14:paraId="585522F8" w14:textId="77777777" w:rsidR="00DF0307" w:rsidRPr="00624565" w:rsidRDefault="00DF0307" w:rsidP="006333CA">
            <w:pPr>
              <w:spacing w:line="276" w:lineRule="auto"/>
              <w:rPr>
                <w:noProof/>
                <w:sz w:val="20"/>
              </w:rPr>
            </w:pPr>
          </w:p>
        </w:tc>
        <w:tc>
          <w:tcPr>
            <w:tcW w:w="528" w:type="dxa"/>
            <w:tcBorders>
              <w:top w:val="nil"/>
              <w:left w:val="nil"/>
              <w:bottom w:val="single" w:sz="4" w:space="0" w:color="auto"/>
              <w:right w:val="single" w:sz="4" w:space="0" w:color="auto"/>
            </w:tcBorders>
          </w:tcPr>
          <w:p w14:paraId="552B5A69" w14:textId="77777777" w:rsidR="00DF0307" w:rsidRPr="00624565" w:rsidRDefault="00DF0307" w:rsidP="006333CA">
            <w:pPr>
              <w:spacing w:line="276" w:lineRule="auto"/>
              <w:jc w:val="center"/>
              <w:rPr>
                <w:noProof/>
                <w:sz w:val="20"/>
              </w:rPr>
            </w:pPr>
          </w:p>
        </w:tc>
        <w:tc>
          <w:tcPr>
            <w:tcW w:w="852" w:type="dxa"/>
            <w:tcBorders>
              <w:top w:val="single" w:sz="4" w:space="0" w:color="auto"/>
              <w:left w:val="single" w:sz="4" w:space="0" w:color="auto"/>
              <w:bottom w:val="single" w:sz="4" w:space="0" w:color="auto"/>
              <w:right w:val="single" w:sz="4" w:space="0" w:color="auto"/>
            </w:tcBorders>
            <w:vAlign w:val="center"/>
            <w:hideMark/>
          </w:tcPr>
          <w:p w14:paraId="7B385192" w14:textId="77777777" w:rsidR="00DF0307" w:rsidRPr="00624565" w:rsidRDefault="00DF0307" w:rsidP="006333CA">
            <w:pPr>
              <w:spacing w:line="276" w:lineRule="auto"/>
              <w:jc w:val="center"/>
              <w:rPr>
                <w:b/>
                <w:noProof/>
                <w:sz w:val="20"/>
              </w:rPr>
            </w:pPr>
            <w:r w:rsidRPr="00624565">
              <w:rPr>
                <w:b/>
                <w:noProof/>
                <w:sz w:val="20"/>
              </w:rPr>
              <w:t>2024</w:t>
            </w:r>
          </w:p>
        </w:tc>
        <w:tc>
          <w:tcPr>
            <w:tcW w:w="852" w:type="dxa"/>
            <w:tcBorders>
              <w:top w:val="single" w:sz="4" w:space="0" w:color="auto"/>
              <w:left w:val="single" w:sz="4" w:space="0" w:color="auto"/>
              <w:bottom w:val="single" w:sz="4" w:space="0" w:color="auto"/>
              <w:right w:val="single" w:sz="4" w:space="0" w:color="auto"/>
            </w:tcBorders>
            <w:vAlign w:val="center"/>
            <w:hideMark/>
          </w:tcPr>
          <w:p w14:paraId="3A9E4FAA" w14:textId="77777777" w:rsidR="00DF0307" w:rsidRPr="00624565" w:rsidRDefault="00DF0307" w:rsidP="006333CA">
            <w:pPr>
              <w:spacing w:line="276" w:lineRule="auto"/>
              <w:jc w:val="center"/>
              <w:rPr>
                <w:b/>
                <w:noProof/>
                <w:sz w:val="20"/>
              </w:rPr>
            </w:pPr>
            <w:r w:rsidRPr="00624565">
              <w:rPr>
                <w:b/>
                <w:noProof/>
                <w:sz w:val="20"/>
              </w:rPr>
              <w:t>2025</w:t>
            </w:r>
          </w:p>
        </w:tc>
        <w:tc>
          <w:tcPr>
            <w:tcW w:w="852" w:type="dxa"/>
            <w:tcBorders>
              <w:top w:val="single" w:sz="4" w:space="0" w:color="auto"/>
              <w:left w:val="single" w:sz="4" w:space="0" w:color="auto"/>
              <w:bottom w:val="single" w:sz="4" w:space="0" w:color="auto"/>
              <w:right w:val="single" w:sz="4" w:space="0" w:color="auto"/>
            </w:tcBorders>
            <w:vAlign w:val="center"/>
            <w:hideMark/>
          </w:tcPr>
          <w:p w14:paraId="66630FE3" w14:textId="77777777" w:rsidR="00DF0307" w:rsidRPr="00624565" w:rsidRDefault="00DF0307" w:rsidP="006333CA">
            <w:pPr>
              <w:spacing w:line="276" w:lineRule="auto"/>
              <w:jc w:val="center"/>
              <w:rPr>
                <w:b/>
                <w:noProof/>
                <w:sz w:val="20"/>
              </w:rPr>
            </w:pPr>
            <w:r w:rsidRPr="00624565">
              <w:rPr>
                <w:b/>
                <w:noProof/>
                <w:sz w:val="20"/>
              </w:rPr>
              <w:t>2026</w:t>
            </w:r>
          </w:p>
        </w:tc>
        <w:tc>
          <w:tcPr>
            <w:tcW w:w="1024" w:type="dxa"/>
            <w:gridSpan w:val="2"/>
            <w:tcBorders>
              <w:top w:val="single" w:sz="4" w:space="0" w:color="auto"/>
              <w:left w:val="single" w:sz="4" w:space="0" w:color="auto"/>
              <w:bottom w:val="single" w:sz="4" w:space="0" w:color="auto"/>
              <w:right w:val="single" w:sz="4" w:space="0" w:color="auto"/>
            </w:tcBorders>
            <w:vAlign w:val="center"/>
            <w:hideMark/>
          </w:tcPr>
          <w:p w14:paraId="01655D39" w14:textId="77777777" w:rsidR="00DF0307" w:rsidRPr="00624565" w:rsidRDefault="00DF0307" w:rsidP="006333CA">
            <w:pPr>
              <w:spacing w:line="276" w:lineRule="auto"/>
              <w:jc w:val="center"/>
              <w:rPr>
                <w:b/>
                <w:noProof/>
                <w:sz w:val="20"/>
              </w:rPr>
            </w:pPr>
            <w:r w:rsidRPr="00624565">
              <w:rPr>
                <w:b/>
                <w:noProof/>
                <w:sz w:val="20"/>
              </w:rPr>
              <w:t>2027 (i kolejne lata)</w:t>
            </w:r>
          </w:p>
        </w:tc>
        <w:tc>
          <w:tcPr>
            <w:tcW w:w="1706" w:type="dxa"/>
            <w:tcBorders>
              <w:top w:val="single" w:sz="4" w:space="0" w:color="auto"/>
              <w:left w:val="single" w:sz="4" w:space="0" w:color="auto"/>
              <w:bottom w:val="single" w:sz="4" w:space="0" w:color="auto"/>
              <w:right w:val="single" w:sz="4" w:space="0" w:color="auto"/>
            </w:tcBorders>
            <w:vAlign w:val="center"/>
            <w:hideMark/>
          </w:tcPr>
          <w:p w14:paraId="28B5FA72" w14:textId="77777777" w:rsidR="00DF0307" w:rsidRPr="00624565" w:rsidRDefault="00DF0307" w:rsidP="006333CA">
            <w:pPr>
              <w:spacing w:line="276" w:lineRule="auto"/>
              <w:jc w:val="center"/>
              <w:rPr>
                <w:b/>
                <w:noProof/>
                <w:sz w:val="20"/>
              </w:rPr>
            </w:pPr>
            <w:r w:rsidRPr="00624565">
              <w:rPr>
                <w:b/>
                <w:noProof/>
                <w:sz w:val="20"/>
              </w:rPr>
              <w:t>OGÓŁEM</w:t>
            </w:r>
          </w:p>
        </w:tc>
      </w:tr>
      <w:tr w:rsidR="00DF0307" w:rsidRPr="00624565" w14:paraId="379EFE7E" w14:textId="77777777" w:rsidTr="006333CA">
        <w:trPr>
          <w:gridAfter w:val="9"/>
          <w:wAfter w:w="6605" w:type="dxa"/>
          <w:trHeight w:val="300"/>
        </w:trPr>
        <w:tc>
          <w:tcPr>
            <w:tcW w:w="3847" w:type="dxa"/>
            <w:tcBorders>
              <w:top w:val="single" w:sz="4" w:space="0" w:color="auto"/>
              <w:left w:val="single" w:sz="4" w:space="0" w:color="auto"/>
              <w:bottom w:val="single" w:sz="4" w:space="0" w:color="auto"/>
              <w:right w:val="single" w:sz="4" w:space="0" w:color="auto"/>
            </w:tcBorders>
            <w:vAlign w:val="center"/>
            <w:hideMark/>
          </w:tcPr>
          <w:p w14:paraId="3C5C9DDE" w14:textId="77777777" w:rsidR="00DF0307" w:rsidRPr="00624565" w:rsidRDefault="00DF0307" w:rsidP="006333CA">
            <w:pPr>
              <w:spacing w:before="60" w:after="60" w:line="276" w:lineRule="auto"/>
              <w:jc w:val="center"/>
              <w:rPr>
                <w:noProof/>
              </w:rPr>
            </w:pPr>
            <w:r w:rsidRPr="00624565">
              <w:rPr>
                <w:noProof/>
                <w:sz w:val="22"/>
              </w:rPr>
              <w:t>Dyrekcja Generalna: ENV</w:t>
            </w:r>
          </w:p>
        </w:tc>
        <w:tc>
          <w:tcPr>
            <w:tcW w:w="852" w:type="dxa"/>
            <w:tcBorders>
              <w:top w:val="single" w:sz="4" w:space="0" w:color="auto"/>
              <w:left w:val="single" w:sz="4" w:space="0" w:color="auto"/>
              <w:bottom w:val="single" w:sz="4" w:space="0" w:color="auto"/>
              <w:right w:val="single" w:sz="4" w:space="0" w:color="auto"/>
            </w:tcBorders>
          </w:tcPr>
          <w:p w14:paraId="4821113C" w14:textId="77777777" w:rsidR="00DF0307" w:rsidRPr="00624565" w:rsidRDefault="00DF0307" w:rsidP="006333CA">
            <w:pPr>
              <w:spacing w:before="60" w:after="60" w:line="276" w:lineRule="auto"/>
              <w:jc w:val="center"/>
              <w:rPr>
                <w:noProof/>
                <w:sz w:val="22"/>
              </w:rPr>
            </w:pPr>
          </w:p>
        </w:tc>
      </w:tr>
      <w:tr w:rsidR="00DF0307" w:rsidRPr="00624565" w14:paraId="5DE47828" w14:textId="77777777" w:rsidTr="006333CA">
        <w:trPr>
          <w:trHeight w:val="313"/>
        </w:trPr>
        <w:tc>
          <w:tcPr>
            <w:tcW w:w="5903" w:type="dxa"/>
            <w:gridSpan w:val="4"/>
            <w:tcBorders>
              <w:top w:val="single" w:sz="4" w:space="0" w:color="auto"/>
              <w:left w:val="single" w:sz="4" w:space="0" w:color="auto"/>
              <w:bottom w:val="single" w:sz="4" w:space="0" w:color="auto"/>
              <w:right w:val="single" w:sz="4" w:space="0" w:color="auto"/>
            </w:tcBorders>
            <w:vAlign w:val="center"/>
            <w:hideMark/>
          </w:tcPr>
          <w:p w14:paraId="6995FD7D" w14:textId="77777777" w:rsidR="00DF0307" w:rsidRPr="00624565" w:rsidRDefault="00DF0307" w:rsidP="006333CA">
            <w:pPr>
              <w:spacing w:before="20" w:after="20" w:line="276" w:lineRule="auto"/>
              <w:rPr>
                <w:noProof/>
                <w:sz w:val="22"/>
              </w:rPr>
            </w:pPr>
            <w:r w:rsidRPr="00624565">
              <w:rPr>
                <w:noProof/>
                <w:sz w:val="22"/>
              </w:rPr>
              <w:t xml:space="preserve">□ Zasoby ludzkie </w:t>
            </w:r>
          </w:p>
        </w:tc>
        <w:tc>
          <w:tcPr>
            <w:tcW w:w="852" w:type="dxa"/>
            <w:tcBorders>
              <w:top w:val="single" w:sz="4" w:space="0" w:color="auto"/>
              <w:left w:val="single" w:sz="4" w:space="0" w:color="auto"/>
              <w:bottom w:val="single" w:sz="4" w:space="0" w:color="auto"/>
              <w:right w:val="single" w:sz="4" w:space="0" w:color="auto"/>
            </w:tcBorders>
            <w:vAlign w:val="bottom"/>
            <w:hideMark/>
          </w:tcPr>
          <w:p w14:paraId="3A2A9CD2" w14:textId="77777777" w:rsidR="00DF0307" w:rsidRPr="00624565" w:rsidRDefault="00DF0307" w:rsidP="006333CA">
            <w:pPr>
              <w:spacing w:before="20" w:after="20" w:line="276" w:lineRule="auto"/>
              <w:jc w:val="right"/>
              <w:rPr>
                <w:rFonts w:ascii="Calibri" w:eastAsia="Calibri" w:hAnsi="Calibri" w:cs="Calibri"/>
                <w:noProof/>
                <w:sz w:val="22"/>
              </w:rPr>
            </w:pPr>
            <w:r w:rsidRPr="00624565">
              <w:rPr>
                <w:rFonts w:ascii="Calibri" w:hAnsi="Calibri"/>
                <w:noProof/>
                <w:color w:val="000000" w:themeColor="text1"/>
                <w:sz w:val="22"/>
              </w:rPr>
              <w:t>0,606</w:t>
            </w:r>
          </w:p>
        </w:tc>
        <w:tc>
          <w:tcPr>
            <w:tcW w:w="852" w:type="dxa"/>
            <w:tcBorders>
              <w:top w:val="single" w:sz="4" w:space="0" w:color="auto"/>
              <w:left w:val="single" w:sz="4" w:space="0" w:color="auto"/>
              <w:bottom w:val="single" w:sz="4" w:space="0" w:color="auto"/>
              <w:right w:val="single" w:sz="4" w:space="0" w:color="auto"/>
            </w:tcBorders>
            <w:vAlign w:val="bottom"/>
            <w:hideMark/>
          </w:tcPr>
          <w:p w14:paraId="0FCEFA29" w14:textId="77777777" w:rsidR="00DF0307" w:rsidRPr="00624565" w:rsidRDefault="00DF0307" w:rsidP="006333CA">
            <w:pPr>
              <w:spacing w:before="20" w:after="20" w:line="276" w:lineRule="auto"/>
              <w:jc w:val="right"/>
              <w:rPr>
                <w:rFonts w:ascii="Calibri" w:eastAsia="Calibri" w:hAnsi="Calibri" w:cs="Calibri"/>
                <w:noProof/>
                <w:sz w:val="22"/>
              </w:rPr>
            </w:pPr>
            <w:r w:rsidRPr="00624565">
              <w:rPr>
                <w:rFonts w:ascii="Calibri" w:hAnsi="Calibri"/>
                <w:noProof/>
                <w:color w:val="000000" w:themeColor="text1"/>
                <w:sz w:val="22"/>
              </w:rPr>
              <w:t>0,606</w:t>
            </w:r>
          </w:p>
        </w:tc>
        <w:tc>
          <w:tcPr>
            <w:tcW w:w="852" w:type="dxa"/>
            <w:tcBorders>
              <w:top w:val="single" w:sz="4" w:space="0" w:color="auto"/>
              <w:left w:val="single" w:sz="4" w:space="0" w:color="auto"/>
              <w:bottom w:val="single" w:sz="4" w:space="0" w:color="auto"/>
              <w:right w:val="single" w:sz="4" w:space="0" w:color="auto"/>
            </w:tcBorders>
            <w:vAlign w:val="bottom"/>
            <w:hideMark/>
          </w:tcPr>
          <w:p w14:paraId="125FB084" w14:textId="77777777" w:rsidR="00DF0307" w:rsidRPr="00624565" w:rsidRDefault="00DF0307" w:rsidP="006333CA">
            <w:pPr>
              <w:spacing w:before="20" w:after="20" w:line="276" w:lineRule="auto"/>
              <w:jc w:val="right"/>
              <w:rPr>
                <w:rFonts w:ascii="Calibri" w:eastAsia="Calibri" w:hAnsi="Calibri" w:cs="Calibri"/>
                <w:noProof/>
                <w:sz w:val="22"/>
              </w:rPr>
            </w:pPr>
            <w:r w:rsidRPr="00624565">
              <w:rPr>
                <w:rFonts w:ascii="Calibri" w:hAnsi="Calibri"/>
                <w:noProof/>
                <w:color w:val="000000" w:themeColor="text1"/>
                <w:sz w:val="22"/>
              </w:rPr>
              <w:t>0,606</w:t>
            </w:r>
          </w:p>
        </w:tc>
        <w:tc>
          <w:tcPr>
            <w:tcW w:w="852" w:type="dxa"/>
            <w:tcBorders>
              <w:top w:val="single" w:sz="4" w:space="0" w:color="auto"/>
              <w:left w:val="single" w:sz="4" w:space="0" w:color="auto"/>
              <w:bottom w:val="single" w:sz="4" w:space="0" w:color="auto"/>
              <w:right w:val="single" w:sz="4" w:space="0" w:color="auto"/>
            </w:tcBorders>
            <w:vAlign w:val="bottom"/>
            <w:hideMark/>
          </w:tcPr>
          <w:p w14:paraId="7C038593" w14:textId="77777777" w:rsidR="00DF0307" w:rsidRPr="00624565" w:rsidRDefault="00DF0307" w:rsidP="006333CA">
            <w:pPr>
              <w:spacing w:before="20" w:after="20" w:line="276" w:lineRule="auto"/>
              <w:jc w:val="right"/>
              <w:rPr>
                <w:rFonts w:ascii="Calibri" w:eastAsia="Calibri" w:hAnsi="Calibri" w:cs="Calibri"/>
                <w:noProof/>
                <w:sz w:val="22"/>
              </w:rPr>
            </w:pPr>
            <w:r w:rsidRPr="00624565">
              <w:rPr>
                <w:rFonts w:ascii="Calibri" w:hAnsi="Calibri"/>
                <w:noProof/>
                <w:color w:val="000000" w:themeColor="text1"/>
                <w:sz w:val="22"/>
              </w:rPr>
              <w:t>0,606</w:t>
            </w:r>
          </w:p>
        </w:tc>
        <w:tc>
          <w:tcPr>
            <w:tcW w:w="1993" w:type="dxa"/>
            <w:gridSpan w:val="3"/>
            <w:tcBorders>
              <w:top w:val="single" w:sz="4" w:space="0" w:color="auto"/>
              <w:left w:val="single" w:sz="4" w:space="0" w:color="auto"/>
              <w:bottom w:val="single" w:sz="4" w:space="0" w:color="auto"/>
              <w:right w:val="single" w:sz="4" w:space="0" w:color="auto"/>
            </w:tcBorders>
            <w:vAlign w:val="bottom"/>
            <w:hideMark/>
          </w:tcPr>
          <w:p w14:paraId="2E285F80" w14:textId="77777777" w:rsidR="00DF0307" w:rsidRPr="00624565" w:rsidRDefault="00DF0307" w:rsidP="006333CA">
            <w:pPr>
              <w:spacing w:line="276" w:lineRule="auto"/>
              <w:jc w:val="right"/>
              <w:rPr>
                <w:rFonts w:ascii="Calibri" w:eastAsia="Calibri" w:hAnsi="Calibri" w:cs="Calibri"/>
                <w:b/>
                <w:bCs/>
                <w:noProof/>
                <w:color w:val="000000" w:themeColor="text1"/>
                <w:sz w:val="22"/>
              </w:rPr>
            </w:pPr>
            <w:r w:rsidRPr="00624565">
              <w:rPr>
                <w:rFonts w:ascii="Calibri" w:hAnsi="Calibri"/>
                <w:b/>
                <w:noProof/>
                <w:color w:val="000000" w:themeColor="text1"/>
                <w:sz w:val="22"/>
              </w:rPr>
              <w:t>2,424</w:t>
            </w:r>
          </w:p>
        </w:tc>
      </w:tr>
      <w:tr w:rsidR="00DF0307" w:rsidRPr="00624565" w14:paraId="1F82883B" w14:textId="77777777" w:rsidTr="006333CA">
        <w:trPr>
          <w:trHeight w:val="351"/>
        </w:trPr>
        <w:tc>
          <w:tcPr>
            <w:tcW w:w="5903" w:type="dxa"/>
            <w:gridSpan w:val="4"/>
            <w:tcBorders>
              <w:top w:val="single" w:sz="4" w:space="0" w:color="auto"/>
              <w:left w:val="single" w:sz="4" w:space="0" w:color="auto"/>
              <w:bottom w:val="single" w:sz="4" w:space="0" w:color="auto"/>
              <w:right w:val="single" w:sz="4" w:space="0" w:color="auto"/>
            </w:tcBorders>
            <w:vAlign w:val="center"/>
            <w:hideMark/>
          </w:tcPr>
          <w:p w14:paraId="20E27B63" w14:textId="77777777" w:rsidR="00DF0307" w:rsidRPr="00624565" w:rsidRDefault="00DF0307" w:rsidP="006333CA">
            <w:pPr>
              <w:spacing w:before="20" w:after="20" w:line="276" w:lineRule="auto"/>
              <w:rPr>
                <w:noProof/>
                <w:sz w:val="22"/>
              </w:rPr>
            </w:pPr>
            <w:r w:rsidRPr="00624565">
              <w:rPr>
                <w:noProof/>
                <w:sz w:val="22"/>
              </w:rPr>
              <w:t xml:space="preserve">□ Pozostałe wydatki administracyjne </w:t>
            </w:r>
          </w:p>
        </w:tc>
        <w:tc>
          <w:tcPr>
            <w:tcW w:w="852" w:type="dxa"/>
            <w:tcBorders>
              <w:top w:val="single" w:sz="4" w:space="0" w:color="auto"/>
              <w:left w:val="single" w:sz="4" w:space="0" w:color="auto"/>
              <w:bottom w:val="single" w:sz="4" w:space="0" w:color="auto"/>
              <w:right w:val="single" w:sz="4" w:space="0" w:color="auto"/>
            </w:tcBorders>
            <w:vAlign w:val="bottom"/>
            <w:hideMark/>
          </w:tcPr>
          <w:p w14:paraId="2BA44B2D" w14:textId="77777777" w:rsidR="00DF0307" w:rsidRPr="00624565" w:rsidRDefault="00DF0307" w:rsidP="006333CA">
            <w:pPr>
              <w:spacing w:before="20" w:after="20" w:line="276" w:lineRule="auto"/>
              <w:jc w:val="right"/>
              <w:rPr>
                <w:b/>
                <w:noProof/>
                <w:sz w:val="22"/>
              </w:rPr>
            </w:pPr>
            <w:r w:rsidRPr="00624565">
              <w:rPr>
                <w:rFonts w:ascii="Calibri" w:hAnsi="Calibri"/>
                <w:noProof/>
                <w:color w:val="000000" w:themeColor="text1"/>
                <w:sz w:val="22"/>
              </w:rPr>
              <w:t>0,180</w:t>
            </w:r>
          </w:p>
        </w:tc>
        <w:tc>
          <w:tcPr>
            <w:tcW w:w="852" w:type="dxa"/>
            <w:tcBorders>
              <w:top w:val="single" w:sz="4" w:space="0" w:color="auto"/>
              <w:left w:val="single" w:sz="4" w:space="0" w:color="auto"/>
              <w:bottom w:val="single" w:sz="4" w:space="0" w:color="auto"/>
              <w:right w:val="single" w:sz="4" w:space="0" w:color="auto"/>
            </w:tcBorders>
            <w:vAlign w:val="bottom"/>
            <w:hideMark/>
          </w:tcPr>
          <w:p w14:paraId="58E4B864" w14:textId="77777777" w:rsidR="00DF0307" w:rsidRPr="00624565" w:rsidRDefault="00DF0307" w:rsidP="006333CA">
            <w:pPr>
              <w:spacing w:before="20" w:after="20" w:line="276" w:lineRule="auto"/>
              <w:jc w:val="right"/>
              <w:rPr>
                <w:b/>
                <w:noProof/>
                <w:sz w:val="22"/>
              </w:rPr>
            </w:pPr>
            <w:r w:rsidRPr="00624565">
              <w:rPr>
                <w:rFonts w:ascii="Calibri" w:hAnsi="Calibri"/>
                <w:noProof/>
                <w:color w:val="000000" w:themeColor="text1"/>
                <w:sz w:val="22"/>
              </w:rPr>
              <w:t>0,180</w:t>
            </w:r>
          </w:p>
        </w:tc>
        <w:tc>
          <w:tcPr>
            <w:tcW w:w="852" w:type="dxa"/>
            <w:tcBorders>
              <w:top w:val="single" w:sz="4" w:space="0" w:color="auto"/>
              <w:left w:val="single" w:sz="4" w:space="0" w:color="auto"/>
              <w:bottom w:val="single" w:sz="4" w:space="0" w:color="auto"/>
              <w:right w:val="single" w:sz="4" w:space="0" w:color="auto"/>
            </w:tcBorders>
            <w:vAlign w:val="bottom"/>
            <w:hideMark/>
          </w:tcPr>
          <w:p w14:paraId="5982B343" w14:textId="77777777" w:rsidR="00DF0307" w:rsidRPr="00624565" w:rsidRDefault="00DF0307" w:rsidP="006333CA">
            <w:pPr>
              <w:spacing w:before="20" w:after="20" w:line="276" w:lineRule="auto"/>
              <w:jc w:val="right"/>
              <w:rPr>
                <w:b/>
                <w:noProof/>
                <w:sz w:val="22"/>
              </w:rPr>
            </w:pPr>
            <w:r w:rsidRPr="00624565">
              <w:rPr>
                <w:rFonts w:ascii="Calibri" w:hAnsi="Calibri"/>
                <w:noProof/>
                <w:color w:val="000000" w:themeColor="text1"/>
                <w:sz w:val="22"/>
              </w:rPr>
              <w:t>0,180</w:t>
            </w:r>
          </w:p>
        </w:tc>
        <w:tc>
          <w:tcPr>
            <w:tcW w:w="852" w:type="dxa"/>
            <w:tcBorders>
              <w:top w:val="single" w:sz="4" w:space="0" w:color="auto"/>
              <w:left w:val="single" w:sz="4" w:space="0" w:color="auto"/>
              <w:bottom w:val="single" w:sz="4" w:space="0" w:color="auto"/>
              <w:right w:val="single" w:sz="4" w:space="0" w:color="auto"/>
            </w:tcBorders>
            <w:vAlign w:val="bottom"/>
            <w:hideMark/>
          </w:tcPr>
          <w:p w14:paraId="0623F081" w14:textId="77777777" w:rsidR="00DF0307" w:rsidRPr="00624565" w:rsidRDefault="00DF0307" w:rsidP="006333CA">
            <w:pPr>
              <w:spacing w:before="20" w:after="20" w:line="276" w:lineRule="auto"/>
              <w:jc w:val="right"/>
              <w:rPr>
                <w:b/>
                <w:noProof/>
                <w:sz w:val="22"/>
              </w:rPr>
            </w:pPr>
            <w:r w:rsidRPr="00624565">
              <w:rPr>
                <w:rFonts w:ascii="Calibri" w:hAnsi="Calibri"/>
                <w:noProof/>
                <w:color w:val="000000" w:themeColor="text1"/>
                <w:sz w:val="22"/>
              </w:rPr>
              <w:t>0,180</w:t>
            </w:r>
          </w:p>
        </w:tc>
        <w:tc>
          <w:tcPr>
            <w:tcW w:w="1993" w:type="dxa"/>
            <w:gridSpan w:val="3"/>
            <w:tcBorders>
              <w:top w:val="single" w:sz="4" w:space="0" w:color="auto"/>
              <w:left w:val="single" w:sz="4" w:space="0" w:color="auto"/>
              <w:bottom w:val="single" w:sz="4" w:space="0" w:color="auto"/>
              <w:right w:val="single" w:sz="4" w:space="0" w:color="auto"/>
            </w:tcBorders>
            <w:vAlign w:val="bottom"/>
            <w:hideMark/>
          </w:tcPr>
          <w:p w14:paraId="2BCE2C34" w14:textId="77777777" w:rsidR="00DF0307" w:rsidRPr="00624565" w:rsidRDefault="00DF0307" w:rsidP="006333CA">
            <w:pPr>
              <w:spacing w:before="20" w:after="20" w:line="276" w:lineRule="auto"/>
              <w:jc w:val="right"/>
              <w:rPr>
                <w:b/>
                <w:noProof/>
                <w:sz w:val="22"/>
              </w:rPr>
            </w:pPr>
            <w:r w:rsidRPr="00624565">
              <w:rPr>
                <w:rFonts w:ascii="Calibri" w:hAnsi="Calibri"/>
                <w:b/>
                <w:noProof/>
                <w:color w:val="000000" w:themeColor="text1"/>
                <w:sz w:val="22"/>
              </w:rPr>
              <w:t>0,720</w:t>
            </w:r>
          </w:p>
        </w:tc>
      </w:tr>
      <w:tr w:rsidR="00DF0307" w:rsidRPr="00624565" w14:paraId="5D3C09D8" w14:textId="77777777" w:rsidTr="006333CA">
        <w:trPr>
          <w:trHeight w:val="300"/>
        </w:trPr>
        <w:tc>
          <w:tcPr>
            <w:tcW w:w="3847" w:type="dxa"/>
            <w:tcBorders>
              <w:top w:val="single" w:sz="4" w:space="0" w:color="auto"/>
              <w:left w:val="single" w:sz="4" w:space="0" w:color="auto"/>
              <w:bottom w:val="single" w:sz="4" w:space="0" w:color="auto"/>
              <w:right w:val="single" w:sz="4" w:space="0" w:color="auto"/>
            </w:tcBorders>
            <w:vAlign w:val="center"/>
            <w:hideMark/>
          </w:tcPr>
          <w:p w14:paraId="6DB101E4" w14:textId="77777777" w:rsidR="00DF0307" w:rsidRPr="00624565" w:rsidRDefault="00DF0307" w:rsidP="006333CA">
            <w:pPr>
              <w:spacing w:line="276" w:lineRule="auto"/>
              <w:jc w:val="center"/>
              <w:rPr>
                <w:b/>
                <w:noProof/>
                <w:sz w:val="22"/>
              </w:rPr>
            </w:pPr>
            <w:r w:rsidRPr="00624565">
              <w:rPr>
                <w:b/>
                <w:noProof/>
                <w:sz w:val="22"/>
              </w:rPr>
              <w:t>OGÓŁEM DG ENV</w:t>
            </w:r>
          </w:p>
        </w:tc>
        <w:tc>
          <w:tcPr>
            <w:tcW w:w="2056" w:type="dxa"/>
            <w:gridSpan w:val="3"/>
            <w:tcBorders>
              <w:top w:val="single" w:sz="4" w:space="0" w:color="auto"/>
              <w:left w:val="single" w:sz="4" w:space="0" w:color="auto"/>
              <w:bottom w:val="single" w:sz="4" w:space="0" w:color="auto"/>
              <w:right w:val="single" w:sz="4" w:space="0" w:color="auto"/>
            </w:tcBorders>
            <w:vAlign w:val="center"/>
            <w:hideMark/>
          </w:tcPr>
          <w:p w14:paraId="3AA28C74" w14:textId="77777777" w:rsidR="00DF0307" w:rsidRPr="00624565" w:rsidRDefault="00DF0307" w:rsidP="006333CA">
            <w:pPr>
              <w:spacing w:line="276" w:lineRule="auto"/>
              <w:rPr>
                <w:noProof/>
                <w:sz w:val="22"/>
              </w:rPr>
            </w:pPr>
            <w:r w:rsidRPr="00624565">
              <w:rPr>
                <w:noProof/>
                <w:sz w:val="22"/>
              </w:rPr>
              <w:t xml:space="preserve">Środki </w:t>
            </w:r>
          </w:p>
        </w:tc>
        <w:tc>
          <w:tcPr>
            <w:tcW w:w="852" w:type="dxa"/>
            <w:tcBorders>
              <w:top w:val="single" w:sz="4" w:space="0" w:color="auto"/>
              <w:left w:val="single" w:sz="4" w:space="0" w:color="auto"/>
              <w:bottom w:val="single" w:sz="4" w:space="0" w:color="auto"/>
              <w:right w:val="single" w:sz="4" w:space="0" w:color="auto"/>
            </w:tcBorders>
            <w:vAlign w:val="bottom"/>
            <w:hideMark/>
          </w:tcPr>
          <w:p w14:paraId="08F3051A" w14:textId="77777777" w:rsidR="00DF0307" w:rsidRPr="00624565" w:rsidRDefault="00DF0307" w:rsidP="006333CA">
            <w:pPr>
              <w:spacing w:before="20" w:after="20" w:line="276" w:lineRule="auto"/>
              <w:jc w:val="right"/>
              <w:rPr>
                <w:rFonts w:ascii="Calibri" w:eastAsia="Calibri" w:hAnsi="Calibri" w:cs="Calibri"/>
                <w:noProof/>
                <w:sz w:val="22"/>
              </w:rPr>
            </w:pPr>
            <w:r w:rsidRPr="00624565">
              <w:rPr>
                <w:rFonts w:ascii="Calibri" w:hAnsi="Calibri"/>
                <w:b/>
                <w:noProof/>
                <w:color w:val="000000" w:themeColor="text1"/>
                <w:sz w:val="22"/>
              </w:rPr>
              <w:t>0,786</w:t>
            </w:r>
          </w:p>
        </w:tc>
        <w:tc>
          <w:tcPr>
            <w:tcW w:w="852" w:type="dxa"/>
            <w:tcBorders>
              <w:top w:val="single" w:sz="4" w:space="0" w:color="auto"/>
              <w:left w:val="single" w:sz="4" w:space="0" w:color="auto"/>
              <w:bottom w:val="single" w:sz="4" w:space="0" w:color="auto"/>
              <w:right w:val="single" w:sz="4" w:space="0" w:color="auto"/>
            </w:tcBorders>
            <w:vAlign w:val="bottom"/>
            <w:hideMark/>
          </w:tcPr>
          <w:p w14:paraId="6E176A71" w14:textId="77777777" w:rsidR="00DF0307" w:rsidRPr="00624565" w:rsidRDefault="00DF0307" w:rsidP="006333CA">
            <w:pPr>
              <w:spacing w:before="20" w:after="20" w:line="276" w:lineRule="auto"/>
              <w:jc w:val="right"/>
              <w:rPr>
                <w:rFonts w:ascii="Calibri" w:eastAsia="Calibri" w:hAnsi="Calibri" w:cs="Calibri"/>
                <w:noProof/>
                <w:sz w:val="22"/>
              </w:rPr>
            </w:pPr>
            <w:r w:rsidRPr="00624565">
              <w:rPr>
                <w:rFonts w:ascii="Calibri" w:hAnsi="Calibri"/>
                <w:b/>
                <w:noProof/>
                <w:color w:val="000000" w:themeColor="text1"/>
                <w:sz w:val="22"/>
              </w:rPr>
              <w:t>0,786</w:t>
            </w:r>
          </w:p>
        </w:tc>
        <w:tc>
          <w:tcPr>
            <w:tcW w:w="852" w:type="dxa"/>
            <w:tcBorders>
              <w:top w:val="single" w:sz="4" w:space="0" w:color="auto"/>
              <w:left w:val="single" w:sz="4" w:space="0" w:color="auto"/>
              <w:bottom w:val="single" w:sz="4" w:space="0" w:color="auto"/>
              <w:right w:val="single" w:sz="4" w:space="0" w:color="auto"/>
            </w:tcBorders>
            <w:vAlign w:val="bottom"/>
            <w:hideMark/>
          </w:tcPr>
          <w:p w14:paraId="135B7381" w14:textId="77777777" w:rsidR="00DF0307" w:rsidRPr="00624565" w:rsidRDefault="00DF0307" w:rsidP="006333CA">
            <w:pPr>
              <w:spacing w:before="20" w:after="20" w:line="276" w:lineRule="auto"/>
              <w:jc w:val="right"/>
              <w:rPr>
                <w:rFonts w:ascii="Calibri" w:eastAsia="Calibri" w:hAnsi="Calibri" w:cs="Calibri"/>
                <w:noProof/>
                <w:sz w:val="22"/>
              </w:rPr>
            </w:pPr>
            <w:r w:rsidRPr="00624565">
              <w:rPr>
                <w:rFonts w:ascii="Calibri" w:hAnsi="Calibri"/>
                <w:b/>
                <w:noProof/>
                <w:color w:val="000000" w:themeColor="text1"/>
                <w:sz w:val="22"/>
              </w:rPr>
              <w:t>0,786</w:t>
            </w:r>
          </w:p>
        </w:tc>
        <w:tc>
          <w:tcPr>
            <w:tcW w:w="852" w:type="dxa"/>
            <w:tcBorders>
              <w:top w:val="single" w:sz="4" w:space="0" w:color="auto"/>
              <w:left w:val="single" w:sz="4" w:space="0" w:color="auto"/>
              <w:bottom w:val="single" w:sz="4" w:space="0" w:color="auto"/>
              <w:right w:val="single" w:sz="4" w:space="0" w:color="auto"/>
            </w:tcBorders>
            <w:vAlign w:val="bottom"/>
            <w:hideMark/>
          </w:tcPr>
          <w:p w14:paraId="366AD87B" w14:textId="77777777" w:rsidR="00DF0307" w:rsidRPr="00624565" w:rsidRDefault="00DF0307" w:rsidP="006333CA">
            <w:pPr>
              <w:spacing w:before="20" w:after="20" w:line="276" w:lineRule="auto"/>
              <w:jc w:val="right"/>
              <w:rPr>
                <w:rFonts w:ascii="Calibri" w:eastAsia="Calibri" w:hAnsi="Calibri" w:cs="Calibri"/>
                <w:noProof/>
                <w:sz w:val="22"/>
              </w:rPr>
            </w:pPr>
            <w:r w:rsidRPr="00624565">
              <w:rPr>
                <w:rFonts w:ascii="Calibri" w:hAnsi="Calibri"/>
                <w:b/>
                <w:noProof/>
                <w:color w:val="000000" w:themeColor="text1"/>
                <w:sz w:val="22"/>
              </w:rPr>
              <w:t>0,786</w:t>
            </w:r>
          </w:p>
        </w:tc>
        <w:tc>
          <w:tcPr>
            <w:tcW w:w="1993" w:type="dxa"/>
            <w:gridSpan w:val="3"/>
            <w:tcBorders>
              <w:top w:val="single" w:sz="4" w:space="0" w:color="auto"/>
              <w:left w:val="single" w:sz="4" w:space="0" w:color="auto"/>
              <w:bottom w:val="single" w:sz="4" w:space="0" w:color="auto"/>
              <w:right w:val="single" w:sz="4" w:space="0" w:color="auto"/>
            </w:tcBorders>
            <w:vAlign w:val="bottom"/>
            <w:hideMark/>
          </w:tcPr>
          <w:p w14:paraId="3BFFBE80" w14:textId="77777777" w:rsidR="00DF0307" w:rsidRPr="00624565" w:rsidRDefault="00DF0307" w:rsidP="006333CA">
            <w:pPr>
              <w:spacing w:before="20" w:after="20" w:line="276" w:lineRule="auto"/>
              <w:jc w:val="right"/>
              <w:rPr>
                <w:rFonts w:ascii="Calibri" w:eastAsia="Calibri" w:hAnsi="Calibri" w:cs="Calibri"/>
                <w:noProof/>
                <w:sz w:val="22"/>
              </w:rPr>
            </w:pPr>
            <w:r w:rsidRPr="00624565">
              <w:rPr>
                <w:rFonts w:ascii="Calibri" w:hAnsi="Calibri"/>
                <w:b/>
                <w:noProof/>
                <w:color w:val="000000" w:themeColor="text1"/>
                <w:sz w:val="22"/>
              </w:rPr>
              <w:t>3,</w:t>
            </w:r>
            <w:r w:rsidRPr="00624565">
              <w:rPr>
                <w:rFonts w:ascii="Calibri" w:hAnsi="Calibri"/>
                <w:b/>
                <w:noProof/>
                <w:sz w:val="22"/>
              </w:rPr>
              <w:t>144</w:t>
            </w:r>
          </w:p>
        </w:tc>
      </w:tr>
    </w:tbl>
    <w:p w14:paraId="63527909" w14:textId="276F85F3" w:rsidR="00DF0307" w:rsidRPr="00624565" w:rsidRDefault="00DF0307" w:rsidP="00DF0307">
      <w:pPr>
        <w:jc w:val="left"/>
        <w:rPr>
          <w:noProof/>
        </w:rPr>
      </w:pPr>
      <w:r w:rsidRPr="00624565">
        <w:rPr>
          <w:noProof/>
        </w:rPr>
        <w:t>Obecny personel DG ENV składa się</w:t>
      </w:r>
      <w:r w:rsidR="003F3D2B" w:rsidRPr="00624565">
        <w:rPr>
          <w:noProof/>
        </w:rPr>
        <w:t xml:space="preserve"> z</w:t>
      </w:r>
      <w:r w:rsidR="003F3D2B">
        <w:rPr>
          <w:noProof/>
        </w:rPr>
        <w:t> </w:t>
      </w:r>
      <w:r w:rsidR="003F3D2B" w:rsidRPr="00624565">
        <w:rPr>
          <w:noProof/>
        </w:rPr>
        <w:t>2</w:t>
      </w:r>
      <w:r w:rsidRPr="00624565">
        <w:rPr>
          <w:noProof/>
        </w:rPr>
        <w:t xml:space="preserve"> urzędników</w:t>
      </w:r>
      <w:r w:rsidR="003F3D2B" w:rsidRPr="00624565">
        <w:rPr>
          <w:noProof/>
        </w:rPr>
        <w:t xml:space="preserve"> w</w:t>
      </w:r>
      <w:r w:rsidR="003F3D2B">
        <w:rPr>
          <w:noProof/>
        </w:rPr>
        <w:t> </w:t>
      </w:r>
      <w:r w:rsidR="003F3D2B" w:rsidRPr="00624565">
        <w:rPr>
          <w:noProof/>
        </w:rPr>
        <w:t>ekw</w:t>
      </w:r>
      <w:r w:rsidRPr="00624565">
        <w:rPr>
          <w:noProof/>
        </w:rPr>
        <w:t>iwalentach pełnego czasu pracy (grupa funkcyjna AD) zajmujących się sprawami związanymi</w:t>
      </w:r>
      <w:r w:rsidR="003F3D2B" w:rsidRPr="00624565">
        <w:rPr>
          <w:noProof/>
        </w:rPr>
        <w:t xml:space="preserve"> z</w:t>
      </w:r>
      <w:r w:rsidR="003F3D2B">
        <w:rPr>
          <w:noProof/>
        </w:rPr>
        <w:t> </w:t>
      </w:r>
      <w:r w:rsidR="003F3D2B" w:rsidRPr="00624565">
        <w:rPr>
          <w:noProof/>
        </w:rPr>
        <w:t>pol</w:t>
      </w:r>
      <w:r w:rsidRPr="00624565">
        <w:rPr>
          <w:noProof/>
        </w:rPr>
        <w:t>ityką oraz</w:t>
      </w:r>
      <w:r w:rsidR="003F3D2B" w:rsidRPr="00624565">
        <w:rPr>
          <w:noProof/>
        </w:rPr>
        <w:t xml:space="preserve"> z</w:t>
      </w:r>
      <w:r w:rsidR="003F3D2B">
        <w:rPr>
          <w:noProof/>
        </w:rPr>
        <w:t> </w:t>
      </w:r>
      <w:r w:rsidR="003F3D2B" w:rsidRPr="00624565">
        <w:rPr>
          <w:noProof/>
        </w:rPr>
        <w:t>2</w:t>
      </w:r>
      <w:r w:rsidRPr="00624565">
        <w:rPr>
          <w:noProof/>
        </w:rPr>
        <w:t xml:space="preserve"> urzędników</w:t>
      </w:r>
      <w:r w:rsidR="003F3D2B" w:rsidRPr="00624565">
        <w:rPr>
          <w:noProof/>
        </w:rPr>
        <w:t xml:space="preserve"> w</w:t>
      </w:r>
      <w:r w:rsidR="003F3D2B">
        <w:rPr>
          <w:noProof/>
        </w:rPr>
        <w:t> </w:t>
      </w:r>
      <w:r w:rsidR="003F3D2B" w:rsidRPr="00624565">
        <w:rPr>
          <w:noProof/>
        </w:rPr>
        <w:t>ekw</w:t>
      </w:r>
      <w:r w:rsidRPr="00624565">
        <w:rPr>
          <w:noProof/>
        </w:rPr>
        <w:t>iwalentach pełnego czasu pracy (grupa funkcyjna AD) zajmujących się kwestiami metodologicznymi. Personel ten będzie nadal odgrywał kluczową rolę</w:t>
      </w:r>
      <w:r w:rsidR="003F3D2B" w:rsidRPr="00624565">
        <w:rPr>
          <w:noProof/>
        </w:rPr>
        <w:t xml:space="preserve"> w</w:t>
      </w:r>
      <w:r w:rsidR="003F3D2B">
        <w:rPr>
          <w:noProof/>
        </w:rPr>
        <w:t> </w:t>
      </w:r>
      <w:r w:rsidR="003F3D2B" w:rsidRPr="00624565">
        <w:rPr>
          <w:noProof/>
        </w:rPr>
        <w:t>prz</w:t>
      </w:r>
      <w:r w:rsidRPr="00624565">
        <w:rPr>
          <w:noProof/>
        </w:rPr>
        <w:t>yszłości</w:t>
      </w:r>
      <w:r w:rsidR="003F3D2B" w:rsidRPr="00624565">
        <w:rPr>
          <w:noProof/>
        </w:rPr>
        <w:t xml:space="preserve"> i</w:t>
      </w:r>
      <w:r w:rsidR="003F3D2B">
        <w:rPr>
          <w:noProof/>
        </w:rPr>
        <w:t> </w:t>
      </w:r>
      <w:r w:rsidR="003F3D2B" w:rsidRPr="00624565">
        <w:rPr>
          <w:noProof/>
        </w:rPr>
        <w:t>ocz</w:t>
      </w:r>
      <w:r w:rsidRPr="00624565">
        <w:rPr>
          <w:noProof/>
        </w:rPr>
        <w:t xml:space="preserve">ekuje się, że będzie wykonywał następujące zadania: </w:t>
      </w:r>
    </w:p>
    <w:p w14:paraId="6DFA38BD" w14:textId="337FC526" w:rsidR="00DF0307" w:rsidRPr="00624565" w:rsidRDefault="00DF0307" w:rsidP="006E3743">
      <w:pPr>
        <w:pStyle w:val="Bullet0"/>
        <w:rPr>
          <w:noProof/>
        </w:rPr>
      </w:pPr>
      <w:r w:rsidRPr="00624565">
        <w:rPr>
          <w:noProof/>
        </w:rPr>
        <w:t>Działania związane</w:t>
      </w:r>
      <w:r w:rsidR="003F3D2B" w:rsidRPr="00624565">
        <w:rPr>
          <w:noProof/>
        </w:rPr>
        <w:t xml:space="preserve"> z</w:t>
      </w:r>
      <w:r w:rsidR="003F3D2B">
        <w:rPr>
          <w:noProof/>
        </w:rPr>
        <w:t> </w:t>
      </w:r>
      <w:r w:rsidR="003F3D2B" w:rsidRPr="00624565">
        <w:rPr>
          <w:noProof/>
        </w:rPr>
        <w:t>ini</w:t>
      </w:r>
      <w:r w:rsidRPr="00624565">
        <w:rPr>
          <w:noProof/>
        </w:rPr>
        <w:t>cjatywą na rzecz oświadczeń środowiskowych, takie jak koordynacja polityki, plan prac</w:t>
      </w:r>
      <w:r w:rsidR="003F3D2B" w:rsidRPr="00624565">
        <w:rPr>
          <w:noProof/>
        </w:rPr>
        <w:t xml:space="preserve"> w</w:t>
      </w:r>
      <w:r w:rsidR="003F3D2B">
        <w:rPr>
          <w:noProof/>
        </w:rPr>
        <w:t> </w:t>
      </w:r>
      <w:r w:rsidR="003F3D2B" w:rsidRPr="00624565">
        <w:rPr>
          <w:noProof/>
        </w:rPr>
        <w:t>ram</w:t>
      </w:r>
      <w:r w:rsidRPr="00624565">
        <w:rPr>
          <w:noProof/>
        </w:rPr>
        <w:t>ach inicjatywy na rzecz oświadczeń środowiskowych (w tym częściowe uwzględnienie rozwoju dalszych wymogów związanych</w:t>
      </w:r>
      <w:r w:rsidR="003F3D2B" w:rsidRPr="00624565">
        <w:rPr>
          <w:noProof/>
        </w:rPr>
        <w:t xml:space="preserve"> z</w:t>
      </w:r>
      <w:r w:rsidR="003F3D2B">
        <w:rPr>
          <w:noProof/>
        </w:rPr>
        <w:t> </w:t>
      </w:r>
      <w:r w:rsidR="003F3D2B" w:rsidRPr="00624565">
        <w:rPr>
          <w:noProof/>
        </w:rPr>
        <w:t>kon</w:t>
      </w:r>
      <w:r w:rsidRPr="00624565">
        <w:rPr>
          <w:noProof/>
        </w:rPr>
        <w:t>kretnymi oświadczeniami), koordynacja zespołu, monitorowanie, stosunki</w:t>
      </w:r>
      <w:r w:rsidR="003F3D2B" w:rsidRPr="00624565">
        <w:rPr>
          <w:noProof/>
        </w:rPr>
        <w:t xml:space="preserve"> z</w:t>
      </w:r>
      <w:r w:rsidR="003F3D2B">
        <w:rPr>
          <w:noProof/>
        </w:rPr>
        <w:t> </w:t>
      </w:r>
      <w:r w:rsidR="003F3D2B" w:rsidRPr="00624565">
        <w:rPr>
          <w:noProof/>
        </w:rPr>
        <w:t>zai</w:t>
      </w:r>
      <w:r w:rsidRPr="00624565">
        <w:rPr>
          <w:noProof/>
        </w:rPr>
        <w:t>nteresowanymi stronami. Działania te wymagają zasobów</w:t>
      </w:r>
      <w:r w:rsidR="003F3D2B" w:rsidRPr="00624565">
        <w:rPr>
          <w:noProof/>
        </w:rPr>
        <w:t xml:space="preserve"> w</w:t>
      </w:r>
      <w:r w:rsidR="003F3D2B">
        <w:rPr>
          <w:noProof/>
        </w:rPr>
        <w:t> </w:t>
      </w:r>
      <w:r w:rsidR="003F3D2B" w:rsidRPr="00624565">
        <w:rPr>
          <w:noProof/>
        </w:rPr>
        <w:t>pos</w:t>
      </w:r>
      <w:r w:rsidRPr="00624565">
        <w:rPr>
          <w:noProof/>
        </w:rPr>
        <w:t>taci 2 urzędników</w:t>
      </w:r>
      <w:r w:rsidR="003F3D2B" w:rsidRPr="00624565">
        <w:rPr>
          <w:noProof/>
        </w:rPr>
        <w:t xml:space="preserve"> w</w:t>
      </w:r>
      <w:r w:rsidR="003F3D2B">
        <w:rPr>
          <w:noProof/>
        </w:rPr>
        <w:t> </w:t>
      </w:r>
      <w:r w:rsidR="003F3D2B" w:rsidRPr="00624565">
        <w:rPr>
          <w:noProof/>
        </w:rPr>
        <w:t>ekw</w:t>
      </w:r>
      <w:r w:rsidRPr="00624565">
        <w:rPr>
          <w:noProof/>
        </w:rPr>
        <w:t>iwalentach pełnego czasu pracy.</w:t>
      </w:r>
    </w:p>
    <w:p w14:paraId="335FAF22" w14:textId="0C2C4420" w:rsidR="00DF0307" w:rsidRPr="00624565" w:rsidRDefault="00DF0307" w:rsidP="006E3743">
      <w:pPr>
        <w:pStyle w:val="Bullet0"/>
        <w:rPr>
          <w:noProof/>
        </w:rPr>
      </w:pPr>
      <w:r w:rsidRPr="00624565">
        <w:rPr>
          <w:noProof/>
        </w:rPr>
        <w:t>Dalszy rozwój metod oznaczania śladu środowiskowego</w:t>
      </w:r>
      <w:r w:rsidR="003F3D2B" w:rsidRPr="00624565">
        <w:rPr>
          <w:noProof/>
        </w:rPr>
        <w:t xml:space="preserve"> i</w:t>
      </w:r>
      <w:r w:rsidR="003F3D2B">
        <w:rPr>
          <w:noProof/>
        </w:rPr>
        <w:t> </w:t>
      </w:r>
      <w:r w:rsidR="003F3D2B" w:rsidRPr="00624565">
        <w:rPr>
          <w:noProof/>
        </w:rPr>
        <w:t>inn</w:t>
      </w:r>
      <w:r w:rsidRPr="00624565">
        <w:rPr>
          <w:noProof/>
        </w:rPr>
        <w:t>ych metod uzasadniania oświadczeń środowiskowych zgodnie</w:t>
      </w:r>
      <w:r w:rsidR="003F3D2B" w:rsidRPr="00624565">
        <w:rPr>
          <w:noProof/>
        </w:rPr>
        <w:t xml:space="preserve"> z</w:t>
      </w:r>
      <w:r w:rsidR="003F3D2B">
        <w:rPr>
          <w:noProof/>
        </w:rPr>
        <w:t> </w:t>
      </w:r>
      <w:r w:rsidR="003F3D2B" w:rsidRPr="003F3D2B">
        <w:rPr>
          <w:noProof/>
        </w:rPr>
        <w:t>art</w:t>
      </w:r>
      <w:r w:rsidRPr="003F3D2B">
        <w:rPr>
          <w:noProof/>
        </w:rPr>
        <w:t>.</w:t>
      </w:r>
      <w:r w:rsidR="003F3D2B" w:rsidRPr="003F3D2B">
        <w:rPr>
          <w:noProof/>
        </w:rPr>
        <w:t> </w:t>
      </w:r>
      <w:r w:rsidRPr="003F3D2B">
        <w:rPr>
          <w:noProof/>
        </w:rPr>
        <w:t>3</w:t>
      </w:r>
      <w:r w:rsidRPr="00624565">
        <w:rPr>
          <w:noProof/>
        </w:rPr>
        <w:t>: prowadzenie grup ekspertów, zarządzanie fazą przejściową PEFCR/OEFSR (w tym dodatkowe zadanie polegające na przyjęciu przez Komisję Europejską części włączonych do aktów delegowanych zgodnie</w:t>
      </w:r>
      <w:r w:rsidR="003F3D2B" w:rsidRPr="00624565">
        <w:rPr>
          <w:noProof/>
        </w:rPr>
        <w:t xml:space="preserve"> z</w:t>
      </w:r>
      <w:r w:rsidR="003F3D2B">
        <w:rPr>
          <w:noProof/>
        </w:rPr>
        <w:t> </w:t>
      </w:r>
      <w:r w:rsidR="003F3D2B" w:rsidRPr="003F3D2B">
        <w:rPr>
          <w:noProof/>
        </w:rPr>
        <w:t>art</w:t>
      </w:r>
      <w:r w:rsidRPr="003F3D2B">
        <w:rPr>
          <w:noProof/>
        </w:rPr>
        <w:t>.</w:t>
      </w:r>
      <w:r w:rsidR="003F3D2B" w:rsidRPr="003F3D2B">
        <w:rPr>
          <w:noProof/>
        </w:rPr>
        <w:t> </w:t>
      </w:r>
      <w:r w:rsidRPr="003F3D2B">
        <w:rPr>
          <w:noProof/>
        </w:rPr>
        <w:t>3</w:t>
      </w:r>
      <w:r w:rsidRPr="00624565">
        <w:rPr>
          <w:noProof/>
        </w:rPr>
        <w:t xml:space="preserve"> </w:t>
      </w:r>
      <w:r w:rsidRPr="003F3D2B">
        <w:rPr>
          <w:noProof/>
        </w:rPr>
        <w:t>ust.</w:t>
      </w:r>
      <w:r w:rsidR="003F3D2B" w:rsidRPr="003F3D2B">
        <w:rPr>
          <w:noProof/>
        </w:rPr>
        <w:t> </w:t>
      </w:r>
      <w:r w:rsidRPr="003F3D2B">
        <w:rPr>
          <w:noProof/>
        </w:rPr>
        <w:t>4</w:t>
      </w:r>
      <w:r w:rsidR="003F3D2B" w:rsidRPr="00624565">
        <w:rPr>
          <w:noProof/>
        </w:rPr>
        <w:t xml:space="preserve"> w</w:t>
      </w:r>
      <w:r w:rsidR="003F3D2B">
        <w:rPr>
          <w:noProof/>
        </w:rPr>
        <w:t> </w:t>
      </w:r>
      <w:r w:rsidR="003F3D2B" w:rsidRPr="00624565">
        <w:rPr>
          <w:noProof/>
        </w:rPr>
        <w:t>spr</w:t>
      </w:r>
      <w:r w:rsidRPr="00624565">
        <w:rPr>
          <w:noProof/>
        </w:rPr>
        <w:t>awie dalszego określenia wymogów dotyczących uzasadnienia wyraźnego oświadczenia środowiskowego</w:t>
      </w:r>
      <w:r w:rsidR="003F3D2B" w:rsidRPr="00624565">
        <w:rPr>
          <w:noProof/>
        </w:rPr>
        <w:t xml:space="preserve"> w</w:t>
      </w:r>
      <w:r w:rsidR="003F3D2B">
        <w:rPr>
          <w:noProof/>
        </w:rPr>
        <w:t> </w:t>
      </w:r>
      <w:r w:rsidR="003F3D2B" w:rsidRPr="00624565">
        <w:rPr>
          <w:noProof/>
        </w:rPr>
        <w:t>prz</w:t>
      </w:r>
      <w:r w:rsidRPr="00624565">
        <w:rPr>
          <w:noProof/>
        </w:rPr>
        <w:t>yszłości). Działania te wymagają zasobów</w:t>
      </w:r>
      <w:r w:rsidR="003F3D2B" w:rsidRPr="00624565">
        <w:rPr>
          <w:noProof/>
        </w:rPr>
        <w:t xml:space="preserve"> w</w:t>
      </w:r>
      <w:r w:rsidR="003F3D2B">
        <w:rPr>
          <w:noProof/>
        </w:rPr>
        <w:t> </w:t>
      </w:r>
      <w:r w:rsidR="003F3D2B" w:rsidRPr="00624565">
        <w:rPr>
          <w:noProof/>
        </w:rPr>
        <w:t>pos</w:t>
      </w:r>
      <w:r w:rsidRPr="00624565">
        <w:rPr>
          <w:noProof/>
        </w:rPr>
        <w:t>taci 1 urzędnika zatrudnionego</w:t>
      </w:r>
      <w:r w:rsidR="003F3D2B" w:rsidRPr="00624565">
        <w:rPr>
          <w:noProof/>
        </w:rPr>
        <w:t xml:space="preserve"> w</w:t>
      </w:r>
      <w:r w:rsidR="003F3D2B">
        <w:rPr>
          <w:noProof/>
        </w:rPr>
        <w:t> </w:t>
      </w:r>
      <w:r w:rsidR="003F3D2B" w:rsidRPr="00624565">
        <w:rPr>
          <w:noProof/>
        </w:rPr>
        <w:t>peł</w:t>
      </w:r>
      <w:r w:rsidRPr="00624565">
        <w:rPr>
          <w:noProof/>
        </w:rPr>
        <w:t>nym wymiarze czasu pracy.</w:t>
      </w:r>
    </w:p>
    <w:p w14:paraId="78CE8A95" w14:textId="445746EB" w:rsidR="00DF0307" w:rsidRPr="00624565" w:rsidRDefault="00DF0307" w:rsidP="006E3743">
      <w:pPr>
        <w:pStyle w:val="Bullet0"/>
        <w:rPr>
          <w:noProof/>
        </w:rPr>
      </w:pPr>
      <w:r w:rsidRPr="00624565">
        <w:rPr>
          <w:noProof/>
        </w:rPr>
        <w:t>Zarządzanie danymi wtórnymi dotyczącymi śladu środowiskowego: zarządzanie umowami, kontrola danych, tworzenie bazy danych itp. Działania te wymagają zasobów</w:t>
      </w:r>
      <w:r w:rsidR="003F3D2B" w:rsidRPr="00624565">
        <w:rPr>
          <w:noProof/>
        </w:rPr>
        <w:t xml:space="preserve"> w</w:t>
      </w:r>
      <w:r w:rsidR="003F3D2B">
        <w:rPr>
          <w:noProof/>
        </w:rPr>
        <w:t> </w:t>
      </w:r>
      <w:r w:rsidR="003F3D2B" w:rsidRPr="00624565">
        <w:rPr>
          <w:noProof/>
        </w:rPr>
        <w:t>pos</w:t>
      </w:r>
      <w:r w:rsidRPr="00624565">
        <w:rPr>
          <w:noProof/>
        </w:rPr>
        <w:t>taci 1 urzędnika zatrudnionego</w:t>
      </w:r>
      <w:r w:rsidR="003F3D2B" w:rsidRPr="00624565">
        <w:rPr>
          <w:noProof/>
        </w:rPr>
        <w:t xml:space="preserve"> w</w:t>
      </w:r>
      <w:r w:rsidR="003F3D2B">
        <w:rPr>
          <w:noProof/>
        </w:rPr>
        <w:t> </w:t>
      </w:r>
      <w:r w:rsidR="003F3D2B" w:rsidRPr="00624565">
        <w:rPr>
          <w:noProof/>
        </w:rPr>
        <w:t>peł</w:t>
      </w:r>
      <w:r w:rsidRPr="00624565">
        <w:rPr>
          <w:noProof/>
        </w:rPr>
        <w:t xml:space="preserve">nym wymiarze czasu pracy. </w:t>
      </w:r>
    </w:p>
    <w:p w14:paraId="26A7712A" w14:textId="48D5718D" w:rsidR="00DF0307" w:rsidRPr="00624565" w:rsidRDefault="00DF0307" w:rsidP="00DF0307">
      <w:pPr>
        <w:jc w:val="left"/>
        <w:rPr>
          <w:noProof/>
        </w:rPr>
      </w:pPr>
      <w:r w:rsidRPr="00624565">
        <w:rPr>
          <w:noProof/>
        </w:rPr>
        <w:t>Ogólnie rzecz biorąc, zadania związane</w:t>
      </w:r>
      <w:r w:rsidR="003F3D2B" w:rsidRPr="00624565">
        <w:rPr>
          <w:noProof/>
        </w:rPr>
        <w:t xml:space="preserve"> z</w:t>
      </w:r>
      <w:r w:rsidR="003F3D2B">
        <w:rPr>
          <w:noProof/>
        </w:rPr>
        <w:t> </w:t>
      </w:r>
      <w:r w:rsidR="003F3D2B" w:rsidRPr="00624565">
        <w:rPr>
          <w:noProof/>
        </w:rPr>
        <w:t>oce</w:t>
      </w:r>
      <w:r w:rsidRPr="00624565">
        <w:rPr>
          <w:noProof/>
        </w:rPr>
        <w:t>ną cyklu życia (LCA) (np. opracowanie metod</w:t>
      </w:r>
      <w:r w:rsidR="003F3D2B" w:rsidRPr="00624565">
        <w:rPr>
          <w:noProof/>
        </w:rPr>
        <w:t xml:space="preserve"> i</w:t>
      </w:r>
      <w:r w:rsidR="003F3D2B">
        <w:rPr>
          <w:noProof/>
        </w:rPr>
        <w:t> </w:t>
      </w:r>
      <w:r w:rsidR="003F3D2B" w:rsidRPr="00624565">
        <w:rPr>
          <w:noProof/>
        </w:rPr>
        <w:t>dan</w:t>
      </w:r>
      <w:r w:rsidRPr="00624565">
        <w:rPr>
          <w:noProof/>
        </w:rPr>
        <w:t>ych) oraz zadania związane</w:t>
      </w:r>
      <w:r w:rsidR="003F3D2B" w:rsidRPr="00624565">
        <w:rPr>
          <w:noProof/>
        </w:rPr>
        <w:t xml:space="preserve"> z</w:t>
      </w:r>
      <w:r w:rsidR="003F3D2B">
        <w:rPr>
          <w:noProof/>
        </w:rPr>
        <w:t> </w:t>
      </w:r>
      <w:r w:rsidR="003F3D2B" w:rsidRPr="00624565">
        <w:rPr>
          <w:noProof/>
        </w:rPr>
        <w:t>opr</w:t>
      </w:r>
      <w:r w:rsidRPr="00624565">
        <w:rPr>
          <w:noProof/>
        </w:rPr>
        <w:t>acowaniem metod</w:t>
      </w:r>
      <w:r w:rsidR="003F3D2B" w:rsidRPr="00624565">
        <w:rPr>
          <w:noProof/>
        </w:rPr>
        <w:t xml:space="preserve"> i</w:t>
      </w:r>
      <w:r w:rsidR="003F3D2B">
        <w:rPr>
          <w:noProof/>
        </w:rPr>
        <w:t> </w:t>
      </w:r>
      <w:r w:rsidR="003F3D2B" w:rsidRPr="00624565">
        <w:rPr>
          <w:noProof/>
        </w:rPr>
        <w:t>dan</w:t>
      </w:r>
      <w:r w:rsidRPr="00624565">
        <w:rPr>
          <w:noProof/>
        </w:rPr>
        <w:t>ych na potrzeby uzasadniania oświadczeń środowiskowych wymagają specjalistycznej wiedzy technicznej/naukowej na poziomie doktorskim oraz wieloletniego doświadczenia</w:t>
      </w:r>
      <w:r w:rsidR="003F3D2B" w:rsidRPr="00624565">
        <w:rPr>
          <w:noProof/>
        </w:rPr>
        <w:t xml:space="preserve"> w</w:t>
      </w:r>
      <w:r w:rsidR="003F3D2B">
        <w:rPr>
          <w:noProof/>
        </w:rPr>
        <w:t> </w:t>
      </w:r>
      <w:r w:rsidR="003F3D2B" w:rsidRPr="00624565">
        <w:rPr>
          <w:noProof/>
        </w:rPr>
        <w:t>tej</w:t>
      </w:r>
      <w:r w:rsidRPr="00624565">
        <w:rPr>
          <w:noProof/>
        </w:rPr>
        <w:t xml:space="preserve"> dziedzinie. Zatrudnienie takich pracowników na warunkach pracownika kontraktowego nie jest możliwe</w:t>
      </w:r>
      <w:r w:rsidR="003F3D2B" w:rsidRPr="00624565">
        <w:rPr>
          <w:noProof/>
        </w:rPr>
        <w:t>. W</w:t>
      </w:r>
      <w:r w:rsidR="003F3D2B">
        <w:rPr>
          <w:noProof/>
        </w:rPr>
        <w:t> </w:t>
      </w:r>
      <w:r w:rsidR="003F3D2B" w:rsidRPr="00624565">
        <w:rPr>
          <w:noProof/>
        </w:rPr>
        <w:t>zwi</w:t>
      </w:r>
      <w:r w:rsidRPr="00624565">
        <w:rPr>
          <w:noProof/>
        </w:rPr>
        <w:t>ązku</w:t>
      </w:r>
      <w:r w:rsidR="003F3D2B" w:rsidRPr="00624565">
        <w:rPr>
          <w:noProof/>
        </w:rPr>
        <w:t xml:space="preserve"> z</w:t>
      </w:r>
      <w:r w:rsidR="003F3D2B">
        <w:rPr>
          <w:noProof/>
        </w:rPr>
        <w:t> </w:t>
      </w:r>
      <w:r w:rsidR="003F3D2B" w:rsidRPr="00624565">
        <w:rPr>
          <w:noProof/>
        </w:rPr>
        <w:t>tym</w:t>
      </w:r>
      <w:r w:rsidRPr="00624565">
        <w:rPr>
          <w:noProof/>
        </w:rPr>
        <w:t xml:space="preserve"> zadania te powinny być realizowane za pośrednictwem stanowisk urzędniczych, które</w:t>
      </w:r>
      <w:r w:rsidR="003F3D2B" w:rsidRPr="00624565">
        <w:rPr>
          <w:noProof/>
        </w:rPr>
        <w:t xml:space="preserve"> w</w:t>
      </w:r>
      <w:r w:rsidR="003F3D2B">
        <w:rPr>
          <w:noProof/>
        </w:rPr>
        <w:t> </w:t>
      </w:r>
      <w:r w:rsidR="003F3D2B" w:rsidRPr="00624565">
        <w:rPr>
          <w:noProof/>
        </w:rPr>
        <w:t>prz</w:t>
      </w:r>
      <w:r w:rsidRPr="00624565">
        <w:rPr>
          <w:noProof/>
        </w:rPr>
        <w:t>ypadku braku wyspecjalizowanych pracowników powinny być otwarte dla pracowników zatrudnionych na czas określony.</w:t>
      </w:r>
    </w:p>
    <w:p w14:paraId="00AD15A1" w14:textId="355A3296" w:rsidR="00DF0307" w:rsidRPr="00624565" w:rsidRDefault="00DF0307" w:rsidP="00DF0307">
      <w:pPr>
        <w:jc w:val="left"/>
        <w:rPr>
          <w:noProof/>
        </w:rPr>
      </w:pPr>
      <w:r w:rsidRPr="00624565">
        <w:rPr>
          <w:noProof/>
        </w:rPr>
        <w:t>W związku</w:t>
      </w:r>
      <w:r w:rsidR="003F3D2B" w:rsidRPr="00624565">
        <w:rPr>
          <w:noProof/>
        </w:rPr>
        <w:t xml:space="preserve"> z</w:t>
      </w:r>
      <w:r w:rsidR="003F3D2B">
        <w:rPr>
          <w:noProof/>
        </w:rPr>
        <w:t> </w:t>
      </w:r>
      <w:r w:rsidR="003F3D2B" w:rsidRPr="00624565">
        <w:rPr>
          <w:noProof/>
        </w:rPr>
        <w:t>tym</w:t>
      </w:r>
      <w:r w:rsidRPr="00624565">
        <w:rPr>
          <w:noProof/>
        </w:rPr>
        <w:t xml:space="preserve"> DG ENV wnioskuje</w:t>
      </w:r>
      <w:r w:rsidR="003F3D2B" w:rsidRPr="00624565">
        <w:rPr>
          <w:noProof/>
        </w:rPr>
        <w:t xml:space="preserve"> o</w:t>
      </w:r>
      <w:r w:rsidR="003F3D2B">
        <w:rPr>
          <w:noProof/>
        </w:rPr>
        <w:t> </w:t>
      </w:r>
      <w:r w:rsidR="003F3D2B" w:rsidRPr="00624565">
        <w:rPr>
          <w:noProof/>
        </w:rPr>
        <w:t>zat</w:t>
      </w:r>
      <w:r w:rsidRPr="00624565">
        <w:rPr>
          <w:noProof/>
        </w:rPr>
        <w:t>rudnienie dodatkowego personelu (</w:t>
      </w:r>
      <w:r w:rsidRPr="00624565">
        <w:rPr>
          <w:b/>
          <w:noProof/>
        </w:rPr>
        <w:t>3 stanowiska</w:t>
      </w:r>
      <w:r w:rsidR="003F3D2B" w:rsidRPr="00624565">
        <w:rPr>
          <w:b/>
          <w:noProof/>
        </w:rPr>
        <w:t xml:space="preserve"> w</w:t>
      </w:r>
      <w:r w:rsidR="003F3D2B">
        <w:rPr>
          <w:b/>
          <w:noProof/>
        </w:rPr>
        <w:t> </w:t>
      </w:r>
      <w:r w:rsidR="003F3D2B" w:rsidRPr="00624565">
        <w:rPr>
          <w:b/>
          <w:noProof/>
        </w:rPr>
        <w:t>gru</w:t>
      </w:r>
      <w:r w:rsidRPr="00624565">
        <w:rPr>
          <w:b/>
          <w:noProof/>
        </w:rPr>
        <w:t>pie funkcyjnej AD</w:t>
      </w:r>
      <w:r w:rsidR="003F3D2B" w:rsidRPr="00624565">
        <w:rPr>
          <w:b/>
          <w:noProof/>
        </w:rPr>
        <w:t xml:space="preserve"> i</w:t>
      </w:r>
      <w:r w:rsidR="003F3D2B">
        <w:rPr>
          <w:b/>
          <w:noProof/>
        </w:rPr>
        <w:t> </w:t>
      </w:r>
      <w:r w:rsidR="003F3D2B" w:rsidRPr="00624565">
        <w:rPr>
          <w:b/>
          <w:noProof/>
        </w:rPr>
        <w:t>1</w:t>
      </w:r>
      <w:r w:rsidRPr="00624565">
        <w:rPr>
          <w:b/>
          <w:noProof/>
        </w:rPr>
        <w:t xml:space="preserve"> stanowisko dla oddelegowanych ekspertów krajowych</w:t>
      </w:r>
      <w:r w:rsidRPr="00624565">
        <w:rPr>
          <w:noProof/>
        </w:rPr>
        <w:t xml:space="preserve"> zgodnie</w:t>
      </w:r>
      <w:r w:rsidR="003F3D2B" w:rsidRPr="00624565">
        <w:rPr>
          <w:noProof/>
        </w:rPr>
        <w:t xml:space="preserve"> z</w:t>
      </w:r>
      <w:r w:rsidR="003F3D2B">
        <w:rPr>
          <w:noProof/>
        </w:rPr>
        <w:t> </w:t>
      </w:r>
      <w:r w:rsidR="003F3D2B" w:rsidRPr="00624565">
        <w:rPr>
          <w:noProof/>
        </w:rPr>
        <w:t>pon</w:t>
      </w:r>
      <w:r w:rsidRPr="00624565">
        <w:rPr>
          <w:noProof/>
        </w:rPr>
        <w:t>iższym podziałem stanowisk), który:</w:t>
      </w:r>
    </w:p>
    <w:p w14:paraId="0B236BE7" w14:textId="4884E8D9" w:rsidR="00DF0307" w:rsidRPr="00624565" w:rsidRDefault="272D0B7C" w:rsidP="006E3743">
      <w:pPr>
        <w:pStyle w:val="Bullet0"/>
        <w:rPr>
          <w:noProof/>
        </w:rPr>
      </w:pPr>
      <w:r w:rsidRPr="00624565">
        <w:rPr>
          <w:noProof/>
        </w:rPr>
        <w:t>przygotuje około 6–7 aktów delegowanych zgodnie</w:t>
      </w:r>
      <w:r w:rsidR="003F3D2B" w:rsidRPr="00624565">
        <w:rPr>
          <w:noProof/>
        </w:rPr>
        <w:t xml:space="preserve"> z</w:t>
      </w:r>
      <w:r w:rsidR="003F3D2B">
        <w:rPr>
          <w:noProof/>
        </w:rPr>
        <w:t> </w:t>
      </w:r>
      <w:r w:rsidR="003F3D2B" w:rsidRPr="003F3D2B">
        <w:rPr>
          <w:noProof/>
        </w:rPr>
        <w:t>art</w:t>
      </w:r>
      <w:r w:rsidRPr="003F3D2B">
        <w:rPr>
          <w:noProof/>
        </w:rPr>
        <w:t>.</w:t>
      </w:r>
      <w:r w:rsidR="003F3D2B" w:rsidRPr="003F3D2B">
        <w:rPr>
          <w:noProof/>
        </w:rPr>
        <w:t> </w:t>
      </w:r>
      <w:r w:rsidRPr="003F3D2B">
        <w:rPr>
          <w:noProof/>
        </w:rPr>
        <w:t>3</w:t>
      </w:r>
      <w:r w:rsidRPr="00624565">
        <w:rPr>
          <w:noProof/>
        </w:rPr>
        <w:t xml:space="preserve"> </w:t>
      </w:r>
      <w:r w:rsidRPr="003F3D2B">
        <w:rPr>
          <w:noProof/>
        </w:rPr>
        <w:t>ust.</w:t>
      </w:r>
      <w:r w:rsidR="003F3D2B" w:rsidRPr="003F3D2B">
        <w:rPr>
          <w:noProof/>
        </w:rPr>
        <w:t> </w:t>
      </w:r>
      <w:r w:rsidRPr="003F3D2B">
        <w:rPr>
          <w:noProof/>
        </w:rPr>
        <w:t>4</w:t>
      </w:r>
      <w:r w:rsidR="003F3D2B" w:rsidRPr="00624565">
        <w:rPr>
          <w:noProof/>
        </w:rPr>
        <w:t xml:space="preserve"> w</w:t>
      </w:r>
      <w:r w:rsidR="003F3D2B">
        <w:rPr>
          <w:noProof/>
        </w:rPr>
        <w:t> </w:t>
      </w:r>
      <w:r w:rsidR="003F3D2B" w:rsidRPr="00624565">
        <w:rPr>
          <w:noProof/>
        </w:rPr>
        <w:t>spr</w:t>
      </w:r>
      <w:r w:rsidRPr="00624565">
        <w:rPr>
          <w:noProof/>
        </w:rPr>
        <w:t>awie dalszego doprecyzowania wymogów dotyczących uzasadniania wyraźnych oświadczeń środowiskowych</w:t>
      </w:r>
      <w:r w:rsidR="003F3D2B" w:rsidRPr="00624565">
        <w:rPr>
          <w:noProof/>
        </w:rPr>
        <w:t xml:space="preserve"> w</w:t>
      </w:r>
      <w:r w:rsidR="003F3D2B">
        <w:rPr>
          <w:noProof/>
        </w:rPr>
        <w:t> </w:t>
      </w:r>
      <w:r w:rsidR="003F3D2B" w:rsidRPr="00624565">
        <w:rPr>
          <w:noProof/>
        </w:rPr>
        <w:t>cel</w:t>
      </w:r>
      <w:r w:rsidRPr="00624565">
        <w:rPr>
          <w:noProof/>
        </w:rPr>
        <w:t>u uregulowania konkretnych oświadczeń, np. dotyczących możliwości naprawy, zdolności do recyklingu, trwałości lub ustanowienia szczegółowych zasad opartych na cyklu życia dla niektórych grup produktów</w:t>
      </w:r>
      <w:r w:rsidR="003F3D2B" w:rsidRPr="00624565">
        <w:rPr>
          <w:noProof/>
        </w:rPr>
        <w:t xml:space="preserve"> i</w:t>
      </w:r>
      <w:r w:rsidR="003F3D2B">
        <w:rPr>
          <w:noProof/>
        </w:rPr>
        <w:t> </w:t>
      </w:r>
      <w:r w:rsidR="003F3D2B" w:rsidRPr="00624565">
        <w:rPr>
          <w:noProof/>
        </w:rPr>
        <w:t>sek</w:t>
      </w:r>
      <w:r w:rsidRPr="00624565">
        <w:rPr>
          <w:noProof/>
        </w:rPr>
        <w:t>torów;</w:t>
      </w:r>
    </w:p>
    <w:p w14:paraId="68EF290D" w14:textId="352BBE5D" w:rsidR="00DF0307" w:rsidRPr="00624565" w:rsidRDefault="00DF0307" w:rsidP="006E3743">
      <w:pPr>
        <w:pStyle w:val="Bullet0"/>
        <w:rPr>
          <w:noProof/>
        </w:rPr>
      </w:pPr>
      <w:r w:rsidRPr="00624565">
        <w:rPr>
          <w:noProof/>
        </w:rPr>
        <w:t>przygotuje akty wykonawcze określające odpowiednie procedury zatwierdzania nowych prywatnych systemów oznakowania przez organy krajowe oraz format certyfikatu zgodności oświadczeń</w:t>
      </w:r>
      <w:r w:rsidR="003F3D2B" w:rsidRPr="00624565">
        <w:rPr>
          <w:noProof/>
        </w:rPr>
        <w:t xml:space="preserve"> i</w:t>
      </w:r>
      <w:r w:rsidR="003F3D2B">
        <w:rPr>
          <w:noProof/>
        </w:rPr>
        <w:t> </w:t>
      </w:r>
      <w:r w:rsidR="003F3D2B" w:rsidRPr="00624565">
        <w:rPr>
          <w:noProof/>
        </w:rPr>
        <w:t>sys</w:t>
      </w:r>
      <w:r w:rsidRPr="00624565">
        <w:rPr>
          <w:noProof/>
        </w:rPr>
        <w:t>temów oznakowania;</w:t>
      </w:r>
    </w:p>
    <w:p w14:paraId="3A06BC8A" w14:textId="331709AF" w:rsidR="5E5107B4" w:rsidRPr="00624565" w:rsidRDefault="5E5107B4" w:rsidP="006E3743">
      <w:pPr>
        <w:pStyle w:val="Bullet0"/>
        <w:rPr>
          <w:noProof/>
        </w:rPr>
      </w:pPr>
      <w:r w:rsidRPr="00624565">
        <w:rPr>
          <w:noProof/>
        </w:rPr>
        <w:t>przygotuje akty delegowane doprecyzowujące kryteria zatwierdzania systemów oznakowania ekologicznego,</w:t>
      </w:r>
      <w:r w:rsidR="003F3D2B" w:rsidRPr="00624565">
        <w:rPr>
          <w:noProof/>
        </w:rPr>
        <w:t xml:space="preserve"> o</w:t>
      </w:r>
      <w:r w:rsidR="003F3D2B">
        <w:rPr>
          <w:noProof/>
        </w:rPr>
        <w:t> </w:t>
      </w:r>
      <w:r w:rsidR="003F3D2B" w:rsidRPr="00624565">
        <w:rPr>
          <w:noProof/>
        </w:rPr>
        <w:t>któ</w:t>
      </w:r>
      <w:r w:rsidRPr="00624565">
        <w:rPr>
          <w:noProof/>
        </w:rPr>
        <w:t>rych mowa</w:t>
      </w:r>
      <w:r w:rsidR="003F3D2B" w:rsidRPr="00624565">
        <w:rPr>
          <w:noProof/>
        </w:rPr>
        <w:t xml:space="preserve"> w</w:t>
      </w:r>
      <w:r w:rsidR="003F3D2B">
        <w:rPr>
          <w:noProof/>
        </w:rPr>
        <w:t> </w:t>
      </w:r>
      <w:r w:rsidR="003F3D2B" w:rsidRPr="003F3D2B">
        <w:rPr>
          <w:noProof/>
        </w:rPr>
        <w:t>art</w:t>
      </w:r>
      <w:r w:rsidRPr="003F3D2B">
        <w:rPr>
          <w:noProof/>
        </w:rPr>
        <w:t>.</w:t>
      </w:r>
      <w:r w:rsidR="003F3D2B" w:rsidRPr="003F3D2B">
        <w:rPr>
          <w:noProof/>
        </w:rPr>
        <w:t> </w:t>
      </w:r>
      <w:r w:rsidRPr="003F3D2B">
        <w:rPr>
          <w:noProof/>
        </w:rPr>
        <w:t>8</w:t>
      </w:r>
      <w:r w:rsidRPr="00624565">
        <w:rPr>
          <w:noProof/>
        </w:rPr>
        <w:t>,</w:t>
      </w:r>
      <w:r w:rsidR="003F3D2B" w:rsidRPr="00624565">
        <w:rPr>
          <w:noProof/>
        </w:rPr>
        <w:t xml:space="preserve"> w</w:t>
      </w:r>
      <w:r w:rsidR="003F3D2B">
        <w:rPr>
          <w:noProof/>
        </w:rPr>
        <w:t> </w:t>
      </w:r>
      <w:r w:rsidR="003F3D2B" w:rsidRPr="00624565">
        <w:rPr>
          <w:noProof/>
        </w:rPr>
        <w:t>cel</w:t>
      </w:r>
      <w:r w:rsidRPr="00624565">
        <w:rPr>
          <w:noProof/>
        </w:rPr>
        <w:t>u zapewnienia ich jednolitego stosowania</w:t>
      </w:r>
      <w:r w:rsidR="003F3D2B" w:rsidRPr="00624565">
        <w:rPr>
          <w:noProof/>
        </w:rPr>
        <w:t xml:space="preserve"> w</w:t>
      </w:r>
      <w:r w:rsidR="003F3D2B">
        <w:rPr>
          <w:noProof/>
        </w:rPr>
        <w:t> </w:t>
      </w:r>
      <w:r w:rsidR="003F3D2B" w:rsidRPr="00624565">
        <w:rPr>
          <w:noProof/>
        </w:rPr>
        <w:t>cał</w:t>
      </w:r>
      <w:r w:rsidRPr="00624565">
        <w:rPr>
          <w:noProof/>
        </w:rPr>
        <w:t>ej Unii;</w:t>
      </w:r>
    </w:p>
    <w:p w14:paraId="2F7BD001" w14:textId="7D204907" w:rsidR="5E5107B4" w:rsidRPr="00624565" w:rsidRDefault="5E5107B4" w:rsidP="006E3743">
      <w:pPr>
        <w:pStyle w:val="Bullet0"/>
        <w:rPr>
          <w:noProof/>
        </w:rPr>
      </w:pPr>
      <w:r w:rsidRPr="00624565">
        <w:rPr>
          <w:noProof/>
        </w:rPr>
        <w:t>oceni zgłoszone systemy oznakowania ekologicznego ustanowione przez organy publiczne</w:t>
      </w:r>
      <w:r w:rsidR="003F3D2B" w:rsidRPr="00624565">
        <w:rPr>
          <w:noProof/>
        </w:rPr>
        <w:t xml:space="preserve"> w</w:t>
      </w:r>
      <w:r w:rsidR="003F3D2B">
        <w:rPr>
          <w:noProof/>
        </w:rPr>
        <w:t> </w:t>
      </w:r>
      <w:r w:rsidR="003F3D2B" w:rsidRPr="00624565">
        <w:rPr>
          <w:noProof/>
        </w:rPr>
        <w:t>pań</w:t>
      </w:r>
      <w:r w:rsidRPr="00624565">
        <w:rPr>
          <w:noProof/>
        </w:rPr>
        <w:t>stwach trzecich, które mają być stosowane na rynku Unii, oraz przygotuje decyzje</w:t>
      </w:r>
      <w:r w:rsidR="003F3D2B" w:rsidRPr="00624565">
        <w:rPr>
          <w:noProof/>
        </w:rPr>
        <w:t xml:space="preserve"> o</w:t>
      </w:r>
      <w:r w:rsidR="003F3D2B">
        <w:rPr>
          <w:noProof/>
        </w:rPr>
        <w:t> </w:t>
      </w:r>
      <w:r w:rsidR="003F3D2B" w:rsidRPr="00624565">
        <w:rPr>
          <w:noProof/>
        </w:rPr>
        <w:t>pon</w:t>
      </w:r>
      <w:r w:rsidRPr="00624565">
        <w:rPr>
          <w:noProof/>
        </w:rPr>
        <w:t>ownym zatwierdzeniu przez Komisję</w:t>
      </w:r>
      <w:r w:rsidR="003F3D2B" w:rsidRPr="00624565">
        <w:rPr>
          <w:noProof/>
        </w:rPr>
        <w:t xml:space="preserve"> w</w:t>
      </w:r>
      <w:r w:rsidR="003F3D2B">
        <w:rPr>
          <w:noProof/>
        </w:rPr>
        <w:t> </w:t>
      </w:r>
      <w:r w:rsidR="003F3D2B" w:rsidRPr="00624565">
        <w:rPr>
          <w:noProof/>
        </w:rPr>
        <w:t>cel</w:t>
      </w:r>
      <w:r w:rsidRPr="00624565">
        <w:rPr>
          <w:noProof/>
        </w:rPr>
        <w:t>u zapewnienia, by oznakowania te wnosiły wartość dodaną pod względem ich ambicji dotyczącyc</w:t>
      </w:r>
      <w:r w:rsidRPr="003F3D2B">
        <w:rPr>
          <w:noProof/>
        </w:rPr>
        <w:t>h</w:t>
      </w:r>
      <w:r w:rsidR="003F3D2B" w:rsidRPr="003F3D2B">
        <w:rPr>
          <w:noProof/>
        </w:rPr>
        <w:t xml:space="preserve"> </w:t>
      </w:r>
      <w:r w:rsidRPr="003F3D2B">
        <w:rPr>
          <w:noProof/>
        </w:rPr>
        <w:t>c</w:t>
      </w:r>
      <w:r w:rsidRPr="00624565">
        <w:rPr>
          <w:noProof/>
        </w:rPr>
        <w:t>elów środowiskowych, zakresu ich wpływu na środowisko, aspektów środowiskowych lub efektywności środowiskowej, lub określonej grupy produktów lub określonego sektora, oraz spełniały wymogi niniejszej dyrektywy;</w:t>
      </w:r>
    </w:p>
    <w:p w14:paraId="3BE76FFC" w14:textId="3E18B16D" w:rsidR="5E5107B4" w:rsidRPr="00624565" w:rsidRDefault="5E5107B4" w:rsidP="006E3743">
      <w:pPr>
        <w:pStyle w:val="Bullet0"/>
        <w:rPr>
          <w:noProof/>
        </w:rPr>
      </w:pPr>
      <w:r w:rsidRPr="00624565">
        <w:rPr>
          <w:noProof/>
        </w:rPr>
        <w:t>będzie sprawował nadzór nad badaniami przygotowawczymi, przeglądowymi</w:t>
      </w:r>
      <w:r w:rsidR="003F3D2B" w:rsidRPr="00624565">
        <w:rPr>
          <w:noProof/>
        </w:rPr>
        <w:t xml:space="preserve"> i</w:t>
      </w:r>
      <w:r w:rsidR="003F3D2B">
        <w:rPr>
          <w:noProof/>
        </w:rPr>
        <w:t> </w:t>
      </w:r>
      <w:r w:rsidR="003F3D2B" w:rsidRPr="00624565">
        <w:rPr>
          <w:noProof/>
        </w:rPr>
        <w:t>inn</w:t>
      </w:r>
      <w:r w:rsidRPr="00624565">
        <w:rPr>
          <w:noProof/>
        </w:rPr>
        <w:t>ymi badaniami</w:t>
      </w:r>
      <w:r w:rsidR="003F3D2B" w:rsidRPr="00624565">
        <w:rPr>
          <w:noProof/>
        </w:rPr>
        <w:t xml:space="preserve"> w</w:t>
      </w:r>
      <w:r w:rsidR="003F3D2B">
        <w:rPr>
          <w:noProof/>
        </w:rPr>
        <w:t> </w:t>
      </w:r>
      <w:r w:rsidR="003F3D2B" w:rsidRPr="00624565">
        <w:rPr>
          <w:noProof/>
        </w:rPr>
        <w:t>ram</w:t>
      </w:r>
      <w:r w:rsidRPr="00624565">
        <w:rPr>
          <w:noProof/>
        </w:rPr>
        <w:t>ach przygotowywania aktów delegowanych;</w:t>
      </w:r>
    </w:p>
    <w:p w14:paraId="38BFE42C" w14:textId="4D50C06D" w:rsidR="00DF0307" w:rsidRPr="00624565" w:rsidRDefault="00DF0307" w:rsidP="006E3743">
      <w:pPr>
        <w:pStyle w:val="Bullet0"/>
        <w:rPr>
          <w:noProof/>
        </w:rPr>
      </w:pPr>
      <w:r w:rsidRPr="00624565">
        <w:rPr>
          <w:noProof/>
        </w:rPr>
        <w:t>będzie rozwijał bazę danych dotyczących śladu środowiskowego</w:t>
      </w:r>
      <w:r w:rsidR="003F3D2B" w:rsidRPr="00624565">
        <w:rPr>
          <w:noProof/>
        </w:rPr>
        <w:t xml:space="preserve"> i</w:t>
      </w:r>
      <w:r w:rsidR="003F3D2B">
        <w:rPr>
          <w:noProof/>
        </w:rPr>
        <w:t> </w:t>
      </w:r>
      <w:r w:rsidR="003F3D2B" w:rsidRPr="00624565">
        <w:rPr>
          <w:noProof/>
        </w:rPr>
        <w:t>zar</w:t>
      </w:r>
      <w:r w:rsidRPr="00624565">
        <w:rPr>
          <w:noProof/>
        </w:rPr>
        <w:t>ządzał nią</w:t>
      </w:r>
      <w:r w:rsidR="003F3D2B" w:rsidRPr="00624565">
        <w:rPr>
          <w:noProof/>
        </w:rPr>
        <w:t xml:space="preserve"> w</w:t>
      </w:r>
      <w:r w:rsidR="003F3D2B">
        <w:rPr>
          <w:noProof/>
        </w:rPr>
        <w:t> </w:t>
      </w:r>
      <w:r w:rsidR="003F3D2B" w:rsidRPr="00624565">
        <w:rPr>
          <w:noProof/>
        </w:rPr>
        <w:t>odn</w:t>
      </w:r>
      <w:r w:rsidRPr="00624565">
        <w:rPr>
          <w:noProof/>
        </w:rPr>
        <w:t>iesieniu do tej</w:t>
      </w:r>
      <w:r w:rsidR="003F3D2B" w:rsidRPr="00624565">
        <w:rPr>
          <w:noProof/>
        </w:rPr>
        <w:t xml:space="preserve"> i</w:t>
      </w:r>
      <w:r w:rsidR="003F3D2B">
        <w:rPr>
          <w:noProof/>
        </w:rPr>
        <w:t> </w:t>
      </w:r>
      <w:r w:rsidR="003F3D2B" w:rsidRPr="00624565">
        <w:rPr>
          <w:noProof/>
        </w:rPr>
        <w:t>inn</w:t>
      </w:r>
      <w:r w:rsidRPr="00624565">
        <w:rPr>
          <w:noProof/>
        </w:rPr>
        <w:t>ych dziedzin polityk, takich jak rozporządzenie</w:t>
      </w:r>
      <w:r w:rsidR="003F3D2B" w:rsidRPr="00624565">
        <w:rPr>
          <w:noProof/>
        </w:rPr>
        <w:t xml:space="preserve"> w</w:t>
      </w:r>
      <w:r w:rsidR="003F3D2B">
        <w:rPr>
          <w:noProof/>
        </w:rPr>
        <w:t> </w:t>
      </w:r>
      <w:r w:rsidR="003F3D2B" w:rsidRPr="00624565">
        <w:rPr>
          <w:noProof/>
        </w:rPr>
        <w:t>spr</w:t>
      </w:r>
      <w:r w:rsidRPr="00624565">
        <w:rPr>
          <w:noProof/>
        </w:rPr>
        <w:t>awie ekoprojektu dla zrównoważonych produktów, rozporządzenie</w:t>
      </w:r>
      <w:r w:rsidR="003F3D2B" w:rsidRPr="00624565">
        <w:rPr>
          <w:noProof/>
        </w:rPr>
        <w:t xml:space="preserve"> w</w:t>
      </w:r>
      <w:r w:rsidR="003F3D2B">
        <w:rPr>
          <w:noProof/>
        </w:rPr>
        <w:t> </w:t>
      </w:r>
      <w:r w:rsidR="003F3D2B" w:rsidRPr="00624565">
        <w:rPr>
          <w:noProof/>
        </w:rPr>
        <w:t>spr</w:t>
      </w:r>
      <w:r w:rsidRPr="00624565">
        <w:rPr>
          <w:noProof/>
        </w:rPr>
        <w:t>awie baterii lub rozporządzenie</w:t>
      </w:r>
      <w:r w:rsidR="003F3D2B" w:rsidRPr="00624565">
        <w:rPr>
          <w:noProof/>
        </w:rPr>
        <w:t xml:space="preserve"> w</w:t>
      </w:r>
      <w:r w:rsidR="003F3D2B">
        <w:rPr>
          <w:noProof/>
        </w:rPr>
        <w:t> </w:t>
      </w:r>
      <w:r w:rsidR="003F3D2B" w:rsidRPr="00624565">
        <w:rPr>
          <w:noProof/>
        </w:rPr>
        <w:t>spr</w:t>
      </w:r>
      <w:r w:rsidRPr="00624565">
        <w:rPr>
          <w:noProof/>
        </w:rPr>
        <w:t>awie systematyki;</w:t>
      </w:r>
    </w:p>
    <w:p w14:paraId="34A14CB8" w14:textId="77777777" w:rsidR="00DF0307" w:rsidRPr="00624565" w:rsidRDefault="00DF0307" w:rsidP="00DF0307">
      <w:pPr>
        <w:jc w:val="left"/>
        <w:rPr>
          <w:noProof/>
        </w:rPr>
      </w:pPr>
    </w:p>
    <w:p w14:paraId="2B08F56E" w14:textId="620507B3" w:rsidR="00DF0307" w:rsidRPr="00624565" w:rsidRDefault="00DF0307" w:rsidP="00DF0307">
      <w:pPr>
        <w:jc w:val="left"/>
        <w:rPr>
          <w:noProof/>
        </w:rPr>
      </w:pPr>
      <w:r w:rsidRPr="00624565">
        <w:rPr>
          <w:noProof/>
        </w:rPr>
        <w:t>Ponadto</w:t>
      </w:r>
      <w:r w:rsidR="003F3D2B" w:rsidRPr="00624565">
        <w:rPr>
          <w:noProof/>
        </w:rPr>
        <w:t xml:space="preserve"> w</w:t>
      </w:r>
      <w:r w:rsidR="003F3D2B">
        <w:rPr>
          <w:noProof/>
        </w:rPr>
        <w:t> </w:t>
      </w:r>
      <w:r w:rsidR="003F3D2B" w:rsidRPr="00624565">
        <w:rPr>
          <w:noProof/>
        </w:rPr>
        <w:t>pol</w:t>
      </w:r>
      <w:r w:rsidRPr="00624565">
        <w:rPr>
          <w:noProof/>
        </w:rPr>
        <w:t>itykę tę zaangażowane są dwie grupy ekspertów,</w:t>
      </w:r>
      <w:r w:rsidR="003F3D2B" w:rsidRPr="00624565">
        <w:rPr>
          <w:noProof/>
        </w:rPr>
        <w:t xml:space="preserve"> a</w:t>
      </w:r>
      <w:r w:rsidR="003F3D2B">
        <w:rPr>
          <w:noProof/>
        </w:rPr>
        <w:t> </w:t>
      </w:r>
      <w:r w:rsidR="003F3D2B" w:rsidRPr="00624565">
        <w:rPr>
          <w:noProof/>
        </w:rPr>
        <w:t>bud</w:t>
      </w:r>
      <w:r w:rsidRPr="00624565">
        <w:rPr>
          <w:noProof/>
        </w:rPr>
        <w:t>żet powinien obejmowa</w:t>
      </w:r>
      <w:r w:rsidRPr="003F3D2B">
        <w:rPr>
          <w:noProof/>
        </w:rPr>
        <w:t>ć</w:t>
      </w:r>
      <w:r w:rsidR="003F3D2B" w:rsidRPr="003F3D2B">
        <w:rPr>
          <w:noProof/>
        </w:rPr>
        <w:t xml:space="preserve"> </w:t>
      </w:r>
      <w:r w:rsidRPr="003F3D2B">
        <w:rPr>
          <w:noProof/>
        </w:rPr>
        <w:t>s</w:t>
      </w:r>
      <w:r w:rsidRPr="00624565">
        <w:rPr>
          <w:noProof/>
        </w:rPr>
        <w:t>potkania każdej grupy ekspertów trzy razy</w:t>
      </w:r>
      <w:r w:rsidR="003F3D2B" w:rsidRPr="00624565">
        <w:rPr>
          <w:noProof/>
        </w:rPr>
        <w:t xml:space="preserve"> w</w:t>
      </w:r>
      <w:r w:rsidR="003F3D2B">
        <w:rPr>
          <w:noProof/>
        </w:rPr>
        <w:t> </w:t>
      </w:r>
      <w:r w:rsidR="003F3D2B" w:rsidRPr="00624565">
        <w:rPr>
          <w:noProof/>
        </w:rPr>
        <w:t>rok</w:t>
      </w:r>
      <w:r w:rsidRPr="00624565">
        <w:rPr>
          <w:noProof/>
        </w:rPr>
        <w:t>u.</w:t>
      </w:r>
    </w:p>
    <w:p w14:paraId="11BC347C" w14:textId="77777777" w:rsidR="00DF0307" w:rsidRPr="00624565" w:rsidRDefault="00DF0307" w:rsidP="00DF0307">
      <w:pPr>
        <w:rPr>
          <w:noProof/>
        </w:rPr>
      </w:pPr>
    </w:p>
    <w:tbl>
      <w:tblPr>
        <w:tblW w:w="11303"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2094"/>
        <w:gridCol w:w="868"/>
        <w:gridCol w:w="868"/>
        <w:gridCol w:w="868"/>
        <w:gridCol w:w="868"/>
        <w:gridCol w:w="1777"/>
      </w:tblGrid>
      <w:tr w:rsidR="00DF0307" w:rsidRPr="00624565" w14:paraId="1F78E0BE" w14:textId="77777777" w:rsidTr="006333CA">
        <w:trPr>
          <w:trHeight w:val="300"/>
        </w:trPr>
        <w:tc>
          <w:tcPr>
            <w:tcW w:w="3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36435F" w14:textId="77777777" w:rsidR="00DF0307" w:rsidRPr="00624565" w:rsidRDefault="00DF0307" w:rsidP="006333CA">
            <w:pPr>
              <w:spacing w:line="276" w:lineRule="auto"/>
              <w:jc w:val="center"/>
              <w:rPr>
                <w:b/>
                <w:bCs/>
                <w:noProof/>
              </w:rPr>
            </w:pPr>
            <w:r w:rsidRPr="00624565">
              <w:rPr>
                <w:b/>
                <w:noProof/>
                <w:sz w:val="22"/>
              </w:rPr>
              <w:t>OGÓŁEM środki</w:t>
            </w:r>
            <w:r w:rsidRPr="00624565">
              <w:rPr>
                <w:noProof/>
              </w:rPr>
              <w:t xml:space="preserve"> </w:t>
            </w:r>
            <w:r w:rsidRPr="00624565">
              <w:rPr>
                <w:noProof/>
              </w:rPr>
              <w:br/>
            </w:r>
            <w:r w:rsidRPr="00624565">
              <w:rPr>
                <w:b/>
                <w:noProof/>
                <w:sz w:val="22"/>
              </w:rPr>
              <w:t>na DZIAŁ 7</w:t>
            </w:r>
            <w:r w:rsidRPr="00624565">
              <w:rPr>
                <w:noProof/>
              </w:rPr>
              <w:t xml:space="preserve"> </w:t>
            </w:r>
            <w:r w:rsidRPr="00624565">
              <w:rPr>
                <w:noProof/>
              </w:rPr>
              <w:br/>
            </w:r>
            <w:r w:rsidRPr="00624565">
              <w:rPr>
                <w:noProof/>
                <w:sz w:val="22"/>
              </w:rPr>
              <w:t>wieloletnich ram finansowych</w:t>
            </w:r>
            <w:r w:rsidRPr="00624565">
              <w:rPr>
                <w:b/>
                <w:noProof/>
                <w:sz w:val="22"/>
              </w:rPr>
              <w:t xml:space="preserve"> </w:t>
            </w:r>
          </w:p>
        </w:tc>
        <w:tc>
          <w:tcPr>
            <w:tcW w:w="2094" w:type="dxa"/>
            <w:tcBorders>
              <w:top w:val="single" w:sz="4" w:space="0" w:color="auto"/>
              <w:left w:val="single" w:sz="4" w:space="0" w:color="auto"/>
              <w:bottom w:val="single" w:sz="4" w:space="0" w:color="auto"/>
              <w:right w:val="single" w:sz="4" w:space="0" w:color="auto"/>
            </w:tcBorders>
            <w:vAlign w:val="center"/>
            <w:hideMark/>
          </w:tcPr>
          <w:p w14:paraId="48C39AE8" w14:textId="77777777" w:rsidR="00DF0307" w:rsidRPr="00624565" w:rsidRDefault="00DF0307" w:rsidP="006333CA">
            <w:pPr>
              <w:spacing w:before="40" w:after="40" w:line="276" w:lineRule="auto"/>
              <w:rPr>
                <w:noProof/>
              </w:rPr>
            </w:pPr>
            <w:r w:rsidRPr="00624565">
              <w:rPr>
                <w:noProof/>
                <w:sz w:val="18"/>
              </w:rPr>
              <w:t>(Środki na zobowiązania ogółem = środki na płatności ogółem)</w:t>
            </w:r>
          </w:p>
        </w:tc>
        <w:tc>
          <w:tcPr>
            <w:tcW w:w="868" w:type="dxa"/>
            <w:tcBorders>
              <w:top w:val="single" w:sz="4" w:space="0" w:color="auto"/>
              <w:left w:val="single" w:sz="4" w:space="0" w:color="auto"/>
              <w:bottom w:val="single" w:sz="4" w:space="0" w:color="auto"/>
              <w:right w:val="single" w:sz="4" w:space="0" w:color="auto"/>
            </w:tcBorders>
            <w:vAlign w:val="center"/>
            <w:hideMark/>
          </w:tcPr>
          <w:p w14:paraId="131A98D1" w14:textId="77777777" w:rsidR="00DF0307" w:rsidRPr="00624565" w:rsidRDefault="00DF0307" w:rsidP="006333CA">
            <w:pPr>
              <w:spacing w:before="20" w:after="20" w:line="276" w:lineRule="auto"/>
              <w:jc w:val="right"/>
              <w:rPr>
                <w:rFonts w:ascii="Calibri" w:hAnsi="Calibri" w:cs="Calibri"/>
                <w:b/>
                <w:noProof/>
                <w:color w:val="000000" w:themeColor="text1"/>
                <w:sz w:val="22"/>
              </w:rPr>
            </w:pPr>
            <w:r w:rsidRPr="00624565">
              <w:rPr>
                <w:rFonts w:ascii="Calibri" w:hAnsi="Calibri"/>
                <w:b/>
                <w:noProof/>
                <w:color w:val="000000" w:themeColor="text1"/>
                <w:sz w:val="22"/>
              </w:rPr>
              <w:t>0,786</w:t>
            </w:r>
          </w:p>
        </w:tc>
        <w:tc>
          <w:tcPr>
            <w:tcW w:w="868" w:type="dxa"/>
            <w:tcBorders>
              <w:top w:val="single" w:sz="4" w:space="0" w:color="auto"/>
              <w:left w:val="single" w:sz="4" w:space="0" w:color="auto"/>
              <w:bottom w:val="single" w:sz="4" w:space="0" w:color="auto"/>
              <w:right w:val="single" w:sz="4" w:space="0" w:color="auto"/>
            </w:tcBorders>
            <w:vAlign w:val="center"/>
            <w:hideMark/>
          </w:tcPr>
          <w:p w14:paraId="7E6537EE" w14:textId="77777777" w:rsidR="00DF0307" w:rsidRPr="00624565" w:rsidRDefault="00DF0307" w:rsidP="006333CA">
            <w:pPr>
              <w:spacing w:before="20" w:after="20" w:line="276" w:lineRule="auto"/>
              <w:jc w:val="right"/>
              <w:rPr>
                <w:rFonts w:ascii="Calibri" w:hAnsi="Calibri" w:cs="Calibri"/>
                <w:b/>
                <w:iCs/>
                <w:noProof/>
                <w:color w:val="000000"/>
                <w:sz w:val="22"/>
              </w:rPr>
            </w:pPr>
            <w:r w:rsidRPr="00624565">
              <w:rPr>
                <w:rFonts w:ascii="Calibri" w:hAnsi="Calibri"/>
                <w:b/>
                <w:noProof/>
                <w:color w:val="000000" w:themeColor="text1"/>
                <w:sz w:val="22"/>
              </w:rPr>
              <w:t>0,786</w:t>
            </w:r>
          </w:p>
        </w:tc>
        <w:tc>
          <w:tcPr>
            <w:tcW w:w="868" w:type="dxa"/>
            <w:tcBorders>
              <w:top w:val="single" w:sz="4" w:space="0" w:color="auto"/>
              <w:left w:val="single" w:sz="4" w:space="0" w:color="auto"/>
              <w:bottom w:val="single" w:sz="4" w:space="0" w:color="auto"/>
              <w:right w:val="single" w:sz="4" w:space="0" w:color="auto"/>
            </w:tcBorders>
            <w:vAlign w:val="center"/>
            <w:hideMark/>
          </w:tcPr>
          <w:p w14:paraId="0C1F9389" w14:textId="77777777" w:rsidR="00DF0307" w:rsidRPr="00624565" w:rsidRDefault="00DF0307" w:rsidP="006333CA">
            <w:pPr>
              <w:spacing w:before="20" w:after="20" w:line="276" w:lineRule="auto"/>
              <w:jc w:val="right"/>
              <w:rPr>
                <w:rFonts w:ascii="Calibri" w:hAnsi="Calibri" w:cs="Calibri"/>
                <w:b/>
                <w:noProof/>
                <w:color w:val="000000" w:themeColor="text1"/>
                <w:sz w:val="22"/>
              </w:rPr>
            </w:pPr>
            <w:r w:rsidRPr="00624565">
              <w:rPr>
                <w:rFonts w:ascii="Calibri" w:hAnsi="Calibri"/>
                <w:b/>
                <w:noProof/>
                <w:color w:val="000000" w:themeColor="text1"/>
                <w:sz w:val="22"/>
              </w:rPr>
              <w:t>0,786</w:t>
            </w:r>
          </w:p>
        </w:tc>
        <w:tc>
          <w:tcPr>
            <w:tcW w:w="868" w:type="dxa"/>
            <w:tcBorders>
              <w:top w:val="single" w:sz="4" w:space="0" w:color="auto"/>
              <w:left w:val="single" w:sz="4" w:space="0" w:color="auto"/>
              <w:bottom w:val="single" w:sz="4" w:space="0" w:color="auto"/>
              <w:right w:val="single" w:sz="4" w:space="0" w:color="auto"/>
            </w:tcBorders>
            <w:vAlign w:val="center"/>
            <w:hideMark/>
          </w:tcPr>
          <w:p w14:paraId="326B9BCD" w14:textId="77777777" w:rsidR="00DF0307" w:rsidRPr="00624565" w:rsidRDefault="00DF0307" w:rsidP="006333CA">
            <w:pPr>
              <w:spacing w:before="20" w:after="20" w:line="276" w:lineRule="auto"/>
              <w:jc w:val="right"/>
              <w:rPr>
                <w:rFonts w:ascii="Calibri" w:hAnsi="Calibri" w:cs="Calibri"/>
                <w:b/>
                <w:noProof/>
                <w:color w:val="000000" w:themeColor="text1"/>
                <w:sz w:val="22"/>
              </w:rPr>
            </w:pPr>
            <w:r w:rsidRPr="00624565">
              <w:rPr>
                <w:rFonts w:ascii="Calibri" w:hAnsi="Calibri"/>
                <w:b/>
                <w:noProof/>
                <w:color w:val="000000" w:themeColor="text1"/>
                <w:sz w:val="22"/>
              </w:rPr>
              <w:t>0,786</w:t>
            </w:r>
          </w:p>
        </w:tc>
        <w:tc>
          <w:tcPr>
            <w:tcW w:w="1777" w:type="dxa"/>
            <w:tcBorders>
              <w:top w:val="single" w:sz="4" w:space="0" w:color="auto"/>
              <w:left w:val="single" w:sz="4" w:space="0" w:color="auto"/>
              <w:bottom w:val="single" w:sz="4" w:space="0" w:color="auto"/>
              <w:right w:val="single" w:sz="4" w:space="0" w:color="auto"/>
            </w:tcBorders>
            <w:vAlign w:val="center"/>
            <w:hideMark/>
          </w:tcPr>
          <w:p w14:paraId="6544E7AE" w14:textId="77777777" w:rsidR="00DF0307" w:rsidRPr="00624565" w:rsidRDefault="00DF0307" w:rsidP="006333CA">
            <w:pPr>
              <w:spacing w:before="20" w:after="20" w:line="276" w:lineRule="auto"/>
              <w:jc w:val="right"/>
              <w:rPr>
                <w:rFonts w:ascii="Calibri" w:hAnsi="Calibri" w:cs="Calibri"/>
                <w:b/>
                <w:noProof/>
                <w:color w:val="000000" w:themeColor="text1"/>
                <w:sz w:val="22"/>
              </w:rPr>
            </w:pPr>
            <w:r w:rsidRPr="00624565">
              <w:rPr>
                <w:rFonts w:ascii="Calibri" w:hAnsi="Calibri"/>
                <w:b/>
                <w:noProof/>
                <w:color w:val="000000" w:themeColor="text1"/>
                <w:sz w:val="22"/>
              </w:rPr>
              <w:t>3,144</w:t>
            </w:r>
          </w:p>
        </w:tc>
      </w:tr>
    </w:tbl>
    <w:p w14:paraId="7B52AD64" w14:textId="77777777" w:rsidR="00DF0307" w:rsidRPr="00624565" w:rsidRDefault="00DF0307" w:rsidP="00DF0307">
      <w:pPr>
        <w:jc w:val="right"/>
        <w:rPr>
          <w:noProof/>
          <w:sz w:val="20"/>
        </w:rPr>
      </w:pPr>
      <w:r w:rsidRPr="00624565">
        <w:rPr>
          <w:noProof/>
          <w:sz w:val="20"/>
        </w:rPr>
        <w:t>w mln EUR (do trzech miejsc po przecinku)</w:t>
      </w:r>
    </w:p>
    <w:tbl>
      <w:tblPr>
        <w:tblW w:w="11384"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88"/>
        <w:gridCol w:w="1536"/>
        <w:gridCol w:w="530"/>
        <w:gridCol w:w="858"/>
        <w:gridCol w:w="858"/>
        <w:gridCol w:w="858"/>
        <w:gridCol w:w="1030"/>
        <w:gridCol w:w="16"/>
        <w:gridCol w:w="1810"/>
      </w:tblGrid>
      <w:tr w:rsidR="00DF0307" w:rsidRPr="00624565" w14:paraId="1B5440CF" w14:textId="77777777" w:rsidTr="006333CA">
        <w:trPr>
          <w:trHeight w:val="300"/>
        </w:trPr>
        <w:tc>
          <w:tcPr>
            <w:tcW w:w="3888" w:type="dxa"/>
            <w:tcBorders>
              <w:top w:val="nil"/>
              <w:left w:val="nil"/>
              <w:bottom w:val="single" w:sz="4" w:space="0" w:color="auto"/>
              <w:right w:val="nil"/>
            </w:tcBorders>
            <w:vAlign w:val="center"/>
          </w:tcPr>
          <w:p w14:paraId="2DD2C366" w14:textId="77777777" w:rsidR="00DF0307" w:rsidRPr="00624565" w:rsidRDefault="00DF0307" w:rsidP="006333CA">
            <w:pPr>
              <w:spacing w:line="276" w:lineRule="auto"/>
              <w:jc w:val="center"/>
              <w:rPr>
                <w:noProof/>
              </w:rPr>
            </w:pPr>
          </w:p>
        </w:tc>
        <w:tc>
          <w:tcPr>
            <w:tcW w:w="1536" w:type="dxa"/>
            <w:tcBorders>
              <w:top w:val="nil"/>
              <w:left w:val="nil"/>
              <w:bottom w:val="single" w:sz="4" w:space="0" w:color="auto"/>
              <w:right w:val="nil"/>
            </w:tcBorders>
          </w:tcPr>
          <w:p w14:paraId="099EF374" w14:textId="77777777" w:rsidR="00DF0307" w:rsidRPr="00624565" w:rsidRDefault="00DF0307" w:rsidP="006333CA">
            <w:pPr>
              <w:spacing w:line="276" w:lineRule="auto"/>
              <w:rPr>
                <w:noProof/>
                <w:sz w:val="20"/>
              </w:rPr>
            </w:pPr>
          </w:p>
        </w:tc>
        <w:tc>
          <w:tcPr>
            <w:tcW w:w="530" w:type="dxa"/>
            <w:tcBorders>
              <w:top w:val="nil"/>
              <w:left w:val="nil"/>
              <w:bottom w:val="single" w:sz="4" w:space="0" w:color="auto"/>
              <w:right w:val="single" w:sz="4" w:space="0" w:color="auto"/>
            </w:tcBorders>
          </w:tcPr>
          <w:p w14:paraId="31EE62FD" w14:textId="77777777" w:rsidR="00DF0307" w:rsidRPr="00624565" w:rsidRDefault="00DF0307" w:rsidP="006333CA">
            <w:pPr>
              <w:spacing w:line="276" w:lineRule="auto"/>
              <w:jc w:val="center"/>
              <w:rPr>
                <w:noProof/>
                <w:sz w:val="20"/>
              </w:rPr>
            </w:pPr>
          </w:p>
        </w:tc>
        <w:tc>
          <w:tcPr>
            <w:tcW w:w="858" w:type="dxa"/>
            <w:tcBorders>
              <w:top w:val="single" w:sz="4" w:space="0" w:color="auto"/>
              <w:left w:val="single" w:sz="4" w:space="0" w:color="auto"/>
              <w:bottom w:val="single" w:sz="4" w:space="0" w:color="auto"/>
              <w:right w:val="single" w:sz="4" w:space="0" w:color="auto"/>
            </w:tcBorders>
            <w:vAlign w:val="center"/>
            <w:hideMark/>
          </w:tcPr>
          <w:p w14:paraId="21584014" w14:textId="77777777" w:rsidR="00DF0307" w:rsidRPr="00624565" w:rsidRDefault="00DF0307" w:rsidP="006333CA">
            <w:pPr>
              <w:spacing w:line="276" w:lineRule="auto"/>
              <w:jc w:val="center"/>
              <w:rPr>
                <w:noProof/>
                <w:sz w:val="20"/>
              </w:rPr>
            </w:pPr>
            <w:r w:rsidRPr="00624565">
              <w:rPr>
                <w:b/>
                <w:noProof/>
                <w:sz w:val="20"/>
              </w:rPr>
              <w:t>2024</w:t>
            </w:r>
          </w:p>
        </w:tc>
        <w:tc>
          <w:tcPr>
            <w:tcW w:w="858" w:type="dxa"/>
            <w:tcBorders>
              <w:top w:val="single" w:sz="4" w:space="0" w:color="auto"/>
              <w:left w:val="single" w:sz="4" w:space="0" w:color="auto"/>
              <w:bottom w:val="single" w:sz="4" w:space="0" w:color="auto"/>
              <w:right w:val="single" w:sz="4" w:space="0" w:color="auto"/>
            </w:tcBorders>
            <w:vAlign w:val="center"/>
            <w:hideMark/>
          </w:tcPr>
          <w:p w14:paraId="519F13A2" w14:textId="77777777" w:rsidR="00DF0307" w:rsidRPr="00624565" w:rsidRDefault="00DF0307" w:rsidP="006333CA">
            <w:pPr>
              <w:spacing w:line="276" w:lineRule="auto"/>
              <w:jc w:val="center"/>
              <w:rPr>
                <w:noProof/>
                <w:sz w:val="20"/>
              </w:rPr>
            </w:pPr>
            <w:r w:rsidRPr="00624565">
              <w:rPr>
                <w:b/>
                <w:noProof/>
                <w:sz w:val="20"/>
              </w:rPr>
              <w:t>2025</w:t>
            </w:r>
          </w:p>
        </w:tc>
        <w:tc>
          <w:tcPr>
            <w:tcW w:w="858" w:type="dxa"/>
            <w:tcBorders>
              <w:top w:val="single" w:sz="4" w:space="0" w:color="auto"/>
              <w:left w:val="single" w:sz="4" w:space="0" w:color="auto"/>
              <w:bottom w:val="single" w:sz="4" w:space="0" w:color="auto"/>
              <w:right w:val="single" w:sz="4" w:space="0" w:color="auto"/>
            </w:tcBorders>
            <w:vAlign w:val="center"/>
            <w:hideMark/>
          </w:tcPr>
          <w:p w14:paraId="5EC11BEB" w14:textId="77777777" w:rsidR="00DF0307" w:rsidRPr="00624565" w:rsidRDefault="00DF0307" w:rsidP="006333CA">
            <w:pPr>
              <w:spacing w:line="276" w:lineRule="auto"/>
              <w:jc w:val="center"/>
              <w:rPr>
                <w:noProof/>
                <w:sz w:val="20"/>
              </w:rPr>
            </w:pPr>
            <w:r w:rsidRPr="00624565">
              <w:rPr>
                <w:b/>
                <w:noProof/>
                <w:sz w:val="20"/>
              </w:rPr>
              <w:t>2026</w:t>
            </w:r>
          </w:p>
        </w:tc>
        <w:tc>
          <w:tcPr>
            <w:tcW w:w="1030" w:type="dxa"/>
            <w:tcBorders>
              <w:top w:val="single" w:sz="4" w:space="0" w:color="auto"/>
              <w:left w:val="single" w:sz="4" w:space="0" w:color="auto"/>
              <w:bottom w:val="single" w:sz="4" w:space="0" w:color="auto"/>
              <w:right w:val="single" w:sz="4" w:space="0" w:color="auto"/>
            </w:tcBorders>
            <w:vAlign w:val="center"/>
            <w:hideMark/>
          </w:tcPr>
          <w:p w14:paraId="3159000E" w14:textId="77777777" w:rsidR="00DF0307" w:rsidRPr="00624565" w:rsidRDefault="00DF0307" w:rsidP="006333CA">
            <w:pPr>
              <w:spacing w:line="276" w:lineRule="auto"/>
              <w:jc w:val="center"/>
              <w:rPr>
                <w:b/>
                <w:noProof/>
                <w:sz w:val="20"/>
              </w:rPr>
            </w:pPr>
            <w:r w:rsidRPr="00624565">
              <w:rPr>
                <w:b/>
                <w:noProof/>
                <w:sz w:val="20"/>
              </w:rPr>
              <w:t>2027 (i kolejne lata)</w:t>
            </w:r>
          </w:p>
        </w:tc>
        <w:tc>
          <w:tcPr>
            <w:tcW w:w="1826" w:type="dxa"/>
            <w:gridSpan w:val="2"/>
            <w:tcBorders>
              <w:top w:val="single" w:sz="4" w:space="0" w:color="auto"/>
              <w:left w:val="single" w:sz="4" w:space="0" w:color="auto"/>
              <w:bottom w:val="single" w:sz="4" w:space="0" w:color="auto"/>
              <w:right w:val="single" w:sz="4" w:space="0" w:color="auto"/>
            </w:tcBorders>
            <w:vAlign w:val="center"/>
            <w:hideMark/>
          </w:tcPr>
          <w:p w14:paraId="3E63F253" w14:textId="77777777" w:rsidR="00DF0307" w:rsidRPr="00624565" w:rsidRDefault="00DF0307" w:rsidP="006333CA">
            <w:pPr>
              <w:spacing w:line="276" w:lineRule="auto"/>
              <w:jc w:val="center"/>
              <w:rPr>
                <w:b/>
                <w:noProof/>
                <w:sz w:val="20"/>
              </w:rPr>
            </w:pPr>
            <w:r w:rsidRPr="00624565">
              <w:rPr>
                <w:b/>
                <w:noProof/>
                <w:sz w:val="20"/>
              </w:rPr>
              <w:t>OGÓŁEM</w:t>
            </w:r>
          </w:p>
        </w:tc>
      </w:tr>
      <w:tr w:rsidR="00DF0307" w:rsidRPr="00624565" w14:paraId="45394698" w14:textId="77777777" w:rsidTr="00DF0307">
        <w:trPr>
          <w:trHeight w:val="300"/>
        </w:trPr>
        <w:tc>
          <w:tcPr>
            <w:tcW w:w="3888" w:type="dxa"/>
            <w:vMerge w:val="restart"/>
            <w:tcBorders>
              <w:top w:val="single" w:sz="4" w:space="0" w:color="auto"/>
              <w:left w:val="single" w:sz="4" w:space="0" w:color="auto"/>
              <w:bottom w:val="single" w:sz="4" w:space="0" w:color="auto"/>
              <w:right w:val="single" w:sz="4" w:space="0" w:color="auto"/>
            </w:tcBorders>
            <w:shd w:val="clear" w:color="auto" w:fill="C0C0C0"/>
            <w:vAlign w:val="center"/>
            <w:hideMark/>
          </w:tcPr>
          <w:p w14:paraId="0A46F2D6" w14:textId="63907738" w:rsidR="00DF0307" w:rsidRPr="00624565" w:rsidRDefault="00DF0307" w:rsidP="006333CA">
            <w:pPr>
              <w:spacing w:line="276" w:lineRule="auto"/>
              <w:jc w:val="center"/>
              <w:rPr>
                <w:b/>
                <w:noProof/>
              </w:rPr>
            </w:pPr>
            <w:r w:rsidRPr="00624565">
              <w:rPr>
                <w:b/>
                <w:noProof/>
                <w:sz w:val="22"/>
              </w:rPr>
              <w:t>OGÓŁEM środk</w:t>
            </w:r>
            <w:r w:rsidRPr="003F3D2B">
              <w:rPr>
                <w:b/>
                <w:noProof/>
                <w:sz w:val="22"/>
              </w:rPr>
              <w:t>i</w:t>
            </w:r>
            <w:r w:rsidR="003F3D2B" w:rsidRPr="003F3D2B">
              <w:rPr>
                <w:b/>
                <w:noProof/>
                <w:sz w:val="22"/>
              </w:rPr>
              <w:t xml:space="preserve"> </w:t>
            </w:r>
            <w:r w:rsidRPr="003F3D2B">
              <w:rPr>
                <w:noProof/>
              </w:rPr>
              <w:br/>
            </w:r>
            <w:r w:rsidRPr="00624565">
              <w:rPr>
                <w:b/>
                <w:noProof/>
                <w:sz w:val="22"/>
              </w:rPr>
              <w:t xml:space="preserve">na DZIAŁY </w:t>
            </w:r>
            <w:r w:rsidRPr="003F3D2B">
              <w:rPr>
                <w:b/>
                <w:noProof/>
                <w:sz w:val="22"/>
              </w:rPr>
              <w:t>od</w:t>
            </w:r>
            <w:r w:rsidR="003F3D2B" w:rsidRPr="003F3D2B">
              <w:rPr>
                <w:b/>
                <w:noProof/>
                <w:sz w:val="22"/>
              </w:rPr>
              <w:t> </w:t>
            </w:r>
            <w:r w:rsidRPr="003F3D2B">
              <w:rPr>
                <w:b/>
                <w:noProof/>
                <w:sz w:val="22"/>
              </w:rPr>
              <w:t>1</w:t>
            </w:r>
            <w:r w:rsidRPr="00624565">
              <w:rPr>
                <w:b/>
                <w:noProof/>
                <w:sz w:val="22"/>
              </w:rPr>
              <w:t xml:space="preserve"> </w:t>
            </w:r>
            <w:r w:rsidRPr="003F3D2B">
              <w:rPr>
                <w:b/>
                <w:noProof/>
                <w:sz w:val="22"/>
              </w:rPr>
              <w:t>do</w:t>
            </w:r>
            <w:r w:rsidR="003F3D2B" w:rsidRPr="003F3D2B">
              <w:rPr>
                <w:b/>
                <w:noProof/>
                <w:sz w:val="22"/>
              </w:rPr>
              <w:t> </w:t>
            </w:r>
            <w:r w:rsidRPr="003F3D2B">
              <w:rPr>
                <w:b/>
                <w:noProof/>
                <w:sz w:val="22"/>
              </w:rPr>
              <w:t>7</w:t>
            </w:r>
            <w:r w:rsidRPr="00624565">
              <w:rPr>
                <w:noProof/>
              </w:rPr>
              <w:t xml:space="preserve"> </w:t>
            </w:r>
            <w:r w:rsidRPr="00624565">
              <w:rPr>
                <w:noProof/>
              </w:rPr>
              <w:br/>
            </w:r>
            <w:r w:rsidRPr="00624565">
              <w:rPr>
                <w:noProof/>
                <w:sz w:val="22"/>
              </w:rPr>
              <w:t>wieloletnich ram finansowych</w:t>
            </w:r>
            <w:r w:rsidRPr="00624565">
              <w:rPr>
                <w:b/>
                <w:noProof/>
                <w:sz w:val="22"/>
              </w:rPr>
              <w:t xml:space="preserve"> </w:t>
            </w:r>
          </w:p>
        </w:tc>
        <w:tc>
          <w:tcPr>
            <w:tcW w:w="2066" w:type="dxa"/>
            <w:gridSpan w:val="2"/>
            <w:tcBorders>
              <w:top w:val="single" w:sz="4" w:space="0" w:color="auto"/>
              <w:left w:val="single" w:sz="4" w:space="0" w:color="auto"/>
              <w:bottom w:val="single" w:sz="4" w:space="0" w:color="auto"/>
              <w:right w:val="single" w:sz="4" w:space="0" w:color="auto"/>
            </w:tcBorders>
            <w:vAlign w:val="center"/>
            <w:hideMark/>
          </w:tcPr>
          <w:p w14:paraId="5EDEA09B" w14:textId="77777777" w:rsidR="00DF0307" w:rsidRPr="00624565" w:rsidRDefault="00DF0307" w:rsidP="006333CA">
            <w:pPr>
              <w:spacing w:line="276" w:lineRule="auto"/>
              <w:rPr>
                <w:noProof/>
                <w:sz w:val="14"/>
              </w:rPr>
            </w:pPr>
            <w:r w:rsidRPr="00624565">
              <w:rPr>
                <w:noProof/>
                <w:sz w:val="18"/>
              </w:rPr>
              <w:t>Środki na zobowiązania</w:t>
            </w:r>
          </w:p>
        </w:tc>
        <w:tc>
          <w:tcPr>
            <w:tcW w:w="858" w:type="dxa"/>
            <w:tcBorders>
              <w:top w:val="single" w:sz="4" w:space="0" w:color="auto"/>
              <w:left w:val="single" w:sz="4" w:space="0" w:color="auto"/>
              <w:bottom w:val="single" w:sz="4" w:space="0" w:color="auto"/>
              <w:right w:val="single" w:sz="4" w:space="0" w:color="auto"/>
            </w:tcBorders>
            <w:hideMark/>
          </w:tcPr>
          <w:p w14:paraId="1DC4423D" w14:textId="77777777" w:rsidR="00DF0307" w:rsidRPr="00624565" w:rsidRDefault="00DF0307" w:rsidP="006333CA">
            <w:pPr>
              <w:spacing w:before="60" w:after="60" w:line="276" w:lineRule="auto"/>
              <w:jc w:val="right"/>
              <w:rPr>
                <w:b/>
                <w:noProof/>
                <w:sz w:val="20"/>
                <w:szCs w:val="20"/>
              </w:rPr>
            </w:pPr>
            <w:r w:rsidRPr="00624565">
              <w:rPr>
                <w:b/>
                <w:noProof/>
                <w:sz w:val="20"/>
              </w:rPr>
              <w:t>3,326</w:t>
            </w:r>
          </w:p>
        </w:tc>
        <w:tc>
          <w:tcPr>
            <w:tcW w:w="858" w:type="dxa"/>
            <w:tcBorders>
              <w:top w:val="single" w:sz="4" w:space="0" w:color="auto"/>
              <w:left w:val="single" w:sz="4" w:space="0" w:color="auto"/>
              <w:bottom w:val="single" w:sz="4" w:space="0" w:color="auto"/>
              <w:right w:val="single" w:sz="4" w:space="0" w:color="auto"/>
            </w:tcBorders>
            <w:hideMark/>
          </w:tcPr>
          <w:p w14:paraId="0D2DCF2B" w14:textId="77777777" w:rsidR="00DF0307" w:rsidRPr="00624565" w:rsidRDefault="00DF0307" w:rsidP="006333CA">
            <w:pPr>
              <w:spacing w:before="60" w:after="60" w:line="276" w:lineRule="auto"/>
              <w:jc w:val="right"/>
              <w:rPr>
                <w:rFonts w:eastAsia="Times New Roman"/>
                <w:noProof/>
                <w:sz w:val="20"/>
                <w:szCs w:val="20"/>
              </w:rPr>
            </w:pPr>
            <w:r w:rsidRPr="00624565">
              <w:rPr>
                <w:b/>
                <w:noProof/>
                <w:sz w:val="20"/>
              </w:rPr>
              <w:t>8,025</w:t>
            </w:r>
          </w:p>
        </w:tc>
        <w:tc>
          <w:tcPr>
            <w:tcW w:w="858" w:type="dxa"/>
            <w:tcBorders>
              <w:top w:val="single" w:sz="4" w:space="0" w:color="auto"/>
              <w:left w:val="single" w:sz="4" w:space="0" w:color="auto"/>
              <w:bottom w:val="single" w:sz="4" w:space="0" w:color="auto"/>
              <w:right w:val="single" w:sz="4" w:space="0" w:color="auto"/>
            </w:tcBorders>
            <w:hideMark/>
          </w:tcPr>
          <w:p w14:paraId="31715028" w14:textId="283A73B4" w:rsidR="00DF0307" w:rsidRPr="00624565" w:rsidRDefault="00DF0307" w:rsidP="00C6355C">
            <w:pPr>
              <w:spacing w:before="60" w:after="60" w:line="276" w:lineRule="auto"/>
              <w:jc w:val="right"/>
              <w:rPr>
                <w:rFonts w:eastAsia="Times New Roman"/>
                <w:noProof/>
                <w:sz w:val="20"/>
                <w:szCs w:val="20"/>
              </w:rPr>
            </w:pPr>
            <w:r w:rsidRPr="00624565">
              <w:rPr>
                <w:b/>
                <w:noProof/>
                <w:sz w:val="20"/>
              </w:rPr>
              <w:t>6,482</w:t>
            </w:r>
          </w:p>
        </w:tc>
        <w:tc>
          <w:tcPr>
            <w:tcW w:w="1046" w:type="dxa"/>
            <w:gridSpan w:val="2"/>
            <w:tcBorders>
              <w:top w:val="single" w:sz="4" w:space="0" w:color="auto"/>
              <w:left w:val="single" w:sz="4" w:space="0" w:color="auto"/>
              <w:bottom w:val="single" w:sz="4" w:space="0" w:color="auto"/>
              <w:right w:val="single" w:sz="4" w:space="0" w:color="auto"/>
            </w:tcBorders>
            <w:hideMark/>
          </w:tcPr>
          <w:p w14:paraId="631CD676" w14:textId="77777777" w:rsidR="00DF0307" w:rsidRPr="00624565" w:rsidRDefault="00DF0307" w:rsidP="006333CA">
            <w:pPr>
              <w:spacing w:before="60" w:after="60" w:line="276" w:lineRule="auto"/>
              <w:jc w:val="right"/>
              <w:rPr>
                <w:b/>
                <w:noProof/>
                <w:sz w:val="20"/>
                <w:szCs w:val="20"/>
              </w:rPr>
            </w:pPr>
            <w:r w:rsidRPr="00624565">
              <w:rPr>
                <w:b/>
                <w:noProof/>
                <w:sz w:val="20"/>
              </w:rPr>
              <w:t>6,440</w:t>
            </w:r>
          </w:p>
        </w:tc>
        <w:tc>
          <w:tcPr>
            <w:tcW w:w="1810" w:type="dxa"/>
            <w:tcBorders>
              <w:top w:val="single" w:sz="4" w:space="0" w:color="auto"/>
              <w:left w:val="single" w:sz="4" w:space="0" w:color="auto"/>
              <w:bottom w:val="single" w:sz="4" w:space="0" w:color="auto"/>
              <w:right w:val="single" w:sz="4" w:space="0" w:color="auto"/>
            </w:tcBorders>
            <w:hideMark/>
          </w:tcPr>
          <w:p w14:paraId="645C5517" w14:textId="77777777" w:rsidR="00DF0307" w:rsidRPr="00624565" w:rsidRDefault="00DF0307" w:rsidP="006333CA">
            <w:pPr>
              <w:spacing w:before="60" w:after="60" w:line="276" w:lineRule="auto"/>
              <w:jc w:val="right"/>
              <w:rPr>
                <w:b/>
                <w:noProof/>
                <w:sz w:val="20"/>
                <w:szCs w:val="20"/>
              </w:rPr>
            </w:pPr>
            <w:r w:rsidRPr="00624565">
              <w:rPr>
                <w:b/>
                <w:noProof/>
                <w:sz w:val="20"/>
              </w:rPr>
              <w:t>24,273</w:t>
            </w:r>
          </w:p>
        </w:tc>
      </w:tr>
      <w:tr w:rsidR="00DF0307" w:rsidRPr="00624565" w14:paraId="3C88AE56" w14:textId="77777777" w:rsidTr="00DF0307">
        <w:trPr>
          <w:trHeight w:val="300"/>
        </w:trPr>
        <w:tc>
          <w:tcPr>
            <w:tcW w:w="3888" w:type="dxa"/>
            <w:vMerge/>
            <w:vAlign w:val="center"/>
            <w:hideMark/>
          </w:tcPr>
          <w:p w14:paraId="41561CFF" w14:textId="77777777" w:rsidR="00DF0307" w:rsidRPr="00624565" w:rsidRDefault="00DF0307" w:rsidP="006333CA">
            <w:pPr>
              <w:spacing w:before="0" w:after="0" w:line="276" w:lineRule="auto"/>
              <w:jc w:val="left"/>
              <w:rPr>
                <w:b/>
                <w:noProof/>
              </w:rPr>
            </w:pPr>
          </w:p>
        </w:tc>
        <w:tc>
          <w:tcPr>
            <w:tcW w:w="2066" w:type="dxa"/>
            <w:gridSpan w:val="2"/>
            <w:tcBorders>
              <w:top w:val="single" w:sz="4" w:space="0" w:color="auto"/>
              <w:left w:val="single" w:sz="4" w:space="0" w:color="auto"/>
              <w:bottom w:val="single" w:sz="4" w:space="0" w:color="auto"/>
              <w:right w:val="single" w:sz="4" w:space="0" w:color="auto"/>
            </w:tcBorders>
            <w:vAlign w:val="center"/>
            <w:hideMark/>
          </w:tcPr>
          <w:p w14:paraId="1FA32C12" w14:textId="77777777" w:rsidR="00DF0307" w:rsidRPr="00624565" w:rsidRDefault="00DF0307" w:rsidP="006333CA">
            <w:pPr>
              <w:spacing w:line="276" w:lineRule="auto"/>
              <w:rPr>
                <w:noProof/>
                <w:sz w:val="14"/>
              </w:rPr>
            </w:pPr>
            <w:r w:rsidRPr="00624565">
              <w:rPr>
                <w:noProof/>
                <w:sz w:val="18"/>
              </w:rPr>
              <w:t>Środki na płatności</w:t>
            </w:r>
          </w:p>
        </w:tc>
        <w:tc>
          <w:tcPr>
            <w:tcW w:w="858" w:type="dxa"/>
            <w:tcBorders>
              <w:top w:val="single" w:sz="4" w:space="0" w:color="auto"/>
              <w:left w:val="single" w:sz="4" w:space="0" w:color="auto"/>
              <w:bottom w:val="single" w:sz="4" w:space="0" w:color="auto"/>
              <w:right w:val="single" w:sz="4" w:space="0" w:color="auto"/>
            </w:tcBorders>
            <w:hideMark/>
          </w:tcPr>
          <w:p w14:paraId="51DE6250" w14:textId="6575882C" w:rsidR="00DF0307" w:rsidRPr="00624565" w:rsidRDefault="00DF0307" w:rsidP="00C6355C">
            <w:pPr>
              <w:spacing w:before="60" w:after="60" w:line="276" w:lineRule="auto"/>
              <w:jc w:val="right"/>
              <w:rPr>
                <w:b/>
                <w:noProof/>
                <w:sz w:val="20"/>
                <w:szCs w:val="20"/>
              </w:rPr>
            </w:pPr>
            <w:r w:rsidRPr="00624565">
              <w:rPr>
                <w:b/>
                <w:noProof/>
                <w:sz w:val="20"/>
              </w:rPr>
              <w:t>3,326</w:t>
            </w:r>
          </w:p>
        </w:tc>
        <w:tc>
          <w:tcPr>
            <w:tcW w:w="858" w:type="dxa"/>
            <w:tcBorders>
              <w:top w:val="single" w:sz="4" w:space="0" w:color="auto"/>
              <w:left w:val="single" w:sz="4" w:space="0" w:color="auto"/>
              <w:bottom w:val="single" w:sz="4" w:space="0" w:color="auto"/>
              <w:right w:val="single" w:sz="4" w:space="0" w:color="auto"/>
            </w:tcBorders>
            <w:hideMark/>
          </w:tcPr>
          <w:p w14:paraId="5B6E849B" w14:textId="77777777" w:rsidR="00DF0307" w:rsidRPr="00624565" w:rsidRDefault="00DF0307" w:rsidP="006333CA">
            <w:pPr>
              <w:spacing w:before="60" w:after="60" w:line="276" w:lineRule="auto"/>
              <w:jc w:val="right"/>
              <w:rPr>
                <w:rFonts w:eastAsia="Times New Roman"/>
                <w:noProof/>
                <w:sz w:val="20"/>
                <w:szCs w:val="20"/>
              </w:rPr>
            </w:pPr>
            <w:r w:rsidRPr="00624565">
              <w:rPr>
                <w:b/>
                <w:noProof/>
                <w:sz w:val="20"/>
              </w:rPr>
              <w:t>8,025</w:t>
            </w:r>
          </w:p>
        </w:tc>
        <w:tc>
          <w:tcPr>
            <w:tcW w:w="858" w:type="dxa"/>
            <w:tcBorders>
              <w:top w:val="single" w:sz="4" w:space="0" w:color="auto"/>
              <w:left w:val="single" w:sz="4" w:space="0" w:color="auto"/>
              <w:bottom w:val="single" w:sz="4" w:space="0" w:color="auto"/>
              <w:right w:val="single" w:sz="4" w:space="0" w:color="auto"/>
            </w:tcBorders>
            <w:hideMark/>
          </w:tcPr>
          <w:p w14:paraId="39E21D94" w14:textId="77777777" w:rsidR="00DF0307" w:rsidRPr="00624565" w:rsidRDefault="00DF0307" w:rsidP="006333CA">
            <w:pPr>
              <w:spacing w:before="60" w:after="60" w:line="276" w:lineRule="auto"/>
              <w:jc w:val="right"/>
              <w:rPr>
                <w:rFonts w:eastAsia="Times New Roman"/>
                <w:noProof/>
                <w:sz w:val="20"/>
                <w:szCs w:val="20"/>
              </w:rPr>
            </w:pPr>
            <w:r w:rsidRPr="00624565">
              <w:rPr>
                <w:b/>
                <w:noProof/>
                <w:sz w:val="20"/>
              </w:rPr>
              <w:t>6,482</w:t>
            </w:r>
          </w:p>
        </w:tc>
        <w:tc>
          <w:tcPr>
            <w:tcW w:w="1046" w:type="dxa"/>
            <w:gridSpan w:val="2"/>
            <w:tcBorders>
              <w:top w:val="single" w:sz="4" w:space="0" w:color="auto"/>
              <w:left w:val="single" w:sz="4" w:space="0" w:color="auto"/>
              <w:bottom w:val="single" w:sz="4" w:space="0" w:color="auto"/>
              <w:right w:val="single" w:sz="4" w:space="0" w:color="auto"/>
            </w:tcBorders>
            <w:hideMark/>
          </w:tcPr>
          <w:p w14:paraId="3295867E" w14:textId="77777777" w:rsidR="00DF0307" w:rsidRPr="00624565" w:rsidRDefault="00DF0307" w:rsidP="006333CA">
            <w:pPr>
              <w:spacing w:before="60" w:after="60" w:line="276" w:lineRule="auto"/>
              <w:jc w:val="right"/>
              <w:rPr>
                <w:b/>
                <w:noProof/>
                <w:sz w:val="20"/>
                <w:szCs w:val="20"/>
              </w:rPr>
            </w:pPr>
            <w:r w:rsidRPr="00624565">
              <w:rPr>
                <w:b/>
                <w:noProof/>
                <w:sz w:val="20"/>
              </w:rPr>
              <w:t>6,440</w:t>
            </w:r>
          </w:p>
        </w:tc>
        <w:tc>
          <w:tcPr>
            <w:tcW w:w="1810" w:type="dxa"/>
            <w:tcBorders>
              <w:top w:val="single" w:sz="4" w:space="0" w:color="auto"/>
              <w:left w:val="single" w:sz="4" w:space="0" w:color="auto"/>
              <w:bottom w:val="single" w:sz="4" w:space="0" w:color="auto"/>
              <w:right w:val="single" w:sz="4" w:space="0" w:color="auto"/>
            </w:tcBorders>
            <w:hideMark/>
          </w:tcPr>
          <w:p w14:paraId="2D554D71" w14:textId="77777777" w:rsidR="00DF0307" w:rsidRPr="00624565" w:rsidRDefault="00DF0307" w:rsidP="006333CA">
            <w:pPr>
              <w:spacing w:before="60" w:after="60" w:line="276" w:lineRule="auto"/>
              <w:jc w:val="right"/>
              <w:rPr>
                <w:b/>
                <w:bCs/>
                <w:noProof/>
                <w:sz w:val="20"/>
                <w:szCs w:val="20"/>
              </w:rPr>
            </w:pPr>
            <w:r w:rsidRPr="00624565">
              <w:rPr>
                <w:b/>
                <w:noProof/>
                <w:sz w:val="20"/>
              </w:rPr>
              <w:t>24,273</w:t>
            </w:r>
          </w:p>
        </w:tc>
      </w:tr>
    </w:tbl>
    <w:p w14:paraId="6294DB41" w14:textId="77777777" w:rsidR="009769E5" w:rsidRPr="00624565" w:rsidRDefault="009769E5" w:rsidP="00DF0307">
      <w:pPr>
        <w:spacing w:before="0" w:after="0"/>
        <w:jc w:val="left"/>
        <w:rPr>
          <w:noProof/>
        </w:rPr>
      </w:pPr>
    </w:p>
    <w:p w14:paraId="03AC276E" w14:textId="77777777" w:rsidR="009769E5" w:rsidRPr="00624565" w:rsidRDefault="009769E5" w:rsidP="009769E5">
      <w:pPr>
        <w:pStyle w:val="ManualHeading3"/>
        <w:rPr>
          <w:bCs/>
          <w:noProof/>
          <w:szCs w:val="24"/>
        </w:rPr>
      </w:pPr>
      <w:r w:rsidRPr="00624565">
        <w:rPr>
          <w:noProof/>
        </w:rPr>
        <w:t>3.2.2.</w:t>
      </w:r>
      <w:r w:rsidRPr="00624565">
        <w:rPr>
          <w:noProof/>
        </w:rPr>
        <w:tab/>
        <w:t xml:space="preserve">Przewidywany produkt finansowany ze środków operacyjnych </w:t>
      </w:r>
    </w:p>
    <w:p w14:paraId="7E716021" w14:textId="400F3B1C" w:rsidR="009769E5" w:rsidRPr="00624565" w:rsidRDefault="009769E5" w:rsidP="009769E5">
      <w:pPr>
        <w:jc w:val="right"/>
        <w:rPr>
          <w:noProof/>
          <w:sz w:val="20"/>
        </w:rPr>
      </w:pPr>
      <w:r w:rsidRPr="00624565">
        <w:rPr>
          <w:noProof/>
          <w:sz w:val="20"/>
        </w:rPr>
        <w:t>Środki na zobowiązania</w:t>
      </w:r>
      <w:r w:rsidR="003F3D2B" w:rsidRPr="00624565">
        <w:rPr>
          <w:noProof/>
          <w:sz w:val="20"/>
        </w:rPr>
        <w:t xml:space="preserve"> w</w:t>
      </w:r>
      <w:r w:rsidR="003F3D2B">
        <w:rPr>
          <w:noProof/>
          <w:sz w:val="20"/>
        </w:rPr>
        <w:t> </w:t>
      </w:r>
      <w:r w:rsidR="003F3D2B" w:rsidRPr="00624565">
        <w:rPr>
          <w:noProof/>
          <w:sz w:val="20"/>
        </w:rPr>
        <w:t>mln</w:t>
      </w:r>
      <w:r w:rsidRPr="00624565">
        <w:rPr>
          <w:noProof/>
          <w:sz w:val="20"/>
        </w:rPr>
        <w:t xml:space="preserve"> EUR (do trzech miejsc po przecinku)</w:t>
      </w:r>
    </w:p>
    <w:tbl>
      <w:tblPr>
        <w:tblW w:w="136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3"/>
        <w:gridCol w:w="720"/>
        <w:gridCol w:w="701"/>
        <w:gridCol w:w="504"/>
        <w:gridCol w:w="720"/>
        <w:gridCol w:w="540"/>
        <w:gridCol w:w="720"/>
        <w:gridCol w:w="720"/>
        <w:gridCol w:w="720"/>
        <w:gridCol w:w="900"/>
        <w:gridCol w:w="51"/>
        <w:gridCol w:w="669"/>
        <w:gridCol w:w="540"/>
        <w:gridCol w:w="648"/>
        <w:gridCol w:w="432"/>
        <w:gridCol w:w="720"/>
        <w:gridCol w:w="540"/>
        <w:gridCol w:w="720"/>
        <w:gridCol w:w="720"/>
        <w:gridCol w:w="900"/>
      </w:tblGrid>
      <w:tr w:rsidR="009769E5" w:rsidRPr="00624565" w14:paraId="648B84DF" w14:textId="77777777" w:rsidTr="009769E5">
        <w:trPr>
          <w:jc w:val="center"/>
        </w:trPr>
        <w:tc>
          <w:tcPr>
            <w:tcW w:w="1423" w:type="dxa"/>
            <w:vMerge w:val="restart"/>
            <w:vAlign w:val="center"/>
          </w:tcPr>
          <w:p w14:paraId="5E81C287" w14:textId="102496FE" w:rsidR="009769E5" w:rsidRPr="00624565" w:rsidRDefault="009769E5" w:rsidP="009769E5">
            <w:pPr>
              <w:ind w:right="-29"/>
              <w:jc w:val="center"/>
              <w:rPr>
                <w:b/>
                <w:noProof/>
                <w:sz w:val="18"/>
                <w:szCs w:val="18"/>
              </w:rPr>
            </w:pPr>
            <w:r w:rsidRPr="00624565">
              <w:rPr>
                <w:b/>
                <w:noProof/>
                <w:sz w:val="18"/>
              </w:rPr>
              <w:t>Określić cele</w:t>
            </w:r>
            <w:r w:rsidR="003F3D2B" w:rsidRPr="00624565">
              <w:rPr>
                <w:b/>
                <w:noProof/>
                <w:sz w:val="18"/>
              </w:rPr>
              <w:t xml:space="preserve"> i</w:t>
            </w:r>
            <w:r w:rsidR="003F3D2B">
              <w:rPr>
                <w:b/>
                <w:noProof/>
                <w:sz w:val="18"/>
              </w:rPr>
              <w:t> </w:t>
            </w:r>
            <w:r w:rsidR="003F3D2B" w:rsidRPr="00624565">
              <w:rPr>
                <w:b/>
                <w:noProof/>
                <w:sz w:val="18"/>
              </w:rPr>
              <w:t>pro</w:t>
            </w:r>
            <w:r w:rsidRPr="00624565">
              <w:rPr>
                <w:b/>
                <w:noProof/>
                <w:sz w:val="18"/>
              </w:rPr>
              <w:t xml:space="preserve">dukty </w:t>
            </w:r>
          </w:p>
          <w:p w14:paraId="3310AEA7" w14:textId="77777777" w:rsidR="009769E5" w:rsidRPr="00624565" w:rsidRDefault="009769E5" w:rsidP="009769E5">
            <w:pPr>
              <w:ind w:right="-29"/>
              <w:jc w:val="center"/>
              <w:rPr>
                <w:b/>
                <w:noProof/>
                <w:sz w:val="18"/>
                <w:szCs w:val="18"/>
              </w:rPr>
            </w:pPr>
          </w:p>
          <w:p w14:paraId="22090EF1" w14:textId="77777777" w:rsidR="009769E5" w:rsidRPr="00624565" w:rsidRDefault="009769E5" w:rsidP="009769E5">
            <w:pPr>
              <w:ind w:right="-29"/>
              <w:jc w:val="center"/>
              <w:rPr>
                <w:noProof/>
                <w:sz w:val="18"/>
                <w:szCs w:val="18"/>
              </w:rPr>
            </w:pPr>
            <w:r w:rsidRPr="00624565">
              <w:rPr>
                <w:rFonts w:ascii="Wingdings" w:hAnsi="Wingdings"/>
                <w:noProof/>
                <w:sz w:val="18"/>
              </w:rPr>
              <w:t></w:t>
            </w:r>
          </w:p>
        </w:tc>
        <w:tc>
          <w:tcPr>
            <w:tcW w:w="720" w:type="dxa"/>
            <w:vAlign w:val="center"/>
          </w:tcPr>
          <w:p w14:paraId="508EF7F6" w14:textId="77777777" w:rsidR="009769E5" w:rsidRPr="00624565" w:rsidRDefault="009769E5" w:rsidP="009769E5">
            <w:pPr>
              <w:ind w:right="-29"/>
              <w:jc w:val="center"/>
              <w:rPr>
                <w:noProof/>
                <w:sz w:val="18"/>
                <w:szCs w:val="18"/>
              </w:rPr>
            </w:pPr>
          </w:p>
        </w:tc>
        <w:tc>
          <w:tcPr>
            <w:tcW w:w="701" w:type="dxa"/>
            <w:vAlign w:val="center"/>
          </w:tcPr>
          <w:p w14:paraId="17CB6BFD" w14:textId="77777777" w:rsidR="009769E5" w:rsidRPr="00624565" w:rsidRDefault="009769E5" w:rsidP="009769E5">
            <w:pPr>
              <w:ind w:right="-29"/>
              <w:jc w:val="center"/>
              <w:rPr>
                <w:noProof/>
                <w:sz w:val="18"/>
                <w:szCs w:val="18"/>
              </w:rPr>
            </w:pPr>
          </w:p>
        </w:tc>
        <w:tc>
          <w:tcPr>
            <w:tcW w:w="1224" w:type="dxa"/>
            <w:gridSpan w:val="2"/>
            <w:tcBorders>
              <w:left w:val="nil"/>
            </w:tcBorders>
            <w:vAlign w:val="center"/>
          </w:tcPr>
          <w:p w14:paraId="71FA97A8" w14:textId="77777777" w:rsidR="009769E5" w:rsidRPr="00624565" w:rsidRDefault="009769E5" w:rsidP="009769E5">
            <w:pPr>
              <w:ind w:right="-29"/>
              <w:jc w:val="center"/>
              <w:rPr>
                <w:noProof/>
                <w:sz w:val="18"/>
                <w:szCs w:val="18"/>
              </w:rPr>
            </w:pPr>
            <w:r w:rsidRPr="00624565">
              <w:rPr>
                <w:noProof/>
                <w:sz w:val="18"/>
              </w:rPr>
              <w:t>Rok</w:t>
            </w:r>
            <w:r w:rsidRPr="00624565">
              <w:rPr>
                <w:noProof/>
              </w:rPr>
              <w:t xml:space="preserve"> </w:t>
            </w:r>
            <w:r w:rsidRPr="00624565">
              <w:rPr>
                <w:noProof/>
              </w:rPr>
              <w:br/>
            </w:r>
            <w:r w:rsidRPr="00624565">
              <w:rPr>
                <w:b/>
                <w:noProof/>
                <w:sz w:val="18"/>
              </w:rPr>
              <w:t>N</w:t>
            </w:r>
          </w:p>
        </w:tc>
        <w:tc>
          <w:tcPr>
            <w:tcW w:w="1260" w:type="dxa"/>
            <w:gridSpan w:val="2"/>
            <w:vAlign w:val="center"/>
          </w:tcPr>
          <w:p w14:paraId="35990490" w14:textId="77777777" w:rsidR="009769E5" w:rsidRPr="00624565" w:rsidRDefault="009769E5" w:rsidP="009769E5">
            <w:pPr>
              <w:ind w:right="-29"/>
              <w:jc w:val="center"/>
              <w:rPr>
                <w:noProof/>
                <w:sz w:val="18"/>
                <w:szCs w:val="18"/>
              </w:rPr>
            </w:pPr>
            <w:r w:rsidRPr="00624565">
              <w:rPr>
                <w:noProof/>
                <w:sz w:val="18"/>
              </w:rPr>
              <w:t>Rok</w:t>
            </w:r>
            <w:r w:rsidRPr="00624565">
              <w:rPr>
                <w:noProof/>
              </w:rPr>
              <w:t xml:space="preserve"> </w:t>
            </w:r>
            <w:r w:rsidRPr="00624565">
              <w:rPr>
                <w:noProof/>
              </w:rPr>
              <w:br/>
            </w:r>
            <w:r w:rsidRPr="00624565">
              <w:rPr>
                <w:b/>
                <w:noProof/>
                <w:sz w:val="18"/>
              </w:rPr>
              <w:t>N+1</w:t>
            </w:r>
          </w:p>
        </w:tc>
        <w:tc>
          <w:tcPr>
            <w:tcW w:w="1440" w:type="dxa"/>
            <w:gridSpan w:val="2"/>
            <w:vAlign w:val="center"/>
          </w:tcPr>
          <w:p w14:paraId="4A50DDF5" w14:textId="77777777" w:rsidR="009769E5" w:rsidRPr="00624565" w:rsidRDefault="009769E5" w:rsidP="009769E5">
            <w:pPr>
              <w:ind w:right="-29"/>
              <w:jc w:val="center"/>
              <w:rPr>
                <w:noProof/>
                <w:sz w:val="18"/>
                <w:szCs w:val="18"/>
              </w:rPr>
            </w:pPr>
            <w:r w:rsidRPr="00624565">
              <w:rPr>
                <w:noProof/>
                <w:sz w:val="18"/>
              </w:rPr>
              <w:t>Rok</w:t>
            </w:r>
            <w:r w:rsidRPr="00624565">
              <w:rPr>
                <w:noProof/>
              </w:rPr>
              <w:t xml:space="preserve"> </w:t>
            </w:r>
            <w:r w:rsidRPr="00624565">
              <w:rPr>
                <w:noProof/>
              </w:rPr>
              <w:br/>
            </w:r>
            <w:r w:rsidRPr="00624565">
              <w:rPr>
                <w:b/>
                <w:noProof/>
                <w:sz w:val="18"/>
              </w:rPr>
              <w:t>N+2</w:t>
            </w:r>
          </w:p>
        </w:tc>
        <w:tc>
          <w:tcPr>
            <w:tcW w:w="1620" w:type="dxa"/>
            <w:gridSpan w:val="3"/>
            <w:vAlign w:val="center"/>
          </w:tcPr>
          <w:p w14:paraId="1B5FCB16" w14:textId="77777777" w:rsidR="009769E5" w:rsidRPr="00624565" w:rsidRDefault="009769E5" w:rsidP="009769E5">
            <w:pPr>
              <w:ind w:right="-29"/>
              <w:jc w:val="center"/>
              <w:rPr>
                <w:noProof/>
                <w:sz w:val="18"/>
                <w:szCs w:val="18"/>
              </w:rPr>
            </w:pPr>
            <w:r w:rsidRPr="00624565">
              <w:rPr>
                <w:noProof/>
                <w:sz w:val="18"/>
              </w:rPr>
              <w:t>Rok</w:t>
            </w:r>
            <w:r w:rsidRPr="00624565">
              <w:rPr>
                <w:noProof/>
              </w:rPr>
              <w:t xml:space="preserve"> </w:t>
            </w:r>
            <w:r w:rsidRPr="00624565">
              <w:rPr>
                <w:noProof/>
              </w:rPr>
              <w:br/>
            </w:r>
            <w:r w:rsidRPr="00624565">
              <w:rPr>
                <w:b/>
                <w:noProof/>
                <w:sz w:val="18"/>
              </w:rPr>
              <w:t>N+3</w:t>
            </w:r>
          </w:p>
        </w:tc>
        <w:tc>
          <w:tcPr>
            <w:tcW w:w="3600" w:type="dxa"/>
            <w:gridSpan w:val="6"/>
            <w:vAlign w:val="center"/>
          </w:tcPr>
          <w:p w14:paraId="44FEBE9E" w14:textId="399222DB" w:rsidR="009769E5" w:rsidRPr="00624565" w:rsidRDefault="009769E5" w:rsidP="009769E5">
            <w:pPr>
              <w:jc w:val="center"/>
              <w:rPr>
                <w:noProof/>
                <w:sz w:val="18"/>
                <w:szCs w:val="18"/>
              </w:rPr>
            </w:pPr>
            <w:r w:rsidRPr="00624565">
              <w:rPr>
                <w:noProof/>
                <w:sz w:val="18"/>
              </w:rPr>
              <w:t xml:space="preserve">Wprowadzić taką liczbę kolumn dla poszczególnych lat, jaka jest niezbędna, by odzwierciedlić cały okres wpływu (por. </w:t>
            </w:r>
            <w:r w:rsidRPr="003F3D2B">
              <w:rPr>
                <w:noProof/>
                <w:sz w:val="18"/>
              </w:rPr>
              <w:t>pkt</w:t>
            </w:r>
            <w:r w:rsidR="003F3D2B" w:rsidRPr="003F3D2B">
              <w:rPr>
                <w:noProof/>
                <w:sz w:val="18"/>
              </w:rPr>
              <w:t> </w:t>
            </w:r>
            <w:r w:rsidRPr="003F3D2B">
              <w:rPr>
                <w:noProof/>
                <w:sz w:val="18"/>
              </w:rPr>
              <w:t>1</w:t>
            </w:r>
            <w:r w:rsidRPr="00624565">
              <w:rPr>
                <w:noProof/>
                <w:sz w:val="18"/>
              </w:rPr>
              <w:t>.6)</w:t>
            </w:r>
          </w:p>
        </w:tc>
        <w:tc>
          <w:tcPr>
            <w:tcW w:w="1620" w:type="dxa"/>
            <w:gridSpan w:val="2"/>
            <w:tcBorders>
              <w:left w:val="nil"/>
              <w:bottom w:val="nil"/>
            </w:tcBorders>
            <w:vAlign w:val="center"/>
          </w:tcPr>
          <w:p w14:paraId="7BE39301" w14:textId="77777777" w:rsidR="009769E5" w:rsidRPr="00624565" w:rsidRDefault="009769E5" w:rsidP="009769E5">
            <w:pPr>
              <w:ind w:right="-29"/>
              <w:jc w:val="center"/>
              <w:rPr>
                <w:noProof/>
                <w:sz w:val="18"/>
                <w:szCs w:val="18"/>
              </w:rPr>
            </w:pPr>
            <w:r w:rsidRPr="00624565">
              <w:rPr>
                <w:b/>
                <w:noProof/>
                <w:sz w:val="18"/>
              </w:rPr>
              <w:t>OGÓŁEM</w:t>
            </w:r>
          </w:p>
        </w:tc>
      </w:tr>
      <w:tr w:rsidR="009769E5" w:rsidRPr="00624565" w14:paraId="3DB559CD" w14:textId="77777777" w:rsidTr="009769E5">
        <w:trPr>
          <w:jc w:val="center"/>
        </w:trPr>
        <w:tc>
          <w:tcPr>
            <w:tcW w:w="1423" w:type="dxa"/>
            <w:vMerge/>
            <w:vAlign w:val="center"/>
          </w:tcPr>
          <w:p w14:paraId="5775546C" w14:textId="77777777" w:rsidR="009769E5" w:rsidRPr="00624565" w:rsidRDefault="009769E5" w:rsidP="009769E5">
            <w:pPr>
              <w:ind w:right="-29"/>
              <w:jc w:val="center"/>
              <w:rPr>
                <w:noProof/>
                <w:sz w:val="18"/>
                <w:szCs w:val="18"/>
              </w:rPr>
            </w:pPr>
          </w:p>
        </w:tc>
        <w:tc>
          <w:tcPr>
            <w:tcW w:w="12185" w:type="dxa"/>
            <w:gridSpan w:val="19"/>
            <w:vAlign w:val="center"/>
          </w:tcPr>
          <w:p w14:paraId="4B34A546" w14:textId="77777777" w:rsidR="009769E5" w:rsidRPr="00624565" w:rsidRDefault="009769E5" w:rsidP="009769E5">
            <w:pPr>
              <w:spacing w:before="60" w:after="60"/>
              <w:ind w:right="-29"/>
              <w:jc w:val="center"/>
              <w:rPr>
                <w:noProof/>
                <w:sz w:val="18"/>
                <w:szCs w:val="18"/>
              </w:rPr>
            </w:pPr>
            <w:r w:rsidRPr="00624565">
              <w:rPr>
                <w:b/>
                <w:noProof/>
                <w:sz w:val="18"/>
              </w:rPr>
              <w:t>PRODUKT</w:t>
            </w:r>
          </w:p>
        </w:tc>
      </w:tr>
      <w:tr w:rsidR="009769E5" w:rsidRPr="00624565" w14:paraId="5CF38843" w14:textId="77777777" w:rsidTr="5A3A9BE6">
        <w:trPr>
          <w:cantSplit/>
          <w:trHeight w:val="1134"/>
          <w:jc w:val="center"/>
        </w:trPr>
        <w:tc>
          <w:tcPr>
            <w:tcW w:w="1423" w:type="dxa"/>
            <w:vMerge/>
            <w:vAlign w:val="center"/>
          </w:tcPr>
          <w:p w14:paraId="7142F279" w14:textId="77777777" w:rsidR="009769E5" w:rsidRPr="00624565" w:rsidRDefault="009769E5" w:rsidP="009769E5">
            <w:pPr>
              <w:rPr>
                <w:noProof/>
                <w:sz w:val="18"/>
                <w:szCs w:val="18"/>
              </w:rPr>
            </w:pPr>
          </w:p>
        </w:tc>
        <w:tc>
          <w:tcPr>
            <w:tcW w:w="720" w:type="dxa"/>
            <w:vAlign w:val="center"/>
          </w:tcPr>
          <w:p w14:paraId="305D0677" w14:textId="77777777" w:rsidR="009769E5" w:rsidRPr="00624565" w:rsidRDefault="009769E5" w:rsidP="009769E5">
            <w:pPr>
              <w:jc w:val="center"/>
              <w:rPr>
                <w:noProof/>
                <w:sz w:val="18"/>
                <w:szCs w:val="18"/>
              </w:rPr>
            </w:pPr>
            <w:r w:rsidRPr="00624565">
              <w:rPr>
                <w:noProof/>
                <w:sz w:val="18"/>
              </w:rPr>
              <w:t>Rodzaj</w:t>
            </w:r>
            <w:r w:rsidRPr="00624565">
              <w:rPr>
                <w:rStyle w:val="FootnoteReference"/>
                <w:noProof/>
                <w:sz w:val="18"/>
                <w:szCs w:val="18"/>
              </w:rPr>
              <w:footnoteReference w:id="124"/>
            </w:r>
          </w:p>
          <w:p w14:paraId="7BCDDC77" w14:textId="77777777" w:rsidR="009769E5" w:rsidRPr="00624565" w:rsidRDefault="009769E5" w:rsidP="009769E5">
            <w:pPr>
              <w:spacing w:before="0" w:after="0"/>
              <w:jc w:val="center"/>
              <w:rPr>
                <w:noProof/>
                <w:sz w:val="18"/>
                <w:szCs w:val="18"/>
              </w:rPr>
            </w:pPr>
          </w:p>
        </w:tc>
        <w:tc>
          <w:tcPr>
            <w:tcW w:w="701" w:type="dxa"/>
            <w:vAlign w:val="center"/>
          </w:tcPr>
          <w:p w14:paraId="238FCE3F" w14:textId="77777777" w:rsidR="009769E5" w:rsidRPr="00624565" w:rsidRDefault="009769E5" w:rsidP="009769E5">
            <w:pPr>
              <w:jc w:val="center"/>
              <w:rPr>
                <w:noProof/>
                <w:sz w:val="18"/>
                <w:szCs w:val="18"/>
              </w:rPr>
            </w:pPr>
            <w:r w:rsidRPr="00624565">
              <w:rPr>
                <w:noProof/>
                <w:sz w:val="18"/>
              </w:rPr>
              <w:t>Średni koszt</w:t>
            </w:r>
          </w:p>
        </w:tc>
        <w:tc>
          <w:tcPr>
            <w:tcW w:w="504" w:type="dxa"/>
            <w:tcBorders>
              <w:left w:val="nil"/>
              <w:right w:val="dashSmallGap" w:sz="4" w:space="0" w:color="auto"/>
            </w:tcBorders>
            <w:shd w:val="clear" w:color="auto" w:fill="auto"/>
            <w:textDirection w:val="btLr"/>
            <w:vAlign w:val="center"/>
          </w:tcPr>
          <w:p w14:paraId="5EE81B08" w14:textId="77777777" w:rsidR="009769E5" w:rsidRPr="00624565" w:rsidRDefault="009769E5" w:rsidP="009769E5">
            <w:pPr>
              <w:ind w:left="113" w:right="113"/>
              <w:jc w:val="center"/>
              <w:rPr>
                <w:noProof/>
                <w:sz w:val="18"/>
                <w:szCs w:val="18"/>
              </w:rPr>
            </w:pPr>
            <w:r w:rsidRPr="00624565">
              <w:rPr>
                <w:noProof/>
                <w:sz w:val="18"/>
              </w:rPr>
              <w:t>Liczba</w:t>
            </w:r>
          </w:p>
        </w:tc>
        <w:tc>
          <w:tcPr>
            <w:tcW w:w="720" w:type="dxa"/>
            <w:tcBorders>
              <w:left w:val="dashSmallGap" w:sz="4" w:space="0" w:color="auto"/>
            </w:tcBorders>
            <w:shd w:val="clear" w:color="auto" w:fill="auto"/>
            <w:vAlign w:val="center"/>
          </w:tcPr>
          <w:p w14:paraId="0961DB13" w14:textId="77777777" w:rsidR="009769E5" w:rsidRPr="00624565" w:rsidRDefault="009769E5" w:rsidP="009769E5">
            <w:pPr>
              <w:jc w:val="center"/>
              <w:rPr>
                <w:noProof/>
                <w:sz w:val="18"/>
                <w:szCs w:val="18"/>
              </w:rPr>
            </w:pPr>
            <w:r w:rsidRPr="00624565">
              <w:rPr>
                <w:noProof/>
                <w:sz w:val="18"/>
              </w:rPr>
              <w:t>Koszt</w:t>
            </w:r>
          </w:p>
        </w:tc>
        <w:tc>
          <w:tcPr>
            <w:tcW w:w="540" w:type="dxa"/>
            <w:tcBorders>
              <w:right w:val="dashSmallGap" w:sz="4" w:space="0" w:color="auto"/>
            </w:tcBorders>
            <w:shd w:val="clear" w:color="auto" w:fill="auto"/>
            <w:textDirection w:val="btLr"/>
            <w:vAlign w:val="center"/>
          </w:tcPr>
          <w:p w14:paraId="0A1E213A" w14:textId="77777777" w:rsidR="009769E5" w:rsidRPr="00624565" w:rsidRDefault="009769E5" w:rsidP="009769E5">
            <w:pPr>
              <w:ind w:left="113" w:right="113"/>
              <w:jc w:val="center"/>
              <w:rPr>
                <w:noProof/>
                <w:sz w:val="18"/>
                <w:szCs w:val="18"/>
              </w:rPr>
            </w:pPr>
            <w:r w:rsidRPr="00624565">
              <w:rPr>
                <w:noProof/>
                <w:sz w:val="18"/>
              </w:rPr>
              <w:t>Liczba</w:t>
            </w:r>
          </w:p>
        </w:tc>
        <w:tc>
          <w:tcPr>
            <w:tcW w:w="720" w:type="dxa"/>
            <w:tcBorders>
              <w:left w:val="dashSmallGap" w:sz="4" w:space="0" w:color="auto"/>
            </w:tcBorders>
            <w:shd w:val="clear" w:color="auto" w:fill="auto"/>
            <w:vAlign w:val="center"/>
          </w:tcPr>
          <w:p w14:paraId="40ED5FD3" w14:textId="77777777" w:rsidR="009769E5" w:rsidRPr="00624565" w:rsidRDefault="009769E5" w:rsidP="009769E5">
            <w:pPr>
              <w:jc w:val="center"/>
              <w:rPr>
                <w:noProof/>
                <w:sz w:val="18"/>
                <w:szCs w:val="18"/>
              </w:rPr>
            </w:pPr>
            <w:r w:rsidRPr="00624565">
              <w:rPr>
                <w:noProof/>
                <w:sz w:val="18"/>
              </w:rPr>
              <w:t>Koszt</w:t>
            </w:r>
          </w:p>
        </w:tc>
        <w:tc>
          <w:tcPr>
            <w:tcW w:w="720" w:type="dxa"/>
            <w:tcBorders>
              <w:right w:val="dashSmallGap" w:sz="4" w:space="0" w:color="auto"/>
            </w:tcBorders>
            <w:shd w:val="clear" w:color="auto" w:fill="auto"/>
            <w:textDirection w:val="btLr"/>
            <w:vAlign w:val="center"/>
          </w:tcPr>
          <w:p w14:paraId="6D81EC81" w14:textId="77777777" w:rsidR="009769E5" w:rsidRPr="00624565" w:rsidRDefault="009769E5" w:rsidP="009769E5">
            <w:pPr>
              <w:ind w:left="113" w:right="113"/>
              <w:jc w:val="center"/>
              <w:rPr>
                <w:noProof/>
                <w:sz w:val="18"/>
                <w:szCs w:val="18"/>
              </w:rPr>
            </w:pPr>
            <w:r w:rsidRPr="00624565">
              <w:rPr>
                <w:noProof/>
                <w:sz w:val="18"/>
              </w:rPr>
              <w:t>Liczba</w:t>
            </w:r>
          </w:p>
        </w:tc>
        <w:tc>
          <w:tcPr>
            <w:tcW w:w="720" w:type="dxa"/>
            <w:tcBorders>
              <w:left w:val="dashSmallGap" w:sz="4" w:space="0" w:color="auto"/>
            </w:tcBorders>
            <w:shd w:val="clear" w:color="auto" w:fill="auto"/>
            <w:vAlign w:val="center"/>
          </w:tcPr>
          <w:p w14:paraId="2C5AFC50" w14:textId="77777777" w:rsidR="009769E5" w:rsidRPr="00624565" w:rsidRDefault="009769E5" w:rsidP="009769E5">
            <w:pPr>
              <w:jc w:val="center"/>
              <w:rPr>
                <w:noProof/>
                <w:sz w:val="18"/>
                <w:szCs w:val="18"/>
              </w:rPr>
            </w:pPr>
            <w:r w:rsidRPr="00624565">
              <w:rPr>
                <w:noProof/>
                <w:sz w:val="18"/>
              </w:rPr>
              <w:t>Koszt</w:t>
            </w:r>
          </w:p>
        </w:tc>
        <w:tc>
          <w:tcPr>
            <w:tcW w:w="900" w:type="dxa"/>
            <w:tcBorders>
              <w:right w:val="dashSmallGap" w:sz="4" w:space="0" w:color="auto"/>
            </w:tcBorders>
            <w:shd w:val="clear" w:color="auto" w:fill="auto"/>
            <w:textDirection w:val="btLr"/>
            <w:vAlign w:val="center"/>
          </w:tcPr>
          <w:p w14:paraId="398E4ED2" w14:textId="77777777" w:rsidR="009769E5" w:rsidRPr="00624565" w:rsidRDefault="009769E5" w:rsidP="009769E5">
            <w:pPr>
              <w:ind w:left="113" w:right="113"/>
              <w:jc w:val="center"/>
              <w:rPr>
                <w:noProof/>
                <w:sz w:val="18"/>
                <w:szCs w:val="18"/>
              </w:rPr>
            </w:pPr>
            <w:r w:rsidRPr="00624565">
              <w:rPr>
                <w:noProof/>
                <w:sz w:val="18"/>
              </w:rPr>
              <w:t>Liczba</w:t>
            </w:r>
          </w:p>
        </w:tc>
        <w:tc>
          <w:tcPr>
            <w:tcW w:w="720" w:type="dxa"/>
            <w:gridSpan w:val="2"/>
            <w:tcBorders>
              <w:left w:val="dashSmallGap" w:sz="4" w:space="0" w:color="auto"/>
            </w:tcBorders>
            <w:shd w:val="clear" w:color="auto" w:fill="auto"/>
            <w:vAlign w:val="center"/>
          </w:tcPr>
          <w:p w14:paraId="2372AC40" w14:textId="77777777" w:rsidR="009769E5" w:rsidRPr="00624565" w:rsidRDefault="009769E5" w:rsidP="009769E5">
            <w:pPr>
              <w:jc w:val="center"/>
              <w:rPr>
                <w:noProof/>
                <w:sz w:val="18"/>
                <w:szCs w:val="18"/>
              </w:rPr>
            </w:pPr>
            <w:r w:rsidRPr="00624565">
              <w:rPr>
                <w:noProof/>
                <w:sz w:val="18"/>
              </w:rPr>
              <w:t>Koszt</w:t>
            </w:r>
          </w:p>
        </w:tc>
        <w:tc>
          <w:tcPr>
            <w:tcW w:w="540" w:type="dxa"/>
            <w:tcBorders>
              <w:right w:val="dashSmallGap" w:sz="4" w:space="0" w:color="auto"/>
            </w:tcBorders>
            <w:shd w:val="clear" w:color="auto" w:fill="auto"/>
            <w:textDirection w:val="btLr"/>
            <w:vAlign w:val="center"/>
          </w:tcPr>
          <w:p w14:paraId="0146E48D" w14:textId="77777777" w:rsidR="009769E5" w:rsidRPr="00624565" w:rsidRDefault="009769E5" w:rsidP="009769E5">
            <w:pPr>
              <w:ind w:left="113" w:right="113"/>
              <w:jc w:val="center"/>
              <w:rPr>
                <w:noProof/>
                <w:sz w:val="18"/>
                <w:szCs w:val="18"/>
              </w:rPr>
            </w:pPr>
            <w:r w:rsidRPr="00624565">
              <w:rPr>
                <w:noProof/>
                <w:sz w:val="18"/>
              </w:rPr>
              <w:t>Liczba</w:t>
            </w:r>
          </w:p>
        </w:tc>
        <w:tc>
          <w:tcPr>
            <w:tcW w:w="648" w:type="dxa"/>
            <w:tcBorders>
              <w:left w:val="dashSmallGap" w:sz="4" w:space="0" w:color="auto"/>
            </w:tcBorders>
            <w:shd w:val="clear" w:color="auto" w:fill="auto"/>
            <w:vAlign w:val="center"/>
          </w:tcPr>
          <w:p w14:paraId="17BAABC6" w14:textId="77777777" w:rsidR="009769E5" w:rsidRPr="00624565" w:rsidRDefault="009769E5" w:rsidP="009769E5">
            <w:pPr>
              <w:jc w:val="center"/>
              <w:rPr>
                <w:noProof/>
                <w:sz w:val="18"/>
                <w:szCs w:val="18"/>
              </w:rPr>
            </w:pPr>
            <w:r w:rsidRPr="00624565">
              <w:rPr>
                <w:noProof/>
                <w:sz w:val="18"/>
              </w:rPr>
              <w:t>Koszt</w:t>
            </w:r>
          </w:p>
        </w:tc>
        <w:tc>
          <w:tcPr>
            <w:tcW w:w="432" w:type="dxa"/>
            <w:tcBorders>
              <w:right w:val="dashSmallGap" w:sz="4" w:space="0" w:color="auto"/>
            </w:tcBorders>
            <w:shd w:val="clear" w:color="auto" w:fill="auto"/>
            <w:textDirection w:val="btLr"/>
            <w:vAlign w:val="center"/>
          </w:tcPr>
          <w:p w14:paraId="6F5C8765" w14:textId="77777777" w:rsidR="009769E5" w:rsidRPr="00624565" w:rsidRDefault="009769E5" w:rsidP="009769E5">
            <w:pPr>
              <w:ind w:left="113" w:right="113"/>
              <w:jc w:val="center"/>
              <w:rPr>
                <w:noProof/>
                <w:sz w:val="18"/>
                <w:szCs w:val="18"/>
              </w:rPr>
            </w:pPr>
            <w:r w:rsidRPr="00624565">
              <w:rPr>
                <w:noProof/>
                <w:sz w:val="18"/>
              </w:rPr>
              <w:t>Liczba</w:t>
            </w:r>
          </w:p>
        </w:tc>
        <w:tc>
          <w:tcPr>
            <w:tcW w:w="720" w:type="dxa"/>
            <w:tcBorders>
              <w:left w:val="dashSmallGap" w:sz="4" w:space="0" w:color="auto"/>
            </w:tcBorders>
            <w:shd w:val="clear" w:color="auto" w:fill="auto"/>
            <w:vAlign w:val="center"/>
          </w:tcPr>
          <w:p w14:paraId="4BC3296F" w14:textId="77777777" w:rsidR="009769E5" w:rsidRPr="00624565" w:rsidRDefault="009769E5" w:rsidP="009769E5">
            <w:pPr>
              <w:jc w:val="center"/>
              <w:rPr>
                <w:noProof/>
                <w:sz w:val="18"/>
                <w:szCs w:val="18"/>
              </w:rPr>
            </w:pPr>
            <w:r w:rsidRPr="00624565">
              <w:rPr>
                <w:noProof/>
                <w:sz w:val="18"/>
              </w:rPr>
              <w:t>Koszt</w:t>
            </w:r>
          </w:p>
        </w:tc>
        <w:tc>
          <w:tcPr>
            <w:tcW w:w="540" w:type="dxa"/>
            <w:tcBorders>
              <w:right w:val="dashSmallGap" w:sz="4" w:space="0" w:color="auto"/>
            </w:tcBorders>
            <w:shd w:val="clear" w:color="auto" w:fill="auto"/>
            <w:textDirection w:val="btLr"/>
            <w:vAlign w:val="center"/>
          </w:tcPr>
          <w:p w14:paraId="19197399" w14:textId="77777777" w:rsidR="009769E5" w:rsidRPr="00624565" w:rsidRDefault="009769E5" w:rsidP="009769E5">
            <w:pPr>
              <w:ind w:left="113" w:right="113"/>
              <w:jc w:val="center"/>
              <w:rPr>
                <w:noProof/>
                <w:sz w:val="18"/>
                <w:szCs w:val="18"/>
              </w:rPr>
            </w:pPr>
            <w:r w:rsidRPr="00624565">
              <w:rPr>
                <w:noProof/>
                <w:sz w:val="18"/>
              </w:rPr>
              <w:t>Liczba</w:t>
            </w:r>
          </w:p>
        </w:tc>
        <w:tc>
          <w:tcPr>
            <w:tcW w:w="720" w:type="dxa"/>
            <w:tcBorders>
              <w:left w:val="dashSmallGap" w:sz="4" w:space="0" w:color="auto"/>
            </w:tcBorders>
            <w:shd w:val="clear" w:color="auto" w:fill="auto"/>
            <w:vAlign w:val="center"/>
          </w:tcPr>
          <w:p w14:paraId="00747A1F" w14:textId="77777777" w:rsidR="009769E5" w:rsidRPr="00624565" w:rsidRDefault="009769E5" w:rsidP="009769E5">
            <w:pPr>
              <w:jc w:val="center"/>
              <w:rPr>
                <w:noProof/>
                <w:sz w:val="18"/>
                <w:szCs w:val="18"/>
              </w:rPr>
            </w:pPr>
            <w:r w:rsidRPr="00624565">
              <w:rPr>
                <w:noProof/>
                <w:sz w:val="18"/>
              </w:rPr>
              <w:t>Koszt</w:t>
            </w:r>
          </w:p>
        </w:tc>
        <w:tc>
          <w:tcPr>
            <w:tcW w:w="720" w:type="dxa"/>
            <w:tcBorders>
              <w:right w:val="dashSmallGap" w:sz="4" w:space="0" w:color="auto"/>
            </w:tcBorders>
            <w:shd w:val="clear" w:color="auto" w:fill="auto"/>
            <w:vAlign w:val="center"/>
          </w:tcPr>
          <w:p w14:paraId="0F7D99F5" w14:textId="77777777" w:rsidR="009769E5" w:rsidRPr="00624565" w:rsidRDefault="009769E5" w:rsidP="009769E5">
            <w:pPr>
              <w:jc w:val="center"/>
              <w:rPr>
                <w:noProof/>
                <w:sz w:val="18"/>
                <w:szCs w:val="18"/>
              </w:rPr>
            </w:pPr>
            <w:r w:rsidRPr="00624565">
              <w:rPr>
                <w:noProof/>
                <w:sz w:val="18"/>
              </w:rPr>
              <w:t>Liczba ogółem</w:t>
            </w:r>
          </w:p>
        </w:tc>
        <w:tc>
          <w:tcPr>
            <w:tcW w:w="900" w:type="dxa"/>
            <w:tcBorders>
              <w:left w:val="dashSmallGap" w:sz="4" w:space="0" w:color="auto"/>
            </w:tcBorders>
            <w:shd w:val="clear" w:color="auto" w:fill="auto"/>
            <w:vAlign w:val="center"/>
          </w:tcPr>
          <w:p w14:paraId="6088034D" w14:textId="77777777" w:rsidR="009769E5" w:rsidRPr="00624565" w:rsidRDefault="009769E5" w:rsidP="009769E5">
            <w:pPr>
              <w:jc w:val="center"/>
              <w:rPr>
                <w:noProof/>
                <w:sz w:val="18"/>
                <w:szCs w:val="18"/>
              </w:rPr>
            </w:pPr>
            <w:r w:rsidRPr="00624565">
              <w:rPr>
                <w:noProof/>
                <w:sz w:val="18"/>
              </w:rPr>
              <w:t>Koszt całkowity</w:t>
            </w:r>
          </w:p>
        </w:tc>
      </w:tr>
      <w:tr w:rsidR="009769E5" w:rsidRPr="00624565" w14:paraId="746D1BD6" w14:textId="77777777" w:rsidTr="009769E5">
        <w:trPr>
          <w:jc w:val="center"/>
        </w:trPr>
        <w:tc>
          <w:tcPr>
            <w:tcW w:w="2844" w:type="dxa"/>
            <w:gridSpan w:val="3"/>
            <w:vAlign w:val="center"/>
          </w:tcPr>
          <w:p w14:paraId="05BF4810" w14:textId="3884195D" w:rsidR="009769E5" w:rsidRPr="00624565" w:rsidRDefault="009769E5" w:rsidP="009769E5">
            <w:pPr>
              <w:spacing w:before="60" w:after="60"/>
              <w:ind w:right="-29"/>
              <w:jc w:val="center"/>
              <w:rPr>
                <w:noProof/>
                <w:sz w:val="18"/>
                <w:szCs w:val="18"/>
              </w:rPr>
            </w:pPr>
            <w:r w:rsidRPr="00624565">
              <w:rPr>
                <w:noProof/>
                <w:sz w:val="18"/>
              </w:rPr>
              <w:t xml:space="preserve">CEL SZCZEGÓŁOWY </w:t>
            </w:r>
            <w:r w:rsidRPr="003F3D2B">
              <w:rPr>
                <w:noProof/>
                <w:sz w:val="18"/>
              </w:rPr>
              <w:t>nr</w:t>
            </w:r>
            <w:r w:rsidR="003F3D2B" w:rsidRPr="003F3D2B">
              <w:rPr>
                <w:noProof/>
                <w:sz w:val="18"/>
              </w:rPr>
              <w:t> </w:t>
            </w:r>
            <w:r w:rsidRPr="003F3D2B">
              <w:rPr>
                <w:noProof/>
                <w:sz w:val="18"/>
              </w:rPr>
              <w:t>1</w:t>
            </w:r>
            <w:r w:rsidRPr="00624565">
              <w:rPr>
                <w:rStyle w:val="FootnoteReference"/>
                <w:noProof/>
                <w:sz w:val="18"/>
                <w:szCs w:val="18"/>
              </w:rPr>
              <w:footnoteReference w:id="125"/>
            </w:r>
          </w:p>
        </w:tc>
        <w:tc>
          <w:tcPr>
            <w:tcW w:w="504" w:type="dxa"/>
            <w:tcBorders>
              <w:top w:val="nil"/>
              <w:left w:val="nil"/>
              <w:bottom w:val="nil"/>
              <w:right w:val="nil"/>
            </w:tcBorders>
          </w:tcPr>
          <w:p w14:paraId="163C3980" w14:textId="77777777" w:rsidR="009769E5" w:rsidRPr="00624565" w:rsidRDefault="009769E5" w:rsidP="009769E5">
            <w:pPr>
              <w:spacing w:before="60" w:after="60"/>
              <w:ind w:right="-29"/>
              <w:jc w:val="center"/>
              <w:rPr>
                <w:noProof/>
                <w:sz w:val="18"/>
                <w:szCs w:val="18"/>
              </w:rPr>
            </w:pPr>
          </w:p>
        </w:tc>
        <w:tc>
          <w:tcPr>
            <w:tcW w:w="720" w:type="dxa"/>
            <w:tcBorders>
              <w:top w:val="nil"/>
              <w:left w:val="nil"/>
              <w:bottom w:val="nil"/>
              <w:right w:val="nil"/>
            </w:tcBorders>
          </w:tcPr>
          <w:p w14:paraId="1F769302" w14:textId="77777777" w:rsidR="009769E5" w:rsidRPr="00624565" w:rsidRDefault="009769E5" w:rsidP="009769E5">
            <w:pPr>
              <w:spacing w:before="60" w:after="60"/>
              <w:ind w:right="-29"/>
              <w:jc w:val="center"/>
              <w:rPr>
                <w:noProof/>
                <w:sz w:val="18"/>
                <w:szCs w:val="18"/>
              </w:rPr>
            </w:pPr>
          </w:p>
        </w:tc>
        <w:tc>
          <w:tcPr>
            <w:tcW w:w="540" w:type="dxa"/>
            <w:tcBorders>
              <w:top w:val="nil"/>
              <w:left w:val="nil"/>
              <w:bottom w:val="nil"/>
              <w:right w:val="nil"/>
            </w:tcBorders>
          </w:tcPr>
          <w:p w14:paraId="22F26D59" w14:textId="77777777" w:rsidR="009769E5" w:rsidRPr="00624565" w:rsidRDefault="009769E5" w:rsidP="009769E5">
            <w:pPr>
              <w:spacing w:before="60" w:after="60"/>
              <w:ind w:right="-29"/>
              <w:jc w:val="center"/>
              <w:rPr>
                <w:noProof/>
                <w:sz w:val="18"/>
                <w:szCs w:val="18"/>
              </w:rPr>
            </w:pPr>
          </w:p>
        </w:tc>
        <w:tc>
          <w:tcPr>
            <w:tcW w:w="720" w:type="dxa"/>
            <w:tcBorders>
              <w:top w:val="nil"/>
              <w:left w:val="nil"/>
              <w:bottom w:val="nil"/>
              <w:right w:val="nil"/>
            </w:tcBorders>
          </w:tcPr>
          <w:p w14:paraId="4959BCF5" w14:textId="77777777" w:rsidR="009769E5" w:rsidRPr="00624565" w:rsidRDefault="009769E5" w:rsidP="009769E5">
            <w:pPr>
              <w:spacing w:before="60" w:after="60"/>
              <w:ind w:right="-29"/>
              <w:jc w:val="center"/>
              <w:rPr>
                <w:noProof/>
                <w:sz w:val="18"/>
                <w:szCs w:val="18"/>
              </w:rPr>
            </w:pPr>
          </w:p>
        </w:tc>
        <w:tc>
          <w:tcPr>
            <w:tcW w:w="720" w:type="dxa"/>
            <w:tcBorders>
              <w:top w:val="nil"/>
              <w:left w:val="nil"/>
              <w:bottom w:val="nil"/>
              <w:right w:val="nil"/>
            </w:tcBorders>
          </w:tcPr>
          <w:p w14:paraId="12B2E3BD" w14:textId="77777777" w:rsidR="009769E5" w:rsidRPr="00624565" w:rsidRDefault="009769E5" w:rsidP="009769E5">
            <w:pPr>
              <w:spacing w:before="60" w:after="60"/>
              <w:ind w:right="-29"/>
              <w:jc w:val="center"/>
              <w:rPr>
                <w:noProof/>
                <w:sz w:val="18"/>
                <w:szCs w:val="18"/>
              </w:rPr>
            </w:pPr>
          </w:p>
        </w:tc>
        <w:tc>
          <w:tcPr>
            <w:tcW w:w="720" w:type="dxa"/>
            <w:tcBorders>
              <w:top w:val="nil"/>
              <w:left w:val="nil"/>
              <w:bottom w:val="nil"/>
              <w:right w:val="nil"/>
            </w:tcBorders>
          </w:tcPr>
          <w:p w14:paraId="73D7903D" w14:textId="77777777" w:rsidR="009769E5" w:rsidRPr="00624565" w:rsidRDefault="009769E5" w:rsidP="009769E5">
            <w:pPr>
              <w:spacing w:before="60" w:after="60"/>
              <w:ind w:right="-29"/>
              <w:jc w:val="center"/>
              <w:rPr>
                <w:noProof/>
                <w:sz w:val="18"/>
                <w:szCs w:val="18"/>
              </w:rPr>
            </w:pPr>
          </w:p>
        </w:tc>
        <w:tc>
          <w:tcPr>
            <w:tcW w:w="900" w:type="dxa"/>
            <w:tcBorders>
              <w:top w:val="nil"/>
              <w:left w:val="nil"/>
              <w:bottom w:val="nil"/>
              <w:right w:val="nil"/>
            </w:tcBorders>
          </w:tcPr>
          <w:p w14:paraId="2FC57869" w14:textId="77777777" w:rsidR="009769E5" w:rsidRPr="00624565" w:rsidRDefault="009769E5" w:rsidP="009769E5">
            <w:pPr>
              <w:spacing w:before="60" w:after="60"/>
              <w:ind w:right="-29"/>
              <w:jc w:val="center"/>
              <w:rPr>
                <w:noProof/>
                <w:sz w:val="18"/>
                <w:szCs w:val="18"/>
              </w:rPr>
            </w:pPr>
          </w:p>
        </w:tc>
        <w:tc>
          <w:tcPr>
            <w:tcW w:w="720" w:type="dxa"/>
            <w:gridSpan w:val="2"/>
            <w:tcBorders>
              <w:top w:val="nil"/>
              <w:left w:val="nil"/>
              <w:bottom w:val="nil"/>
              <w:right w:val="nil"/>
            </w:tcBorders>
          </w:tcPr>
          <w:p w14:paraId="45A91E8C" w14:textId="77777777" w:rsidR="009769E5" w:rsidRPr="00624565" w:rsidRDefault="009769E5" w:rsidP="009769E5">
            <w:pPr>
              <w:spacing w:before="60" w:after="60"/>
              <w:ind w:right="-29"/>
              <w:jc w:val="center"/>
              <w:rPr>
                <w:noProof/>
                <w:sz w:val="18"/>
                <w:szCs w:val="18"/>
              </w:rPr>
            </w:pPr>
          </w:p>
        </w:tc>
        <w:tc>
          <w:tcPr>
            <w:tcW w:w="540" w:type="dxa"/>
            <w:tcBorders>
              <w:top w:val="nil"/>
              <w:left w:val="nil"/>
              <w:bottom w:val="nil"/>
              <w:right w:val="nil"/>
            </w:tcBorders>
          </w:tcPr>
          <w:p w14:paraId="0405C8DD" w14:textId="77777777" w:rsidR="009769E5" w:rsidRPr="00624565" w:rsidRDefault="009769E5" w:rsidP="009769E5">
            <w:pPr>
              <w:spacing w:before="60" w:after="60"/>
              <w:ind w:right="-29"/>
              <w:jc w:val="center"/>
              <w:rPr>
                <w:noProof/>
                <w:sz w:val="18"/>
                <w:szCs w:val="18"/>
              </w:rPr>
            </w:pPr>
          </w:p>
        </w:tc>
        <w:tc>
          <w:tcPr>
            <w:tcW w:w="648" w:type="dxa"/>
            <w:tcBorders>
              <w:top w:val="nil"/>
              <w:left w:val="nil"/>
              <w:bottom w:val="nil"/>
              <w:right w:val="nil"/>
            </w:tcBorders>
          </w:tcPr>
          <w:p w14:paraId="6CF77E41" w14:textId="77777777" w:rsidR="009769E5" w:rsidRPr="00624565" w:rsidRDefault="009769E5" w:rsidP="009769E5">
            <w:pPr>
              <w:spacing w:before="60" w:after="60"/>
              <w:ind w:right="-29"/>
              <w:jc w:val="center"/>
              <w:rPr>
                <w:noProof/>
                <w:sz w:val="18"/>
                <w:szCs w:val="18"/>
              </w:rPr>
            </w:pPr>
          </w:p>
        </w:tc>
        <w:tc>
          <w:tcPr>
            <w:tcW w:w="432" w:type="dxa"/>
            <w:tcBorders>
              <w:top w:val="nil"/>
              <w:left w:val="nil"/>
              <w:bottom w:val="nil"/>
              <w:right w:val="nil"/>
            </w:tcBorders>
          </w:tcPr>
          <w:p w14:paraId="6DB377C0" w14:textId="77777777" w:rsidR="009769E5" w:rsidRPr="00624565" w:rsidRDefault="009769E5" w:rsidP="009769E5">
            <w:pPr>
              <w:spacing w:before="60" w:after="60"/>
              <w:ind w:right="-29"/>
              <w:jc w:val="center"/>
              <w:rPr>
                <w:noProof/>
                <w:sz w:val="18"/>
                <w:szCs w:val="18"/>
              </w:rPr>
            </w:pPr>
          </w:p>
        </w:tc>
        <w:tc>
          <w:tcPr>
            <w:tcW w:w="720" w:type="dxa"/>
            <w:tcBorders>
              <w:top w:val="nil"/>
              <w:left w:val="nil"/>
              <w:bottom w:val="nil"/>
              <w:right w:val="nil"/>
            </w:tcBorders>
          </w:tcPr>
          <w:p w14:paraId="1905EF92" w14:textId="77777777" w:rsidR="009769E5" w:rsidRPr="00624565" w:rsidRDefault="009769E5" w:rsidP="009769E5">
            <w:pPr>
              <w:spacing w:before="60" w:after="60"/>
              <w:ind w:right="-29"/>
              <w:jc w:val="center"/>
              <w:rPr>
                <w:noProof/>
                <w:sz w:val="18"/>
                <w:szCs w:val="18"/>
              </w:rPr>
            </w:pPr>
          </w:p>
        </w:tc>
        <w:tc>
          <w:tcPr>
            <w:tcW w:w="540" w:type="dxa"/>
            <w:tcBorders>
              <w:top w:val="nil"/>
              <w:left w:val="nil"/>
              <w:bottom w:val="nil"/>
              <w:right w:val="nil"/>
            </w:tcBorders>
          </w:tcPr>
          <w:p w14:paraId="13C48065" w14:textId="77777777" w:rsidR="009769E5" w:rsidRPr="00624565" w:rsidRDefault="009769E5" w:rsidP="009769E5">
            <w:pPr>
              <w:spacing w:before="60" w:after="60"/>
              <w:ind w:right="-29"/>
              <w:jc w:val="center"/>
              <w:rPr>
                <w:noProof/>
                <w:sz w:val="18"/>
                <w:szCs w:val="18"/>
              </w:rPr>
            </w:pPr>
          </w:p>
        </w:tc>
        <w:tc>
          <w:tcPr>
            <w:tcW w:w="720" w:type="dxa"/>
            <w:tcBorders>
              <w:top w:val="nil"/>
              <w:left w:val="nil"/>
              <w:bottom w:val="nil"/>
              <w:right w:val="nil"/>
            </w:tcBorders>
          </w:tcPr>
          <w:p w14:paraId="747E59B0" w14:textId="77777777" w:rsidR="009769E5" w:rsidRPr="00624565" w:rsidRDefault="009769E5" w:rsidP="009769E5">
            <w:pPr>
              <w:spacing w:before="60" w:after="60"/>
              <w:ind w:right="-29"/>
              <w:jc w:val="center"/>
              <w:rPr>
                <w:noProof/>
                <w:sz w:val="18"/>
                <w:szCs w:val="18"/>
              </w:rPr>
            </w:pPr>
          </w:p>
        </w:tc>
        <w:tc>
          <w:tcPr>
            <w:tcW w:w="720" w:type="dxa"/>
            <w:tcBorders>
              <w:top w:val="nil"/>
              <w:left w:val="nil"/>
              <w:bottom w:val="nil"/>
              <w:right w:val="nil"/>
            </w:tcBorders>
          </w:tcPr>
          <w:p w14:paraId="2E439B37" w14:textId="77777777" w:rsidR="009769E5" w:rsidRPr="00624565" w:rsidRDefault="009769E5" w:rsidP="009769E5">
            <w:pPr>
              <w:spacing w:before="60" w:after="60"/>
              <w:ind w:right="-29"/>
              <w:jc w:val="center"/>
              <w:rPr>
                <w:noProof/>
                <w:sz w:val="18"/>
                <w:szCs w:val="18"/>
              </w:rPr>
            </w:pPr>
          </w:p>
        </w:tc>
        <w:tc>
          <w:tcPr>
            <w:tcW w:w="900" w:type="dxa"/>
            <w:tcBorders>
              <w:top w:val="nil"/>
              <w:left w:val="nil"/>
              <w:bottom w:val="nil"/>
              <w:right w:val="nil"/>
            </w:tcBorders>
          </w:tcPr>
          <w:p w14:paraId="72A66492" w14:textId="77777777" w:rsidR="009769E5" w:rsidRPr="00624565" w:rsidRDefault="009769E5" w:rsidP="009769E5">
            <w:pPr>
              <w:spacing w:before="60" w:after="60"/>
              <w:ind w:right="-29"/>
              <w:jc w:val="center"/>
              <w:rPr>
                <w:noProof/>
                <w:sz w:val="18"/>
                <w:szCs w:val="18"/>
              </w:rPr>
            </w:pPr>
          </w:p>
        </w:tc>
      </w:tr>
      <w:tr w:rsidR="009769E5" w:rsidRPr="00624565" w14:paraId="305A1C29" w14:textId="77777777" w:rsidTr="009769E5">
        <w:trPr>
          <w:trHeight w:hRule="exact" w:val="369"/>
          <w:jc w:val="center"/>
        </w:trPr>
        <w:tc>
          <w:tcPr>
            <w:tcW w:w="1423" w:type="dxa"/>
          </w:tcPr>
          <w:p w14:paraId="18D1E90A" w14:textId="77777777" w:rsidR="009769E5" w:rsidRPr="00624565" w:rsidRDefault="009769E5" w:rsidP="009769E5">
            <w:pPr>
              <w:ind w:right="-29"/>
              <w:jc w:val="center"/>
              <w:rPr>
                <w:noProof/>
                <w:sz w:val="18"/>
                <w:szCs w:val="18"/>
              </w:rPr>
            </w:pPr>
            <w:r w:rsidRPr="00624565">
              <w:rPr>
                <w:noProof/>
                <w:sz w:val="18"/>
              </w:rPr>
              <w:t>- Produkt</w:t>
            </w:r>
          </w:p>
        </w:tc>
        <w:tc>
          <w:tcPr>
            <w:tcW w:w="720" w:type="dxa"/>
          </w:tcPr>
          <w:p w14:paraId="47E5E7B2" w14:textId="77777777" w:rsidR="009769E5" w:rsidRPr="00624565" w:rsidRDefault="009769E5" w:rsidP="009769E5">
            <w:pPr>
              <w:ind w:right="-29"/>
              <w:jc w:val="center"/>
              <w:rPr>
                <w:noProof/>
                <w:sz w:val="18"/>
                <w:szCs w:val="18"/>
              </w:rPr>
            </w:pPr>
          </w:p>
        </w:tc>
        <w:tc>
          <w:tcPr>
            <w:tcW w:w="701" w:type="dxa"/>
          </w:tcPr>
          <w:p w14:paraId="59F660F1" w14:textId="77777777" w:rsidR="009769E5" w:rsidRPr="00624565" w:rsidRDefault="009769E5" w:rsidP="009769E5">
            <w:pPr>
              <w:ind w:right="-29"/>
              <w:jc w:val="center"/>
              <w:rPr>
                <w:noProof/>
                <w:sz w:val="18"/>
                <w:szCs w:val="18"/>
              </w:rPr>
            </w:pPr>
          </w:p>
        </w:tc>
        <w:tc>
          <w:tcPr>
            <w:tcW w:w="504" w:type="dxa"/>
            <w:tcBorders>
              <w:right w:val="dashSmallGap" w:sz="4" w:space="0" w:color="auto"/>
            </w:tcBorders>
          </w:tcPr>
          <w:p w14:paraId="5BF1F01D" w14:textId="77777777" w:rsidR="009769E5" w:rsidRPr="00624565" w:rsidRDefault="009769E5" w:rsidP="009769E5">
            <w:pPr>
              <w:ind w:right="-29"/>
              <w:jc w:val="center"/>
              <w:rPr>
                <w:noProof/>
                <w:sz w:val="18"/>
                <w:szCs w:val="18"/>
              </w:rPr>
            </w:pPr>
          </w:p>
        </w:tc>
        <w:tc>
          <w:tcPr>
            <w:tcW w:w="720" w:type="dxa"/>
            <w:tcBorders>
              <w:left w:val="dashSmallGap" w:sz="4" w:space="0" w:color="auto"/>
            </w:tcBorders>
          </w:tcPr>
          <w:p w14:paraId="6B957E52" w14:textId="77777777" w:rsidR="009769E5" w:rsidRPr="00624565" w:rsidRDefault="009769E5" w:rsidP="009769E5">
            <w:pPr>
              <w:ind w:right="-29"/>
              <w:jc w:val="center"/>
              <w:rPr>
                <w:noProof/>
                <w:sz w:val="18"/>
                <w:szCs w:val="18"/>
              </w:rPr>
            </w:pPr>
          </w:p>
        </w:tc>
        <w:tc>
          <w:tcPr>
            <w:tcW w:w="540" w:type="dxa"/>
            <w:tcBorders>
              <w:right w:val="dashSmallGap" w:sz="4" w:space="0" w:color="auto"/>
            </w:tcBorders>
          </w:tcPr>
          <w:p w14:paraId="611BFE4E" w14:textId="77777777" w:rsidR="009769E5" w:rsidRPr="00624565" w:rsidRDefault="009769E5" w:rsidP="009769E5">
            <w:pPr>
              <w:ind w:right="-29"/>
              <w:jc w:val="center"/>
              <w:rPr>
                <w:noProof/>
                <w:sz w:val="18"/>
                <w:szCs w:val="18"/>
              </w:rPr>
            </w:pPr>
          </w:p>
        </w:tc>
        <w:tc>
          <w:tcPr>
            <w:tcW w:w="720" w:type="dxa"/>
            <w:tcBorders>
              <w:left w:val="dashSmallGap" w:sz="4" w:space="0" w:color="auto"/>
            </w:tcBorders>
          </w:tcPr>
          <w:p w14:paraId="09F7F38B" w14:textId="77777777" w:rsidR="009769E5" w:rsidRPr="00624565" w:rsidRDefault="009769E5" w:rsidP="009769E5">
            <w:pPr>
              <w:ind w:right="-29"/>
              <w:jc w:val="center"/>
              <w:rPr>
                <w:noProof/>
                <w:sz w:val="18"/>
                <w:szCs w:val="18"/>
              </w:rPr>
            </w:pPr>
          </w:p>
        </w:tc>
        <w:tc>
          <w:tcPr>
            <w:tcW w:w="720" w:type="dxa"/>
            <w:tcBorders>
              <w:right w:val="dashSmallGap" w:sz="4" w:space="0" w:color="auto"/>
            </w:tcBorders>
          </w:tcPr>
          <w:p w14:paraId="0846E2FB" w14:textId="77777777" w:rsidR="009769E5" w:rsidRPr="00624565" w:rsidRDefault="009769E5" w:rsidP="009769E5">
            <w:pPr>
              <w:ind w:right="-29"/>
              <w:jc w:val="center"/>
              <w:rPr>
                <w:noProof/>
                <w:sz w:val="18"/>
                <w:szCs w:val="18"/>
              </w:rPr>
            </w:pPr>
          </w:p>
        </w:tc>
        <w:tc>
          <w:tcPr>
            <w:tcW w:w="720" w:type="dxa"/>
            <w:tcBorders>
              <w:left w:val="dashSmallGap" w:sz="4" w:space="0" w:color="auto"/>
            </w:tcBorders>
          </w:tcPr>
          <w:p w14:paraId="227E759A" w14:textId="77777777" w:rsidR="009769E5" w:rsidRPr="00624565" w:rsidRDefault="009769E5" w:rsidP="009769E5">
            <w:pPr>
              <w:ind w:right="-29"/>
              <w:jc w:val="center"/>
              <w:rPr>
                <w:noProof/>
                <w:sz w:val="18"/>
                <w:szCs w:val="18"/>
              </w:rPr>
            </w:pPr>
          </w:p>
        </w:tc>
        <w:tc>
          <w:tcPr>
            <w:tcW w:w="900" w:type="dxa"/>
            <w:tcBorders>
              <w:right w:val="dashSmallGap" w:sz="4" w:space="0" w:color="auto"/>
            </w:tcBorders>
          </w:tcPr>
          <w:p w14:paraId="6872542F" w14:textId="77777777" w:rsidR="009769E5" w:rsidRPr="00624565" w:rsidRDefault="009769E5" w:rsidP="009769E5">
            <w:pPr>
              <w:ind w:right="-29"/>
              <w:jc w:val="center"/>
              <w:rPr>
                <w:noProof/>
                <w:sz w:val="18"/>
                <w:szCs w:val="18"/>
              </w:rPr>
            </w:pPr>
          </w:p>
        </w:tc>
        <w:tc>
          <w:tcPr>
            <w:tcW w:w="720" w:type="dxa"/>
            <w:gridSpan w:val="2"/>
            <w:tcBorders>
              <w:left w:val="dashSmallGap" w:sz="4" w:space="0" w:color="auto"/>
            </w:tcBorders>
          </w:tcPr>
          <w:p w14:paraId="0514749B" w14:textId="77777777" w:rsidR="009769E5" w:rsidRPr="00624565" w:rsidRDefault="009769E5" w:rsidP="009769E5">
            <w:pPr>
              <w:ind w:right="-29"/>
              <w:jc w:val="center"/>
              <w:rPr>
                <w:noProof/>
                <w:sz w:val="18"/>
                <w:szCs w:val="18"/>
              </w:rPr>
            </w:pPr>
          </w:p>
        </w:tc>
        <w:tc>
          <w:tcPr>
            <w:tcW w:w="540" w:type="dxa"/>
            <w:tcBorders>
              <w:right w:val="dashSmallGap" w:sz="4" w:space="0" w:color="auto"/>
            </w:tcBorders>
          </w:tcPr>
          <w:p w14:paraId="7CCA1680" w14:textId="77777777" w:rsidR="009769E5" w:rsidRPr="00624565" w:rsidRDefault="009769E5" w:rsidP="009769E5">
            <w:pPr>
              <w:ind w:right="-29"/>
              <w:jc w:val="center"/>
              <w:rPr>
                <w:noProof/>
                <w:sz w:val="18"/>
                <w:szCs w:val="18"/>
              </w:rPr>
            </w:pPr>
          </w:p>
        </w:tc>
        <w:tc>
          <w:tcPr>
            <w:tcW w:w="648" w:type="dxa"/>
            <w:tcBorders>
              <w:left w:val="dashSmallGap" w:sz="4" w:space="0" w:color="auto"/>
            </w:tcBorders>
          </w:tcPr>
          <w:p w14:paraId="6FCE358B" w14:textId="77777777" w:rsidR="009769E5" w:rsidRPr="00624565" w:rsidRDefault="009769E5" w:rsidP="009769E5">
            <w:pPr>
              <w:ind w:right="-29"/>
              <w:jc w:val="center"/>
              <w:rPr>
                <w:noProof/>
                <w:sz w:val="18"/>
                <w:szCs w:val="18"/>
              </w:rPr>
            </w:pPr>
          </w:p>
        </w:tc>
        <w:tc>
          <w:tcPr>
            <w:tcW w:w="432" w:type="dxa"/>
            <w:tcBorders>
              <w:right w:val="dashSmallGap" w:sz="4" w:space="0" w:color="auto"/>
            </w:tcBorders>
          </w:tcPr>
          <w:p w14:paraId="54E8F7E0" w14:textId="77777777" w:rsidR="009769E5" w:rsidRPr="00624565" w:rsidRDefault="009769E5" w:rsidP="009769E5">
            <w:pPr>
              <w:ind w:right="-29"/>
              <w:jc w:val="center"/>
              <w:rPr>
                <w:noProof/>
                <w:sz w:val="18"/>
                <w:szCs w:val="18"/>
              </w:rPr>
            </w:pPr>
          </w:p>
        </w:tc>
        <w:tc>
          <w:tcPr>
            <w:tcW w:w="720" w:type="dxa"/>
            <w:tcBorders>
              <w:left w:val="dashSmallGap" w:sz="4" w:space="0" w:color="auto"/>
            </w:tcBorders>
          </w:tcPr>
          <w:p w14:paraId="087A3940" w14:textId="77777777" w:rsidR="009769E5" w:rsidRPr="00624565" w:rsidRDefault="009769E5" w:rsidP="009769E5">
            <w:pPr>
              <w:ind w:right="-29"/>
              <w:jc w:val="center"/>
              <w:rPr>
                <w:noProof/>
                <w:sz w:val="18"/>
                <w:szCs w:val="18"/>
              </w:rPr>
            </w:pPr>
          </w:p>
        </w:tc>
        <w:tc>
          <w:tcPr>
            <w:tcW w:w="540" w:type="dxa"/>
            <w:tcBorders>
              <w:right w:val="dashSmallGap" w:sz="4" w:space="0" w:color="auto"/>
            </w:tcBorders>
          </w:tcPr>
          <w:p w14:paraId="53F2FCCD" w14:textId="77777777" w:rsidR="009769E5" w:rsidRPr="00624565" w:rsidRDefault="009769E5" w:rsidP="009769E5">
            <w:pPr>
              <w:ind w:right="-29"/>
              <w:jc w:val="center"/>
              <w:rPr>
                <w:noProof/>
                <w:sz w:val="18"/>
                <w:szCs w:val="18"/>
              </w:rPr>
            </w:pPr>
          </w:p>
        </w:tc>
        <w:tc>
          <w:tcPr>
            <w:tcW w:w="720" w:type="dxa"/>
            <w:tcBorders>
              <w:left w:val="dashSmallGap" w:sz="4" w:space="0" w:color="auto"/>
            </w:tcBorders>
          </w:tcPr>
          <w:p w14:paraId="2BD9394A" w14:textId="77777777" w:rsidR="009769E5" w:rsidRPr="00624565" w:rsidRDefault="009769E5" w:rsidP="009769E5">
            <w:pPr>
              <w:ind w:right="-29"/>
              <w:jc w:val="center"/>
              <w:rPr>
                <w:noProof/>
                <w:sz w:val="18"/>
                <w:szCs w:val="18"/>
              </w:rPr>
            </w:pPr>
          </w:p>
        </w:tc>
        <w:tc>
          <w:tcPr>
            <w:tcW w:w="720" w:type="dxa"/>
          </w:tcPr>
          <w:p w14:paraId="4777862D" w14:textId="77777777" w:rsidR="009769E5" w:rsidRPr="00624565" w:rsidRDefault="009769E5" w:rsidP="009769E5">
            <w:pPr>
              <w:ind w:right="-29"/>
              <w:jc w:val="center"/>
              <w:rPr>
                <w:noProof/>
                <w:sz w:val="18"/>
                <w:szCs w:val="18"/>
              </w:rPr>
            </w:pPr>
          </w:p>
        </w:tc>
        <w:tc>
          <w:tcPr>
            <w:tcW w:w="900" w:type="dxa"/>
          </w:tcPr>
          <w:p w14:paraId="4F635253" w14:textId="77777777" w:rsidR="009769E5" w:rsidRPr="00624565" w:rsidRDefault="009769E5" w:rsidP="009769E5">
            <w:pPr>
              <w:ind w:right="-29"/>
              <w:jc w:val="center"/>
              <w:rPr>
                <w:noProof/>
                <w:sz w:val="18"/>
                <w:szCs w:val="18"/>
              </w:rPr>
            </w:pPr>
          </w:p>
        </w:tc>
      </w:tr>
      <w:tr w:rsidR="009769E5" w:rsidRPr="00624565" w14:paraId="75041961" w14:textId="77777777" w:rsidTr="009769E5">
        <w:trPr>
          <w:trHeight w:hRule="exact" w:val="369"/>
          <w:jc w:val="center"/>
        </w:trPr>
        <w:tc>
          <w:tcPr>
            <w:tcW w:w="1423" w:type="dxa"/>
          </w:tcPr>
          <w:p w14:paraId="0BF71ADA" w14:textId="77777777" w:rsidR="009769E5" w:rsidRPr="00624565" w:rsidRDefault="009769E5" w:rsidP="009769E5">
            <w:pPr>
              <w:ind w:right="-29"/>
              <w:jc w:val="center"/>
              <w:rPr>
                <w:noProof/>
                <w:sz w:val="18"/>
                <w:szCs w:val="18"/>
              </w:rPr>
            </w:pPr>
            <w:r w:rsidRPr="00624565">
              <w:rPr>
                <w:noProof/>
                <w:sz w:val="18"/>
              </w:rPr>
              <w:t>- Produkt</w:t>
            </w:r>
          </w:p>
        </w:tc>
        <w:tc>
          <w:tcPr>
            <w:tcW w:w="720" w:type="dxa"/>
          </w:tcPr>
          <w:p w14:paraId="21CDDB63" w14:textId="77777777" w:rsidR="009769E5" w:rsidRPr="00624565" w:rsidRDefault="009769E5" w:rsidP="009769E5">
            <w:pPr>
              <w:ind w:right="-29"/>
              <w:jc w:val="center"/>
              <w:rPr>
                <w:noProof/>
                <w:sz w:val="18"/>
                <w:szCs w:val="18"/>
              </w:rPr>
            </w:pPr>
          </w:p>
        </w:tc>
        <w:tc>
          <w:tcPr>
            <w:tcW w:w="701" w:type="dxa"/>
          </w:tcPr>
          <w:p w14:paraId="716635A9" w14:textId="77777777" w:rsidR="009769E5" w:rsidRPr="00624565" w:rsidRDefault="009769E5" w:rsidP="009769E5">
            <w:pPr>
              <w:ind w:right="-29"/>
              <w:jc w:val="center"/>
              <w:rPr>
                <w:noProof/>
                <w:sz w:val="18"/>
                <w:szCs w:val="18"/>
              </w:rPr>
            </w:pPr>
          </w:p>
        </w:tc>
        <w:tc>
          <w:tcPr>
            <w:tcW w:w="504" w:type="dxa"/>
            <w:tcBorders>
              <w:right w:val="dashSmallGap" w:sz="4" w:space="0" w:color="auto"/>
            </w:tcBorders>
          </w:tcPr>
          <w:p w14:paraId="79258648" w14:textId="77777777" w:rsidR="009769E5" w:rsidRPr="00624565" w:rsidRDefault="009769E5" w:rsidP="009769E5">
            <w:pPr>
              <w:ind w:right="-29"/>
              <w:jc w:val="center"/>
              <w:rPr>
                <w:noProof/>
                <w:sz w:val="18"/>
                <w:szCs w:val="18"/>
              </w:rPr>
            </w:pPr>
          </w:p>
        </w:tc>
        <w:tc>
          <w:tcPr>
            <w:tcW w:w="720" w:type="dxa"/>
            <w:tcBorders>
              <w:left w:val="dashSmallGap" w:sz="4" w:space="0" w:color="auto"/>
            </w:tcBorders>
          </w:tcPr>
          <w:p w14:paraId="2F9D7BF5" w14:textId="77777777" w:rsidR="009769E5" w:rsidRPr="00624565" w:rsidRDefault="009769E5" w:rsidP="009769E5">
            <w:pPr>
              <w:ind w:right="-29"/>
              <w:jc w:val="center"/>
              <w:rPr>
                <w:noProof/>
                <w:sz w:val="18"/>
                <w:szCs w:val="18"/>
              </w:rPr>
            </w:pPr>
          </w:p>
        </w:tc>
        <w:tc>
          <w:tcPr>
            <w:tcW w:w="540" w:type="dxa"/>
            <w:tcBorders>
              <w:right w:val="dashSmallGap" w:sz="4" w:space="0" w:color="auto"/>
            </w:tcBorders>
          </w:tcPr>
          <w:p w14:paraId="47A92CF6" w14:textId="77777777" w:rsidR="009769E5" w:rsidRPr="00624565" w:rsidRDefault="009769E5" w:rsidP="009769E5">
            <w:pPr>
              <w:ind w:right="-29"/>
              <w:jc w:val="center"/>
              <w:rPr>
                <w:noProof/>
                <w:sz w:val="18"/>
                <w:szCs w:val="18"/>
              </w:rPr>
            </w:pPr>
          </w:p>
        </w:tc>
        <w:tc>
          <w:tcPr>
            <w:tcW w:w="720" w:type="dxa"/>
            <w:tcBorders>
              <w:left w:val="dashSmallGap" w:sz="4" w:space="0" w:color="auto"/>
            </w:tcBorders>
          </w:tcPr>
          <w:p w14:paraId="402EB3BB" w14:textId="77777777" w:rsidR="009769E5" w:rsidRPr="00624565" w:rsidRDefault="009769E5" w:rsidP="009769E5">
            <w:pPr>
              <w:ind w:right="-29"/>
              <w:jc w:val="center"/>
              <w:rPr>
                <w:noProof/>
                <w:sz w:val="18"/>
                <w:szCs w:val="18"/>
              </w:rPr>
            </w:pPr>
          </w:p>
        </w:tc>
        <w:tc>
          <w:tcPr>
            <w:tcW w:w="720" w:type="dxa"/>
            <w:tcBorders>
              <w:right w:val="dashSmallGap" w:sz="4" w:space="0" w:color="auto"/>
            </w:tcBorders>
          </w:tcPr>
          <w:p w14:paraId="5AB1E905" w14:textId="77777777" w:rsidR="009769E5" w:rsidRPr="00624565" w:rsidRDefault="009769E5" w:rsidP="009769E5">
            <w:pPr>
              <w:ind w:right="-29"/>
              <w:jc w:val="center"/>
              <w:rPr>
                <w:noProof/>
                <w:sz w:val="18"/>
                <w:szCs w:val="18"/>
              </w:rPr>
            </w:pPr>
          </w:p>
        </w:tc>
        <w:tc>
          <w:tcPr>
            <w:tcW w:w="720" w:type="dxa"/>
            <w:tcBorders>
              <w:left w:val="dashSmallGap" w:sz="4" w:space="0" w:color="auto"/>
            </w:tcBorders>
          </w:tcPr>
          <w:p w14:paraId="764547B8" w14:textId="77777777" w:rsidR="009769E5" w:rsidRPr="00624565" w:rsidRDefault="009769E5" w:rsidP="009769E5">
            <w:pPr>
              <w:ind w:right="-29"/>
              <w:jc w:val="center"/>
              <w:rPr>
                <w:noProof/>
                <w:sz w:val="18"/>
                <w:szCs w:val="18"/>
              </w:rPr>
            </w:pPr>
          </w:p>
        </w:tc>
        <w:tc>
          <w:tcPr>
            <w:tcW w:w="900" w:type="dxa"/>
            <w:tcBorders>
              <w:right w:val="dashSmallGap" w:sz="4" w:space="0" w:color="auto"/>
            </w:tcBorders>
          </w:tcPr>
          <w:p w14:paraId="5ADD550E" w14:textId="77777777" w:rsidR="009769E5" w:rsidRPr="00624565" w:rsidRDefault="009769E5" w:rsidP="009769E5">
            <w:pPr>
              <w:ind w:right="-29"/>
              <w:jc w:val="center"/>
              <w:rPr>
                <w:noProof/>
                <w:sz w:val="18"/>
                <w:szCs w:val="18"/>
              </w:rPr>
            </w:pPr>
          </w:p>
        </w:tc>
        <w:tc>
          <w:tcPr>
            <w:tcW w:w="720" w:type="dxa"/>
            <w:gridSpan w:val="2"/>
            <w:tcBorders>
              <w:left w:val="dashSmallGap" w:sz="4" w:space="0" w:color="auto"/>
            </w:tcBorders>
          </w:tcPr>
          <w:p w14:paraId="7814D39F" w14:textId="77777777" w:rsidR="009769E5" w:rsidRPr="00624565" w:rsidRDefault="009769E5" w:rsidP="009769E5">
            <w:pPr>
              <w:ind w:right="-29"/>
              <w:jc w:val="center"/>
              <w:rPr>
                <w:noProof/>
                <w:sz w:val="18"/>
                <w:szCs w:val="18"/>
              </w:rPr>
            </w:pPr>
          </w:p>
        </w:tc>
        <w:tc>
          <w:tcPr>
            <w:tcW w:w="540" w:type="dxa"/>
            <w:tcBorders>
              <w:right w:val="dashSmallGap" w:sz="4" w:space="0" w:color="auto"/>
            </w:tcBorders>
          </w:tcPr>
          <w:p w14:paraId="52077D49" w14:textId="77777777" w:rsidR="009769E5" w:rsidRPr="00624565" w:rsidRDefault="009769E5" w:rsidP="009769E5">
            <w:pPr>
              <w:ind w:right="-29"/>
              <w:jc w:val="center"/>
              <w:rPr>
                <w:noProof/>
                <w:sz w:val="18"/>
                <w:szCs w:val="18"/>
              </w:rPr>
            </w:pPr>
          </w:p>
        </w:tc>
        <w:tc>
          <w:tcPr>
            <w:tcW w:w="648" w:type="dxa"/>
            <w:tcBorders>
              <w:left w:val="dashSmallGap" w:sz="4" w:space="0" w:color="auto"/>
            </w:tcBorders>
          </w:tcPr>
          <w:p w14:paraId="045E438C" w14:textId="77777777" w:rsidR="009769E5" w:rsidRPr="00624565" w:rsidRDefault="009769E5" w:rsidP="009769E5">
            <w:pPr>
              <w:ind w:right="-29"/>
              <w:jc w:val="center"/>
              <w:rPr>
                <w:noProof/>
                <w:sz w:val="18"/>
                <w:szCs w:val="18"/>
              </w:rPr>
            </w:pPr>
          </w:p>
        </w:tc>
        <w:tc>
          <w:tcPr>
            <w:tcW w:w="432" w:type="dxa"/>
            <w:tcBorders>
              <w:right w:val="dashSmallGap" w:sz="4" w:space="0" w:color="auto"/>
            </w:tcBorders>
          </w:tcPr>
          <w:p w14:paraId="2F520629" w14:textId="77777777" w:rsidR="009769E5" w:rsidRPr="00624565" w:rsidRDefault="009769E5" w:rsidP="009769E5">
            <w:pPr>
              <w:ind w:right="-29"/>
              <w:jc w:val="center"/>
              <w:rPr>
                <w:noProof/>
                <w:sz w:val="18"/>
                <w:szCs w:val="18"/>
              </w:rPr>
            </w:pPr>
          </w:p>
        </w:tc>
        <w:tc>
          <w:tcPr>
            <w:tcW w:w="720" w:type="dxa"/>
            <w:tcBorders>
              <w:left w:val="dashSmallGap" w:sz="4" w:space="0" w:color="auto"/>
            </w:tcBorders>
          </w:tcPr>
          <w:p w14:paraId="78C3247D" w14:textId="77777777" w:rsidR="009769E5" w:rsidRPr="00624565" w:rsidRDefault="009769E5" w:rsidP="009769E5">
            <w:pPr>
              <w:ind w:right="-29"/>
              <w:jc w:val="center"/>
              <w:rPr>
                <w:noProof/>
                <w:sz w:val="18"/>
                <w:szCs w:val="18"/>
              </w:rPr>
            </w:pPr>
          </w:p>
        </w:tc>
        <w:tc>
          <w:tcPr>
            <w:tcW w:w="540" w:type="dxa"/>
            <w:tcBorders>
              <w:right w:val="dashSmallGap" w:sz="4" w:space="0" w:color="auto"/>
            </w:tcBorders>
          </w:tcPr>
          <w:p w14:paraId="715BC831" w14:textId="77777777" w:rsidR="009769E5" w:rsidRPr="00624565" w:rsidRDefault="009769E5" w:rsidP="009769E5">
            <w:pPr>
              <w:ind w:right="-29"/>
              <w:jc w:val="center"/>
              <w:rPr>
                <w:noProof/>
                <w:sz w:val="18"/>
                <w:szCs w:val="18"/>
              </w:rPr>
            </w:pPr>
          </w:p>
        </w:tc>
        <w:tc>
          <w:tcPr>
            <w:tcW w:w="720" w:type="dxa"/>
            <w:tcBorders>
              <w:left w:val="dashSmallGap" w:sz="4" w:space="0" w:color="auto"/>
            </w:tcBorders>
          </w:tcPr>
          <w:p w14:paraId="691BF882" w14:textId="77777777" w:rsidR="009769E5" w:rsidRPr="00624565" w:rsidRDefault="009769E5" w:rsidP="009769E5">
            <w:pPr>
              <w:ind w:right="-29"/>
              <w:jc w:val="center"/>
              <w:rPr>
                <w:noProof/>
                <w:sz w:val="18"/>
                <w:szCs w:val="18"/>
              </w:rPr>
            </w:pPr>
          </w:p>
        </w:tc>
        <w:tc>
          <w:tcPr>
            <w:tcW w:w="720" w:type="dxa"/>
          </w:tcPr>
          <w:p w14:paraId="7119850A" w14:textId="77777777" w:rsidR="009769E5" w:rsidRPr="00624565" w:rsidRDefault="009769E5" w:rsidP="009769E5">
            <w:pPr>
              <w:ind w:right="-29"/>
              <w:jc w:val="center"/>
              <w:rPr>
                <w:noProof/>
                <w:sz w:val="18"/>
                <w:szCs w:val="18"/>
              </w:rPr>
            </w:pPr>
          </w:p>
        </w:tc>
        <w:tc>
          <w:tcPr>
            <w:tcW w:w="900" w:type="dxa"/>
          </w:tcPr>
          <w:p w14:paraId="7B11CD76" w14:textId="77777777" w:rsidR="009769E5" w:rsidRPr="00624565" w:rsidRDefault="009769E5" w:rsidP="009769E5">
            <w:pPr>
              <w:ind w:right="-29"/>
              <w:jc w:val="center"/>
              <w:rPr>
                <w:noProof/>
                <w:sz w:val="18"/>
                <w:szCs w:val="18"/>
              </w:rPr>
            </w:pPr>
          </w:p>
        </w:tc>
      </w:tr>
      <w:tr w:rsidR="009769E5" w:rsidRPr="00624565" w14:paraId="66326AD2" w14:textId="77777777" w:rsidTr="009769E5">
        <w:trPr>
          <w:trHeight w:hRule="exact" w:val="369"/>
          <w:jc w:val="center"/>
        </w:trPr>
        <w:tc>
          <w:tcPr>
            <w:tcW w:w="1423" w:type="dxa"/>
          </w:tcPr>
          <w:p w14:paraId="394EA5A2" w14:textId="77777777" w:rsidR="009769E5" w:rsidRPr="00624565" w:rsidRDefault="009769E5" w:rsidP="009769E5">
            <w:pPr>
              <w:ind w:right="-29"/>
              <w:jc w:val="center"/>
              <w:rPr>
                <w:noProof/>
                <w:sz w:val="18"/>
                <w:szCs w:val="18"/>
              </w:rPr>
            </w:pPr>
            <w:r w:rsidRPr="00624565">
              <w:rPr>
                <w:noProof/>
                <w:sz w:val="18"/>
              </w:rPr>
              <w:t>- Produkt</w:t>
            </w:r>
          </w:p>
        </w:tc>
        <w:tc>
          <w:tcPr>
            <w:tcW w:w="720" w:type="dxa"/>
          </w:tcPr>
          <w:p w14:paraId="19351A63" w14:textId="77777777" w:rsidR="009769E5" w:rsidRPr="00624565" w:rsidRDefault="009769E5" w:rsidP="009769E5">
            <w:pPr>
              <w:ind w:right="-29"/>
              <w:jc w:val="center"/>
              <w:rPr>
                <w:noProof/>
                <w:sz w:val="18"/>
                <w:szCs w:val="18"/>
              </w:rPr>
            </w:pPr>
          </w:p>
        </w:tc>
        <w:tc>
          <w:tcPr>
            <w:tcW w:w="701" w:type="dxa"/>
          </w:tcPr>
          <w:p w14:paraId="2541F5F9" w14:textId="77777777" w:rsidR="009769E5" w:rsidRPr="00624565" w:rsidRDefault="009769E5" w:rsidP="009769E5">
            <w:pPr>
              <w:ind w:right="-29"/>
              <w:jc w:val="center"/>
              <w:rPr>
                <w:noProof/>
                <w:sz w:val="18"/>
                <w:szCs w:val="18"/>
              </w:rPr>
            </w:pPr>
          </w:p>
        </w:tc>
        <w:tc>
          <w:tcPr>
            <w:tcW w:w="504" w:type="dxa"/>
          </w:tcPr>
          <w:p w14:paraId="6E861929" w14:textId="77777777" w:rsidR="009769E5" w:rsidRPr="00624565" w:rsidRDefault="009769E5" w:rsidP="009769E5">
            <w:pPr>
              <w:ind w:right="-29"/>
              <w:jc w:val="center"/>
              <w:rPr>
                <w:noProof/>
                <w:sz w:val="18"/>
                <w:szCs w:val="18"/>
              </w:rPr>
            </w:pPr>
          </w:p>
        </w:tc>
        <w:tc>
          <w:tcPr>
            <w:tcW w:w="720" w:type="dxa"/>
          </w:tcPr>
          <w:p w14:paraId="29803394" w14:textId="77777777" w:rsidR="009769E5" w:rsidRPr="00624565" w:rsidRDefault="009769E5" w:rsidP="009769E5">
            <w:pPr>
              <w:ind w:right="-29"/>
              <w:jc w:val="center"/>
              <w:rPr>
                <w:noProof/>
                <w:sz w:val="18"/>
                <w:szCs w:val="18"/>
              </w:rPr>
            </w:pPr>
          </w:p>
        </w:tc>
        <w:tc>
          <w:tcPr>
            <w:tcW w:w="540" w:type="dxa"/>
          </w:tcPr>
          <w:p w14:paraId="36478E02" w14:textId="77777777" w:rsidR="009769E5" w:rsidRPr="00624565" w:rsidRDefault="009769E5" w:rsidP="009769E5">
            <w:pPr>
              <w:ind w:right="-29"/>
              <w:jc w:val="center"/>
              <w:rPr>
                <w:noProof/>
                <w:sz w:val="18"/>
                <w:szCs w:val="18"/>
              </w:rPr>
            </w:pPr>
          </w:p>
        </w:tc>
        <w:tc>
          <w:tcPr>
            <w:tcW w:w="720" w:type="dxa"/>
          </w:tcPr>
          <w:p w14:paraId="721FA303" w14:textId="77777777" w:rsidR="009769E5" w:rsidRPr="00624565" w:rsidRDefault="009769E5" w:rsidP="009769E5">
            <w:pPr>
              <w:ind w:right="-29"/>
              <w:jc w:val="center"/>
              <w:rPr>
                <w:noProof/>
                <w:sz w:val="18"/>
                <w:szCs w:val="18"/>
              </w:rPr>
            </w:pPr>
          </w:p>
        </w:tc>
        <w:tc>
          <w:tcPr>
            <w:tcW w:w="720" w:type="dxa"/>
          </w:tcPr>
          <w:p w14:paraId="42BDA473" w14:textId="77777777" w:rsidR="009769E5" w:rsidRPr="00624565" w:rsidRDefault="009769E5" w:rsidP="009769E5">
            <w:pPr>
              <w:ind w:right="-29"/>
              <w:jc w:val="center"/>
              <w:rPr>
                <w:noProof/>
                <w:sz w:val="18"/>
                <w:szCs w:val="18"/>
              </w:rPr>
            </w:pPr>
          </w:p>
        </w:tc>
        <w:tc>
          <w:tcPr>
            <w:tcW w:w="720" w:type="dxa"/>
          </w:tcPr>
          <w:p w14:paraId="005A9B16" w14:textId="77777777" w:rsidR="009769E5" w:rsidRPr="00624565" w:rsidRDefault="009769E5" w:rsidP="009769E5">
            <w:pPr>
              <w:ind w:right="-29"/>
              <w:jc w:val="center"/>
              <w:rPr>
                <w:noProof/>
                <w:sz w:val="18"/>
                <w:szCs w:val="18"/>
              </w:rPr>
            </w:pPr>
          </w:p>
        </w:tc>
        <w:tc>
          <w:tcPr>
            <w:tcW w:w="900" w:type="dxa"/>
          </w:tcPr>
          <w:p w14:paraId="2EFC3D29" w14:textId="77777777" w:rsidR="009769E5" w:rsidRPr="00624565" w:rsidRDefault="009769E5" w:rsidP="009769E5">
            <w:pPr>
              <w:ind w:right="-29"/>
              <w:jc w:val="center"/>
              <w:rPr>
                <w:noProof/>
                <w:sz w:val="18"/>
                <w:szCs w:val="18"/>
              </w:rPr>
            </w:pPr>
          </w:p>
        </w:tc>
        <w:tc>
          <w:tcPr>
            <w:tcW w:w="720" w:type="dxa"/>
            <w:gridSpan w:val="2"/>
          </w:tcPr>
          <w:p w14:paraId="1DC32125" w14:textId="77777777" w:rsidR="009769E5" w:rsidRPr="00624565" w:rsidRDefault="009769E5" w:rsidP="009769E5">
            <w:pPr>
              <w:ind w:right="-29"/>
              <w:jc w:val="center"/>
              <w:rPr>
                <w:noProof/>
                <w:sz w:val="18"/>
                <w:szCs w:val="18"/>
              </w:rPr>
            </w:pPr>
          </w:p>
        </w:tc>
        <w:tc>
          <w:tcPr>
            <w:tcW w:w="540" w:type="dxa"/>
          </w:tcPr>
          <w:p w14:paraId="61DB42BC" w14:textId="77777777" w:rsidR="009769E5" w:rsidRPr="00624565" w:rsidRDefault="009769E5" w:rsidP="009769E5">
            <w:pPr>
              <w:ind w:right="-29"/>
              <w:jc w:val="center"/>
              <w:rPr>
                <w:noProof/>
                <w:sz w:val="18"/>
                <w:szCs w:val="18"/>
              </w:rPr>
            </w:pPr>
          </w:p>
        </w:tc>
        <w:tc>
          <w:tcPr>
            <w:tcW w:w="648" w:type="dxa"/>
          </w:tcPr>
          <w:p w14:paraId="339C0C46" w14:textId="77777777" w:rsidR="009769E5" w:rsidRPr="00624565" w:rsidRDefault="009769E5" w:rsidP="009769E5">
            <w:pPr>
              <w:ind w:right="-29"/>
              <w:jc w:val="center"/>
              <w:rPr>
                <w:noProof/>
                <w:sz w:val="18"/>
                <w:szCs w:val="18"/>
              </w:rPr>
            </w:pPr>
          </w:p>
        </w:tc>
        <w:tc>
          <w:tcPr>
            <w:tcW w:w="432" w:type="dxa"/>
          </w:tcPr>
          <w:p w14:paraId="048FBB71" w14:textId="77777777" w:rsidR="009769E5" w:rsidRPr="00624565" w:rsidRDefault="009769E5" w:rsidP="009769E5">
            <w:pPr>
              <w:ind w:right="-29"/>
              <w:jc w:val="center"/>
              <w:rPr>
                <w:noProof/>
                <w:sz w:val="18"/>
                <w:szCs w:val="18"/>
              </w:rPr>
            </w:pPr>
          </w:p>
        </w:tc>
        <w:tc>
          <w:tcPr>
            <w:tcW w:w="720" w:type="dxa"/>
          </w:tcPr>
          <w:p w14:paraId="191681A5" w14:textId="77777777" w:rsidR="009769E5" w:rsidRPr="00624565" w:rsidRDefault="009769E5" w:rsidP="009769E5">
            <w:pPr>
              <w:ind w:right="-29"/>
              <w:jc w:val="center"/>
              <w:rPr>
                <w:noProof/>
                <w:sz w:val="18"/>
                <w:szCs w:val="18"/>
              </w:rPr>
            </w:pPr>
          </w:p>
        </w:tc>
        <w:tc>
          <w:tcPr>
            <w:tcW w:w="540" w:type="dxa"/>
          </w:tcPr>
          <w:p w14:paraId="0F785523" w14:textId="77777777" w:rsidR="009769E5" w:rsidRPr="00624565" w:rsidRDefault="009769E5" w:rsidP="009769E5">
            <w:pPr>
              <w:ind w:right="-29"/>
              <w:jc w:val="center"/>
              <w:rPr>
                <w:noProof/>
                <w:sz w:val="18"/>
                <w:szCs w:val="18"/>
              </w:rPr>
            </w:pPr>
          </w:p>
        </w:tc>
        <w:tc>
          <w:tcPr>
            <w:tcW w:w="720" w:type="dxa"/>
          </w:tcPr>
          <w:p w14:paraId="1666CA0D" w14:textId="77777777" w:rsidR="009769E5" w:rsidRPr="00624565" w:rsidRDefault="009769E5" w:rsidP="009769E5">
            <w:pPr>
              <w:ind w:right="-29"/>
              <w:jc w:val="center"/>
              <w:rPr>
                <w:noProof/>
                <w:sz w:val="18"/>
                <w:szCs w:val="18"/>
              </w:rPr>
            </w:pPr>
          </w:p>
        </w:tc>
        <w:tc>
          <w:tcPr>
            <w:tcW w:w="720" w:type="dxa"/>
          </w:tcPr>
          <w:p w14:paraId="00622041" w14:textId="77777777" w:rsidR="009769E5" w:rsidRPr="00624565" w:rsidRDefault="009769E5" w:rsidP="009769E5">
            <w:pPr>
              <w:ind w:right="-29"/>
              <w:jc w:val="center"/>
              <w:rPr>
                <w:noProof/>
                <w:sz w:val="18"/>
                <w:szCs w:val="18"/>
              </w:rPr>
            </w:pPr>
          </w:p>
        </w:tc>
        <w:tc>
          <w:tcPr>
            <w:tcW w:w="900" w:type="dxa"/>
          </w:tcPr>
          <w:p w14:paraId="4F7C14AF" w14:textId="77777777" w:rsidR="009769E5" w:rsidRPr="00624565" w:rsidRDefault="009769E5" w:rsidP="009769E5">
            <w:pPr>
              <w:ind w:right="-29"/>
              <w:jc w:val="center"/>
              <w:rPr>
                <w:noProof/>
                <w:sz w:val="18"/>
                <w:szCs w:val="18"/>
              </w:rPr>
            </w:pPr>
          </w:p>
        </w:tc>
      </w:tr>
      <w:tr w:rsidR="009769E5" w:rsidRPr="00624565" w14:paraId="5AE30BC0" w14:textId="77777777" w:rsidTr="009769E5">
        <w:trPr>
          <w:trHeight w:val="77"/>
          <w:jc w:val="center"/>
        </w:trPr>
        <w:tc>
          <w:tcPr>
            <w:tcW w:w="2844" w:type="dxa"/>
            <w:gridSpan w:val="3"/>
            <w:tcBorders>
              <w:bottom w:val="single" w:sz="12" w:space="0" w:color="auto"/>
            </w:tcBorders>
            <w:vAlign w:val="center"/>
          </w:tcPr>
          <w:p w14:paraId="3738DC12" w14:textId="795B8362" w:rsidR="009769E5" w:rsidRPr="00624565" w:rsidRDefault="009769E5" w:rsidP="009769E5">
            <w:pPr>
              <w:ind w:right="-29"/>
              <w:jc w:val="center"/>
              <w:rPr>
                <w:noProof/>
                <w:sz w:val="18"/>
                <w:szCs w:val="18"/>
              </w:rPr>
            </w:pPr>
            <w:r w:rsidRPr="00624565">
              <w:rPr>
                <w:noProof/>
                <w:sz w:val="18"/>
              </w:rPr>
              <w:t xml:space="preserve">Cel szczegółowy </w:t>
            </w:r>
            <w:r w:rsidRPr="003F3D2B">
              <w:rPr>
                <w:noProof/>
                <w:sz w:val="18"/>
              </w:rPr>
              <w:t>nr</w:t>
            </w:r>
            <w:r w:rsidR="003F3D2B" w:rsidRPr="003F3D2B">
              <w:rPr>
                <w:noProof/>
                <w:sz w:val="18"/>
              </w:rPr>
              <w:t> </w:t>
            </w:r>
            <w:r w:rsidRPr="003F3D2B">
              <w:rPr>
                <w:noProof/>
                <w:sz w:val="18"/>
              </w:rPr>
              <w:t>1</w:t>
            </w:r>
            <w:r w:rsidRPr="00624565">
              <w:rPr>
                <w:noProof/>
                <w:sz w:val="18"/>
              </w:rPr>
              <w:t xml:space="preserve"> – suma cząstkowa</w:t>
            </w:r>
          </w:p>
        </w:tc>
        <w:tc>
          <w:tcPr>
            <w:tcW w:w="504" w:type="dxa"/>
            <w:tcBorders>
              <w:bottom w:val="single" w:sz="12" w:space="0" w:color="auto"/>
            </w:tcBorders>
          </w:tcPr>
          <w:p w14:paraId="1B5F79F4" w14:textId="77777777" w:rsidR="009769E5" w:rsidRPr="00624565" w:rsidRDefault="009769E5" w:rsidP="009769E5">
            <w:pPr>
              <w:ind w:right="-29"/>
              <w:jc w:val="center"/>
              <w:rPr>
                <w:noProof/>
                <w:sz w:val="18"/>
                <w:szCs w:val="18"/>
              </w:rPr>
            </w:pPr>
          </w:p>
        </w:tc>
        <w:tc>
          <w:tcPr>
            <w:tcW w:w="720" w:type="dxa"/>
            <w:tcBorders>
              <w:bottom w:val="single" w:sz="12" w:space="0" w:color="auto"/>
            </w:tcBorders>
          </w:tcPr>
          <w:p w14:paraId="38D65032" w14:textId="77777777" w:rsidR="009769E5" w:rsidRPr="00624565" w:rsidRDefault="009769E5" w:rsidP="009769E5">
            <w:pPr>
              <w:ind w:right="-29"/>
              <w:jc w:val="center"/>
              <w:rPr>
                <w:noProof/>
                <w:sz w:val="18"/>
                <w:szCs w:val="18"/>
              </w:rPr>
            </w:pPr>
          </w:p>
        </w:tc>
        <w:tc>
          <w:tcPr>
            <w:tcW w:w="540" w:type="dxa"/>
            <w:tcBorders>
              <w:bottom w:val="single" w:sz="12" w:space="0" w:color="auto"/>
            </w:tcBorders>
          </w:tcPr>
          <w:p w14:paraId="10CF5DBE" w14:textId="77777777" w:rsidR="009769E5" w:rsidRPr="00624565" w:rsidRDefault="009769E5" w:rsidP="009769E5">
            <w:pPr>
              <w:ind w:right="-29"/>
              <w:jc w:val="center"/>
              <w:rPr>
                <w:noProof/>
                <w:sz w:val="18"/>
                <w:szCs w:val="18"/>
              </w:rPr>
            </w:pPr>
          </w:p>
        </w:tc>
        <w:tc>
          <w:tcPr>
            <w:tcW w:w="720" w:type="dxa"/>
            <w:tcBorders>
              <w:bottom w:val="single" w:sz="12" w:space="0" w:color="auto"/>
            </w:tcBorders>
          </w:tcPr>
          <w:p w14:paraId="7E4BF1C0" w14:textId="77777777" w:rsidR="009769E5" w:rsidRPr="00624565" w:rsidRDefault="009769E5" w:rsidP="009769E5">
            <w:pPr>
              <w:ind w:right="-29"/>
              <w:jc w:val="center"/>
              <w:rPr>
                <w:noProof/>
                <w:sz w:val="18"/>
                <w:szCs w:val="18"/>
              </w:rPr>
            </w:pPr>
          </w:p>
        </w:tc>
        <w:tc>
          <w:tcPr>
            <w:tcW w:w="720" w:type="dxa"/>
            <w:tcBorders>
              <w:bottom w:val="single" w:sz="12" w:space="0" w:color="auto"/>
            </w:tcBorders>
          </w:tcPr>
          <w:p w14:paraId="428647A3" w14:textId="77777777" w:rsidR="009769E5" w:rsidRPr="00624565" w:rsidRDefault="009769E5" w:rsidP="009769E5">
            <w:pPr>
              <w:ind w:right="-29"/>
              <w:jc w:val="center"/>
              <w:rPr>
                <w:noProof/>
                <w:sz w:val="18"/>
                <w:szCs w:val="18"/>
              </w:rPr>
            </w:pPr>
          </w:p>
        </w:tc>
        <w:tc>
          <w:tcPr>
            <w:tcW w:w="720" w:type="dxa"/>
            <w:tcBorders>
              <w:bottom w:val="single" w:sz="12" w:space="0" w:color="auto"/>
            </w:tcBorders>
          </w:tcPr>
          <w:p w14:paraId="34771FD7" w14:textId="77777777" w:rsidR="009769E5" w:rsidRPr="00624565" w:rsidRDefault="009769E5" w:rsidP="009769E5">
            <w:pPr>
              <w:ind w:right="-29"/>
              <w:jc w:val="center"/>
              <w:rPr>
                <w:noProof/>
                <w:sz w:val="18"/>
                <w:szCs w:val="18"/>
              </w:rPr>
            </w:pPr>
          </w:p>
        </w:tc>
        <w:tc>
          <w:tcPr>
            <w:tcW w:w="900" w:type="dxa"/>
            <w:tcBorders>
              <w:bottom w:val="single" w:sz="12" w:space="0" w:color="auto"/>
            </w:tcBorders>
          </w:tcPr>
          <w:p w14:paraId="590D5CF6" w14:textId="77777777" w:rsidR="009769E5" w:rsidRPr="00624565" w:rsidRDefault="009769E5" w:rsidP="009769E5">
            <w:pPr>
              <w:ind w:right="-29"/>
              <w:jc w:val="center"/>
              <w:rPr>
                <w:noProof/>
                <w:sz w:val="18"/>
                <w:szCs w:val="18"/>
              </w:rPr>
            </w:pPr>
          </w:p>
        </w:tc>
        <w:tc>
          <w:tcPr>
            <w:tcW w:w="720" w:type="dxa"/>
            <w:gridSpan w:val="2"/>
            <w:tcBorders>
              <w:bottom w:val="single" w:sz="12" w:space="0" w:color="auto"/>
            </w:tcBorders>
          </w:tcPr>
          <w:p w14:paraId="70B42BBF" w14:textId="77777777" w:rsidR="009769E5" w:rsidRPr="00624565" w:rsidRDefault="009769E5" w:rsidP="009769E5">
            <w:pPr>
              <w:ind w:right="-29"/>
              <w:jc w:val="center"/>
              <w:rPr>
                <w:noProof/>
                <w:sz w:val="18"/>
                <w:szCs w:val="18"/>
              </w:rPr>
            </w:pPr>
          </w:p>
        </w:tc>
        <w:tc>
          <w:tcPr>
            <w:tcW w:w="540" w:type="dxa"/>
            <w:tcBorders>
              <w:bottom w:val="single" w:sz="12" w:space="0" w:color="auto"/>
            </w:tcBorders>
          </w:tcPr>
          <w:p w14:paraId="4AFF2B2F" w14:textId="77777777" w:rsidR="009769E5" w:rsidRPr="00624565" w:rsidRDefault="009769E5" w:rsidP="009769E5">
            <w:pPr>
              <w:ind w:right="-29"/>
              <w:jc w:val="center"/>
              <w:rPr>
                <w:noProof/>
                <w:sz w:val="18"/>
                <w:szCs w:val="18"/>
              </w:rPr>
            </w:pPr>
          </w:p>
        </w:tc>
        <w:tc>
          <w:tcPr>
            <w:tcW w:w="648" w:type="dxa"/>
            <w:tcBorders>
              <w:bottom w:val="single" w:sz="12" w:space="0" w:color="auto"/>
            </w:tcBorders>
          </w:tcPr>
          <w:p w14:paraId="3A287A06" w14:textId="77777777" w:rsidR="009769E5" w:rsidRPr="00624565" w:rsidRDefault="009769E5" w:rsidP="009769E5">
            <w:pPr>
              <w:ind w:right="-29"/>
              <w:jc w:val="center"/>
              <w:rPr>
                <w:noProof/>
                <w:sz w:val="18"/>
                <w:szCs w:val="18"/>
              </w:rPr>
            </w:pPr>
          </w:p>
        </w:tc>
        <w:tc>
          <w:tcPr>
            <w:tcW w:w="432" w:type="dxa"/>
            <w:tcBorders>
              <w:bottom w:val="single" w:sz="12" w:space="0" w:color="auto"/>
            </w:tcBorders>
          </w:tcPr>
          <w:p w14:paraId="3DDE0AC0" w14:textId="77777777" w:rsidR="009769E5" w:rsidRPr="00624565" w:rsidRDefault="009769E5" w:rsidP="009769E5">
            <w:pPr>
              <w:ind w:right="-29"/>
              <w:jc w:val="center"/>
              <w:rPr>
                <w:noProof/>
                <w:sz w:val="18"/>
                <w:szCs w:val="18"/>
              </w:rPr>
            </w:pPr>
          </w:p>
        </w:tc>
        <w:tc>
          <w:tcPr>
            <w:tcW w:w="720" w:type="dxa"/>
            <w:tcBorders>
              <w:bottom w:val="single" w:sz="12" w:space="0" w:color="auto"/>
            </w:tcBorders>
          </w:tcPr>
          <w:p w14:paraId="0A4F4809" w14:textId="77777777" w:rsidR="009769E5" w:rsidRPr="00624565" w:rsidRDefault="009769E5" w:rsidP="009769E5">
            <w:pPr>
              <w:ind w:right="-29"/>
              <w:jc w:val="center"/>
              <w:rPr>
                <w:noProof/>
                <w:sz w:val="18"/>
                <w:szCs w:val="18"/>
              </w:rPr>
            </w:pPr>
          </w:p>
        </w:tc>
        <w:tc>
          <w:tcPr>
            <w:tcW w:w="540" w:type="dxa"/>
            <w:tcBorders>
              <w:bottom w:val="single" w:sz="12" w:space="0" w:color="auto"/>
            </w:tcBorders>
          </w:tcPr>
          <w:p w14:paraId="1E8B4468" w14:textId="77777777" w:rsidR="009769E5" w:rsidRPr="00624565" w:rsidRDefault="009769E5" w:rsidP="009769E5">
            <w:pPr>
              <w:ind w:right="-29"/>
              <w:jc w:val="center"/>
              <w:rPr>
                <w:noProof/>
                <w:sz w:val="18"/>
                <w:szCs w:val="18"/>
              </w:rPr>
            </w:pPr>
          </w:p>
        </w:tc>
        <w:tc>
          <w:tcPr>
            <w:tcW w:w="720" w:type="dxa"/>
            <w:tcBorders>
              <w:bottom w:val="single" w:sz="12" w:space="0" w:color="auto"/>
            </w:tcBorders>
          </w:tcPr>
          <w:p w14:paraId="5FCC1A07" w14:textId="77777777" w:rsidR="009769E5" w:rsidRPr="00624565" w:rsidRDefault="009769E5" w:rsidP="009769E5">
            <w:pPr>
              <w:ind w:right="-29"/>
              <w:jc w:val="center"/>
              <w:rPr>
                <w:noProof/>
                <w:sz w:val="18"/>
                <w:szCs w:val="18"/>
              </w:rPr>
            </w:pPr>
          </w:p>
        </w:tc>
        <w:tc>
          <w:tcPr>
            <w:tcW w:w="720" w:type="dxa"/>
            <w:tcBorders>
              <w:bottom w:val="single" w:sz="12" w:space="0" w:color="auto"/>
            </w:tcBorders>
          </w:tcPr>
          <w:p w14:paraId="340F6CFD" w14:textId="77777777" w:rsidR="009769E5" w:rsidRPr="00624565" w:rsidRDefault="009769E5" w:rsidP="009769E5">
            <w:pPr>
              <w:ind w:right="-29"/>
              <w:jc w:val="center"/>
              <w:rPr>
                <w:noProof/>
                <w:sz w:val="18"/>
                <w:szCs w:val="18"/>
              </w:rPr>
            </w:pPr>
          </w:p>
        </w:tc>
        <w:tc>
          <w:tcPr>
            <w:tcW w:w="900" w:type="dxa"/>
            <w:tcBorders>
              <w:bottom w:val="single" w:sz="12" w:space="0" w:color="auto"/>
            </w:tcBorders>
          </w:tcPr>
          <w:p w14:paraId="4ED4F5B5" w14:textId="77777777" w:rsidR="009769E5" w:rsidRPr="00624565" w:rsidRDefault="009769E5" w:rsidP="009769E5">
            <w:pPr>
              <w:ind w:right="-29"/>
              <w:jc w:val="center"/>
              <w:rPr>
                <w:noProof/>
                <w:sz w:val="18"/>
                <w:szCs w:val="18"/>
              </w:rPr>
            </w:pPr>
          </w:p>
        </w:tc>
      </w:tr>
      <w:tr w:rsidR="009769E5" w:rsidRPr="00624565" w14:paraId="2203DE2A" w14:textId="77777777" w:rsidTr="009769E5">
        <w:trPr>
          <w:jc w:val="center"/>
        </w:trPr>
        <w:tc>
          <w:tcPr>
            <w:tcW w:w="2844" w:type="dxa"/>
            <w:gridSpan w:val="3"/>
            <w:vAlign w:val="center"/>
          </w:tcPr>
          <w:p w14:paraId="5346AD46" w14:textId="2374F93A" w:rsidR="009769E5" w:rsidRPr="00624565" w:rsidRDefault="009769E5" w:rsidP="009769E5">
            <w:pPr>
              <w:spacing w:before="60" w:after="60"/>
              <w:ind w:right="-29"/>
              <w:jc w:val="center"/>
              <w:rPr>
                <w:noProof/>
                <w:sz w:val="18"/>
                <w:szCs w:val="18"/>
              </w:rPr>
            </w:pPr>
            <w:r w:rsidRPr="00624565">
              <w:rPr>
                <w:noProof/>
                <w:sz w:val="18"/>
              </w:rPr>
              <w:t xml:space="preserve">CEL SZCZEGÓŁOWY </w:t>
            </w:r>
            <w:r w:rsidRPr="003F3D2B">
              <w:rPr>
                <w:noProof/>
                <w:sz w:val="18"/>
              </w:rPr>
              <w:t>nr</w:t>
            </w:r>
            <w:r w:rsidR="003F3D2B" w:rsidRPr="003F3D2B">
              <w:rPr>
                <w:noProof/>
                <w:sz w:val="18"/>
              </w:rPr>
              <w:t> </w:t>
            </w:r>
            <w:r w:rsidRPr="003F3D2B">
              <w:rPr>
                <w:noProof/>
                <w:sz w:val="18"/>
              </w:rPr>
              <w:t>2</w:t>
            </w:r>
          </w:p>
        </w:tc>
        <w:tc>
          <w:tcPr>
            <w:tcW w:w="504" w:type="dxa"/>
            <w:tcBorders>
              <w:top w:val="nil"/>
              <w:left w:val="nil"/>
              <w:bottom w:val="nil"/>
              <w:right w:val="nil"/>
            </w:tcBorders>
          </w:tcPr>
          <w:p w14:paraId="59723F2E" w14:textId="77777777" w:rsidR="009769E5" w:rsidRPr="00624565" w:rsidRDefault="009769E5" w:rsidP="009769E5">
            <w:pPr>
              <w:spacing w:before="60" w:after="60"/>
              <w:ind w:right="-29"/>
              <w:jc w:val="center"/>
              <w:rPr>
                <w:noProof/>
                <w:sz w:val="18"/>
                <w:szCs w:val="18"/>
              </w:rPr>
            </w:pPr>
          </w:p>
        </w:tc>
        <w:tc>
          <w:tcPr>
            <w:tcW w:w="720" w:type="dxa"/>
            <w:tcBorders>
              <w:top w:val="nil"/>
              <w:left w:val="nil"/>
              <w:bottom w:val="nil"/>
              <w:right w:val="nil"/>
            </w:tcBorders>
          </w:tcPr>
          <w:p w14:paraId="0EEE9F01" w14:textId="77777777" w:rsidR="009769E5" w:rsidRPr="00624565" w:rsidRDefault="009769E5" w:rsidP="009769E5">
            <w:pPr>
              <w:spacing w:before="60" w:after="60"/>
              <w:ind w:right="-29"/>
              <w:jc w:val="center"/>
              <w:rPr>
                <w:noProof/>
                <w:sz w:val="18"/>
                <w:szCs w:val="18"/>
              </w:rPr>
            </w:pPr>
          </w:p>
        </w:tc>
        <w:tc>
          <w:tcPr>
            <w:tcW w:w="540" w:type="dxa"/>
            <w:tcBorders>
              <w:top w:val="nil"/>
              <w:left w:val="nil"/>
              <w:bottom w:val="nil"/>
              <w:right w:val="nil"/>
            </w:tcBorders>
          </w:tcPr>
          <w:p w14:paraId="7356B44A" w14:textId="77777777" w:rsidR="009769E5" w:rsidRPr="00624565" w:rsidRDefault="009769E5" w:rsidP="009769E5">
            <w:pPr>
              <w:spacing w:before="60" w:after="60"/>
              <w:ind w:right="-29"/>
              <w:jc w:val="center"/>
              <w:rPr>
                <w:noProof/>
                <w:sz w:val="18"/>
                <w:szCs w:val="18"/>
              </w:rPr>
            </w:pPr>
          </w:p>
        </w:tc>
        <w:tc>
          <w:tcPr>
            <w:tcW w:w="720" w:type="dxa"/>
            <w:tcBorders>
              <w:top w:val="nil"/>
              <w:left w:val="nil"/>
              <w:bottom w:val="nil"/>
              <w:right w:val="nil"/>
            </w:tcBorders>
          </w:tcPr>
          <w:p w14:paraId="604F6D4C" w14:textId="77777777" w:rsidR="009769E5" w:rsidRPr="00624565" w:rsidRDefault="009769E5" w:rsidP="009769E5">
            <w:pPr>
              <w:spacing w:before="60" w:after="60"/>
              <w:ind w:right="-29"/>
              <w:jc w:val="center"/>
              <w:rPr>
                <w:noProof/>
                <w:sz w:val="18"/>
                <w:szCs w:val="18"/>
              </w:rPr>
            </w:pPr>
          </w:p>
        </w:tc>
        <w:tc>
          <w:tcPr>
            <w:tcW w:w="720" w:type="dxa"/>
            <w:tcBorders>
              <w:top w:val="nil"/>
              <w:left w:val="nil"/>
              <w:bottom w:val="nil"/>
              <w:right w:val="nil"/>
            </w:tcBorders>
          </w:tcPr>
          <w:p w14:paraId="6220E488" w14:textId="77777777" w:rsidR="009769E5" w:rsidRPr="00624565" w:rsidRDefault="009769E5" w:rsidP="009769E5">
            <w:pPr>
              <w:spacing w:before="60" w:after="60"/>
              <w:ind w:right="-29"/>
              <w:jc w:val="center"/>
              <w:rPr>
                <w:noProof/>
                <w:sz w:val="18"/>
                <w:szCs w:val="18"/>
              </w:rPr>
            </w:pPr>
          </w:p>
        </w:tc>
        <w:tc>
          <w:tcPr>
            <w:tcW w:w="720" w:type="dxa"/>
            <w:tcBorders>
              <w:top w:val="nil"/>
              <w:left w:val="nil"/>
              <w:bottom w:val="nil"/>
              <w:right w:val="nil"/>
            </w:tcBorders>
          </w:tcPr>
          <w:p w14:paraId="22EC3323" w14:textId="77777777" w:rsidR="009769E5" w:rsidRPr="00624565" w:rsidRDefault="009769E5" w:rsidP="009769E5">
            <w:pPr>
              <w:spacing w:before="60" w:after="60"/>
              <w:ind w:right="-29"/>
              <w:jc w:val="center"/>
              <w:rPr>
                <w:noProof/>
                <w:sz w:val="18"/>
                <w:szCs w:val="18"/>
              </w:rPr>
            </w:pPr>
          </w:p>
        </w:tc>
        <w:tc>
          <w:tcPr>
            <w:tcW w:w="900" w:type="dxa"/>
            <w:tcBorders>
              <w:top w:val="nil"/>
              <w:left w:val="nil"/>
              <w:bottom w:val="nil"/>
              <w:right w:val="nil"/>
            </w:tcBorders>
          </w:tcPr>
          <w:p w14:paraId="5A72979C" w14:textId="77777777" w:rsidR="009769E5" w:rsidRPr="00624565" w:rsidRDefault="009769E5" w:rsidP="009769E5">
            <w:pPr>
              <w:spacing w:before="60" w:after="60"/>
              <w:ind w:right="-29"/>
              <w:jc w:val="center"/>
              <w:rPr>
                <w:noProof/>
                <w:sz w:val="18"/>
                <w:szCs w:val="18"/>
              </w:rPr>
            </w:pPr>
          </w:p>
        </w:tc>
        <w:tc>
          <w:tcPr>
            <w:tcW w:w="720" w:type="dxa"/>
            <w:gridSpan w:val="2"/>
            <w:tcBorders>
              <w:top w:val="nil"/>
              <w:left w:val="nil"/>
              <w:bottom w:val="nil"/>
              <w:right w:val="nil"/>
            </w:tcBorders>
          </w:tcPr>
          <w:p w14:paraId="792F29F7" w14:textId="77777777" w:rsidR="009769E5" w:rsidRPr="00624565" w:rsidRDefault="009769E5" w:rsidP="009769E5">
            <w:pPr>
              <w:spacing w:before="60" w:after="60"/>
              <w:ind w:right="-29"/>
              <w:jc w:val="center"/>
              <w:rPr>
                <w:noProof/>
                <w:sz w:val="18"/>
                <w:szCs w:val="18"/>
              </w:rPr>
            </w:pPr>
          </w:p>
        </w:tc>
        <w:tc>
          <w:tcPr>
            <w:tcW w:w="540" w:type="dxa"/>
            <w:tcBorders>
              <w:top w:val="nil"/>
              <w:left w:val="nil"/>
              <w:bottom w:val="nil"/>
              <w:right w:val="nil"/>
            </w:tcBorders>
          </w:tcPr>
          <w:p w14:paraId="2169D0F5" w14:textId="77777777" w:rsidR="009769E5" w:rsidRPr="00624565" w:rsidRDefault="009769E5" w:rsidP="009769E5">
            <w:pPr>
              <w:spacing w:before="60" w:after="60"/>
              <w:ind w:right="-29"/>
              <w:jc w:val="center"/>
              <w:rPr>
                <w:noProof/>
                <w:sz w:val="18"/>
                <w:szCs w:val="18"/>
              </w:rPr>
            </w:pPr>
          </w:p>
        </w:tc>
        <w:tc>
          <w:tcPr>
            <w:tcW w:w="648" w:type="dxa"/>
            <w:tcBorders>
              <w:top w:val="nil"/>
              <w:left w:val="nil"/>
              <w:bottom w:val="nil"/>
              <w:right w:val="nil"/>
            </w:tcBorders>
          </w:tcPr>
          <w:p w14:paraId="738213F4" w14:textId="77777777" w:rsidR="009769E5" w:rsidRPr="00624565" w:rsidRDefault="009769E5" w:rsidP="009769E5">
            <w:pPr>
              <w:spacing w:before="60" w:after="60"/>
              <w:ind w:right="-29"/>
              <w:jc w:val="center"/>
              <w:rPr>
                <w:noProof/>
                <w:sz w:val="18"/>
                <w:szCs w:val="18"/>
              </w:rPr>
            </w:pPr>
          </w:p>
        </w:tc>
        <w:tc>
          <w:tcPr>
            <w:tcW w:w="432" w:type="dxa"/>
            <w:tcBorders>
              <w:top w:val="nil"/>
              <w:left w:val="nil"/>
              <w:bottom w:val="nil"/>
              <w:right w:val="nil"/>
            </w:tcBorders>
          </w:tcPr>
          <w:p w14:paraId="60446662" w14:textId="77777777" w:rsidR="009769E5" w:rsidRPr="00624565" w:rsidRDefault="009769E5" w:rsidP="009769E5">
            <w:pPr>
              <w:spacing w:before="60" w:after="60"/>
              <w:ind w:right="-29"/>
              <w:jc w:val="center"/>
              <w:rPr>
                <w:noProof/>
                <w:sz w:val="18"/>
                <w:szCs w:val="18"/>
              </w:rPr>
            </w:pPr>
          </w:p>
        </w:tc>
        <w:tc>
          <w:tcPr>
            <w:tcW w:w="720" w:type="dxa"/>
            <w:tcBorders>
              <w:top w:val="nil"/>
              <w:left w:val="nil"/>
              <w:bottom w:val="nil"/>
              <w:right w:val="nil"/>
            </w:tcBorders>
          </w:tcPr>
          <w:p w14:paraId="3B18A96D" w14:textId="77777777" w:rsidR="009769E5" w:rsidRPr="00624565" w:rsidRDefault="009769E5" w:rsidP="009769E5">
            <w:pPr>
              <w:spacing w:before="60" w:after="60"/>
              <w:ind w:right="-29"/>
              <w:jc w:val="center"/>
              <w:rPr>
                <w:noProof/>
                <w:sz w:val="18"/>
                <w:szCs w:val="18"/>
              </w:rPr>
            </w:pPr>
          </w:p>
        </w:tc>
        <w:tc>
          <w:tcPr>
            <w:tcW w:w="540" w:type="dxa"/>
            <w:tcBorders>
              <w:top w:val="nil"/>
              <w:left w:val="nil"/>
              <w:bottom w:val="nil"/>
              <w:right w:val="nil"/>
            </w:tcBorders>
          </w:tcPr>
          <w:p w14:paraId="3C287CAF" w14:textId="77777777" w:rsidR="009769E5" w:rsidRPr="00624565" w:rsidRDefault="009769E5" w:rsidP="009769E5">
            <w:pPr>
              <w:spacing w:before="60" w:after="60"/>
              <w:ind w:right="-29"/>
              <w:jc w:val="center"/>
              <w:rPr>
                <w:noProof/>
                <w:sz w:val="18"/>
                <w:szCs w:val="18"/>
              </w:rPr>
            </w:pPr>
          </w:p>
        </w:tc>
        <w:tc>
          <w:tcPr>
            <w:tcW w:w="720" w:type="dxa"/>
            <w:tcBorders>
              <w:top w:val="nil"/>
              <w:left w:val="nil"/>
              <w:bottom w:val="nil"/>
              <w:right w:val="nil"/>
            </w:tcBorders>
          </w:tcPr>
          <w:p w14:paraId="7844275A" w14:textId="77777777" w:rsidR="009769E5" w:rsidRPr="00624565" w:rsidRDefault="009769E5" w:rsidP="009769E5">
            <w:pPr>
              <w:spacing w:before="60" w:after="60"/>
              <w:ind w:right="-29"/>
              <w:jc w:val="center"/>
              <w:rPr>
                <w:noProof/>
                <w:sz w:val="18"/>
                <w:szCs w:val="18"/>
              </w:rPr>
            </w:pPr>
          </w:p>
        </w:tc>
        <w:tc>
          <w:tcPr>
            <w:tcW w:w="720" w:type="dxa"/>
            <w:tcBorders>
              <w:top w:val="nil"/>
              <w:left w:val="nil"/>
              <w:bottom w:val="nil"/>
              <w:right w:val="nil"/>
            </w:tcBorders>
          </w:tcPr>
          <w:p w14:paraId="69A6A978" w14:textId="77777777" w:rsidR="009769E5" w:rsidRPr="00624565" w:rsidRDefault="009769E5" w:rsidP="009769E5">
            <w:pPr>
              <w:spacing w:before="60" w:after="60"/>
              <w:ind w:right="-29"/>
              <w:jc w:val="center"/>
              <w:rPr>
                <w:noProof/>
                <w:sz w:val="18"/>
                <w:szCs w:val="18"/>
              </w:rPr>
            </w:pPr>
          </w:p>
        </w:tc>
        <w:tc>
          <w:tcPr>
            <w:tcW w:w="900" w:type="dxa"/>
            <w:tcBorders>
              <w:top w:val="nil"/>
              <w:left w:val="nil"/>
              <w:bottom w:val="nil"/>
              <w:right w:val="nil"/>
            </w:tcBorders>
          </w:tcPr>
          <w:p w14:paraId="39C05183" w14:textId="77777777" w:rsidR="009769E5" w:rsidRPr="00624565" w:rsidRDefault="009769E5" w:rsidP="009769E5">
            <w:pPr>
              <w:spacing w:before="60" w:after="60"/>
              <w:ind w:right="-29"/>
              <w:jc w:val="center"/>
              <w:rPr>
                <w:noProof/>
                <w:sz w:val="18"/>
                <w:szCs w:val="18"/>
              </w:rPr>
            </w:pPr>
          </w:p>
        </w:tc>
      </w:tr>
      <w:tr w:rsidR="009769E5" w:rsidRPr="00624565" w14:paraId="2521A148" w14:textId="77777777" w:rsidTr="009769E5">
        <w:trPr>
          <w:trHeight w:hRule="exact" w:val="369"/>
          <w:jc w:val="center"/>
        </w:trPr>
        <w:tc>
          <w:tcPr>
            <w:tcW w:w="1423" w:type="dxa"/>
          </w:tcPr>
          <w:p w14:paraId="096EC75B" w14:textId="77777777" w:rsidR="009769E5" w:rsidRPr="00624565" w:rsidRDefault="009769E5" w:rsidP="009769E5">
            <w:pPr>
              <w:ind w:right="-29"/>
              <w:jc w:val="center"/>
              <w:rPr>
                <w:noProof/>
                <w:sz w:val="18"/>
                <w:szCs w:val="18"/>
              </w:rPr>
            </w:pPr>
            <w:r w:rsidRPr="00624565">
              <w:rPr>
                <w:noProof/>
                <w:sz w:val="18"/>
              </w:rPr>
              <w:t>- Produkt</w:t>
            </w:r>
          </w:p>
        </w:tc>
        <w:tc>
          <w:tcPr>
            <w:tcW w:w="720" w:type="dxa"/>
          </w:tcPr>
          <w:p w14:paraId="79E29638" w14:textId="77777777" w:rsidR="009769E5" w:rsidRPr="00624565" w:rsidRDefault="009769E5" w:rsidP="009769E5">
            <w:pPr>
              <w:ind w:right="-29"/>
              <w:jc w:val="center"/>
              <w:rPr>
                <w:noProof/>
                <w:sz w:val="18"/>
                <w:szCs w:val="18"/>
              </w:rPr>
            </w:pPr>
          </w:p>
        </w:tc>
        <w:tc>
          <w:tcPr>
            <w:tcW w:w="701" w:type="dxa"/>
          </w:tcPr>
          <w:p w14:paraId="04A9C9F9" w14:textId="77777777" w:rsidR="009769E5" w:rsidRPr="00624565" w:rsidRDefault="009769E5" w:rsidP="009769E5">
            <w:pPr>
              <w:ind w:right="-29"/>
              <w:jc w:val="center"/>
              <w:rPr>
                <w:noProof/>
                <w:sz w:val="18"/>
                <w:szCs w:val="18"/>
              </w:rPr>
            </w:pPr>
          </w:p>
        </w:tc>
        <w:tc>
          <w:tcPr>
            <w:tcW w:w="504" w:type="dxa"/>
          </w:tcPr>
          <w:p w14:paraId="00B61107" w14:textId="77777777" w:rsidR="009769E5" w:rsidRPr="00624565" w:rsidRDefault="009769E5" w:rsidP="009769E5">
            <w:pPr>
              <w:ind w:right="-29"/>
              <w:jc w:val="center"/>
              <w:rPr>
                <w:noProof/>
                <w:sz w:val="18"/>
                <w:szCs w:val="18"/>
              </w:rPr>
            </w:pPr>
          </w:p>
        </w:tc>
        <w:tc>
          <w:tcPr>
            <w:tcW w:w="720" w:type="dxa"/>
          </w:tcPr>
          <w:p w14:paraId="63B7FC87" w14:textId="77777777" w:rsidR="009769E5" w:rsidRPr="00624565" w:rsidRDefault="009769E5" w:rsidP="009769E5">
            <w:pPr>
              <w:ind w:right="-29"/>
              <w:jc w:val="center"/>
              <w:rPr>
                <w:noProof/>
                <w:sz w:val="18"/>
                <w:szCs w:val="18"/>
              </w:rPr>
            </w:pPr>
          </w:p>
        </w:tc>
        <w:tc>
          <w:tcPr>
            <w:tcW w:w="540" w:type="dxa"/>
          </w:tcPr>
          <w:p w14:paraId="245FAFB9" w14:textId="77777777" w:rsidR="009769E5" w:rsidRPr="00624565" w:rsidRDefault="009769E5" w:rsidP="009769E5">
            <w:pPr>
              <w:ind w:right="-29"/>
              <w:jc w:val="center"/>
              <w:rPr>
                <w:noProof/>
                <w:sz w:val="18"/>
                <w:szCs w:val="18"/>
              </w:rPr>
            </w:pPr>
          </w:p>
        </w:tc>
        <w:tc>
          <w:tcPr>
            <w:tcW w:w="720" w:type="dxa"/>
          </w:tcPr>
          <w:p w14:paraId="05E501A3" w14:textId="77777777" w:rsidR="009769E5" w:rsidRPr="00624565" w:rsidRDefault="009769E5" w:rsidP="009769E5">
            <w:pPr>
              <w:ind w:right="-29"/>
              <w:jc w:val="center"/>
              <w:rPr>
                <w:noProof/>
                <w:sz w:val="18"/>
                <w:szCs w:val="18"/>
              </w:rPr>
            </w:pPr>
          </w:p>
        </w:tc>
        <w:tc>
          <w:tcPr>
            <w:tcW w:w="720" w:type="dxa"/>
          </w:tcPr>
          <w:p w14:paraId="3D7C6AE2" w14:textId="77777777" w:rsidR="009769E5" w:rsidRPr="00624565" w:rsidRDefault="009769E5" w:rsidP="009769E5">
            <w:pPr>
              <w:ind w:right="-29"/>
              <w:jc w:val="center"/>
              <w:rPr>
                <w:noProof/>
                <w:sz w:val="18"/>
                <w:szCs w:val="18"/>
              </w:rPr>
            </w:pPr>
          </w:p>
        </w:tc>
        <w:tc>
          <w:tcPr>
            <w:tcW w:w="720" w:type="dxa"/>
          </w:tcPr>
          <w:p w14:paraId="691D416E" w14:textId="77777777" w:rsidR="009769E5" w:rsidRPr="00624565" w:rsidRDefault="009769E5" w:rsidP="009769E5">
            <w:pPr>
              <w:ind w:right="-29"/>
              <w:jc w:val="center"/>
              <w:rPr>
                <w:noProof/>
                <w:sz w:val="18"/>
                <w:szCs w:val="18"/>
              </w:rPr>
            </w:pPr>
          </w:p>
        </w:tc>
        <w:tc>
          <w:tcPr>
            <w:tcW w:w="900" w:type="dxa"/>
          </w:tcPr>
          <w:p w14:paraId="2264174B" w14:textId="77777777" w:rsidR="009769E5" w:rsidRPr="00624565" w:rsidRDefault="009769E5" w:rsidP="009769E5">
            <w:pPr>
              <w:ind w:right="-29"/>
              <w:jc w:val="center"/>
              <w:rPr>
                <w:noProof/>
                <w:sz w:val="18"/>
                <w:szCs w:val="18"/>
              </w:rPr>
            </w:pPr>
          </w:p>
        </w:tc>
        <w:tc>
          <w:tcPr>
            <w:tcW w:w="720" w:type="dxa"/>
            <w:gridSpan w:val="2"/>
          </w:tcPr>
          <w:p w14:paraId="74DE5529" w14:textId="77777777" w:rsidR="009769E5" w:rsidRPr="00624565" w:rsidRDefault="009769E5" w:rsidP="009769E5">
            <w:pPr>
              <w:ind w:right="-29"/>
              <w:jc w:val="center"/>
              <w:rPr>
                <w:noProof/>
                <w:sz w:val="18"/>
                <w:szCs w:val="18"/>
              </w:rPr>
            </w:pPr>
          </w:p>
        </w:tc>
        <w:tc>
          <w:tcPr>
            <w:tcW w:w="540" w:type="dxa"/>
          </w:tcPr>
          <w:p w14:paraId="1075F996" w14:textId="77777777" w:rsidR="009769E5" w:rsidRPr="00624565" w:rsidRDefault="009769E5" w:rsidP="009769E5">
            <w:pPr>
              <w:ind w:right="-29"/>
              <w:jc w:val="center"/>
              <w:rPr>
                <w:noProof/>
                <w:sz w:val="18"/>
                <w:szCs w:val="18"/>
              </w:rPr>
            </w:pPr>
          </w:p>
        </w:tc>
        <w:tc>
          <w:tcPr>
            <w:tcW w:w="648" w:type="dxa"/>
          </w:tcPr>
          <w:p w14:paraId="18F4B45B" w14:textId="77777777" w:rsidR="009769E5" w:rsidRPr="00624565" w:rsidRDefault="009769E5" w:rsidP="009769E5">
            <w:pPr>
              <w:ind w:right="-29"/>
              <w:jc w:val="center"/>
              <w:rPr>
                <w:noProof/>
                <w:sz w:val="18"/>
                <w:szCs w:val="18"/>
              </w:rPr>
            </w:pPr>
          </w:p>
        </w:tc>
        <w:tc>
          <w:tcPr>
            <w:tcW w:w="432" w:type="dxa"/>
          </w:tcPr>
          <w:p w14:paraId="7EB7B7C2" w14:textId="77777777" w:rsidR="009769E5" w:rsidRPr="00624565" w:rsidRDefault="009769E5" w:rsidP="009769E5">
            <w:pPr>
              <w:ind w:right="-29"/>
              <w:jc w:val="center"/>
              <w:rPr>
                <w:noProof/>
                <w:sz w:val="18"/>
                <w:szCs w:val="18"/>
              </w:rPr>
            </w:pPr>
          </w:p>
        </w:tc>
        <w:tc>
          <w:tcPr>
            <w:tcW w:w="720" w:type="dxa"/>
          </w:tcPr>
          <w:p w14:paraId="69119039" w14:textId="77777777" w:rsidR="009769E5" w:rsidRPr="00624565" w:rsidRDefault="009769E5" w:rsidP="009769E5">
            <w:pPr>
              <w:ind w:right="-29"/>
              <w:jc w:val="center"/>
              <w:rPr>
                <w:noProof/>
                <w:sz w:val="18"/>
                <w:szCs w:val="18"/>
              </w:rPr>
            </w:pPr>
          </w:p>
        </w:tc>
        <w:tc>
          <w:tcPr>
            <w:tcW w:w="540" w:type="dxa"/>
          </w:tcPr>
          <w:p w14:paraId="61D6D98F" w14:textId="77777777" w:rsidR="009769E5" w:rsidRPr="00624565" w:rsidRDefault="009769E5" w:rsidP="009769E5">
            <w:pPr>
              <w:ind w:right="-29"/>
              <w:jc w:val="center"/>
              <w:rPr>
                <w:noProof/>
                <w:sz w:val="18"/>
                <w:szCs w:val="18"/>
              </w:rPr>
            </w:pPr>
          </w:p>
        </w:tc>
        <w:tc>
          <w:tcPr>
            <w:tcW w:w="720" w:type="dxa"/>
          </w:tcPr>
          <w:p w14:paraId="0A6530A6" w14:textId="77777777" w:rsidR="009769E5" w:rsidRPr="00624565" w:rsidRDefault="009769E5" w:rsidP="009769E5">
            <w:pPr>
              <w:ind w:right="-29"/>
              <w:jc w:val="center"/>
              <w:rPr>
                <w:noProof/>
                <w:sz w:val="18"/>
                <w:szCs w:val="18"/>
              </w:rPr>
            </w:pPr>
          </w:p>
        </w:tc>
        <w:tc>
          <w:tcPr>
            <w:tcW w:w="720" w:type="dxa"/>
          </w:tcPr>
          <w:p w14:paraId="670800C8" w14:textId="77777777" w:rsidR="009769E5" w:rsidRPr="00624565" w:rsidRDefault="009769E5" w:rsidP="009769E5">
            <w:pPr>
              <w:ind w:right="-29"/>
              <w:jc w:val="center"/>
              <w:rPr>
                <w:noProof/>
                <w:sz w:val="18"/>
                <w:szCs w:val="18"/>
              </w:rPr>
            </w:pPr>
          </w:p>
        </w:tc>
        <w:tc>
          <w:tcPr>
            <w:tcW w:w="900" w:type="dxa"/>
          </w:tcPr>
          <w:p w14:paraId="3912E680" w14:textId="77777777" w:rsidR="009769E5" w:rsidRPr="00624565" w:rsidRDefault="009769E5" w:rsidP="009769E5">
            <w:pPr>
              <w:ind w:right="-29"/>
              <w:jc w:val="center"/>
              <w:rPr>
                <w:noProof/>
                <w:sz w:val="18"/>
                <w:szCs w:val="18"/>
              </w:rPr>
            </w:pPr>
          </w:p>
        </w:tc>
      </w:tr>
      <w:tr w:rsidR="009769E5" w:rsidRPr="00624565" w14:paraId="4495E41F" w14:textId="77777777" w:rsidTr="009769E5">
        <w:trPr>
          <w:jc w:val="center"/>
        </w:trPr>
        <w:tc>
          <w:tcPr>
            <w:tcW w:w="2844" w:type="dxa"/>
            <w:gridSpan w:val="3"/>
            <w:tcBorders>
              <w:bottom w:val="single" w:sz="12" w:space="0" w:color="auto"/>
            </w:tcBorders>
            <w:vAlign w:val="center"/>
          </w:tcPr>
          <w:p w14:paraId="16350666" w14:textId="1A236DBF" w:rsidR="009769E5" w:rsidRPr="00624565" w:rsidRDefault="009769E5" w:rsidP="009769E5">
            <w:pPr>
              <w:jc w:val="center"/>
              <w:rPr>
                <w:noProof/>
                <w:sz w:val="18"/>
                <w:szCs w:val="18"/>
              </w:rPr>
            </w:pPr>
            <w:r w:rsidRPr="00624565">
              <w:rPr>
                <w:noProof/>
                <w:sz w:val="18"/>
              </w:rPr>
              <w:t xml:space="preserve">Cel szczegółowy </w:t>
            </w:r>
            <w:r w:rsidRPr="003F3D2B">
              <w:rPr>
                <w:noProof/>
                <w:sz w:val="18"/>
              </w:rPr>
              <w:t>nr</w:t>
            </w:r>
            <w:r w:rsidR="003F3D2B" w:rsidRPr="003F3D2B">
              <w:rPr>
                <w:noProof/>
                <w:sz w:val="18"/>
              </w:rPr>
              <w:t> </w:t>
            </w:r>
            <w:r w:rsidRPr="003F3D2B">
              <w:rPr>
                <w:noProof/>
                <w:sz w:val="18"/>
              </w:rPr>
              <w:t>2</w:t>
            </w:r>
            <w:r w:rsidRPr="00624565">
              <w:rPr>
                <w:noProof/>
                <w:sz w:val="18"/>
              </w:rPr>
              <w:t xml:space="preserve"> – suma cząstkowa</w:t>
            </w:r>
          </w:p>
        </w:tc>
        <w:tc>
          <w:tcPr>
            <w:tcW w:w="504" w:type="dxa"/>
            <w:tcBorders>
              <w:bottom w:val="single" w:sz="12" w:space="0" w:color="auto"/>
            </w:tcBorders>
          </w:tcPr>
          <w:p w14:paraId="0B433639" w14:textId="77777777" w:rsidR="009769E5" w:rsidRPr="00624565" w:rsidRDefault="009769E5" w:rsidP="009769E5">
            <w:pPr>
              <w:ind w:right="-29"/>
              <w:jc w:val="center"/>
              <w:rPr>
                <w:noProof/>
                <w:sz w:val="18"/>
                <w:szCs w:val="18"/>
              </w:rPr>
            </w:pPr>
          </w:p>
        </w:tc>
        <w:tc>
          <w:tcPr>
            <w:tcW w:w="720" w:type="dxa"/>
            <w:tcBorders>
              <w:bottom w:val="single" w:sz="12" w:space="0" w:color="auto"/>
            </w:tcBorders>
          </w:tcPr>
          <w:p w14:paraId="2C83E0E8" w14:textId="77777777" w:rsidR="009769E5" w:rsidRPr="00624565" w:rsidRDefault="009769E5" w:rsidP="009769E5">
            <w:pPr>
              <w:ind w:right="-29"/>
              <w:jc w:val="center"/>
              <w:rPr>
                <w:noProof/>
                <w:sz w:val="18"/>
                <w:szCs w:val="18"/>
              </w:rPr>
            </w:pPr>
          </w:p>
        </w:tc>
        <w:tc>
          <w:tcPr>
            <w:tcW w:w="540" w:type="dxa"/>
            <w:tcBorders>
              <w:bottom w:val="single" w:sz="12" w:space="0" w:color="auto"/>
            </w:tcBorders>
          </w:tcPr>
          <w:p w14:paraId="5A57E099" w14:textId="77777777" w:rsidR="009769E5" w:rsidRPr="00624565" w:rsidRDefault="009769E5" w:rsidP="009769E5">
            <w:pPr>
              <w:ind w:right="-29"/>
              <w:jc w:val="center"/>
              <w:rPr>
                <w:noProof/>
                <w:sz w:val="18"/>
                <w:szCs w:val="18"/>
              </w:rPr>
            </w:pPr>
          </w:p>
        </w:tc>
        <w:tc>
          <w:tcPr>
            <w:tcW w:w="720" w:type="dxa"/>
            <w:tcBorders>
              <w:bottom w:val="single" w:sz="12" w:space="0" w:color="auto"/>
            </w:tcBorders>
          </w:tcPr>
          <w:p w14:paraId="78502FE3" w14:textId="77777777" w:rsidR="009769E5" w:rsidRPr="00624565" w:rsidRDefault="009769E5" w:rsidP="009769E5">
            <w:pPr>
              <w:ind w:right="-29"/>
              <w:jc w:val="center"/>
              <w:rPr>
                <w:noProof/>
                <w:sz w:val="18"/>
                <w:szCs w:val="18"/>
              </w:rPr>
            </w:pPr>
          </w:p>
        </w:tc>
        <w:tc>
          <w:tcPr>
            <w:tcW w:w="720" w:type="dxa"/>
            <w:tcBorders>
              <w:bottom w:val="single" w:sz="12" w:space="0" w:color="auto"/>
            </w:tcBorders>
          </w:tcPr>
          <w:p w14:paraId="3749FD4B" w14:textId="77777777" w:rsidR="009769E5" w:rsidRPr="00624565" w:rsidRDefault="009769E5" w:rsidP="009769E5">
            <w:pPr>
              <w:ind w:right="-29"/>
              <w:jc w:val="center"/>
              <w:rPr>
                <w:noProof/>
                <w:sz w:val="18"/>
                <w:szCs w:val="18"/>
              </w:rPr>
            </w:pPr>
          </w:p>
        </w:tc>
        <w:tc>
          <w:tcPr>
            <w:tcW w:w="720" w:type="dxa"/>
            <w:tcBorders>
              <w:bottom w:val="single" w:sz="12" w:space="0" w:color="auto"/>
            </w:tcBorders>
          </w:tcPr>
          <w:p w14:paraId="2C86FA64" w14:textId="77777777" w:rsidR="009769E5" w:rsidRPr="00624565" w:rsidRDefault="009769E5" w:rsidP="009769E5">
            <w:pPr>
              <w:ind w:right="-29"/>
              <w:jc w:val="center"/>
              <w:rPr>
                <w:noProof/>
                <w:sz w:val="18"/>
                <w:szCs w:val="18"/>
              </w:rPr>
            </w:pPr>
          </w:p>
        </w:tc>
        <w:tc>
          <w:tcPr>
            <w:tcW w:w="951" w:type="dxa"/>
            <w:gridSpan w:val="2"/>
            <w:tcBorders>
              <w:bottom w:val="single" w:sz="12" w:space="0" w:color="auto"/>
            </w:tcBorders>
          </w:tcPr>
          <w:p w14:paraId="5140A77E" w14:textId="77777777" w:rsidR="009769E5" w:rsidRPr="00624565" w:rsidRDefault="009769E5" w:rsidP="009769E5">
            <w:pPr>
              <w:ind w:right="-29"/>
              <w:jc w:val="center"/>
              <w:rPr>
                <w:noProof/>
                <w:sz w:val="18"/>
                <w:szCs w:val="18"/>
              </w:rPr>
            </w:pPr>
          </w:p>
        </w:tc>
        <w:tc>
          <w:tcPr>
            <w:tcW w:w="669" w:type="dxa"/>
            <w:tcBorders>
              <w:bottom w:val="single" w:sz="12" w:space="0" w:color="auto"/>
            </w:tcBorders>
          </w:tcPr>
          <w:p w14:paraId="38666C75" w14:textId="77777777" w:rsidR="009769E5" w:rsidRPr="00624565" w:rsidRDefault="009769E5" w:rsidP="009769E5">
            <w:pPr>
              <w:ind w:right="-29"/>
              <w:jc w:val="center"/>
              <w:rPr>
                <w:noProof/>
                <w:sz w:val="18"/>
                <w:szCs w:val="18"/>
              </w:rPr>
            </w:pPr>
          </w:p>
        </w:tc>
        <w:tc>
          <w:tcPr>
            <w:tcW w:w="540" w:type="dxa"/>
            <w:tcBorders>
              <w:bottom w:val="single" w:sz="12" w:space="0" w:color="auto"/>
            </w:tcBorders>
          </w:tcPr>
          <w:p w14:paraId="4C5B9C9F" w14:textId="77777777" w:rsidR="009769E5" w:rsidRPr="00624565" w:rsidRDefault="009769E5" w:rsidP="009769E5">
            <w:pPr>
              <w:ind w:right="-29"/>
              <w:jc w:val="center"/>
              <w:rPr>
                <w:noProof/>
                <w:sz w:val="18"/>
                <w:szCs w:val="18"/>
              </w:rPr>
            </w:pPr>
          </w:p>
        </w:tc>
        <w:tc>
          <w:tcPr>
            <w:tcW w:w="648" w:type="dxa"/>
            <w:tcBorders>
              <w:bottom w:val="single" w:sz="12" w:space="0" w:color="auto"/>
            </w:tcBorders>
          </w:tcPr>
          <w:p w14:paraId="71944A9D" w14:textId="77777777" w:rsidR="009769E5" w:rsidRPr="00624565" w:rsidRDefault="009769E5" w:rsidP="009769E5">
            <w:pPr>
              <w:ind w:right="-29"/>
              <w:jc w:val="center"/>
              <w:rPr>
                <w:noProof/>
                <w:sz w:val="18"/>
                <w:szCs w:val="18"/>
              </w:rPr>
            </w:pPr>
          </w:p>
        </w:tc>
        <w:tc>
          <w:tcPr>
            <w:tcW w:w="432" w:type="dxa"/>
            <w:tcBorders>
              <w:bottom w:val="single" w:sz="12" w:space="0" w:color="auto"/>
            </w:tcBorders>
          </w:tcPr>
          <w:p w14:paraId="60FF547B" w14:textId="77777777" w:rsidR="009769E5" w:rsidRPr="00624565" w:rsidRDefault="009769E5" w:rsidP="009769E5">
            <w:pPr>
              <w:ind w:right="-29"/>
              <w:jc w:val="center"/>
              <w:rPr>
                <w:noProof/>
                <w:sz w:val="18"/>
                <w:szCs w:val="18"/>
              </w:rPr>
            </w:pPr>
          </w:p>
        </w:tc>
        <w:tc>
          <w:tcPr>
            <w:tcW w:w="720" w:type="dxa"/>
            <w:tcBorders>
              <w:bottom w:val="single" w:sz="12" w:space="0" w:color="auto"/>
            </w:tcBorders>
          </w:tcPr>
          <w:p w14:paraId="3E58DECE" w14:textId="77777777" w:rsidR="009769E5" w:rsidRPr="00624565" w:rsidRDefault="009769E5" w:rsidP="009769E5">
            <w:pPr>
              <w:ind w:right="-29"/>
              <w:jc w:val="center"/>
              <w:rPr>
                <w:noProof/>
                <w:sz w:val="18"/>
                <w:szCs w:val="18"/>
              </w:rPr>
            </w:pPr>
          </w:p>
        </w:tc>
        <w:tc>
          <w:tcPr>
            <w:tcW w:w="540" w:type="dxa"/>
            <w:tcBorders>
              <w:bottom w:val="single" w:sz="12" w:space="0" w:color="auto"/>
            </w:tcBorders>
          </w:tcPr>
          <w:p w14:paraId="726862CB" w14:textId="77777777" w:rsidR="009769E5" w:rsidRPr="00624565" w:rsidRDefault="009769E5" w:rsidP="009769E5">
            <w:pPr>
              <w:ind w:right="-29"/>
              <w:jc w:val="center"/>
              <w:rPr>
                <w:noProof/>
                <w:sz w:val="18"/>
                <w:szCs w:val="18"/>
              </w:rPr>
            </w:pPr>
          </w:p>
        </w:tc>
        <w:tc>
          <w:tcPr>
            <w:tcW w:w="720" w:type="dxa"/>
            <w:tcBorders>
              <w:bottom w:val="single" w:sz="12" w:space="0" w:color="auto"/>
            </w:tcBorders>
          </w:tcPr>
          <w:p w14:paraId="29A2FD69" w14:textId="77777777" w:rsidR="009769E5" w:rsidRPr="00624565" w:rsidRDefault="009769E5" w:rsidP="009769E5">
            <w:pPr>
              <w:ind w:right="-29"/>
              <w:jc w:val="center"/>
              <w:rPr>
                <w:noProof/>
                <w:sz w:val="18"/>
                <w:szCs w:val="18"/>
              </w:rPr>
            </w:pPr>
          </w:p>
        </w:tc>
        <w:tc>
          <w:tcPr>
            <w:tcW w:w="720" w:type="dxa"/>
            <w:tcBorders>
              <w:bottom w:val="single" w:sz="12" w:space="0" w:color="auto"/>
            </w:tcBorders>
          </w:tcPr>
          <w:p w14:paraId="6CE05BC4" w14:textId="77777777" w:rsidR="009769E5" w:rsidRPr="00624565" w:rsidRDefault="009769E5" w:rsidP="009769E5">
            <w:pPr>
              <w:ind w:right="-29"/>
              <w:jc w:val="center"/>
              <w:rPr>
                <w:noProof/>
                <w:sz w:val="18"/>
                <w:szCs w:val="18"/>
              </w:rPr>
            </w:pPr>
          </w:p>
        </w:tc>
        <w:tc>
          <w:tcPr>
            <w:tcW w:w="900" w:type="dxa"/>
            <w:tcBorders>
              <w:bottom w:val="single" w:sz="12" w:space="0" w:color="auto"/>
            </w:tcBorders>
          </w:tcPr>
          <w:p w14:paraId="762D5800" w14:textId="77777777" w:rsidR="009769E5" w:rsidRPr="00624565" w:rsidRDefault="009769E5" w:rsidP="009769E5">
            <w:pPr>
              <w:ind w:right="-29"/>
              <w:jc w:val="center"/>
              <w:rPr>
                <w:noProof/>
                <w:sz w:val="18"/>
                <w:szCs w:val="18"/>
              </w:rPr>
            </w:pPr>
          </w:p>
        </w:tc>
      </w:tr>
      <w:tr w:rsidR="009769E5" w:rsidRPr="00624565" w14:paraId="2682DAC4" w14:textId="77777777" w:rsidTr="009769E5">
        <w:trPr>
          <w:jc w:val="center"/>
        </w:trPr>
        <w:tc>
          <w:tcPr>
            <w:tcW w:w="2844" w:type="dxa"/>
            <w:gridSpan w:val="3"/>
            <w:tcBorders>
              <w:top w:val="single" w:sz="12" w:space="0" w:color="auto"/>
              <w:left w:val="single" w:sz="12" w:space="0" w:color="auto"/>
              <w:bottom w:val="single" w:sz="12" w:space="0" w:color="auto"/>
            </w:tcBorders>
            <w:vAlign w:val="center"/>
          </w:tcPr>
          <w:p w14:paraId="455D574C" w14:textId="77777777" w:rsidR="009769E5" w:rsidRPr="00624565" w:rsidRDefault="009769E5" w:rsidP="009769E5">
            <w:pPr>
              <w:ind w:right="-29"/>
              <w:jc w:val="center"/>
              <w:rPr>
                <w:noProof/>
                <w:sz w:val="18"/>
                <w:szCs w:val="18"/>
              </w:rPr>
            </w:pPr>
            <w:r w:rsidRPr="00624565">
              <w:rPr>
                <w:b/>
                <w:noProof/>
                <w:sz w:val="18"/>
              </w:rPr>
              <w:t>OGÓŁEM</w:t>
            </w:r>
          </w:p>
        </w:tc>
        <w:tc>
          <w:tcPr>
            <w:tcW w:w="504" w:type="dxa"/>
            <w:tcBorders>
              <w:top w:val="single" w:sz="12" w:space="0" w:color="auto"/>
              <w:bottom w:val="single" w:sz="12" w:space="0" w:color="auto"/>
            </w:tcBorders>
          </w:tcPr>
          <w:p w14:paraId="28EAD6E0" w14:textId="77777777" w:rsidR="009769E5" w:rsidRPr="00624565" w:rsidRDefault="009769E5" w:rsidP="009769E5">
            <w:pPr>
              <w:spacing w:before="180" w:after="180"/>
              <w:ind w:right="-29"/>
              <w:jc w:val="center"/>
              <w:rPr>
                <w:noProof/>
                <w:sz w:val="18"/>
                <w:szCs w:val="18"/>
              </w:rPr>
            </w:pPr>
          </w:p>
        </w:tc>
        <w:tc>
          <w:tcPr>
            <w:tcW w:w="720" w:type="dxa"/>
            <w:tcBorders>
              <w:top w:val="single" w:sz="12" w:space="0" w:color="auto"/>
              <w:bottom w:val="single" w:sz="12" w:space="0" w:color="auto"/>
            </w:tcBorders>
          </w:tcPr>
          <w:p w14:paraId="5442282A" w14:textId="77777777" w:rsidR="009769E5" w:rsidRPr="00624565" w:rsidRDefault="009769E5" w:rsidP="009769E5">
            <w:pPr>
              <w:spacing w:before="180" w:after="180"/>
              <w:ind w:right="-29"/>
              <w:jc w:val="center"/>
              <w:rPr>
                <w:noProof/>
                <w:sz w:val="18"/>
                <w:szCs w:val="18"/>
              </w:rPr>
            </w:pPr>
          </w:p>
        </w:tc>
        <w:tc>
          <w:tcPr>
            <w:tcW w:w="540" w:type="dxa"/>
            <w:tcBorders>
              <w:top w:val="single" w:sz="12" w:space="0" w:color="auto"/>
              <w:bottom w:val="single" w:sz="12" w:space="0" w:color="auto"/>
            </w:tcBorders>
          </w:tcPr>
          <w:p w14:paraId="090BB677" w14:textId="77777777" w:rsidR="009769E5" w:rsidRPr="00624565" w:rsidRDefault="009769E5" w:rsidP="009769E5">
            <w:pPr>
              <w:spacing w:before="180" w:after="180"/>
              <w:ind w:right="-29"/>
              <w:jc w:val="center"/>
              <w:rPr>
                <w:noProof/>
                <w:sz w:val="18"/>
                <w:szCs w:val="18"/>
              </w:rPr>
            </w:pPr>
          </w:p>
        </w:tc>
        <w:tc>
          <w:tcPr>
            <w:tcW w:w="720" w:type="dxa"/>
            <w:tcBorders>
              <w:top w:val="single" w:sz="12" w:space="0" w:color="auto"/>
              <w:bottom w:val="single" w:sz="12" w:space="0" w:color="auto"/>
            </w:tcBorders>
          </w:tcPr>
          <w:p w14:paraId="2163B997" w14:textId="77777777" w:rsidR="009769E5" w:rsidRPr="00624565" w:rsidRDefault="009769E5" w:rsidP="009769E5">
            <w:pPr>
              <w:spacing w:before="180" w:after="180"/>
              <w:ind w:right="-29"/>
              <w:jc w:val="center"/>
              <w:rPr>
                <w:noProof/>
                <w:sz w:val="18"/>
                <w:szCs w:val="18"/>
              </w:rPr>
            </w:pPr>
          </w:p>
        </w:tc>
        <w:tc>
          <w:tcPr>
            <w:tcW w:w="720" w:type="dxa"/>
            <w:tcBorders>
              <w:top w:val="single" w:sz="12" w:space="0" w:color="auto"/>
              <w:bottom w:val="single" w:sz="12" w:space="0" w:color="auto"/>
            </w:tcBorders>
          </w:tcPr>
          <w:p w14:paraId="09D39ED7" w14:textId="77777777" w:rsidR="009769E5" w:rsidRPr="00624565" w:rsidRDefault="009769E5" w:rsidP="009769E5">
            <w:pPr>
              <w:spacing w:before="180" w:after="180"/>
              <w:ind w:right="-29"/>
              <w:jc w:val="center"/>
              <w:rPr>
                <w:noProof/>
                <w:sz w:val="18"/>
                <w:szCs w:val="18"/>
              </w:rPr>
            </w:pPr>
          </w:p>
        </w:tc>
        <w:tc>
          <w:tcPr>
            <w:tcW w:w="720" w:type="dxa"/>
            <w:tcBorders>
              <w:top w:val="single" w:sz="12" w:space="0" w:color="auto"/>
              <w:bottom w:val="single" w:sz="12" w:space="0" w:color="auto"/>
            </w:tcBorders>
          </w:tcPr>
          <w:p w14:paraId="16814E70" w14:textId="77777777" w:rsidR="009769E5" w:rsidRPr="00624565" w:rsidRDefault="009769E5" w:rsidP="009769E5">
            <w:pPr>
              <w:spacing w:before="180" w:after="180"/>
              <w:ind w:right="-29"/>
              <w:jc w:val="center"/>
              <w:rPr>
                <w:noProof/>
                <w:sz w:val="18"/>
                <w:szCs w:val="18"/>
              </w:rPr>
            </w:pPr>
          </w:p>
        </w:tc>
        <w:tc>
          <w:tcPr>
            <w:tcW w:w="900" w:type="dxa"/>
            <w:tcBorders>
              <w:top w:val="single" w:sz="12" w:space="0" w:color="auto"/>
              <w:bottom w:val="single" w:sz="12" w:space="0" w:color="auto"/>
            </w:tcBorders>
          </w:tcPr>
          <w:p w14:paraId="79AAD83B" w14:textId="77777777" w:rsidR="009769E5" w:rsidRPr="00624565" w:rsidRDefault="009769E5" w:rsidP="009769E5">
            <w:pPr>
              <w:spacing w:before="180" w:after="180"/>
              <w:ind w:right="-29"/>
              <w:jc w:val="center"/>
              <w:rPr>
                <w:noProof/>
                <w:sz w:val="18"/>
                <w:szCs w:val="18"/>
              </w:rPr>
            </w:pPr>
          </w:p>
        </w:tc>
        <w:tc>
          <w:tcPr>
            <w:tcW w:w="720" w:type="dxa"/>
            <w:gridSpan w:val="2"/>
            <w:tcBorders>
              <w:top w:val="single" w:sz="12" w:space="0" w:color="auto"/>
              <w:bottom w:val="single" w:sz="12" w:space="0" w:color="auto"/>
            </w:tcBorders>
          </w:tcPr>
          <w:p w14:paraId="2A363C75" w14:textId="77777777" w:rsidR="009769E5" w:rsidRPr="00624565" w:rsidRDefault="009769E5" w:rsidP="009769E5">
            <w:pPr>
              <w:spacing w:before="180" w:after="180"/>
              <w:ind w:right="-29"/>
              <w:jc w:val="center"/>
              <w:rPr>
                <w:noProof/>
                <w:sz w:val="18"/>
                <w:szCs w:val="18"/>
              </w:rPr>
            </w:pPr>
          </w:p>
        </w:tc>
        <w:tc>
          <w:tcPr>
            <w:tcW w:w="540" w:type="dxa"/>
            <w:tcBorders>
              <w:top w:val="single" w:sz="12" w:space="0" w:color="auto"/>
              <w:bottom w:val="single" w:sz="12" w:space="0" w:color="auto"/>
            </w:tcBorders>
          </w:tcPr>
          <w:p w14:paraId="7DBA1311" w14:textId="77777777" w:rsidR="009769E5" w:rsidRPr="00624565" w:rsidRDefault="009769E5" w:rsidP="009769E5">
            <w:pPr>
              <w:spacing w:before="180" w:after="180"/>
              <w:ind w:right="-29"/>
              <w:jc w:val="center"/>
              <w:rPr>
                <w:noProof/>
                <w:sz w:val="18"/>
                <w:szCs w:val="18"/>
              </w:rPr>
            </w:pPr>
          </w:p>
        </w:tc>
        <w:tc>
          <w:tcPr>
            <w:tcW w:w="648" w:type="dxa"/>
            <w:tcBorders>
              <w:top w:val="single" w:sz="12" w:space="0" w:color="auto"/>
              <w:bottom w:val="single" w:sz="12" w:space="0" w:color="auto"/>
            </w:tcBorders>
          </w:tcPr>
          <w:p w14:paraId="667A66B7" w14:textId="77777777" w:rsidR="009769E5" w:rsidRPr="00624565" w:rsidRDefault="009769E5" w:rsidP="009769E5">
            <w:pPr>
              <w:spacing w:before="180" w:after="180"/>
              <w:ind w:right="-29"/>
              <w:jc w:val="center"/>
              <w:rPr>
                <w:noProof/>
                <w:sz w:val="18"/>
                <w:szCs w:val="18"/>
              </w:rPr>
            </w:pPr>
          </w:p>
        </w:tc>
        <w:tc>
          <w:tcPr>
            <w:tcW w:w="432" w:type="dxa"/>
            <w:tcBorders>
              <w:top w:val="single" w:sz="12" w:space="0" w:color="auto"/>
              <w:bottom w:val="single" w:sz="12" w:space="0" w:color="auto"/>
            </w:tcBorders>
          </w:tcPr>
          <w:p w14:paraId="00C357EC" w14:textId="77777777" w:rsidR="009769E5" w:rsidRPr="00624565" w:rsidRDefault="009769E5" w:rsidP="009769E5">
            <w:pPr>
              <w:spacing w:before="180" w:after="180"/>
              <w:ind w:right="-29"/>
              <w:jc w:val="center"/>
              <w:rPr>
                <w:noProof/>
                <w:sz w:val="18"/>
                <w:szCs w:val="18"/>
              </w:rPr>
            </w:pPr>
          </w:p>
        </w:tc>
        <w:tc>
          <w:tcPr>
            <w:tcW w:w="720" w:type="dxa"/>
            <w:tcBorders>
              <w:top w:val="single" w:sz="12" w:space="0" w:color="auto"/>
              <w:bottom w:val="single" w:sz="12" w:space="0" w:color="auto"/>
            </w:tcBorders>
          </w:tcPr>
          <w:p w14:paraId="61109940" w14:textId="77777777" w:rsidR="009769E5" w:rsidRPr="00624565" w:rsidRDefault="009769E5" w:rsidP="009769E5">
            <w:pPr>
              <w:spacing w:before="180" w:after="180"/>
              <w:ind w:right="-29"/>
              <w:jc w:val="center"/>
              <w:rPr>
                <w:noProof/>
                <w:sz w:val="18"/>
                <w:szCs w:val="18"/>
              </w:rPr>
            </w:pPr>
          </w:p>
        </w:tc>
        <w:tc>
          <w:tcPr>
            <w:tcW w:w="540" w:type="dxa"/>
            <w:tcBorders>
              <w:top w:val="single" w:sz="12" w:space="0" w:color="auto"/>
              <w:bottom w:val="single" w:sz="12" w:space="0" w:color="auto"/>
            </w:tcBorders>
          </w:tcPr>
          <w:p w14:paraId="54D42602" w14:textId="77777777" w:rsidR="009769E5" w:rsidRPr="00624565" w:rsidRDefault="009769E5" w:rsidP="009769E5">
            <w:pPr>
              <w:spacing w:before="180" w:after="180"/>
              <w:ind w:right="-29"/>
              <w:jc w:val="center"/>
              <w:rPr>
                <w:noProof/>
                <w:sz w:val="18"/>
                <w:szCs w:val="18"/>
              </w:rPr>
            </w:pPr>
          </w:p>
        </w:tc>
        <w:tc>
          <w:tcPr>
            <w:tcW w:w="720" w:type="dxa"/>
            <w:tcBorders>
              <w:top w:val="single" w:sz="12" w:space="0" w:color="auto"/>
              <w:bottom w:val="single" w:sz="12" w:space="0" w:color="auto"/>
            </w:tcBorders>
          </w:tcPr>
          <w:p w14:paraId="69C30665" w14:textId="77777777" w:rsidR="009769E5" w:rsidRPr="00624565" w:rsidRDefault="009769E5" w:rsidP="009769E5">
            <w:pPr>
              <w:spacing w:before="180" w:after="180"/>
              <w:ind w:right="-29"/>
              <w:jc w:val="center"/>
              <w:rPr>
                <w:noProof/>
                <w:sz w:val="18"/>
                <w:szCs w:val="18"/>
              </w:rPr>
            </w:pPr>
          </w:p>
        </w:tc>
        <w:tc>
          <w:tcPr>
            <w:tcW w:w="720" w:type="dxa"/>
            <w:tcBorders>
              <w:top w:val="single" w:sz="12" w:space="0" w:color="auto"/>
              <w:bottom w:val="single" w:sz="12" w:space="0" w:color="auto"/>
            </w:tcBorders>
          </w:tcPr>
          <w:p w14:paraId="79D95191" w14:textId="77777777" w:rsidR="009769E5" w:rsidRPr="00624565" w:rsidRDefault="009769E5" w:rsidP="009769E5">
            <w:pPr>
              <w:spacing w:before="180" w:after="180"/>
              <w:ind w:right="-29"/>
              <w:jc w:val="center"/>
              <w:rPr>
                <w:noProof/>
                <w:sz w:val="18"/>
                <w:szCs w:val="18"/>
              </w:rPr>
            </w:pPr>
          </w:p>
        </w:tc>
        <w:tc>
          <w:tcPr>
            <w:tcW w:w="900" w:type="dxa"/>
            <w:tcBorders>
              <w:top w:val="single" w:sz="12" w:space="0" w:color="auto"/>
              <w:bottom w:val="single" w:sz="12" w:space="0" w:color="auto"/>
              <w:right w:val="single" w:sz="12" w:space="0" w:color="auto"/>
            </w:tcBorders>
          </w:tcPr>
          <w:p w14:paraId="211B11B4" w14:textId="77777777" w:rsidR="009769E5" w:rsidRPr="00624565" w:rsidRDefault="009769E5" w:rsidP="009769E5">
            <w:pPr>
              <w:spacing w:before="180" w:after="180"/>
              <w:ind w:right="-29"/>
              <w:jc w:val="center"/>
              <w:rPr>
                <w:noProof/>
                <w:sz w:val="18"/>
                <w:szCs w:val="18"/>
              </w:rPr>
            </w:pPr>
          </w:p>
        </w:tc>
      </w:tr>
    </w:tbl>
    <w:p w14:paraId="050F69C6" w14:textId="77777777" w:rsidR="009769E5" w:rsidRPr="00624565" w:rsidRDefault="009769E5" w:rsidP="009769E5">
      <w:pPr>
        <w:rPr>
          <w:noProof/>
        </w:rPr>
        <w:sectPr w:rsidR="009769E5" w:rsidRPr="00624565" w:rsidSect="006A11C7">
          <w:headerReference w:type="default" r:id="rId19"/>
          <w:footerReference w:type="default" r:id="rId20"/>
          <w:headerReference w:type="first" r:id="rId21"/>
          <w:footerReference w:type="first" r:id="rId22"/>
          <w:pgSz w:w="16840" w:h="11907" w:orient="landscape" w:code="9"/>
          <w:pgMar w:top="1134" w:right="1418" w:bottom="567" w:left="1418" w:header="709" w:footer="709" w:gutter="0"/>
          <w:cols w:space="708"/>
          <w:docGrid w:linePitch="360"/>
        </w:sectPr>
      </w:pPr>
    </w:p>
    <w:p w14:paraId="3B5978DE" w14:textId="77777777" w:rsidR="009769E5" w:rsidRPr="00624565" w:rsidRDefault="009769E5" w:rsidP="009769E5">
      <w:pPr>
        <w:pStyle w:val="ManualHeading3"/>
        <w:rPr>
          <w:noProof/>
        </w:rPr>
      </w:pPr>
      <w:r w:rsidRPr="00624565">
        <w:rPr>
          <w:noProof/>
        </w:rPr>
        <w:t>3.2.3.</w:t>
      </w:r>
      <w:r w:rsidRPr="00624565">
        <w:rPr>
          <w:noProof/>
        </w:rPr>
        <w:tab/>
        <w:t xml:space="preserve">Szacunkowy wpływ na środki administracyjne EEA i COM </w:t>
      </w:r>
    </w:p>
    <w:p w14:paraId="727EAF5E" w14:textId="77777777" w:rsidR="00DF0307" w:rsidRPr="00624565" w:rsidRDefault="00DF0307" w:rsidP="00DF0307">
      <w:pPr>
        <w:pStyle w:val="ManualHeading4"/>
        <w:rPr>
          <w:bCs/>
          <w:noProof/>
          <w:szCs w:val="24"/>
        </w:rPr>
      </w:pPr>
      <w:r w:rsidRPr="00624565">
        <w:rPr>
          <w:noProof/>
        </w:rPr>
        <w:t>3.2.3.1.</w:t>
      </w:r>
      <w:r w:rsidRPr="00624565">
        <w:rPr>
          <w:noProof/>
        </w:rPr>
        <w:tab/>
        <w:t xml:space="preserve">Szacunkowy wpływ na zasoby ludzkie EEA </w:t>
      </w:r>
    </w:p>
    <w:p w14:paraId="011A975F" w14:textId="0D4DC700" w:rsidR="00DF0307" w:rsidRPr="00624565" w:rsidRDefault="00DF0307" w:rsidP="00DF0307">
      <w:pPr>
        <w:ind w:left="850"/>
        <w:rPr>
          <w:noProof/>
        </w:rPr>
      </w:pPr>
      <w:r w:rsidRPr="00624565">
        <w:rPr>
          <w:rFonts w:ascii="Wingdings" w:hAnsi="Wingdings"/>
          <w:noProof/>
        </w:rPr>
        <w:t></w:t>
      </w:r>
      <w:r w:rsidRPr="00624565">
        <w:rPr>
          <w:noProof/>
        </w:rPr>
        <w:tab/>
        <w:t>Wniosek/inicjatywa nie wiąże się</w:t>
      </w:r>
      <w:r w:rsidR="003F3D2B" w:rsidRPr="00624565">
        <w:rPr>
          <w:noProof/>
        </w:rPr>
        <w:t xml:space="preserve"> z</w:t>
      </w:r>
      <w:r w:rsidR="003F3D2B">
        <w:rPr>
          <w:noProof/>
        </w:rPr>
        <w:t> </w:t>
      </w:r>
      <w:r w:rsidR="003F3D2B" w:rsidRPr="00624565">
        <w:rPr>
          <w:noProof/>
        </w:rPr>
        <w:t>kon</w:t>
      </w:r>
      <w:r w:rsidRPr="00624565">
        <w:rPr>
          <w:noProof/>
        </w:rPr>
        <w:t xml:space="preserve">iecznością wykorzystania środków administracyjnych </w:t>
      </w:r>
    </w:p>
    <w:p w14:paraId="742DD27A" w14:textId="2CF4FB61" w:rsidR="00DF0307" w:rsidRPr="00624565" w:rsidRDefault="00DF0307" w:rsidP="00DF0307">
      <w:pPr>
        <w:ind w:left="850"/>
        <w:rPr>
          <w:noProof/>
        </w:rPr>
      </w:pPr>
      <w:r w:rsidRPr="00624565">
        <w:rPr>
          <w:rFonts w:ascii="Wingdings" w:hAnsi="Wingdings"/>
          <w:noProof/>
        </w:rPr>
        <w:t></w:t>
      </w:r>
      <w:r w:rsidRPr="00624565">
        <w:rPr>
          <w:noProof/>
        </w:rPr>
        <w:tab/>
        <w:t>Wniosek/inicjatywa wiąże się</w:t>
      </w:r>
      <w:r w:rsidR="003F3D2B" w:rsidRPr="00624565">
        <w:rPr>
          <w:noProof/>
        </w:rPr>
        <w:t xml:space="preserve"> z</w:t>
      </w:r>
      <w:r w:rsidR="003F3D2B">
        <w:rPr>
          <w:noProof/>
        </w:rPr>
        <w:t> </w:t>
      </w:r>
      <w:r w:rsidR="003F3D2B" w:rsidRPr="00624565">
        <w:rPr>
          <w:noProof/>
        </w:rPr>
        <w:t>kon</w:t>
      </w:r>
      <w:r w:rsidRPr="00624565">
        <w:rPr>
          <w:noProof/>
        </w:rPr>
        <w:t>iecznością wykorzystania środków administracyjnych, jak określono poniżej:</w:t>
      </w:r>
    </w:p>
    <w:p w14:paraId="1CF090A7" w14:textId="77777777" w:rsidR="00DF0307" w:rsidRPr="00624565" w:rsidRDefault="00DF0307" w:rsidP="00DF0307">
      <w:pPr>
        <w:rPr>
          <w:noProof/>
          <w:sz w:val="20"/>
        </w:rPr>
      </w:pPr>
      <w:r w:rsidRPr="00624565">
        <w:rPr>
          <w:noProof/>
          <w:sz w:val="20"/>
        </w:rPr>
        <w:t>w mln EUR (do trzech miejsc po przecinku)</w:t>
      </w:r>
    </w:p>
    <w:tbl>
      <w:tblPr>
        <w:tblW w:w="630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tblGrid>
      <w:tr w:rsidR="00DF0307" w:rsidRPr="00624565" w14:paraId="6679B30F" w14:textId="77777777" w:rsidTr="006333CA">
        <w:trPr>
          <w:trHeight w:val="585"/>
          <w:jc w:val="center"/>
        </w:trPr>
        <w:tc>
          <w:tcPr>
            <w:tcW w:w="1980" w:type="dxa"/>
            <w:tcBorders>
              <w:top w:val="single" w:sz="2" w:space="0" w:color="auto"/>
              <w:left w:val="single" w:sz="2" w:space="0" w:color="auto"/>
              <w:bottom w:val="single" w:sz="2" w:space="0" w:color="auto"/>
              <w:right w:val="single" w:sz="2" w:space="0" w:color="auto"/>
            </w:tcBorders>
          </w:tcPr>
          <w:p w14:paraId="53EA1F1F" w14:textId="77777777" w:rsidR="00DF0307" w:rsidRPr="00624565" w:rsidRDefault="00DF0307" w:rsidP="006333CA">
            <w:pPr>
              <w:spacing w:before="60" w:after="60" w:line="276" w:lineRule="auto"/>
              <w:rPr>
                <w:noProof/>
                <w:sz w:val="20"/>
                <w:szCs w:val="20"/>
              </w:rPr>
            </w:pPr>
          </w:p>
        </w:tc>
        <w:tc>
          <w:tcPr>
            <w:tcW w:w="1080" w:type="dxa"/>
            <w:tcBorders>
              <w:top w:val="single" w:sz="2" w:space="0" w:color="auto"/>
              <w:left w:val="single" w:sz="2" w:space="0" w:color="auto"/>
              <w:bottom w:val="single" w:sz="2" w:space="0" w:color="auto"/>
              <w:right w:val="single" w:sz="2" w:space="0" w:color="auto"/>
            </w:tcBorders>
            <w:vAlign w:val="center"/>
            <w:hideMark/>
          </w:tcPr>
          <w:p w14:paraId="57B8DAE7" w14:textId="77777777" w:rsidR="00DF0307" w:rsidRPr="00624565" w:rsidRDefault="00DF0307" w:rsidP="006333CA">
            <w:pPr>
              <w:spacing w:before="60" w:after="60" w:line="276" w:lineRule="auto"/>
              <w:jc w:val="center"/>
              <w:rPr>
                <w:b/>
                <w:noProof/>
                <w:sz w:val="20"/>
              </w:rPr>
            </w:pPr>
            <w:r w:rsidRPr="00624565">
              <w:rPr>
                <w:b/>
                <w:noProof/>
                <w:sz w:val="20"/>
              </w:rPr>
              <w:t>2025</w:t>
            </w:r>
          </w:p>
        </w:tc>
        <w:tc>
          <w:tcPr>
            <w:tcW w:w="1080" w:type="dxa"/>
            <w:tcBorders>
              <w:top w:val="single" w:sz="2" w:space="0" w:color="auto"/>
              <w:left w:val="single" w:sz="2" w:space="0" w:color="auto"/>
              <w:bottom w:val="single" w:sz="2" w:space="0" w:color="auto"/>
              <w:right w:val="single" w:sz="2" w:space="0" w:color="auto"/>
            </w:tcBorders>
            <w:vAlign w:val="center"/>
            <w:hideMark/>
          </w:tcPr>
          <w:p w14:paraId="69B2A64F" w14:textId="77777777" w:rsidR="00DF0307" w:rsidRPr="00624565" w:rsidRDefault="00DF0307" w:rsidP="006333CA">
            <w:pPr>
              <w:spacing w:before="60" w:after="60" w:line="276" w:lineRule="auto"/>
              <w:jc w:val="center"/>
              <w:rPr>
                <w:b/>
                <w:noProof/>
                <w:sz w:val="20"/>
              </w:rPr>
            </w:pPr>
            <w:r w:rsidRPr="00624565">
              <w:rPr>
                <w:b/>
                <w:noProof/>
                <w:sz w:val="20"/>
              </w:rPr>
              <w:t>2026</w:t>
            </w:r>
          </w:p>
        </w:tc>
        <w:tc>
          <w:tcPr>
            <w:tcW w:w="1080" w:type="dxa"/>
            <w:tcBorders>
              <w:top w:val="single" w:sz="2" w:space="0" w:color="auto"/>
              <w:left w:val="single" w:sz="2" w:space="0" w:color="auto"/>
              <w:bottom w:val="single" w:sz="2" w:space="0" w:color="auto"/>
              <w:right w:val="single" w:sz="2" w:space="0" w:color="auto"/>
            </w:tcBorders>
            <w:vAlign w:val="center"/>
            <w:hideMark/>
          </w:tcPr>
          <w:p w14:paraId="05A30F1A" w14:textId="77777777" w:rsidR="00DF0307" w:rsidRPr="00624565" w:rsidRDefault="00DF0307" w:rsidP="006333CA">
            <w:pPr>
              <w:spacing w:before="60" w:after="60" w:line="276" w:lineRule="auto"/>
              <w:jc w:val="center"/>
              <w:rPr>
                <w:b/>
                <w:noProof/>
                <w:sz w:val="20"/>
              </w:rPr>
            </w:pPr>
            <w:r w:rsidRPr="00624565">
              <w:rPr>
                <w:b/>
                <w:noProof/>
                <w:sz w:val="20"/>
              </w:rPr>
              <w:t>2027</w:t>
            </w:r>
          </w:p>
        </w:tc>
        <w:tc>
          <w:tcPr>
            <w:tcW w:w="1080" w:type="dxa"/>
            <w:tcBorders>
              <w:top w:val="single" w:sz="2" w:space="0" w:color="auto"/>
              <w:left w:val="single" w:sz="2" w:space="0" w:color="auto"/>
              <w:bottom w:val="single" w:sz="2" w:space="0" w:color="auto"/>
              <w:right w:val="single" w:sz="2" w:space="0" w:color="auto"/>
            </w:tcBorders>
            <w:vAlign w:val="center"/>
            <w:hideMark/>
          </w:tcPr>
          <w:p w14:paraId="5B870939" w14:textId="77777777" w:rsidR="00DF0307" w:rsidRPr="00624565" w:rsidRDefault="00DF0307" w:rsidP="006333CA">
            <w:pPr>
              <w:spacing w:line="276" w:lineRule="auto"/>
              <w:jc w:val="center"/>
              <w:rPr>
                <w:b/>
                <w:bCs/>
                <w:noProof/>
                <w:sz w:val="20"/>
                <w:szCs w:val="20"/>
              </w:rPr>
            </w:pPr>
            <w:r w:rsidRPr="00624565">
              <w:rPr>
                <w:b/>
                <w:noProof/>
                <w:sz w:val="20"/>
              </w:rPr>
              <w:t>OGÓŁEM</w:t>
            </w:r>
          </w:p>
        </w:tc>
      </w:tr>
    </w:tbl>
    <w:p w14:paraId="65D7411B" w14:textId="77777777" w:rsidR="00DF0307" w:rsidRPr="00624565" w:rsidRDefault="00DF0307" w:rsidP="00DF0307">
      <w:pPr>
        <w:rPr>
          <w:noProof/>
          <w:sz w:val="20"/>
          <w:lang w:eastAsia="en-GB"/>
        </w:rPr>
      </w:pPr>
    </w:p>
    <w:tbl>
      <w:tblPr>
        <w:tblW w:w="630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tblGrid>
      <w:tr w:rsidR="00DF0307" w:rsidRPr="00624565" w14:paraId="3C041320" w14:textId="77777777" w:rsidTr="006333CA">
        <w:trPr>
          <w:trHeight w:val="585"/>
          <w:jc w:val="center"/>
        </w:trPr>
        <w:tc>
          <w:tcPr>
            <w:tcW w:w="1980"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14:paraId="0DE98FEA" w14:textId="77777777" w:rsidR="00DF0307" w:rsidRPr="00624565" w:rsidRDefault="00DF0307" w:rsidP="006333CA">
            <w:pPr>
              <w:spacing w:before="60" w:after="60" w:line="276" w:lineRule="auto"/>
              <w:jc w:val="center"/>
              <w:rPr>
                <w:noProof/>
              </w:rPr>
            </w:pPr>
            <w:r w:rsidRPr="00624565">
              <w:rPr>
                <w:noProof/>
                <w:sz w:val="18"/>
              </w:rPr>
              <w:t>Pracownicy zatrudnieni na czas określony (grupy funkcyjne AD)</w:t>
            </w:r>
          </w:p>
        </w:tc>
        <w:tc>
          <w:tcPr>
            <w:tcW w:w="1080" w:type="dxa"/>
            <w:tcBorders>
              <w:top w:val="single" w:sz="2" w:space="0" w:color="auto"/>
              <w:left w:val="single" w:sz="2" w:space="0" w:color="auto"/>
              <w:bottom w:val="single" w:sz="2" w:space="0" w:color="auto"/>
              <w:right w:val="single" w:sz="2" w:space="0" w:color="auto"/>
            </w:tcBorders>
            <w:vAlign w:val="bottom"/>
            <w:hideMark/>
          </w:tcPr>
          <w:p w14:paraId="5442B516" w14:textId="77777777" w:rsidR="00DF0307" w:rsidRPr="00624565" w:rsidRDefault="00DF0307" w:rsidP="006333CA">
            <w:pPr>
              <w:spacing w:before="60" w:after="60" w:line="276" w:lineRule="auto"/>
              <w:jc w:val="right"/>
              <w:rPr>
                <w:rFonts w:ascii="Calibri" w:eastAsia="Calibri" w:hAnsi="Calibri" w:cs="Calibri"/>
                <w:noProof/>
                <w:sz w:val="22"/>
              </w:rPr>
            </w:pPr>
            <w:r w:rsidRPr="00624565">
              <w:rPr>
                <w:rFonts w:ascii="Calibri" w:hAnsi="Calibri"/>
                <w:noProof/>
                <w:sz w:val="22"/>
              </w:rPr>
              <w:t>0,117</w:t>
            </w:r>
          </w:p>
        </w:tc>
        <w:tc>
          <w:tcPr>
            <w:tcW w:w="1080" w:type="dxa"/>
            <w:tcBorders>
              <w:top w:val="single" w:sz="2" w:space="0" w:color="auto"/>
              <w:left w:val="single" w:sz="2" w:space="0" w:color="auto"/>
              <w:bottom w:val="single" w:sz="2" w:space="0" w:color="auto"/>
              <w:right w:val="single" w:sz="2" w:space="0" w:color="auto"/>
            </w:tcBorders>
            <w:vAlign w:val="bottom"/>
            <w:hideMark/>
          </w:tcPr>
          <w:p w14:paraId="1E29E5DC" w14:textId="77777777" w:rsidR="00DF0307" w:rsidRPr="00624565" w:rsidRDefault="00DF0307" w:rsidP="006333CA">
            <w:pPr>
              <w:spacing w:before="60" w:after="60" w:line="276" w:lineRule="auto"/>
              <w:jc w:val="center"/>
              <w:rPr>
                <w:rFonts w:ascii="Calibri" w:eastAsia="Calibri" w:hAnsi="Calibri" w:cs="Calibri"/>
                <w:noProof/>
                <w:sz w:val="22"/>
              </w:rPr>
            </w:pPr>
            <w:r w:rsidRPr="00624565">
              <w:rPr>
                <w:rFonts w:ascii="Calibri" w:hAnsi="Calibri"/>
                <w:noProof/>
                <w:sz w:val="22"/>
              </w:rPr>
              <w:t>0,240</w:t>
            </w:r>
          </w:p>
        </w:tc>
        <w:tc>
          <w:tcPr>
            <w:tcW w:w="1080" w:type="dxa"/>
            <w:tcBorders>
              <w:top w:val="single" w:sz="2" w:space="0" w:color="auto"/>
              <w:left w:val="single" w:sz="2" w:space="0" w:color="auto"/>
              <w:bottom w:val="single" w:sz="2" w:space="0" w:color="auto"/>
              <w:right w:val="single" w:sz="2" w:space="0" w:color="auto"/>
            </w:tcBorders>
            <w:vAlign w:val="bottom"/>
            <w:hideMark/>
          </w:tcPr>
          <w:p w14:paraId="4863ECBB" w14:textId="77777777" w:rsidR="00DF0307" w:rsidRPr="00624565" w:rsidRDefault="00DF0307" w:rsidP="006333CA">
            <w:pPr>
              <w:spacing w:before="60" w:after="60" w:line="276" w:lineRule="auto"/>
              <w:jc w:val="right"/>
              <w:rPr>
                <w:rFonts w:ascii="Calibri" w:eastAsia="Calibri" w:hAnsi="Calibri" w:cs="Calibri"/>
                <w:noProof/>
                <w:sz w:val="22"/>
              </w:rPr>
            </w:pPr>
            <w:r w:rsidRPr="00624565">
              <w:rPr>
                <w:rFonts w:ascii="Calibri" w:hAnsi="Calibri"/>
                <w:noProof/>
                <w:sz w:val="22"/>
              </w:rPr>
              <w:t>0,244</w:t>
            </w:r>
          </w:p>
        </w:tc>
        <w:tc>
          <w:tcPr>
            <w:tcW w:w="1080" w:type="dxa"/>
            <w:tcBorders>
              <w:top w:val="single" w:sz="2" w:space="0" w:color="auto"/>
              <w:left w:val="single" w:sz="2" w:space="0" w:color="auto"/>
              <w:bottom w:val="single" w:sz="2" w:space="0" w:color="auto"/>
              <w:right w:val="single" w:sz="2" w:space="0" w:color="auto"/>
            </w:tcBorders>
            <w:vAlign w:val="bottom"/>
            <w:hideMark/>
          </w:tcPr>
          <w:p w14:paraId="3C7DAA89" w14:textId="77777777" w:rsidR="00DF0307" w:rsidRPr="00624565" w:rsidRDefault="00DF0307" w:rsidP="006333CA">
            <w:pPr>
              <w:spacing w:before="60" w:after="60" w:line="276" w:lineRule="auto"/>
              <w:jc w:val="right"/>
              <w:rPr>
                <w:rFonts w:ascii="Calibri" w:eastAsia="Calibri" w:hAnsi="Calibri" w:cs="Calibri"/>
                <w:noProof/>
                <w:sz w:val="22"/>
              </w:rPr>
            </w:pPr>
            <w:r w:rsidRPr="00624565">
              <w:rPr>
                <w:rFonts w:ascii="Calibri" w:hAnsi="Calibri"/>
                <w:b/>
                <w:noProof/>
                <w:sz w:val="22"/>
              </w:rPr>
              <w:t>0,602</w:t>
            </w:r>
          </w:p>
        </w:tc>
      </w:tr>
      <w:tr w:rsidR="00DF0307" w:rsidRPr="00624565" w14:paraId="6F6020A6" w14:textId="77777777" w:rsidTr="006333CA">
        <w:trPr>
          <w:trHeight w:val="585"/>
          <w:jc w:val="center"/>
        </w:trPr>
        <w:tc>
          <w:tcPr>
            <w:tcW w:w="1980" w:type="dxa"/>
            <w:tcBorders>
              <w:top w:val="single" w:sz="2" w:space="0" w:color="auto"/>
              <w:left w:val="single" w:sz="2" w:space="0" w:color="auto"/>
              <w:bottom w:val="single" w:sz="2" w:space="0" w:color="auto"/>
              <w:right w:val="single" w:sz="2" w:space="0" w:color="auto"/>
            </w:tcBorders>
            <w:shd w:val="clear" w:color="auto" w:fill="BFBFBF" w:themeFill="background1" w:themeFillShade="BF"/>
            <w:vAlign w:val="center"/>
            <w:hideMark/>
          </w:tcPr>
          <w:p w14:paraId="035E85CD" w14:textId="77777777" w:rsidR="00DF0307" w:rsidRPr="00624565" w:rsidRDefault="00DF0307" w:rsidP="006333CA">
            <w:pPr>
              <w:spacing w:before="60" w:after="60" w:line="276" w:lineRule="auto"/>
              <w:ind w:left="72"/>
              <w:rPr>
                <w:noProof/>
              </w:rPr>
            </w:pPr>
            <w:r w:rsidRPr="00624565">
              <w:rPr>
                <w:noProof/>
                <w:sz w:val="20"/>
              </w:rPr>
              <w:t>Pracownicy zatrudnieni na czas określony (grupy funkcyjne AST)</w:t>
            </w:r>
          </w:p>
        </w:tc>
        <w:tc>
          <w:tcPr>
            <w:tcW w:w="1080" w:type="dxa"/>
            <w:tcBorders>
              <w:top w:val="single" w:sz="2" w:space="0" w:color="auto"/>
              <w:left w:val="single" w:sz="2" w:space="0" w:color="auto"/>
              <w:bottom w:val="single" w:sz="2" w:space="0" w:color="auto"/>
              <w:right w:val="single" w:sz="2" w:space="0" w:color="auto"/>
            </w:tcBorders>
            <w:vAlign w:val="center"/>
          </w:tcPr>
          <w:p w14:paraId="5C3FAE69" w14:textId="77777777" w:rsidR="00DF0307" w:rsidRPr="00624565" w:rsidRDefault="00DF0307" w:rsidP="006333CA">
            <w:pPr>
              <w:spacing w:before="60" w:after="60" w:line="276" w:lineRule="auto"/>
              <w:jc w:val="right"/>
              <w:rPr>
                <w:noProof/>
                <w:sz w:val="22"/>
              </w:rPr>
            </w:pPr>
          </w:p>
        </w:tc>
        <w:tc>
          <w:tcPr>
            <w:tcW w:w="1080" w:type="dxa"/>
            <w:tcBorders>
              <w:top w:val="single" w:sz="2" w:space="0" w:color="auto"/>
              <w:left w:val="single" w:sz="2" w:space="0" w:color="auto"/>
              <w:bottom w:val="single" w:sz="2" w:space="0" w:color="auto"/>
              <w:right w:val="single" w:sz="2" w:space="0" w:color="auto"/>
            </w:tcBorders>
          </w:tcPr>
          <w:p w14:paraId="1212E10B" w14:textId="77777777" w:rsidR="00DF0307" w:rsidRPr="00624565" w:rsidRDefault="00DF0307" w:rsidP="006333CA">
            <w:pPr>
              <w:spacing w:before="60" w:after="60" w:line="276" w:lineRule="auto"/>
              <w:jc w:val="right"/>
              <w:rPr>
                <w:noProof/>
                <w:sz w:val="22"/>
              </w:rPr>
            </w:pPr>
          </w:p>
        </w:tc>
        <w:tc>
          <w:tcPr>
            <w:tcW w:w="1080" w:type="dxa"/>
            <w:tcBorders>
              <w:top w:val="single" w:sz="2" w:space="0" w:color="auto"/>
              <w:left w:val="single" w:sz="2" w:space="0" w:color="auto"/>
              <w:bottom w:val="single" w:sz="2" w:space="0" w:color="auto"/>
              <w:right w:val="single" w:sz="2" w:space="0" w:color="auto"/>
            </w:tcBorders>
            <w:vAlign w:val="center"/>
          </w:tcPr>
          <w:p w14:paraId="79500FE0" w14:textId="77777777" w:rsidR="00DF0307" w:rsidRPr="00624565" w:rsidRDefault="00DF0307" w:rsidP="006333CA">
            <w:pPr>
              <w:spacing w:before="60" w:after="60" w:line="276" w:lineRule="auto"/>
              <w:jc w:val="right"/>
              <w:rPr>
                <w:noProof/>
                <w:sz w:val="22"/>
              </w:rPr>
            </w:pPr>
          </w:p>
        </w:tc>
        <w:tc>
          <w:tcPr>
            <w:tcW w:w="1080" w:type="dxa"/>
            <w:tcBorders>
              <w:top w:val="single" w:sz="2" w:space="0" w:color="auto"/>
              <w:left w:val="single" w:sz="2" w:space="0" w:color="auto"/>
              <w:bottom w:val="single" w:sz="2" w:space="0" w:color="auto"/>
              <w:right w:val="single" w:sz="2" w:space="0" w:color="auto"/>
            </w:tcBorders>
            <w:vAlign w:val="center"/>
          </w:tcPr>
          <w:p w14:paraId="0F7DFD03" w14:textId="77777777" w:rsidR="00DF0307" w:rsidRPr="00624565" w:rsidRDefault="00DF0307" w:rsidP="006333CA">
            <w:pPr>
              <w:spacing w:before="60" w:after="60" w:line="276" w:lineRule="auto"/>
              <w:jc w:val="right"/>
              <w:rPr>
                <w:noProof/>
                <w:sz w:val="22"/>
              </w:rPr>
            </w:pPr>
          </w:p>
        </w:tc>
      </w:tr>
      <w:tr w:rsidR="00DF0307" w:rsidRPr="00624565" w14:paraId="66EC2F5C" w14:textId="77777777" w:rsidTr="006333CA">
        <w:trPr>
          <w:trHeight w:val="585"/>
          <w:jc w:val="center"/>
        </w:trPr>
        <w:tc>
          <w:tcPr>
            <w:tcW w:w="1980" w:type="dxa"/>
            <w:tcBorders>
              <w:top w:val="single" w:sz="2" w:space="0" w:color="auto"/>
              <w:left w:val="single" w:sz="2" w:space="0" w:color="auto"/>
              <w:bottom w:val="single" w:sz="2" w:space="0" w:color="auto"/>
              <w:right w:val="single" w:sz="2" w:space="0" w:color="auto"/>
            </w:tcBorders>
            <w:shd w:val="clear" w:color="auto" w:fill="BFBFBF" w:themeFill="background1" w:themeFillShade="BF"/>
            <w:vAlign w:val="center"/>
            <w:hideMark/>
          </w:tcPr>
          <w:p w14:paraId="55D161DC" w14:textId="77777777" w:rsidR="00DF0307" w:rsidRPr="00624565" w:rsidRDefault="00DF0307" w:rsidP="006333CA">
            <w:pPr>
              <w:spacing w:before="60" w:after="60" w:line="276" w:lineRule="auto"/>
              <w:ind w:left="72"/>
              <w:rPr>
                <w:noProof/>
                <w:sz w:val="22"/>
              </w:rPr>
            </w:pPr>
            <w:r w:rsidRPr="00624565">
              <w:rPr>
                <w:noProof/>
                <w:sz w:val="22"/>
              </w:rPr>
              <w:t>Pracownicy kontraktowi</w:t>
            </w:r>
          </w:p>
        </w:tc>
        <w:tc>
          <w:tcPr>
            <w:tcW w:w="1080" w:type="dxa"/>
            <w:tcBorders>
              <w:top w:val="single" w:sz="2" w:space="0" w:color="auto"/>
              <w:left w:val="single" w:sz="2" w:space="0" w:color="auto"/>
              <w:bottom w:val="single" w:sz="2" w:space="0" w:color="auto"/>
              <w:right w:val="single" w:sz="2" w:space="0" w:color="auto"/>
            </w:tcBorders>
            <w:vAlign w:val="bottom"/>
            <w:hideMark/>
          </w:tcPr>
          <w:p w14:paraId="5CA421F1" w14:textId="77777777" w:rsidR="00DF0307" w:rsidRPr="00624565" w:rsidRDefault="00DF0307" w:rsidP="006333CA">
            <w:pPr>
              <w:spacing w:before="60" w:after="60" w:line="276" w:lineRule="auto"/>
              <w:jc w:val="right"/>
              <w:rPr>
                <w:rFonts w:ascii="Calibri" w:eastAsia="Calibri" w:hAnsi="Calibri" w:cs="Calibri"/>
                <w:noProof/>
                <w:sz w:val="22"/>
              </w:rPr>
            </w:pPr>
            <w:r w:rsidRPr="00624565">
              <w:rPr>
                <w:rFonts w:ascii="Calibri" w:hAnsi="Calibri"/>
                <w:noProof/>
                <w:sz w:val="22"/>
              </w:rPr>
              <w:t>0,063</w:t>
            </w:r>
          </w:p>
        </w:tc>
        <w:tc>
          <w:tcPr>
            <w:tcW w:w="1080" w:type="dxa"/>
            <w:tcBorders>
              <w:top w:val="single" w:sz="2" w:space="0" w:color="auto"/>
              <w:left w:val="single" w:sz="2" w:space="0" w:color="auto"/>
              <w:bottom w:val="single" w:sz="2" w:space="0" w:color="auto"/>
              <w:right w:val="single" w:sz="2" w:space="0" w:color="auto"/>
            </w:tcBorders>
            <w:vAlign w:val="bottom"/>
            <w:hideMark/>
          </w:tcPr>
          <w:p w14:paraId="1FB6FF68" w14:textId="77777777" w:rsidR="00DF0307" w:rsidRPr="00624565" w:rsidRDefault="00DF0307" w:rsidP="006333CA">
            <w:pPr>
              <w:spacing w:before="60" w:after="60" w:line="276" w:lineRule="auto"/>
              <w:jc w:val="right"/>
              <w:rPr>
                <w:rFonts w:ascii="Calibri" w:eastAsia="Calibri" w:hAnsi="Calibri" w:cs="Calibri"/>
                <w:noProof/>
                <w:sz w:val="22"/>
              </w:rPr>
            </w:pPr>
            <w:r w:rsidRPr="00624565">
              <w:rPr>
                <w:rFonts w:ascii="Calibri" w:hAnsi="Calibri"/>
                <w:noProof/>
                <w:sz w:val="22"/>
              </w:rPr>
              <w:t>0,128</w:t>
            </w:r>
          </w:p>
        </w:tc>
        <w:tc>
          <w:tcPr>
            <w:tcW w:w="1080" w:type="dxa"/>
            <w:tcBorders>
              <w:top w:val="single" w:sz="2" w:space="0" w:color="auto"/>
              <w:left w:val="single" w:sz="2" w:space="0" w:color="auto"/>
              <w:bottom w:val="single" w:sz="2" w:space="0" w:color="auto"/>
              <w:right w:val="single" w:sz="2" w:space="0" w:color="auto"/>
            </w:tcBorders>
            <w:vAlign w:val="bottom"/>
            <w:hideMark/>
          </w:tcPr>
          <w:p w14:paraId="4A70FEFD" w14:textId="77777777" w:rsidR="00DF0307" w:rsidRPr="00624565" w:rsidRDefault="00DF0307" w:rsidP="006333CA">
            <w:pPr>
              <w:spacing w:before="60" w:after="60" w:line="276" w:lineRule="auto"/>
              <w:jc w:val="right"/>
              <w:rPr>
                <w:rFonts w:ascii="Calibri" w:eastAsia="Calibri" w:hAnsi="Calibri" w:cs="Calibri"/>
                <w:noProof/>
                <w:sz w:val="22"/>
              </w:rPr>
            </w:pPr>
            <w:r w:rsidRPr="00624565">
              <w:rPr>
                <w:rFonts w:ascii="Calibri" w:hAnsi="Calibri"/>
                <w:noProof/>
                <w:sz w:val="22"/>
              </w:rPr>
              <w:t>0,130</w:t>
            </w:r>
          </w:p>
        </w:tc>
        <w:tc>
          <w:tcPr>
            <w:tcW w:w="1080" w:type="dxa"/>
            <w:tcBorders>
              <w:top w:val="single" w:sz="2" w:space="0" w:color="auto"/>
              <w:left w:val="single" w:sz="2" w:space="0" w:color="auto"/>
              <w:bottom w:val="single" w:sz="2" w:space="0" w:color="auto"/>
              <w:right w:val="single" w:sz="2" w:space="0" w:color="auto"/>
            </w:tcBorders>
            <w:vAlign w:val="bottom"/>
            <w:hideMark/>
          </w:tcPr>
          <w:p w14:paraId="6BF31151" w14:textId="77777777" w:rsidR="00DF0307" w:rsidRPr="00624565" w:rsidRDefault="00DF0307" w:rsidP="006333CA">
            <w:pPr>
              <w:spacing w:before="60" w:after="60" w:line="276" w:lineRule="auto"/>
              <w:jc w:val="right"/>
              <w:rPr>
                <w:rFonts w:ascii="Calibri" w:eastAsia="Calibri" w:hAnsi="Calibri" w:cs="Calibri"/>
                <w:noProof/>
                <w:sz w:val="22"/>
              </w:rPr>
            </w:pPr>
            <w:r w:rsidRPr="00624565">
              <w:rPr>
                <w:rFonts w:ascii="Calibri" w:hAnsi="Calibri"/>
                <w:b/>
                <w:noProof/>
                <w:sz w:val="22"/>
              </w:rPr>
              <w:t>0,320</w:t>
            </w:r>
          </w:p>
        </w:tc>
      </w:tr>
      <w:tr w:rsidR="00DF0307" w:rsidRPr="00624565" w14:paraId="3A77B64C" w14:textId="77777777" w:rsidTr="006333CA">
        <w:trPr>
          <w:trHeight w:val="585"/>
          <w:jc w:val="center"/>
        </w:trPr>
        <w:tc>
          <w:tcPr>
            <w:tcW w:w="1980" w:type="dxa"/>
            <w:tcBorders>
              <w:top w:val="single" w:sz="2" w:space="0" w:color="auto"/>
              <w:left w:val="single" w:sz="2" w:space="0" w:color="auto"/>
              <w:bottom w:val="single" w:sz="2" w:space="0" w:color="auto"/>
              <w:right w:val="single" w:sz="2" w:space="0" w:color="auto"/>
            </w:tcBorders>
            <w:shd w:val="clear" w:color="auto" w:fill="CCCCCC"/>
            <w:vAlign w:val="center"/>
            <w:hideMark/>
          </w:tcPr>
          <w:p w14:paraId="0DE1BBA9" w14:textId="77777777" w:rsidR="00DF0307" w:rsidRPr="00624565" w:rsidRDefault="00DF0307" w:rsidP="006333CA">
            <w:pPr>
              <w:spacing w:before="60" w:after="60" w:line="276" w:lineRule="auto"/>
              <w:jc w:val="center"/>
              <w:rPr>
                <w:noProof/>
                <w:sz w:val="22"/>
              </w:rPr>
            </w:pPr>
            <w:r w:rsidRPr="00624565">
              <w:rPr>
                <w:noProof/>
                <w:sz w:val="22"/>
              </w:rPr>
              <w:t>Oddelegowani eksperci krajowi</w:t>
            </w:r>
          </w:p>
        </w:tc>
        <w:tc>
          <w:tcPr>
            <w:tcW w:w="1080" w:type="dxa"/>
            <w:tcBorders>
              <w:top w:val="single" w:sz="2" w:space="0" w:color="auto"/>
              <w:left w:val="single" w:sz="2" w:space="0" w:color="auto"/>
              <w:bottom w:val="single" w:sz="2" w:space="0" w:color="auto"/>
              <w:right w:val="single" w:sz="2" w:space="0" w:color="auto"/>
            </w:tcBorders>
            <w:vAlign w:val="center"/>
          </w:tcPr>
          <w:p w14:paraId="27E8F0B4" w14:textId="77777777" w:rsidR="00DF0307" w:rsidRPr="00624565" w:rsidRDefault="00DF0307" w:rsidP="006333CA">
            <w:pPr>
              <w:spacing w:before="60" w:after="60" w:line="276" w:lineRule="auto"/>
              <w:jc w:val="right"/>
              <w:rPr>
                <w:noProof/>
                <w:sz w:val="22"/>
              </w:rPr>
            </w:pPr>
          </w:p>
        </w:tc>
        <w:tc>
          <w:tcPr>
            <w:tcW w:w="1080" w:type="dxa"/>
            <w:tcBorders>
              <w:top w:val="single" w:sz="2" w:space="0" w:color="auto"/>
              <w:left w:val="single" w:sz="2" w:space="0" w:color="auto"/>
              <w:bottom w:val="single" w:sz="2" w:space="0" w:color="auto"/>
              <w:right w:val="single" w:sz="2" w:space="0" w:color="auto"/>
            </w:tcBorders>
          </w:tcPr>
          <w:p w14:paraId="2E66E69C" w14:textId="77777777" w:rsidR="00DF0307" w:rsidRPr="00624565" w:rsidRDefault="00DF0307" w:rsidP="006333CA">
            <w:pPr>
              <w:spacing w:before="60" w:after="60" w:line="276" w:lineRule="auto"/>
              <w:jc w:val="right"/>
              <w:rPr>
                <w:noProof/>
                <w:sz w:val="22"/>
              </w:rPr>
            </w:pPr>
          </w:p>
        </w:tc>
        <w:tc>
          <w:tcPr>
            <w:tcW w:w="1080" w:type="dxa"/>
            <w:tcBorders>
              <w:top w:val="single" w:sz="2" w:space="0" w:color="auto"/>
              <w:left w:val="single" w:sz="2" w:space="0" w:color="auto"/>
              <w:bottom w:val="single" w:sz="2" w:space="0" w:color="auto"/>
              <w:right w:val="single" w:sz="2" w:space="0" w:color="auto"/>
            </w:tcBorders>
            <w:vAlign w:val="center"/>
          </w:tcPr>
          <w:p w14:paraId="3CA9B182" w14:textId="77777777" w:rsidR="00DF0307" w:rsidRPr="00624565" w:rsidRDefault="00DF0307" w:rsidP="006333CA">
            <w:pPr>
              <w:spacing w:before="60" w:after="60" w:line="276" w:lineRule="auto"/>
              <w:jc w:val="right"/>
              <w:rPr>
                <w:noProof/>
                <w:sz w:val="22"/>
              </w:rPr>
            </w:pPr>
          </w:p>
        </w:tc>
        <w:tc>
          <w:tcPr>
            <w:tcW w:w="1080" w:type="dxa"/>
            <w:tcBorders>
              <w:top w:val="single" w:sz="2" w:space="0" w:color="auto"/>
              <w:left w:val="single" w:sz="2" w:space="0" w:color="auto"/>
              <w:bottom w:val="single" w:sz="2" w:space="0" w:color="auto"/>
              <w:right w:val="single" w:sz="2" w:space="0" w:color="auto"/>
            </w:tcBorders>
            <w:vAlign w:val="center"/>
          </w:tcPr>
          <w:p w14:paraId="550BA2F7" w14:textId="77777777" w:rsidR="00DF0307" w:rsidRPr="00624565" w:rsidRDefault="00DF0307" w:rsidP="006333CA">
            <w:pPr>
              <w:spacing w:before="60" w:after="60" w:line="276" w:lineRule="auto"/>
              <w:jc w:val="right"/>
              <w:rPr>
                <w:noProof/>
                <w:sz w:val="22"/>
              </w:rPr>
            </w:pPr>
          </w:p>
        </w:tc>
      </w:tr>
    </w:tbl>
    <w:p w14:paraId="1D994FE9" w14:textId="77777777" w:rsidR="00DF0307" w:rsidRPr="00624565" w:rsidRDefault="00DF0307" w:rsidP="00DF0307">
      <w:pPr>
        <w:rPr>
          <w:noProof/>
          <w:sz w:val="22"/>
          <w:lang w:eastAsia="en-GB"/>
        </w:rPr>
      </w:pPr>
    </w:p>
    <w:tbl>
      <w:tblPr>
        <w:tblW w:w="6300" w:type="dxa"/>
        <w:jc w:val="center"/>
        <w:tblLayout w:type="fixed"/>
        <w:tblLook w:val="01E0" w:firstRow="1" w:lastRow="1" w:firstColumn="1" w:lastColumn="1" w:noHBand="0" w:noVBand="0"/>
      </w:tblPr>
      <w:tblGrid>
        <w:gridCol w:w="1980"/>
        <w:gridCol w:w="1080"/>
        <w:gridCol w:w="1080"/>
        <w:gridCol w:w="1080"/>
        <w:gridCol w:w="1080"/>
      </w:tblGrid>
      <w:tr w:rsidR="00DF0307" w:rsidRPr="00624565" w14:paraId="22EAAE03" w14:textId="77777777" w:rsidTr="006333CA">
        <w:trPr>
          <w:trHeight w:val="585"/>
          <w:jc w:val="center"/>
        </w:trPr>
        <w:tc>
          <w:tcPr>
            <w:tcW w:w="1980" w:type="dxa"/>
            <w:tcBorders>
              <w:top w:val="single" w:sz="12" w:space="0" w:color="auto"/>
              <w:left w:val="single" w:sz="12" w:space="0" w:color="auto"/>
              <w:bottom w:val="single" w:sz="12" w:space="0" w:color="auto"/>
              <w:right w:val="single" w:sz="2" w:space="0" w:color="auto"/>
            </w:tcBorders>
            <w:vAlign w:val="center"/>
            <w:hideMark/>
          </w:tcPr>
          <w:p w14:paraId="1D9B705E" w14:textId="77777777" w:rsidR="00DF0307" w:rsidRPr="00624565" w:rsidRDefault="00DF0307" w:rsidP="006333CA">
            <w:pPr>
              <w:spacing w:before="60" w:after="60" w:line="276" w:lineRule="auto"/>
              <w:jc w:val="center"/>
              <w:rPr>
                <w:noProof/>
                <w:sz w:val="22"/>
              </w:rPr>
            </w:pPr>
            <w:r w:rsidRPr="00624565">
              <w:rPr>
                <w:b/>
                <w:noProof/>
                <w:sz w:val="22"/>
              </w:rPr>
              <w:t>OGÓŁEM</w:t>
            </w:r>
          </w:p>
        </w:tc>
        <w:tc>
          <w:tcPr>
            <w:tcW w:w="1080" w:type="dxa"/>
            <w:tcBorders>
              <w:top w:val="single" w:sz="12" w:space="0" w:color="auto"/>
              <w:left w:val="single" w:sz="2" w:space="0" w:color="auto"/>
              <w:bottom w:val="single" w:sz="12" w:space="0" w:color="auto"/>
              <w:right w:val="single" w:sz="2" w:space="0" w:color="auto"/>
            </w:tcBorders>
            <w:vAlign w:val="bottom"/>
            <w:hideMark/>
          </w:tcPr>
          <w:p w14:paraId="6F328E01" w14:textId="77777777" w:rsidR="00DF0307" w:rsidRPr="00624565" w:rsidRDefault="00DF0307" w:rsidP="006333CA">
            <w:pPr>
              <w:spacing w:before="60" w:after="60" w:line="276" w:lineRule="auto"/>
              <w:jc w:val="right"/>
              <w:rPr>
                <w:b/>
                <w:noProof/>
                <w:sz w:val="22"/>
              </w:rPr>
            </w:pPr>
            <w:r w:rsidRPr="00624565">
              <w:rPr>
                <w:rFonts w:ascii="Calibri" w:hAnsi="Calibri"/>
                <w:b/>
                <w:noProof/>
                <w:sz w:val="22"/>
              </w:rPr>
              <w:t>0,180</w:t>
            </w:r>
          </w:p>
        </w:tc>
        <w:tc>
          <w:tcPr>
            <w:tcW w:w="1080" w:type="dxa"/>
            <w:tcBorders>
              <w:top w:val="single" w:sz="12" w:space="0" w:color="auto"/>
              <w:left w:val="single" w:sz="2" w:space="0" w:color="auto"/>
              <w:bottom w:val="single" w:sz="12" w:space="0" w:color="auto"/>
              <w:right w:val="single" w:sz="2" w:space="0" w:color="auto"/>
            </w:tcBorders>
            <w:vAlign w:val="bottom"/>
            <w:hideMark/>
          </w:tcPr>
          <w:p w14:paraId="017E9DA0" w14:textId="77777777" w:rsidR="00DF0307" w:rsidRPr="00624565" w:rsidRDefault="00DF0307" w:rsidP="006333CA">
            <w:pPr>
              <w:spacing w:before="60" w:after="60" w:line="276" w:lineRule="auto"/>
              <w:jc w:val="center"/>
              <w:rPr>
                <w:rFonts w:ascii="Calibri" w:eastAsia="Calibri" w:hAnsi="Calibri" w:cs="Calibri"/>
                <w:noProof/>
                <w:sz w:val="22"/>
              </w:rPr>
            </w:pPr>
            <w:r w:rsidRPr="00624565">
              <w:rPr>
                <w:rFonts w:ascii="Calibri" w:hAnsi="Calibri"/>
                <w:b/>
                <w:noProof/>
                <w:sz w:val="22"/>
              </w:rPr>
              <w:t>0,367</w:t>
            </w:r>
          </w:p>
        </w:tc>
        <w:tc>
          <w:tcPr>
            <w:tcW w:w="1080" w:type="dxa"/>
            <w:tcBorders>
              <w:top w:val="single" w:sz="12" w:space="0" w:color="auto"/>
              <w:left w:val="single" w:sz="2" w:space="0" w:color="auto"/>
              <w:bottom w:val="single" w:sz="12" w:space="0" w:color="auto"/>
              <w:right w:val="single" w:sz="2" w:space="0" w:color="auto"/>
            </w:tcBorders>
            <w:vAlign w:val="bottom"/>
            <w:hideMark/>
          </w:tcPr>
          <w:p w14:paraId="7171ADE8" w14:textId="77777777" w:rsidR="00DF0307" w:rsidRPr="00624565" w:rsidRDefault="00DF0307" w:rsidP="006333CA">
            <w:pPr>
              <w:spacing w:before="60" w:after="60" w:line="276" w:lineRule="auto"/>
              <w:jc w:val="right"/>
              <w:rPr>
                <w:rFonts w:ascii="Calibri" w:eastAsia="Calibri" w:hAnsi="Calibri" w:cs="Calibri"/>
                <w:noProof/>
                <w:sz w:val="22"/>
              </w:rPr>
            </w:pPr>
            <w:r w:rsidRPr="00624565">
              <w:rPr>
                <w:rFonts w:ascii="Calibri" w:hAnsi="Calibri"/>
                <w:b/>
                <w:noProof/>
                <w:sz w:val="22"/>
              </w:rPr>
              <w:t>0,375</w:t>
            </w:r>
          </w:p>
        </w:tc>
        <w:tc>
          <w:tcPr>
            <w:tcW w:w="1080" w:type="dxa"/>
            <w:tcBorders>
              <w:top w:val="single" w:sz="12" w:space="0" w:color="auto"/>
              <w:left w:val="single" w:sz="2" w:space="0" w:color="auto"/>
              <w:bottom w:val="single" w:sz="12" w:space="0" w:color="auto"/>
              <w:right w:val="single" w:sz="2" w:space="0" w:color="auto"/>
            </w:tcBorders>
            <w:vAlign w:val="bottom"/>
            <w:hideMark/>
          </w:tcPr>
          <w:p w14:paraId="3129929F" w14:textId="77777777" w:rsidR="00DF0307" w:rsidRPr="00624565" w:rsidRDefault="00DF0307" w:rsidP="006333CA">
            <w:pPr>
              <w:spacing w:before="60" w:after="60" w:line="276" w:lineRule="auto"/>
              <w:jc w:val="right"/>
              <w:rPr>
                <w:rFonts w:ascii="Calibri" w:eastAsia="Calibri" w:hAnsi="Calibri" w:cs="Calibri"/>
                <w:noProof/>
                <w:sz w:val="22"/>
              </w:rPr>
            </w:pPr>
            <w:r w:rsidRPr="00624565">
              <w:rPr>
                <w:rFonts w:ascii="Calibri" w:hAnsi="Calibri"/>
                <w:b/>
                <w:noProof/>
                <w:sz w:val="22"/>
              </w:rPr>
              <w:t>0,922</w:t>
            </w:r>
          </w:p>
        </w:tc>
      </w:tr>
    </w:tbl>
    <w:p w14:paraId="2022712C" w14:textId="77777777" w:rsidR="00DF0307" w:rsidRPr="00624565" w:rsidRDefault="00DF0307" w:rsidP="00DF0307">
      <w:pPr>
        <w:rPr>
          <w:noProof/>
          <w:u w:val="single"/>
          <w:lang w:eastAsia="en-GB"/>
        </w:rPr>
      </w:pPr>
    </w:p>
    <w:p w14:paraId="645C74C8" w14:textId="77777777" w:rsidR="00DF0307" w:rsidRPr="00624565" w:rsidRDefault="00DF0307" w:rsidP="00DF0307">
      <w:pPr>
        <w:rPr>
          <w:noProof/>
          <w:sz w:val="20"/>
        </w:rPr>
      </w:pPr>
      <w:r w:rsidRPr="00624565">
        <w:rPr>
          <w:noProof/>
          <w:sz w:val="20"/>
        </w:rPr>
        <w:t>Wymagania dotyczące pracowników (EPC):</w:t>
      </w:r>
    </w:p>
    <w:tbl>
      <w:tblPr>
        <w:tblW w:w="630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tblGrid>
      <w:tr w:rsidR="00DF0307" w:rsidRPr="00624565" w14:paraId="173619F0" w14:textId="77777777" w:rsidTr="006333CA">
        <w:trPr>
          <w:trHeight w:val="585"/>
          <w:jc w:val="center"/>
        </w:trPr>
        <w:tc>
          <w:tcPr>
            <w:tcW w:w="1980" w:type="dxa"/>
            <w:tcBorders>
              <w:top w:val="single" w:sz="2" w:space="0" w:color="auto"/>
              <w:left w:val="single" w:sz="2" w:space="0" w:color="auto"/>
              <w:bottom w:val="single" w:sz="2" w:space="0" w:color="auto"/>
              <w:right w:val="single" w:sz="2" w:space="0" w:color="auto"/>
            </w:tcBorders>
          </w:tcPr>
          <w:p w14:paraId="49F907A7" w14:textId="77777777" w:rsidR="00DF0307" w:rsidRPr="00624565" w:rsidRDefault="00DF0307" w:rsidP="006333CA">
            <w:pPr>
              <w:spacing w:before="60" w:after="60" w:line="276" w:lineRule="auto"/>
              <w:rPr>
                <w:noProof/>
                <w:sz w:val="20"/>
              </w:rPr>
            </w:pPr>
          </w:p>
        </w:tc>
        <w:tc>
          <w:tcPr>
            <w:tcW w:w="1080" w:type="dxa"/>
            <w:tcBorders>
              <w:top w:val="single" w:sz="2" w:space="0" w:color="auto"/>
              <w:left w:val="single" w:sz="2" w:space="0" w:color="auto"/>
              <w:bottom w:val="single" w:sz="2" w:space="0" w:color="auto"/>
              <w:right w:val="single" w:sz="2" w:space="0" w:color="auto"/>
            </w:tcBorders>
            <w:vAlign w:val="center"/>
            <w:hideMark/>
          </w:tcPr>
          <w:p w14:paraId="71A77A31" w14:textId="77777777" w:rsidR="00DF0307" w:rsidRPr="00624565" w:rsidRDefault="00DF0307" w:rsidP="006333CA">
            <w:pPr>
              <w:spacing w:before="60" w:after="60" w:line="276" w:lineRule="auto"/>
              <w:jc w:val="center"/>
              <w:rPr>
                <w:noProof/>
                <w:sz w:val="20"/>
              </w:rPr>
            </w:pPr>
            <w:r w:rsidRPr="00624565">
              <w:rPr>
                <w:b/>
                <w:noProof/>
                <w:sz w:val="20"/>
              </w:rPr>
              <w:t>2025</w:t>
            </w:r>
          </w:p>
        </w:tc>
        <w:tc>
          <w:tcPr>
            <w:tcW w:w="1080" w:type="dxa"/>
            <w:tcBorders>
              <w:top w:val="single" w:sz="2" w:space="0" w:color="auto"/>
              <w:left w:val="single" w:sz="2" w:space="0" w:color="auto"/>
              <w:bottom w:val="single" w:sz="2" w:space="0" w:color="auto"/>
              <w:right w:val="single" w:sz="2" w:space="0" w:color="auto"/>
            </w:tcBorders>
            <w:vAlign w:val="center"/>
            <w:hideMark/>
          </w:tcPr>
          <w:p w14:paraId="4107928D" w14:textId="77777777" w:rsidR="00DF0307" w:rsidRPr="00624565" w:rsidRDefault="00DF0307" w:rsidP="006333CA">
            <w:pPr>
              <w:spacing w:before="60" w:after="60" w:line="276" w:lineRule="auto"/>
              <w:jc w:val="center"/>
              <w:rPr>
                <w:noProof/>
                <w:sz w:val="20"/>
              </w:rPr>
            </w:pPr>
            <w:r w:rsidRPr="00624565">
              <w:rPr>
                <w:b/>
                <w:noProof/>
                <w:sz w:val="20"/>
              </w:rPr>
              <w:t>2026</w:t>
            </w:r>
          </w:p>
        </w:tc>
        <w:tc>
          <w:tcPr>
            <w:tcW w:w="1080" w:type="dxa"/>
            <w:tcBorders>
              <w:top w:val="single" w:sz="2" w:space="0" w:color="auto"/>
              <w:left w:val="single" w:sz="2" w:space="0" w:color="auto"/>
              <w:bottom w:val="single" w:sz="2" w:space="0" w:color="auto"/>
              <w:right w:val="single" w:sz="2" w:space="0" w:color="auto"/>
            </w:tcBorders>
            <w:vAlign w:val="center"/>
            <w:hideMark/>
          </w:tcPr>
          <w:p w14:paraId="5A8E02AA" w14:textId="77777777" w:rsidR="00DF0307" w:rsidRPr="00624565" w:rsidRDefault="00DF0307" w:rsidP="006333CA">
            <w:pPr>
              <w:spacing w:before="60" w:after="60" w:line="276" w:lineRule="auto"/>
              <w:jc w:val="center"/>
              <w:rPr>
                <w:noProof/>
                <w:sz w:val="20"/>
              </w:rPr>
            </w:pPr>
            <w:r w:rsidRPr="00624565">
              <w:rPr>
                <w:b/>
                <w:noProof/>
                <w:sz w:val="20"/>
              </w:rPr>
              <w:t>2027</w:t>
            </w:r>
          </w:p>
        </w:tc>
        <w:tc>
          <w:tcPr>
            <w:tcW w:w="1080" w:type="dxa"/>
            <w:tcBorders>
              <w:top w:val="single" w:sz="2" w:space="0" w:color="auto"/>
              <w:left w:val="single" w:sz="2" w:space="0" w:color="auto"/>
              <w:bottom w:val="single" w:sz="2" w:space="0" w:color="auto"/>
              <w:right w:val="single" w:sz="2" w:space="0" w:color="auto"/>
            </w:tcBorders>
            <w:vAlign w:val="center"/>
            <w:hideMark/>
          </w:tcPr>
          <w:p w14:paraId="15090CA0" w14:textId="77777777" w:rsidR="00DF0307" w:rsidRPr="00624565" w:rsidRDefault="00DF0307" w:rsidP="006333CA">
            <w:pPr>
              <w:spacing w:before="60" w:after="60" w:line="276" w:lineRule="auto"/>
              <w:jc w:val="center"/>
              <w:rPr>
                <w:b/>
                <w:noProof/>
                <w:sz w:val="20"/>
              </w:rPr>
            </w:pPr>
            <w:r w:rsidRPr="00624565">
              <w:rPr>
                <w:b/>
                <w:noProof/>
                <w:sz w:val="20"/>
              </w:rPr>
              <w:t>OGÓŁEM</w:t>
            </w:r>
          </w:p>
        </w:tc>
      </w:tr>
    </w:tbl>
    <w:p w14:paraId="118DCE6D" w14:textId="77777777" w:rsidR="00DF0307" w:rsidRPr="00624565" w:rsidRDefault="00DF0307" w:rsidP="00DF0307">
      <w:pPr>
        <w:rPr>
          <w:noProof/>
          <w:sz w:val="20"/>
          <w:lang w:eastAsia="en-GB"/>
        </w:rPr>
      </w:pPr>
    </w:p>
    <w:tbl>
      <w:tblPr>
        <w:tblW w:w="630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tblGrid>
      <w:tr w:rsidR="00DF0307" w:rsidRPr="00624565" w14:paraId="3EF5282B" w14:textId="77777777" w:rsidTr="006333CA">
        <w:trPr>
          <w:trHeight w:val="585"/>
          <w:jc w:val="center"/>
        </w:trPr>
        <w:tc>
          <w:tcPr>
            <w:tcW w:w="1980"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14:paraId="0834F4F5" w14:textId="77777777" w:rsidR="00DF0307" w:rsidRPr="00624565" w:rsidRDefault="00DF0307" w:rsidP="006333CA">
            <w:pPr>
              <w:spacing w:before="60" w:after="60" w:line="276" w:lineRule="auto"/>
              <w:jc w:val="center"/>
              <w:rPr>
                <w:noProof/>
              </w:rPr>
            </w:pPr>
            <w:r w:rsidRPr="00624565">
              <w:rPr>
                <w:noProof/>
                <w:sz w:val="18"/>
              </w:rPr>
              <w:t>Pracownicy zatrudnieni na czas określony (grupy funkcyjne AD)</w:t>
            </w:r>
          </w:p>
        </w:tc>
        <w:tc>
          <w:tcPr>
            <w:tcW w:w="1080" w:type="dxa"/>
            <w:tcBorders>
              <w:top w:val="single" w:sz="2" w:space="0" w:color="auto"/>
              <w:left w:val="single" w:sz="2" w:space="0" w:color="auto"/>
              <w:bottom w:val="single" w:sz="2" w:space="0" w:color="auto"/>
              <w:right w:val="single" w:sz="2" w:space="0" w:color="auto"/>
            </w:tcBorders>
            <w:vAlign w:val="center"/>
            <w:hideMark/>
          </w:tcPr>
          <w:p w14:paraId="72A607CF" w14:textId="77777777" w:rsidR="00DF0307" w:rsidRPr="00624565" w:rsidRDefault="00DF0307" w:rsidP="006333CA">
            <w:pPr>
              <w:spacing w:before="60" w:after="60" w:line="276" w:lineRule="auto"/>
              <w:jc w:val="right"/>
              <w:rPr>
                <w:noProof/>
                <w:sz w:val="20"/>
              </w:rPr>
            </w:pPr>
            <w:r w:rsidRPr="00624565">
              <w:rPr>
                <w:noProof/>
                <w:sz w:val="20"/>
              </w:rPr>
              <w:t>1</w:t>
            </w:r>
          </w:p>
        </w:tc>
        <w:tc>
          <w:tcPr>
            <w:tcW w:w="1080" w:type="dxa"/>
            <w:tcBorders>
              <w:top w:val="single" w:sz="2" w:space="0" w:color="auto"/>
              <w:left w:val="single" w:sz="2" w:space="0" w:color="auto"/>
              <w:bottom w:val="single" w:sz="2" w:space="0" w:color="auto"/>
              <w:right w:val="single" w:sz="2" w:space="0" w:color="auto"/>
            </w:tcBorders>
            <w:vAlign w:val="center"/>
            <w:hideMark/>
          </w:tcPr>
          <w:p w14:paraId="668681DD" w14:textId="77777777" w:rsidR="00DF0307" w:rsidRPr="00624565" w:rsidRDefault="00DF0307" w:rsidP="006333CA">
            <w:pPr>
              <w:spacing w:before="60" w:after="60" w:line="276" w:lineRule="auto"/>
              <w:jc w:val="right"/>
              <w:rPr>
                <w:noProof/>
                <w:sz w:val="20"/>
              </w:rPr>
            </w:pPr>
            <w:r w:rsidRPr="00624565">
              <w:rPr>
                <w:noProof/>
                <w:sz w:val="20"/>
              </w:rPr>
              <w:t>1</w:t>
            </w:r>
          </w:p>
        </w:tc>
        <w:tc>
          <w:tcPr>
            <w:tcW w:w="1080" w:type="dxa"/>
            <w:tcBorders>
              <w:top w:val="single" w:sz="2" w:space="0" w:color="auto"/>
              <w:left w:val="single" w:sz="2" w:space="0" w:color="auto"/>
              <w:bottom w:val="single" w:sz="2" w:space="0" w:color="auto"/>
              <w:right w:val="single" w:sz="2" w:space="0" w:color="auto"/>
            </w:tcBorders>
            <w:vAlign w:val="center"/>
            <w:hideMark/>
          </w:tcPr>
          <w:p w14:paraId="5130EA41" w14:textId="77777777" w:rsidR="00DF0307" w:rsidRPr="00624565" w:rsidRDefault="00DF0307" w:rsidP="006333CA">
            <w:pPr>
              <w:spacing w:before="60" w:after="60" w:line="276" w:lineRule="auto"/>
              <w:jc w:val="right"/>
              <w:rPr>
                <w:noProof/>
                <w:sz w:val="20"/>
              </w:rPr>
            </w:pPr>
            <w:r w:rsidRPr="00624565">
              <w:rPr>
                <w:noProof/>
                <w:sz w:val="20"/>
              </w:rPr>
              <w:t>1</w:t>
            </w:r>
          </w:p>
        </w:tc>
        <w:tc>
          <w:tcPr>
            <w:tcW w:w="1080" w:type="dxa"/>
            <w:tcBorders>
              <w:top w:val="single" w:sz="2" w:space="0" w:color="auto"/>
              <w:left w:val="single" w:sz="2" w:space="0" w:color="auto"/>
              <w:bottom w:val="single" w:sz="2" w:space="0" w:color="auto"/>
              <w:right w:val="single" w:sz="2" w:space="0" w:color="auto"/>
            </w:tcBorders>
            <w:vAlign w:val="center"/>
          </w:tcPr>
          <w:p w14:paraId="5C9799D3" w14:textId="77777777" w:rsidR="00DF0307" w:rsidRPr="00624565" w:rsidRDefault="00DF0307" w:rsidP="006333CA">
            <w:pPr>
              <w:spacing w:before="60" w:after="60" w:line="276" w:lineRule="auto"/>
              <w:jc w:val="right"/>
              <w:rPr>
                <w:b/>
                <w:noProof/>
                <w:sz w:val="20"/>
              </w:rPr>
            </w:pPr>
          </w:p>
        </w:tc>
      </w:tr>
      <w:tr w:rsidR="00DF0307" w:rsidRPr="00624565" w14:paraId="0008F08B" w14:textId="77777777" w:rsidTr="006333CA">
        <w:trPr>
          <w:trHeight w:val="585"/>
          <w:jc w:val="center"/>
        </w:trPr>
        <w:tc>
          <w:tcPr>
            <w:tcW w:w="1980" w:type="dxa"/>
            <w:tcBorders>
              <w:top w:val="single" w:sz="2" w:space="0" w:color="auto"/>
              <w:left w:val="single" w:sz="2" w:space="0" w:color="auto"/>
              <w:bottom w:val="single" w:sz="2" w:space="0" w:color="auto"/>
              <w:right w:val="single" w:sz="2" w:space="0" w:color="auto"/>
            </w:tcBorders>
            <w:shd w:val="clear" w:color="auto" w:fill="BFBFBF" w:themeFill="background1" w:themeFillShade="BF"/>
            <w:vAlign w:val="center"/>
            <w:hideMark/>
          </w:tcPr>
          <w:p w14:paraId="5E12BE67" w14:textId="77777777" w:rsidR="00DF0307" w:rsidRPr="00624565" w:rsidRDefault="00DF0307" w:rsidP="006333CA">
            <w:pPr>
              <w:spacing w:before="60" w:after="60" w:line="276" w:lineRule="auto"/>
              <w:ind w:left="72"/>
              <w:rPr>
                <w:noProof/>
              </w:rPr>
            </w:pPr>
            <w:r w:rsidRPr="00624565">
              <w:rPr>
                <w:noProof/>
                <w:sz w:val="20"/>
              </w:rPr>
              <w:t>Pracownicy zatrudnieni na czas określony (grupy funkcyjne AST)</w:t>
            </w:r>
          </w:p>
        </w:tc>
        <w:tc>
          <w:tcPr>
            <w:tcW w:w="1080" w:type="dxa"/>
            <w:tcBorders>
              <w:top w:val="single" w:sz="2" w:space="0" w:color="auto"/>
              <w:left w:val="single" w:sz="2" w:space="0" w:color="auto"/>
              <w:bottom w:val="single" w:sz="2" w:space="0" w:color="auto"/>
              <w:right w:val="single" w:sz="2" w:space="0" w:color="auto"/>
            </w:tcBorders>
            <w:vAlign w:val="center"/>
          </w:tcPr>
          <w:p w14:paraId="101F6BE2" w14:textId="77777777" w:rsidR="00DF0307" w:rsidRPr="00624565" w:rsidRDefault="00DF0307" w:rsidP="006333CA">
            <w:pPr>
              <w:spacing w:before="60" w:after="60" w:line="276" w:lineRule="auto"/>
              <w:jc w:val="right"/>
              <w:rPr>
                <w:noProof/>
                <w:sz w:val="20"/>
              </w:rPr>
            </w:pPr>
          </w:p>
        </w:tc>
        <w:tc>
          <w:tcPr>
            <w:tcW w:w="1080" w:type="dxa"/>
            <w:tcBorders>
              <w:top w:val="single" w:sz="2" w:space="0" w:color="auto"/>
              <w:left w:val="single" w:sz="2" w:space="0" w:color="auto"/>
              <w:bottom w:val="single" w:sz="2" w:space="0" w:color="auto"/>
              <w:right w:val="single" w:sz="2" w:space="0" w:color="auto"/>
            </w:tcBorders>
            <w:vAlign w:val="center"/>
          </w:tcPr>
          <w:p w14:paraId="207A7740" w14:textId="77777777" w:rsidR="00DF0307" w:rsidRPr="00624565" w:rsidRDefault="00DF0307" w:rsidP="006333CA">
            <w:pPr>
              <w:spacing w:before="60" w:after="60" w:line="276" w:lineRule="auto"/>
              <w:jc w:val="right"/>
              <w:rPr>
                <w:noProof/>
                <w:sz w:val="20"/>
              </w:rPr>
            </w:pPr>
          </w:p>
        </w:tc>
        <w:tc>
          <w:tcPr>
            <w:tcW w:w="1080" w:type="dxa"/>
            <w:tcBorders>
              <w:top w:val="single" w:sz="2" w:space="0" w:color="auto"/>
              <w:left w:val="single" w:sz="2" w:space="0" w:color="auto"/>
              <w:bottom w:val="single" w:sz="2" w:space="0" w:color="auto"/>
              <w:right w:val="single" w:sz="2" w:space="0" w:color="auto"/>
            </w:tcBorders>
            <w:vAlign w:val="center"/>
          </w:tcPr>
          <w:p w14:paraId="153D83EE" w14:textId="77777777" w:rsidR="00DF0307" w:rsidRPr="00624565" w:rsidRDefault="00DF0307" w:rsidP="006333CA">
            <w:pPr>
              <w:spacing w:before="60" w:after="60" w:line="276" w:lineRule="auto"/>
              <w:jc w:val="right"/>
              <w:rPr>
                <w:noProof/>
                <w:sz w:val="20"/>
              </w:rPr>
            </w:pPr>
          </w:p>
        </w:tc>
        <w:tc>
          <w:tcPr>
            <w:tcW w:w="1080" w:type="dxa"/>
            <w:tcBorders>
              <w:top w:val="single" w:sz="2" w:space="0" w:color="auto"/>
              <w:left w:val="single" w:sz="2" w:space="0" w:color="auto"/>
              <w:bottom w:val="single" w:sz="2" w:space="0" w:color="auto"/>
              <w:right w:val="single" w:sz="2" w:space="0" w:color="auto"/>
            </w:tcBorders>
            <w:vAlign w:val="center"/>
          </w:tcPr>
          <w:p w14:paraId="73FB0558" w14:textId="77777777" w:rsidR="00DF0307" w:rsidRPr="00624565" w:rsidRDefault="00DF0307" w:rsidP="006333CA">
            <w:pPr>
              <w:spacing w:before="60" w:after="60" w:line="276" w:lineRule="auto"/>
              <w:jc w:val="right"/>
              <w:rPr>
                <w:b/>
                <w:noProof/>
                <w:sz w:val="20"/>
              </w:rPr>
            </w:pPr>
          </w:p>
        </w:tc>
      </w:tr>
      <w:tr w:rsidR="00DF0307" w:rsidRPr="00624565" w14:paraId="14CAEB36" w14:textId="77777777" w:rsidTr="006333CA">
        <w:trPr>
          <w:trHeight w:val="585"/>
          <w:jc w:val="center"/>
        </w:trPr>
        <w:tc>
          <w:tcPr>
            <w:tcW w:w="1980" w:type="dxa"/>
            <w:tcBorders>
              <w:top w:val="single" w:sz="2" w:space="0" w:color="auto"/>
              <w:left w:val="single" w:sz="2" w:space="0" w:color="auto"/>
              <w:bottom w:val="single" w:sz="2" w:space="0" w:color="auto"/>
              <w:right w:val="single" w:sz="2" w:space="0" w:color="auto"/>
            </w:tcBorders>
            <w:shd w:val="clear" w:color="auto" w:fill="BFBFBF" w:themeFill="background1" w:themeFillShade="BF"/>
            <w:vAlign w:val="center"/>
            <w:hideMark/>
          </w:tcPr>
          <w:p w14:paraId="7200A370" w14:textId="77777777" w:rsidR="00DF0307" w:rsidRPr="00624565" w:rsidRDefault="00DF0307" w:rsidP="006333CA">
            <w:pPr>
              <w:spacing w:before="60" w:after="60" w:line="276" w:lineRule="auto"/>
              <w:ind w:left="72"/>
              <w:rPr>
                <w:noProof/>
              </w:rPr>
            </w:pPr>
            <w:r w:rsidRPr="00624565">
              <w:rPr>
                <w:noProof/>
                <w:sz w:val="20"/>
              </w:rPr>
              <w:t>Pracownicy kontraktowi</w:t>
            </w:r>
          </w:p>
        </w:tc>
        <w:tc>
          <w:tcPr>
            <w:tcW w:w="1080" w:type="dxa"/>
            <w:tcBorders>
              <w:top w:val="single" w:sz="2" w:space="0" w:color="auto"/>
              <w:left w:val="single" w:sz="2" w:space="0" w:color="auto"/>
              <w:bottom w:val="single" w:sz="2" w:space="0" w:color="auto"/>
              <w:right w:val="single" w:sz="2" w:space="0" w:color="auto"/>
            </w:tcBorders>
            <w:vAlign w:val="center"/>
            <w:hideMark/>
          </w:tcPr>
          <w:p w14:paraId="1D8B0091" w14:textId="77777777" w:rsidR="00DF0307" w:rsidRPr="00624565" w:rsidRDefault="00DF0307" w:rsidP="006333CA">
            <w:pPr>
              <w:spacing w:before="60" w:after="60" w:line="276" w:lineRule="auto"/>
              <w:jc w:val="right"/>
              <w:rPr>
                <w:rFonts w:eastAsia="Times New Roman"/>
                <w:noProof/>
                <w:sz w:val="20"/>
                <w:szCs w:val="20"/>
              </w:rPr>
            </w:pPr>
            <w:r w:rsidRPr="00624565">
              <w:rPr>
                <w:noProof/>
                <w:sz w:val="20"/>
              </w:rPr>
              <w:t>1</w:t>
            </w:r>
          </w:p>
        </w:tc>
        <w:tc>
          <w:tcPr>
            <w:tcW w:w="1080" w:type="dxa"/>
            <w:tcBorders>
              <w:top w:val="single" w:sz="2" w:space="0" w:color="auto"/>
              <w:left w:val="single" w:sz="2" w:space="0" w:color="auto"/>
              <w:bottom w:val="single" w:sz="2" w:space="0" w:color="auto"/>
              <w:right w:val="single" w:sz="2" w:space="0" w:color="auto"/>
            </w:tcBorders>
            <w:vAlign w:val="center"/>
            <w:hideMark/>
          </w:tcPr>
          <w:p w14:paraId="78A18C1F" w14:textId="77777777" w:rsidR="00DF0307" w:rsidRPr="00624565" w:rsidRDefault="00DF0307" w:rsidP="006333CA">
            <w:pPr>
              <w:spacing w:before="60" w:after="60" w:line="276" w:lineRule="auto"/>
              <w:jc w:val="right"/>
              <w:rPr>
                <w:rFonts w:eastAsia="Times New Roman"/>
                <w:noProof/>
                <w:sz w:val="20"/>
                <w:szCs w:val="20"/>
              </w:rPr>
            </w:pPr>
            <w:r w:rsidRPr="00624565">
              <w:rPr>
                <w:noProof/>
                <w:sz w:val="20"/>
              </w:rPr>
              <w:t>1</w:t>
            </w:r>
          </w:p>
        </w:tc>
        <w:tc>
          <w:tcPr>
            <w:tcW w:w="1080" w:type="dxa"/>
            <w:tcBorders>
              <w:top w:val="single" w:sz="2" w:space="0" w:color="auto"/>
              <w:left w:val="single" w:sz="2" w:space="0" w:color="auto"/>
              <w:bottom w:val="single" w:sz="2" w:space="0" w:color="auto"/>
              <w:right w:val="single" w:sz="2" w:space="0" w:color="auto"/>
            </w:tcBorders>
            <w:vAlign w:val="center"/>
            <w:hideMark/>
          </w:tcPr>
          <w:p w14:paraId="68896C1B" w14:textId="77777777" w:rsidR="00DF0307" w:rsidRPr="00624565" w:rsidRDefault="00DF0307" w:rsidP="006333CA">
            <w:pPr>
              <w:spacing w:before="60" w:after="60" w:line="276" w:lineRule="auto"/>
              <w:jc w:val="right"/>
              <w:rPr>
                <w:rFonts w:eastAsia="Times New Roman"/>
                <w:noProof/>
                <w:sz w:val="20"/>
                <w:szCs w:val="20"/>
              </w:rPr>
            </w:pPr>
            <w:r w:rsidRPr="00624565">
              <w:rPr>
                <w:noProof/>
                <w:sz w:val="20"/>
              </w:rPr>
              <w:t>1</w:t>
            </w:r>
          </w:p>
        </w:tc>
        <w:tc>
          <w:tcPr>
            <w:tcW w:w="1080" w:type="dxa"/>
            <w:tcBorders>
              <w:top w:val="single" w:sz="2" w:space="0" w:color="auto"/>
              <w:left w:val="single" w:sz="2" w:space="0" w:color="auto"/>
              <w:bottom w:val="single" w:sz="2" w:space="0" w:color="auto"/>
              <w:right w:val="single" w:sz="2" w:space="0" w:color="auto"/>
            </w:tcBorders>
            <w:vAlign w:val="center"/>
          </w:tcPr>
          <w:p w14:paraId="7B0548E8" w14:textId="77777777" w:rsidR="00DF0307" w:rsidRPr="00624565" w:rsidRDefault="00DF0307" w:rsidP="006333CA">
            <w:pPr>
              <w:spacing w:before="60" w:after="60" w:line="276" w:lineRule="auto"/>
              <w:jc w:val="right"/>
              <w:rPr>
                <w:b/>
                <w:noProof/>
                <w:sz w:val="20"/>
              </w:rPr>
            </w:pPr>
          </w:p>
        </w:tc>
      </w:tr>
      <w:tr w:rsidR="00DF0307" w:rsidRPr="00624565" w14:paraId="24A0A38B" w14:textId="77777777" w:rsidTr="006333CA">
        <w:trPr>
          <w:trHeight w:val="585"/>
          <w:jc w:val="center"/>
        </w:trPr>
        <w:tc>
          <w:tcPr>
            <w:tcW w:w="1980" w:type="dxa"/>
            <w:tcBorders>
              <w:top w:val="single" w:sz="2" w:space="0" w:color="auto"/>
              <w:left w:val="single" w:sz="2" w:space="0" w:color="auto"/>
              <w:bottom w:val="single" w:sz="2" w:space="0" w:color="auto"/>
              <w:right w:val="single" w:sz="2" w:space="0" w:color="auto"/>
            </w:tcBorders>
            <w:shd w:val="clear" w:color="auto" w:fill="CCCCCC"/>
            <w:vAlign w:val="center"/>
            <w:hideMark/>
          </w:tcPr>
          <w:p w14:paraId="47AE4511" w14:textId="77777777" w:rsidR="00DF0307" w:rsidRPr="00624565" w:rsidRDefault="00DF0307" w:rsidP="006333CA">
            <w:pPr>
              <w:spacing w:before="60" w:after="60" w:line="276" w:lineRule="auto"/>
              <w:jc w:val="center"/>
              <w:rPr>
                <w:noProof/>
              </w:rPr>
            </w:pPr>
            <w:r w:rsidRPr="00624565">
              <w:rPr>
                <w:noProof/>
                <w:sz w:val="18"/>
              </w:rPr>
              <w:t>Oddelegowani eksperci krajowi</w:t>
            </w:r>
          </w:p>
        </w:tc>
        <w:tc>
          <w:tcPr>
            <w:tcW w:w="1080" w:type="dxa"/>
            <w:tcBorders>
              <w:top w:val="single" w:sz="2" w:space="0" w:color="auto"/>
              <w:left w:val="single" w:sz="2" w:space="0" w:color="auto"/>
              <w:bottom w:val="single" w:sz="2" w:space="0" w:color="auto"/>
              <w:right w:val="single" w:sz="2" w:space="0" w:color="auto"/>
            </w:tcBorders>
            <w:vAlign w:val="center"/>
          </w:tcPr>
          <w:p w14:paraId="039C7DD6" w14:textId="77777777" w:rsidR="00DF0307" w:rsidRPr="00624565" w:rsidRDefault="00DF0307" w:rsidP="006333CA">
            <w:pPr>
              <w:spacing w:before="60" w:after="60" w:line="276" w:lineRule="auto"/>
              <w:jc w:val="right"/>
              <w:rPr>
                <w:noProof/>
                <w:sz w:val="20"/>
              </w:rPr>
            </w:pPr>
          </w:p>
        </w:tc>
        <w:tc>
          <w:tcPr>
            <w:tcW w:w="1080" w:type="dxa"/>
            <w:tcBorders>
              <w:top w:val="single" w:sz="2" w:space="0" w:color="auto"/>
              <w:left w:val="single" w:sz="2" w:space="0" w:color="auto"/>
              <w:bottom w:val="single" w:sz="2" w:space="0" w:color="auto"/>
              <w:right w:val="single" w:sz="2" w:space="0" w:color="auto"/>
            </w:tcBorders>
            <w:vAlign w:val="center"/>
          </w:tcPr>
          <w:p w14:paraId="25943A5C" w14:textId="77777777" w:rsidR="00DF0307" w:rsidRPr="00624565" w:rsidRDefault="00DF0307" w:rsidP="006333CA">
            <w:pPr>
              <w:spacing w:before="60" w:after="60" w:line="276" w:lineRule="auto"/>
              <w:jc w:val="right"/>
              <w:rPr>
                <w:noProof/>
                <w:sz w:val="20"/>
              </w:rPr>
            </w:pPr>
          </w:p>
        </w:tc>
        <w:tc>
          <w:tcPr>
            <w:tcW w:w="1080" w:type="dxa"/>
            <w:tcBorders>
              <w:top w:val="single" w:sz="2" w:space="0" w:color="auto"/>
              <w:left w:val="single" w:sz="2" w:space="0" w:color="auto"/>
              <w:bottom w:val="single" w:sz="2" w:space="0" w:color="auto"/>
              <w:right w:val="single" w:sz="2" w:space="0" w:color="auto"/>
            </w:tcBorders>
            <w:vAlign w:val="center"/>
          </w:tcPr>
          <w:p w14:paraId="428F9711" w14:textId="77777777" w:rsidR="00DF0307" w:rsidRPr="00624565" w:rsidRDefault="00DF0307" w:rsidP="006333CA">
            <w:pPr>
              <w:spacing w:before="60" w:after="60" w:line="276" w:lineRule="auto"/>
              <w:jc w:val="right"/>
              <w:rPr>
                <w:noProof/>
                <w:sz w:val="20"/>
              </w:rPr>
            </w:pPr>
          </w:p>
        </w:tc>
        <w:tc>
          <w:tcPr>
            <w:tcW w:w="1080" w:type="dxa"/>
            <w:tcBorders>
              <w:top w:val="single" w:sz="2" w:space="0" w:color="auto"/>
              <w:left w:val="single" w:sz="2" w:space="0" w:color="auto"/>
              <w:bottom w:val="single" w:sz="2" w:space="0" w:color="auto"/>
              <w:right w:val="single" w:sz="2" w:space="0" w:color="auto"/>
            </w:tcBorders>
            <w:vAlign w:val="center"/>
          </w:tcPr>
          <w:p w14:paraId="19A33122" w14:textId="77777777" w:rsidR="00DF0307" w:rsidRPr="00624565" w:rsidRDefault="00DF0307" w:rsidP="006333CA">
            <w:pPr>
              <w:spacing w:before="60" w:after="60" w:line="276" w:lineRule="auto"/>
              <w:jc w:val="right"/>
              <w:rPr>
                <w:b/>
                <w:noProof/>
                <w:sz w:val="20"/>
              </w:rPr>
            </w:pPr>
          </w:p>
        </w:tc>
      </w:tr>
    </w:tbl>
    <w:p w14:paraId="41AEDC32" w14:textId="77777777" w:rsidR="00DF0307" w:rsidRPr="00624565" w:rsidRDefault="00DF0307" w:rsidP="00DF0307">
      <w:pPr>
        <w:rPr>
          <w:noProof/>
          <w:sz w:val="20"/>
          <w:lang w:eastAsia="en-GB"/>
        </w:rPr>
      </w:pPr>
    </w:p>
    <w:tbl>
      <w:tblPr>
        <w:tblW w:w="6300" w:type="dxa"/>
        <w:jc w:val="center"/>
        <w:tblLayout w:type="fixed"/>
        <w:tblLook w:val="01E0" w:firstRow="1" w:lastRow="1" w:firstColumn="1" w:lastColumn="1" w:noHBand="0" w:noVBand="0"/>
      </w:tblPr>
      <w:tblGrid>
        <w:gridCol w:w="1980"/>
        <w:gridCol w:w="1080"/>
        <w:gridCol w:w="1080"/>
        <w:gridCol w:w="1080"/>
        <w:gridCol w:w="1080"/>
      </w:tblGrid>
      <w:tr w:rsidR="00DF0307" w:rsidRPr="00624565" w14:paraId="39540B01" w14:textId="77777777" w:rsidTr="006333CA">
        <w:trPr>
          <w:trHeight w:val="585"/>
          <w:jc w:val="center"/>
        </w:trPr>
        <w:tc>
          <w:tcPr>
            <w:tcW w:w="1980" w:type="dxa"/>
            <w:tcBorders>
              <w:top w:val="single" w:sz="12" w:space="0" w:color="auto"/>
              <w:left w:val="single" w:sz="12" w:space="0" w:color="auto"/>
              <w:bottom w:val="single" w:sz="12" w:space="0" w:color="auto"/>
              <w:right w:val="single" w:sz="2" w:space="0" w:color="auto"/>
            </w:tcBorders>
            <w:vAlign w:val="center"/>
            <w:hideMark/>
          </w:tcPr>
          <w:p w14:paraId="6C4235B0" w14:textId="77777777" w:rsidR="00DF0307" w:rsidRPr="00624565" w:rsidRDefault="00DF0307" w:rsidP="006333CA">
            <w:pPr>
              <w:spacing w:before="60" w:after="60" w:line="276" w:lineRule="auto"/>
              <w:jc w:val="center"/>
              <w:rPr>
                <w:noProof/>
                <w:sz w:val="20"/>
              </w:rPr>
            </w:pPr>
            <w:r w:rsidRPr="00624565">
              <w:rPr>
                <w:b/>
                <w:noProof/>
                <w:sz w:val="20"/>
              </w:rPr>
              <w:t>OGÓŁEM</w:t>
            </w:r>
          </w:p>
        </w:tc>
        <w:tc>
          <w:tcPr>
            <w:tcW w:w="1080" w:type="dxa"/>
            <w:tcBorders>
              <w:top w:val="single" w:sz="12" w:space="0" w:color="auto"/>
              <w:left w:val="single" w:sz="2" w:space="0" w:color="auto"/>
              <w:bottom w:val="single" w:sz="12" w:space="0" w:color="auto"/>
              <w:right w:val="single" w:sz="2" w:space="0" w:color="auto"/>
            </w:tcBorders>
            <w:vAlign w:val="center"/>
            <w:hideMark/>
          </w:tcPr>
          <w:p w14:paraId="4312A4BD" w14:textId="77777777" w:rsidR="00DF0307" w:rsidRPr="00624565" w:rsidRDefault="00DF0307" w:rsidP="006333CA">
            <w:pPr>
              <w:spacing w:before="60" w:after="60" w:line="276" w:lineRule="auto"/>
              <w:jc w:val="right"/>
              <w:rPr>
                <w:b/>
                <w:noProof/>
                <w:sz w:val="20"/>
                <w:szCs w:val="20"/>
              </w:rPr>
            </w:pPr>
            <w:r w:rsidRPr="00624565">
              <w:rPr>
                <w:b/>
                <w:noProof/>
                <w:sz w:val="20"/>
              </w:rPr>
              <w:t>2</w:t>
            </w:r>
          </w:p>
        </w:tc>
        <w:tc>
          <w:tcPr>
            <w:tcW w:w="1080" w:type="dxa"/>
            <w:tcBorders>
              <w:top w:val="single" w:sz="12" w:space="0" w:color="auto"/>
              <w:left w:val="single" w:sz="2" w:space="0" w:color="auto"/>
              <w:bottom w:val="single" w:sz="12" w:space="0" w:color="auto"/>
              <w:right w:val="single" w:sz="2" w:space="0" w:color="auto"/>
            </w:tcBorders>
            <w:vAlign w:val="center"/>
            <w:hideMark/>
          </w:tcPr>
          <w:p w14:paraId="3D46AD9E" w14:textId="77777777" w:rsidR="00DF0307" w:rsidRPr="00624565" w:rsidRDefault="00DF0307" w:rsidP="006333CA">
            <w:pPr>
              <w:spacing w:before="60" w:after="60" w:line="276" w:lineRule="auto"/>
              <w:jc w:val="right"/>
              <w:rPr>
                <w:rFonts w:eastAsia="Times New Roman"/>
                <w:noProof/>
                <w:sz w:val="20"/>
                <w:szCs w:val="20"/>
              </w:rPr>
            </w:pPr>
            <w:r w:rsidRPr="00624565">
              <w:rPr>
                <w:b/>
                <w:noProof/>
                <w:sz w:val="20"/>
              </w:rPr>
              <w:t>2</w:t>
            </w:r>
          </w:p>
        </w:tc>
        <w:tc>
          <w:tcPr>
            <w:tcW w:w="1080" w:type="dxa"/>
            <w:tcBorders>
              <w:top w:val="single" w:sz="12" w:space="0" w:color="auto"/>
              <w:left w:val="single" w:sz="2" w:space="0" w:color="auto"/>
              <w:bottom w:val="single" w:sz="12" w:space="0" w:color="auto"/>
              <w:right w:val="single" w:sz="2" w:space="0" w:color="auto"/>
            </w:tcBorders>
            <w:vAlign w:val="center"/>
            <w:hideMark/>
          </w:tcPr>
          <w:p w14:paraId="5B7F60C3" w14:textId="77777777" w:rsidR="00DF0307" w:rsidRPr="00624565" w:rsidRDefault="00DF0307" w:rsidP="006333CA">
            <w:pPr>
              <w:spacing w:before="60" w:after="60" w:line="276" w:lineRule="auto"/>
              <w:jc w:val="right"/>
              <w:rPr>
                <w:rFonts w:eastAsia="Times New Roman"/>
                <w:noProof/>
                <w:sz w:val="20"/>
                <w:szCs w:val="20"/>
              </w:rPr>
            </w:pPr>
            <w:r w:rsidRPr="00624565">
              <w:rPr>
                <w:b/>
                <w:noProof/>
                <w:sz w:val="20"/>
              </w:rPr>
              <w:t>2</w:t>
            </w:r>
          </w:p>
        </w:tc>
        <w:tc>
          <w:tcPr>
            <w:tcW w:w="1080" w:type="dxa"/>
            <w:tcBorders>
              <w:top w:val="single" w:sz="12" w:space="0" w:color="auto"/>
              <w:left w:val="single" w:sz="2" w:space="0" w:color="auto"/>
              <w:bottom w:val="single" w:sz="12" w:space="0" w:color="auto"/>
              <w:right w:val="single" w:sz="2" w:space="0" w:color="auto"/>
            </w:tcBorders>
            <w:vAlign w:val="center"/>
          </w:tcPr>
          <w:p w14:paraId="40AFF4ED" w14:textId="77777777" w:rsidR="00DF0307" w:rsidRPr="00624565" w:rsidRDefault="00DF0307" w:rsidP="006333CA">
            <w:pPr>
              <w:spacing w:before="60" w:after="60" w:line="276" w:lineRule="auto"/>
              <w:jc w:val="right"/>
              <w:rPr>
                <w:b/>
                <w:noProof/>
                <w:sz w:val="20"/>
              </w:rPr>
            </w:pPr>
          </w:p>
        </w:tc>
      </w:tr>
    </w:tbl>
    <w:p w14:paraId="6836F635" w14:textId="77777777" w:rsidR="009769E5" w:rsidRPr="00624565" w:rsidRDefault="009769E5" w:rsidP="009769E5">
      <w:pPr>
        <w:rPr>
          <w:noProof/>
          <w:sz w:val="18"/>
        </w:rPr>
        <w:sectPr w:rsidR="009769E5" w:rsidRPr="00624565" w:rsidSect="006A11C7">
          <w:headerReference w:type="default" r:id="rId23"/>
          <w:footerReference w:type="default" r:id="rId24"/>
          <w:headerReference w:type="first" r:id="rId25"/>
          <w:footerReference w:type="first" r:id="rId26"/>
          <w:pgSz w:w="11907" w:h="16840"/>
          <w:pgMar w:top="1134" w:right="1418" w:bottom="1134" w:left="1418" w:header="709" w:footer="709" w:gutter="0"/>
          <w:cols w:space="708"/>
          <w:docGrid w:linePitch="360"/>
        </w:sectPr>
      </w:pPr>
    </w:p>
    <w:p w14:paraId="1F904F15" w14:textId="181B86F3" w:rsidR="00DF0307" w:rsidRPr="00624565" w:rsidRDefault="00DF0307" w:rsidP="0043503A">
      <w:pPr>
        <w:pStyle w:val="ManualHeading4"/>
        <w:rPr>
          <w:noProof/>
        </w:rPr>
      </w:pPr>
      <w:r w:rsidRPr="00624565">
        <w:rPr>
          <w:noProof/>
        </w:rPr>
        <w:t>3.2.3.2. Szacunkowe zapotrzebowanie na środki administracyjne</w:t>
      </w:r>
      <w:r w:rsidR="003F3D2B" w:rsidRPr="00624565">
        <w:rPr>
          <w:noProof/>
        </w:rPr>
        <w:t xml:space="preserve"> w</w:t>
      </w:r>
      <w:r w:rsidR="003F3D2B">
        <w:rPr>
          <w:noProof/>
        </w:rPr>
        <w:t> </w:t>
      </w:r>
      <w:r w:rsidR="003F3D2B" w:rsidRPr="00624565">
        <w:rPr>
          <w:noProof/>
        </w:rPr>
        <w:t>Kom</w:t>
      </w:r>
      <w:r w:rsidRPr="00624565">
        <w:rPr>
          <w:noProof/>
        </w:rPr>
        <w:t>isji</w:t>
      </w:r>
    </w:p>
    <w:p w14:paraId="7E36ADD2" w14:textId="77777777" w:rsidR="00DF0307" w:rsidRPr="00624565" w:rsidRDefault="0043503A" w:rsidP="0043503A">
      <w:pPr>
        <w:pStyle w:val="ManualHeading4"/>
        <w:rPr>
          <w:noProof/>
        </w:rPr>
      </w:pPr>
      <w:r w:rsidRPr="00624565">
        <w:rPr>
          <w:noProof/>
        </w:rPr>
        <w:t>3.2.3.3. Podsumowanie szacunkowego wpływu na środki administracyjne</w:t>
      </w:r>
    </w:p>
    <w:p w14:paraId="12B73F49" w14:textId="5E958679" w:rsidR="00DF0307" w:rsidRPr="00624565" w:rsidRDefault="00DF0307" w:rsidP="00DF0307">
      <w:pPr>
        <w:pStyle w:val="Text2"/>
        <w:rPr>
          <w:noProof/>
        </w:rPr>
      </w:pPr>
      <w:r w:rsidRPr="00624565">
        <w:rPr>
          <w:i/>
          <w:noProof/>
        </w:rPr>
        <w:t xml:space="preserve"> </w:t>
      </w:r>
      <w:r w:rsidRPr="00624565">
        <w:rPr>
          <w:rFonts w:ascii="Wingdings" w:hAnsi="Wingdings"/>
          <w:noProof/>
        </w:rPr>
        <w:t></w:t>
      </w:r>
      <w:r w:rsidRPr="00624565">
        <w:rPr>
          <w:noProof/>
        </w:rPr>
        <w:tab/>
        <w:t>Wniosek/inicjatywa nie wiąże się</w:t>
      </w:r>
      <w:r w:rsidR="003F3D2B" w:rsidRPr="00624565">
        <w:rPr>
          <w:noProof/>
        </w:rPr>
        <w:t xml:space="preserve"> z</w:t>
      </w:r>
      <w:r w:rsidR="003F3D2B">
        <w:rPr>
          <w:noProof/>
        </w:rPr>
        <w:t> </w:t>
      </w:r>
      <w:r w:rsidR="003F3D2B" w:rsidRPr="00624565">
        <w:rPr>
          <w:noProof/>
        </w:rPr>
        <w:t>kon</w:t>
      </w:r>
      <w:r w:rsidRPr="00624565">
        <w:rPr>
          <w:noProof/>
        </w:rPr>
        <w:t xml:space="preserve">iecznością wykorzystania środków administracyjnych </w:t>
      </w:r>
    </w:p>
    <w:p w14:paraId="1B039FE0" w14:textId="767E9CB4" w:rsidR="00DF0307" w:rsidRPr="00624565" w:rsidRDefault="00DF0307" w:rsidP="00DF0307">
      <w:pPr>
        <w:pStyle w:val="Text2"/>
        <w:rPr>
          <w:noProof/>
        </w:rPr>
      </w:pPr>
      <w:r w:rsidRPr="00624565">
        <w:rPr>
          <w:rFonts w:ascii="Wingdings" w:hAnsi="Wingdings"/>
          <w:noProof/>
        </w:rPr>
        <w:t></w:t>
      </w:r>
      <w:r w:rsidRPr="00624565">
        <w:rPr>
          <w:noProof/>
        </w:rPr>
        <w:tab/>
        <w:t>Wniosek/inicjatywa wiąże się</w:t>
      </w:r>
      <w:r w:rsidR="003F3D2B" w:rsidRPr="00624565">
        <w:rPr>
          <w:noProof/>
        </w:rPr>
        <w:t xml:space="preserve"> z</w:t>
      </w:r>
      <w:r w:rsidR="003F3D2B">
        <w:rPr>
          <w:noProof/>
        </w:rPr>
        <w:t> </w:t>
      </w:r>
      <w:r w:rsidR="003F3D2B" w:rsidRPr="00624565">
        <w:rPr>
          <w:noProof/>
        </w:rPr>
        <w:t>kon</w:t>
      </w:r>
      <w:r w:rsidRPr="00624565">
        <w:rPr>
          <w:noProof/>
        </w:rPr>
        <w:t>iecznością wykorzystania środków administracyjnych, jak określono poniżej:</w:t>
      </w:r>
    </w:p>
    <w:p w14:paraId="75190B5F" w14:textId="77777777" w:rsidR="00DF0307" w:rsidRPr="00624565" w:rsidRDefault="00DF0307" w:rsidP="00DF0307">
      <w:pPr>
        <w:rPr>
          <w:noProof/>
          <w:szCs w:val="24"/>
        </w:rPr>
      </w:pPr>
    </w:p>
    <w:p w14:paraId="5CD621CA" w14:textId="77777777" w:rsidR="00DF0307" w:rsidRPr="00624565" w:rsidRDefault="00DF0307" w:rsidP="00DF0307">
      <w:pPr>
        <w:jc w:val="right"/>
        <w:rPr>
          <w:noProof/>
          <w:sz w:val="20"/>
        </w:rPr>
      </w:pPr>
      <w:r w:rsidRPr="00624565">
        <w:rPr>
          <w:noProof/>
          <w:sz w:val="20"/>
        </w:rPr>
        <w:t>w mln EUR (do trzech miejsc po przecinku)</w:t>
      </w:r>
    </w:p>
    <w:tbl>
      <w:tblPr>
        <w:tblW w:w="738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tblGrid>
      <w:tr w:rsidR="00DF0307" w:rsidRPr="00624565" w14:paraId="49A1E561" w14:textId="77777777" w:rsidTr="006333CA">
        <w:trPr>
          <w:trHeight w:val="585"/>
        </w:trPr>
        <w:tc>
          <w:tcPr>
            <w:tcW w:w="1980" w:type="dxa"/>
            <w:tcBorders>
              <w:top w:val="single" w:sz="2" w:space="0" w:color="auto"/>
              <w:left w:val="single" w:sz="2" w:space="0" w:color="auto"/>
              <w:bottom w:val="single" w:sz="2" w:space="0" w:color="auto"/>
              <w:right w:val="single" w:sz="2" w:space="0" w:color="auto"/>
            </w:tcBorders>
          </w:tcPr>
          <w:p w14:paraId="1DDB19FA" w14:textId="77777777" w:rsidR="00DF0307" w:rsidRPr="00624565" w:rsidRDefault="00DF0307" w:rsidP="006333CA">
            <w:pPr>
              <w:spacing w:before="60" w:after="60" w:line="200" w:lineRule="exact"/>
              <w:rPr>
                <w:noProof/>
                <w:sz w:val="16"/>
                <w:szCs w:val="16"/>
              </w:rPr>
            </w:pPr>
          </w:p>
        </w:tc>
        <w:tc>
          <w:tcPr>
            <w:tcW w:w="1080" w:type="dxa"/>
            <w:tcBorders>
              <w:top w:val="single" w:sz="2" w:space="0" w:color="auto"/>
              <w:left w:val="single" w:sz="2" w:space="0" w:color="auto"/>
              <w:bottom w:val="single" w:sz="2" w:space="0" w:color="auto"/>
              <w:right w:val="single" w:sz="2" w:space="0" w:color="auto"/>
            </w:tcBorders>
            <w:vAlign w:val="center"/>
            <w:hideMark/>
          </w:tcPr>
          <w:p w14:paraId="79804C41" w14:textId="77777777" w:rsidR="00DF0307" w:rsidRPr="00624565" w:rsidRDefault="00DF0307" w:rsidP="006333CA">
            <w:pPr>
              <w:spacing w:before="60" w:after="60" w:line="200" w:lineRule="exact"/>
              <w:jc w:val="center"/>
              <w:rPr>
                <w:b/>
                <w:noProof/>
                <w:sz w:val="16"/>
                <w:szCs w:val="16"/>
              </w:rPr>
            </w:pPr>
            <w:r w:rsidRPr="00624565">
              <w:rPr>
                <w:b/>
                <w:noProof/>
                <w:sz w:val="16"/>
              </w:rPr>
              <w:t>2024</w:t>
            </w:r>
          </w:p>
        </w:tc>
        <w:tc>
          <w:tcPr>
            <w:tcW w:w="1080" w:type="dxa"/>
            <w:tcBorders>
              <w:top w:val="single" w:sz="2" w:space="0" w:color="auto"/>
              <w:left w:val="single" w:sz="2" w:space="0" w:color="auto"/>
              <w:bottom w:val="single" w:sz="2" w:space="0" w:color="auto"/>
              <w:right w:val="single" w:sz="2" w:space="0" w:color="auto"/>
            </w:tcBorders>
            <w:vAlign w:val="center"/>
            <w:hideMark/>
          </w:tcPr>
          <w:p w14:paraId="49FA61E8" w14:textId="77777777" w:rsidR="00DF0307" w:rsidRPr="00624565" w:rsidRDefault="00DF0307" w:rsidP="006333CA">
            <w:pPr>
              <w:spacing w:before="60" w:after="60" w:line="200" w:lineRule="exact"/>
              <w:jc w:val="center"/>
              <w:rPr>
                <w:b/>
                <w:noProof/>
                <w:sz w:val="16"/>
                <w:szCs w:val="16"/>
              </w:rPr>
            </w:pPr>
            <w:r w:rsidRPr="00624565">
              <w:rPr>
                <w:b/>
                <w:noProof/>
                <w:sz w:val="16"/>
              </w:rPr>
              <w:t>2025</w:t>
            </w:r>
          </w:p>
        </w:tc>
        <w:tc>
          <w:tcPr>
            <w:tcW w:w="1080" w:type="dxa"/>
            <w:tcBorders>
              <w:top w:val="single" w:sz="2" w:space="0" w:color="auto"/>
              <w:left w:val="single" w:sz="2" w:space="0" w:color="auto"/>
              <w:bottom w:val="single" w:sz="2" w:space="0" w:color="auto"/>
              <w:right w:val="single" w:sz="2" w:space="0" w:color="auto"/>
            </w:tcBorders>
            <w:vAlign w:val="center"/>
            <w:hideMark/>
          </w:tcPr>
          <w:p w14:paraId="258AEAB5" w14:textId="77777777" w:rsidR="00DF0307" w:rsidRPr="00624565" w:rsidRDefault="00DF0307" w:rsidP="006333CA">
            <w:pPr>
              <w:spacing w:before="60" w:after="60" w:line="200" w:lineRule="exact"/>
              <w:jc w:val="center"/>
              <w:rPr>
                <w:b/>
                <w:noProof/>
                <w:sz w:val="16"/>
                <w:szCs w:val="16"/>
              </w:rPr>
            </w:pPr>
            <w:r w:rsidRPr="00624565">
              <w:rPr>
                <w:b/>
                <w:noProof/>
                <w:sz w:val="16"/>
              </w:rPr>
              <w:t>2026</w:t>
            </w:r>
          </w:p>
        </w:tc>
        <w:tc>
          <w:tcPr>
            <w:tcW w:w="1080" w:type="dxa"/>
            <w:tcBorders>
              <w:top w:val="single" w:sz="2" w:space="0" w:color="auto"/>
              <w:left w:val="single" w:sz="2" w:space="0" w:color="auto"/>
              <w:bottom w:val="single" w:sz="2" w:space="0" w:color="auto"/>
              <w:right w:val="single" w:sz="2" w:space="0" w:color="auto"/>
            </w:tcBorders>
            <w:vAlign w:val="center"/>
            <w:hideMark/>
          </w:tcPr>
          <w:p w14:paraId="5D5AEB08" w14:textId="77777777" w:rsidR="00DF0307" w:rsidRPr="00624565" w:rsidRDefault="00DF0307" w:rsidP="006333CA">
            <w:pPr>
              <w:spacing w:line="200" w:lineRule="exact"/>
              <w:jc w:val="center"/>
              <w:rPr>
                <w:b/>
                <w:noProof/>
                <w:sz w:val="16"/>
                <w:szCs w:val="16"/>
              </w:rPr>
            </w:pPr>
            <w:r w:rsidRPr="00624565">
              <w:rPr>
                <w:b/>
                <w:noProof/>
                <w:sz w:val="16"/>
              </w:rPr>
              <w:t>2027 (i kolejne lata)</w:t>
            </w:r>
          </w:p>
        </w:tc>
        <w:tc>
          <w:tcPr>
            <w:tcW w:w="1080" w:type="dxa"/>
            <w:tcBorders>
              <w:top w:val="single" w:sz="2" w:space="0" w:color="auto"/>
              <w:left w:val="single" w:sz="2" w:space="0" w:color="auto"/>
              <w:bottom w:val="single" w:sz="2" w:space="0" w:color="auto"/>
              <w:right w:val="single" w:sz="2" w:space="0" w:color="auto"/>
            </w:tcBorders>
            <w:vAlign w:val="center"/>
            <w:hideMark/>
          </w:tcPr>
          <w:p w14:paraId="03F7847A" w14:textId="77777777" w:rsidR="00DF0307" w:rsidRPr="00624565" w:rsidRDefault="00DF0307" w:rsidP="006333CA">
            <w:pPr>
              <w:spacing w:before="60" w:after="60" w:line="200" w:lineRule="exact"/>
              <w:jc w:val="center"/>
              <w:rPr>
                <w:b/>
                <w:noProof/>
                <w:sz w:val="16"/>
                <w:szCs w:val="16"/>
              </w:rPr>
            </w:pPr>
            <w:r w:rsidRPr="00624565">
              <w:rPr>
                <w:b/>
                <w:noProof/>
                <w:sz w:val="16"/>
              </w:rPr>
              <w:t>OGÓŁEM</w:t>
            </w:r>
          </w:p>
        </w:tc>
      </w:tr>
    </w:tbl>
    <w:p w14:paraId="62E9A8C1" w14:textId="77777777" w:rsidR="00DF0307" w:rsidRPr="00624565" w:rsidRDefault="00DF0307" w:rsidP="00DF0307">
      <w:pPr>
        <w:spacing w:line="200" w:lineRule="exact"/>
        <w:rPr>
          <w:noProof/>
          <w:sz w:val="16"/>
          <w:szCs w:val="16"/>
          <w:lang w:eastAsia="en-GB"/>
        </w:rPr>
      </w:pPr>
    </w:p>
    <w:tbl>
      <w:tblPr>
        <w:tblW w:w="738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tblGrid>
      <w:tr w:rsidR="00DF0307" w:rsidRPr="00624565" w14:paraId="36B7AD91" w14:textId="77777777" w:rsidTr="006333CA">
        <w:trPr>
          <w:trHeight w:val="585"/>
        </w:trPr>
        <w:tc>
          <w:tcPr>
            <w:tcW w:w="1980" w:type="dxa"/>
            <w:tcBorders>
              <w:top w:val="single" w:sz="2" w:space="0" w:color="auto"/>
              <w:left w:val="single" w:sz="2" w:space="0" w:color="auto"/>
              <w:bottom w:val="single" w:sz="2" w:space="0" w:color="auto"/>
              <w:right w:val="single" w:sz="2" w:space="0" w:color="auto"/>
            </w:tcBorders>
            <w:shd w:val="clear" w:color="auto" w:fill="CCCCCC"/>
            <w:vAlign w:val="center"/>
            <w:hideMark/>
          </w:tcPr>
          <w:p w14:paraId="38FBF13F" w14:textId="77777777" w:rsidR="00DF0307" w:rsidRPr="00624565" w:rsidRDefault="00DF0307" w:rsidP="006333CA">
            <w:pPr>
              <w:spacing w:before="60" w:after="60" w:line="200" w:lineRule="exact"/>
              <w:jc w:val="center"/>
              <w:rPr>
                <w:b/>
                <w:noProof/>
                <w:sz w:val="16"/>
                <w:szCs w:val="16"/>
              </w:rPr>
            </w:pPr>
            <w:r w:rsidRPr="00624565">
              <w:rPr>
                <w:b/>
                <w:noProof/>
                <w:sz w:val="16"/>
              </w:rPr>
              <w:t>DZIAŁ 7</w:t>
            </w:r>
            <w:r w:rsidRPr="00624565">
              <w:rPr>
                <w:noProof/>
              </w:rPr>
              <w:t xml:space="preserve"> </w:t>
            </w:r>
            <w:r w:rsidRPr="00624565">
              <w:rPr>
                <w:noProof/>
              </w:rPr>
              <w:br/>
            </w:r>
            <w:r w:rsidRPr="00624565">
              <w:rPr>
                <w:b/>
                <w:noProof/>
                <w:sz w:val="16"/>
              </w:rPr>
              <w:t>wieloletnich ram finansowych</w:t>
            </w:r>
          </w:p>
        </w:tc>
        <w:tc>
          <w:tcPr>
            <w:tcW w:w="1080" w:type="dxa"/>
            <w:tcBorders>
              <w:top w:val="single" w:sz="2" w:space="0" w:color="auto"/>
              <w:left w:val="single" w:sz="2" w:space="0" w:color="auto"/>
              <w:bottom w:val="single" w:sz="2" w:space="0" w:color="auto"/>
              <w:right w:val="single" w:sz="2" w:space="0" w:color="auto"/>
            </w:tcBorders>
            <w:vAlign w:val="center"/>
          </w:tcPr>
          <w:p w14:paraId="3462BE67" w14:textId="77777777" w:rsidR="00DF0307" w:rsidRPr="00624565" w:rsidRDefault="00DF0307" w:rsidP="006333CA">
            <w:pPr>
              <w:spacing w:before="60" w:after="60" w:line="200" w:lineRule="exact"/>
              <w:jc w:val="right"/>
              <w:rPr>
                <w:noProof/>
                <w:sz w:val="16"/>
                <w:szCs w:val="16"/>
              </w:rPr>
            </w:pPr>
          </w:p>
        </w:tc>
        <w:tc>
          <w:tcPr>
            <w:tcW w:w="1080" w:type="dxa"/>
            <w:tcBorders>
              <w:top w:val="single" w:sz="2" w:space="0" w:color="auto"/>
              <w:left w:val="single" w:sz="2" w:space="0" w:color="auto"/>
              <w:bottom w:val="single" w:sz="2" w:space="0" w:color="auto"/>
              <w:right w:val="single" w:sz="2" w:space="0" w:color="auto"/>
            </w:tcBorders>
            <w:vAlign w:val="center"/>
          </w:tcPr>
          <w:p w14:paraId="4B2F37F4" w14:textId="77777777" w:rsidR="00DF0307" w:rsidRPr="00624565" w:rsidRDefault="00DF0307" w:rsidP="006333CA">
            <w:pPr>
              <w:spacing w:before="60" w:after="60" w:line="200" w:lineRule="exact"/>
              <w:jc w:val="right"/>
              <w:rPr>
                <w:noProof/>
                <w:sz w:val="16"/>
                <w:szCs w:val="16"/>
              </w:rPr>
            </w:pPr>
          </w:p>
        </w:tc>
        <w:tc>
          <w:tcPr>
            <w:tcW w:w="1080" w:type="dxa"/>
            <w:tcBorders>
              <w:top w:val="single" w:sz="2" w:space="0" w:color="auto"/>
              <w:left w:val="single" w:sz="2" w:space="0" w:color="auto"/>
              <w:bottom w:val="single" w:sz="2" w:space="0" w:color="auto"/>
              <w:right w:val="single" w:sz="2" w:space="0" w:color="auto"/>
            </w:tcBorders>
            <w:vAlign w:val="center"/>
          </w:tcPr>
          <w:p w14:paraId="6D8270DE" w14:textId="77777777" w:rsidR="00DF0307" w:rsidRPr="00624565" w:rsidRDefault="00DF0307" w:rsidP="006333CA">
            <w:pPr>
              <w:spacing w:before="60" w:after="60" w:line="200" w:lineRule="exact"/>
              <w:jc w:val="right"/>
              <w:rPr>
                <w:noProof/>
                <w:sz w:val="16"/>
                <w:szCs w:val="16"/>
              </w:rPr>
            </w:pPr>
          </w:p>
        </w:tc>
        <w:tc>
          <w:tcPr>
            <w:tcW w:w="1080" w:type="dxa"/>
            <w:tcBorders>
              <w:top w:val="single" w:sz="2" w:space="0" w:color="auto"/>
              <w:left w:val="single" w:sz="2" w:space="0" w:color="auto"/>
              <w:bottom w:val="single" w:sz="2" w:space="0" w:color="auto"/>
              <w:right w:val="single" w:sz="2" w:space="0" w:color="auto"/>
            </w:tcBorders>
            <w:vAlign w:val="center"/>
          </w:tcPr>
          <w:p w14:paraId="4030DDB3" w14:textId="77777777" w:rsidR="00DF0307" w:rsidRPr="00624565" w:rsidRDefault="00DF0307" w:rsidP="006333CA">
            <w:pPr>
              <w:spacing w:before="60" w:after="60" w:line="200" w:lineRule="exact"/>
              <w:jc w:val="right"/>
              <w:rPr>
                <w:noProof/>
                <w:sz w:val="16"/>
                <w:szCs w:val="16"/>
              </w:rPr>
            </w:pPr>
          </w:p>
        </w:tc>
        <w:tc>
          <w:tcPr>
            <w:tcW w:w="1080" w:type="dxa"/>
            <w:tcBorders>
              <w:top w:val="single" w:sz="2" w:space="0" w:color="auto"/>
              <w:left w:val="single" w:sz="2" w:space="0" w:color="auto"/>
              <w:bottom w:val="single" w:sz="2" w:space="0" w:color="auto"/>
              <w:right w:val="single" w:sz="2" w:space="0" w:color="auto"/>
            </w:tcBorders>
            <w:vAlign w:val="center"/>
          </w:tcPr>
          <w:p w14:paraId="2DB5E8FB" w14:textId="77777777" w:rsidR="00DF0307" w:rsidRPr="00624565" w:rsidRDefault="00DF0307" w:rsidP="006333CA">
            <w:pPr>
              <w:spacing w:before="60" w:after="60" w:line="200" w:lineRule="exact"/>
              <w:jc w:val="right"/>
              <w:rPr>
                <w:noProof/>
                <w:sz w:val="16"/>
                <w:szCs w:val="16"/>
              </w:rPr>
            </w:pPr>
          </w:p>
        </w:tc>
      </w:tr>
      <w:tr w:rsidR="00DF0307" w:rsidRPr="00624565" w14:paraId="32B14FD1" w14:textId="77777777" w:rsidTr="006333CA">
        <w:trPr>
          <w:trHeight w:val="585"/>
        </w:trPr>
        <w:tc>
          <w:tcPr>
            <w:tcW w:w="1980" w:type="dxa"/>
            <w:tcBorders>
              <w:top w:val="single" w:sz="2" w:space="0" w:color="auto"/>
              <w:left w:val="single" w:sz="2" w:space="0" w:color="auto"/>
              <w:bottom w:val="single" w:sz="2" w:space="0" w:color="auto"/>
              <w:right w:val="single" w:sz="2" w:space="0" w:color="auto"/>
            </w:tcBorders>
            <w:vAlign w:val="center"/>
            <w:hideMark/>
          </w:tcPr>
          <w:p w14:paraId="3F8A58FC" w14:textId="77777777" w:rsidR="00DF0307" w:rsidRPr="00624565" w:rsidRDefault="00DF0307" w:rsidP="006333CA">
            <w:pPr>
              <w:spacing w:before="60" w:after="60" w:line="200" w:lineRule="exact"/>
              <w:ind w:left="72"/>
              <w:jc w:val="left"/>
              <w:rPr>
                <w:noProof/>
                <w:sz w:val="16"/>
                <w:szCs w:val="16"/>
              </w:rPr>
            </w:pPr>
            <w:r w:rsidRPr="00624565">
              <w:rPr>
                <w:noProof/>
                <w:sz w:val="16"/>
              </w:rPr>
              <w:t xml:space="preserve">Zasoby ludzkie </w:t>
            </w:r>
          </w:p>
        </w:tc>
        <w:tc>
          <w:tcPr>
            <w:tcW w:w="1080" w:type="dxa"/>
            <w:tcBorders>
              <w:top w:val="single" w:sz="2" w:space="0" w:color="auto"/>
              <w:left w:val="single" w:sz="2" w:space="0" w:color="auto"/>
              <w:bottom w:val="single" w:sz="2" w:space="0" w:color="auto"/>
              <w:right w:val="single" w:sz="2" w:space="0" w:color="auto"/>
            </w:tcBorders>
            <w:vAlign w:val="bottom"/>
            <w:hideMark/>
          </w:tcPr>
          <w:p w14:paraId="39849610" w14:textId="77777777" w:rsidR="00DF0307" w:rsidRPr="00624565" w:rsidRDefault="00DF0307" w:rsidP="006333CA">
            <w:pPr>
              <w:spacing w:before="60" w:after="60" w:line="240" w:lineRule="exact"/>
              <w:jc w:val="right"/>
              <w:rPr>
                <w:rFonts w:ascii="Calibri" w:eastAsia="Calibri" w:hAnsi="Calibri" w:cs="Calibri"/>
                <w:noProof/>
                <w:sz w:val="22"/>
              </w:rPr>
            </w:pPr>
            <w:r w:rsidRPr="00624565">
              <w:rPr>
                <w:rFonts w:ascii="Calibri" w:hAnsi="Calibri"/>
                <w:noProof/>
                <w:color w:val="000000" w:themeColor="text1"/>
                <w:sz w:val="22"/>
              </w:rPr>
              <w:t>0,606</w:t>
            </w:r>
          </w:p>
        </w:tc>
        <w:tc>
          <w:tcPr>
            <w:tcW w:w="1080" w:type="dxa"/>
            <w:tcBorders>
              <w:top w:val="single" w:sz="2" w:space="0" w:color="auto"/>
              <w:left w:val="single" w:sz="2" w:space="0" w:color="auto"/>
              <w:bottom w:val="single" w:sz="2" w:space="0" w:color="auto"/>
              <w:right w:val="single" w:sz="2" w:space="0" w:color="auto"/>
            </w:tcBorders>
            <w:vAlign w:val="bottom"/>
            <w:hideMark/>
          </w:tcPr>
          <w:p w14:paraId="2E7DA779" w14:textId="77777777" w:rsidR="00DF0307" w:rsidRPr="00624565" w:rsidRDefault="00DF0307" w:rsidP="006333CA">
            <w:pPr>
              <w:spacing w:before="60" w:after="60" w:line="240" w:lineRule="exact"/>
              <w:jc w:val="right"/>
              <w:rPr>
                <w:rFonts w:ascii="Calibri" w:eastAsia="Calibri" w:hAnsi="Calibri" w:cs="Calibri"/>
                <w:noProof/>
                <w:sz w:val="22"/>
              </w:rPr>
            </w:pPr>
            <w:r w:rsidRPr="00624565">
              <w:rPr>
                <w:rFonts w:ascii="Calibri" w:hAnsi="Calibri"/>
                <w:noProof/>
                <w:color w:val="000000" w:themeColor="text1"/>
                <w:sz w:val="22"/>
              </w:rPr>
              <w:t>0,606</w:t>
            </w:r>
          </w:p>
        </w:tc>
        <w:tc>
          <w:tcPr>
            <w:tcW w:w="1080" w:type="dxa"/>
            <w:tcBorders>
              <w:top w:val="single" w:sz="2" w:space="0" w:color="auto"/>
              <w:left w:val="single" w:sz="2" w:space="0" w:color="auto"/>
              <w:bottom w:val="single" w:sz="2" w:space="0" w:color="auto"/>
              <w:right w:val="single" w:sz="2" w:space="0" w:color="auto"/>
            </w:tcBorders>
            <w:vAlign w:val="bottom"/>
            <w:hideMark/>
          </w:tcPr>
          <w:p w14:paraId="258EA79F" w14:textId="77777777" w:rsidR="00DF0307" w:rsidRPr="00624565" w:rsidRDefault="00DF0307" w:rsidP="006333CA">
            <w:pPr>
              <w:spacing w:before="60" w:after="60" w:line="240" w:lineRule="exact"/>
              <w:jc w:val="right"/>
              <w:rPr>
                <w:rFonts w:ascii="Calibri" w:eastAsia="Calibri" w:hAnsi="Calibri" w:cs="Calibri"/>
                <w:noProof/>
                <w:sz w:val="22"/>
              </w:rPr>
            </w:pPr>
            <w:r w:rsidRPr="00624565">
              <w:rPr>
                <w:rFonts w:ascii="Calibri" w:hAnsi="Calibri"/>
                <w:noProof/>
                <w:color w:val="000000" w:themeColor="text1"/>
                <w:sz w:val="22"/>
              </w:rPr>
              <w:t>0,606</w:t>
            </w:r>
          </w:p>
        </w:tc>
        <w:tc>
          <w:tcPr>
            <w:tcW w:w="1080" w:type="dxa"/>
            <w:tcBorders>
              <w:top w:val="single" w:sz="2" w:space="0" w:color="auto"/>
              <w:left w:val="single" w:sz="2" w:space="0" w:color="auto"/>
              <w:bottom w:val="single" w:sz="2" w:space="0" w:color="auto"/>
              <w:right w:val="single" w:sz="2" w:space="0" w:color="auto"/>
            </w:tcBorders>
            <w:vAlign w:val="bottom"/>
            <w:hideMark/>
          </w:tcPr>
          <w:p w14:paraId="6CC1505B" w14:textId="77777777" w:rsidR="00DF0307" w:rsidRPr="00624565" w:rsidRDefault="00DF0307" w:rsidP="006333CA">
            <w:pPr>
              <w:spacing w:before="60" w:after="60" w:line="240" w:lineRule="exact"/>
              <w:jc w:val="right"/>
              <w:rPr>
                <w:rFonts w:ascii="Calibri" w:eastAsia="Calibri" w:hAnsi="Calibri" w:cs="Calibri"/>
                <w:noProof/>
                <w:sz w:val="22"/>
              </w:rPr>
            </w:pPr>
            <w:r w:rsidRPr="00624565">
              <w:rPr>
                <w:rFonts w:ascii="Calibri" w:hAnsi="Calibri"/>
                <w:noProof/>
                <w:color w:val="000000" w:themeColor="text1"/>
                <w:sz w:val="22"/>
              </w:rPr>
              <w:t>0,606</w:t>
            </w:r>
          </w:p>
        </w:tc>
        <w:tc>
          <w:tcPr>
            <w:tcW w:w="1080" w:type="dxa"/>
            <w:tcBorders>
              <w:top w:val="single" w:sz="2" w:space="0" w:color="auto"/>
              <w:left w:val="single" w:sz="2" w:space="0" w:color="auto"/>
              <w:bottom w:val="single" w:sz="2" w:space="0" w:color="auto"/>
              <w:right w:val="single" w:sz="2" w:space="0" w:color="auto"/>
            </w:tcBorders>
            <w:vAlign w:val="bottom"/>
            <w:hideMark/>
          </w:tcPr>
          <w:p w14:paraId="4F34ABD8" w14:textId="77777777" w:rsidR="00DF0307" w:rsidRPr="00624565" w:rsidRDefault="00DF0307" w:rsidP="006333CA">
            <w:pPr>
              <w:spacing w:before="60" w:after="60" w:line="200" w:lineRule="exact"/>
              <w:jc w:val="right"/>
              <w:rPr>
                <w:rFonts w:ascii="Calibri" w:hAnsi="Calibri" w:cs="Calibri"/>
                <w:b/>
                <w:noProof/>
                <w:color w:val="000000" w:themeColor="text1"/>
                <w:sz w:val="22"/>
              </w:rPr>
            </w:pPr>
            <w:r w:rsidRPr="00624565">
              <w:rPr>
                <w:rFonts w:ascii="Calibri" w:hAnsi="Calibri"/>
                <w:b/>
                <w:noProof/>
                <w:color w:val="000000" w:themeColor="text1"/>
                <w:sz w:val="22"/>
              </w:rPr>
              <w:t>2,424</w:t>
            </w:r>
          </w:p>
        </w:tc>
      </w:tr>
      <w:tr w:rsidR="00DF0307" w:rsidRPr="00624565" w14:paraId="38CE2B94" w14:textId="77777777" w:rsidTr="006333CA">
        <w:trPr>
          <w:trHeight w:val="585"/>
        </w:trPr>
        <w:tc>
          <w:tcPr>
            <w:tcW w:w="1980" w:type="dxa"/>
            <w:tcBorders>
              <w:top w:val="single" w:sz="2" w:space="0" w:color="auto"/>
              <w:left w:val="single" w:sz="2" w:space="0" w:color="auto"/>
              <w:bottom w:val="single" w:sz="2" w:space="0" w:color="auto"/>
              <w:right w:val="single" w:sz="2" w:space="0" w:color="auto"/>
            </w:tcBorders>
            <w:vAlign w:val="center"/>
            <w:hideMark/>
          </w:tcPr>
          <w:p w14:paraId="574FD04D" w14:textId="77777777" w:rsidR="00DF0307" w:rsidRPr="00624565" w:rsidRDefault="00DF0307" w:rsidP="006333CA">
            <w:pPr>
              <w:spacing w:before="60" w:after="60" w:line="200" w:lineRule="exact"/>
              <w:ind w:left="72"/>
              <w:jc w:val="left"/>
              <w:rPr>
                <w:noProof/>
                <w:sz w:val="16"/>
                <w:szCs w:val="16"/>
              </w:rPr>
            </w:pPr>
            <w:r w:rsidRPr="00624565">
              <w:rPr>
                <w:noProof/>
                <w:sz w:val="16"/>
              </w:rPr>
              <w:t xml:space="preserve">Pozostałe wydatki administracyjne </w:t>
            </w:r>
          </w:p>
        </w:tc>
        <w:tc>
          <w:tcPr>
            <w:tcW w:w="1080" w:type="dxa"/>
            <w:tcBorders>
              <w:top w:val="single" w:sz="2" w:space="0" w:color="auto"/>
              <w:left w:val="single" w:sz="2" w:space="0" w:color="auto"/>
              <w:bottom w:val="single" w:sz="2" w:space="0" w:color="auto"/>
              <w:right w:val="single" w:sz="2" w:space="0" w:color="auto"/>
            </w:tcBorders>
            <w:vAlign w:val="bottom"/>
            <w:hideMark/>
          </w:tcPr>
          <w:p w14:paraId="2BF70FD6" w14:textId="77777777" w:rsidR="00DF0307" w:rsidRPr="00624565" w:rsidRDefault="00DF0307" w:rsidP="006333CA">
            <w:pPr>
              <w:spacing w:before="60" w:after="60" w:line="200" w:lineRule="exact"/>
              <w:jc w:val="right"/>
              <w:rPr>
                <w:noProof/>
                <w:sz w:val="22"/>
              </w:rPr>
            </w:pPr>
            <w:r w:rsidRPr="00624565">
              <w:rPr>
                <w:rFonts w:ascii="Calibri" w:hAnsi="Calibri"/>
                <w:noProof/>
                <w:color w:val="000000" w:themeColor="text1"/>
                <w:sz w:val="22"/>
              </w:rPr>
              <w:t>0,180</w:t>
            </w:r>
          </w:p>
        </w:tc>
        <w:tc>
          <w:tcPr>
            <w:tcW w:w="1080" w:type="dxa"/>
            <w:tcBorders>
              <w:top w:val="single" w:sz="2" w:space="0" w:color="auto"/>
              <w:left w:val="single" w:sz="2" w:space="0" w:color="auto"/>
              <w:bottom w:val="single" w:sz="2" w:space="0" w:color="auto"/>
              <w:right w:val="single" w:sz="2" w:space="0" w:color="auto"/>
            </w:tcBorders>
            <w:vAlign w:val="bottom"/>
            <w:hideMark/>
          </w:tcPr>
          <w:p w14:paraId="402753DE" w14:textId="77777777" w:rsidR="00DF0307" w:rsidRPr="00624565" w:rsidRDefault="00DF0307" w:rsidP="006333CA">
            <w:pPr>
              <w:spacing w:before="60" w:after="60" w:line="200" w:lineRule="exact"/>
              <w:jc w:val="right"/>
              <w:rPr>
                <w:noProof/>
                <w:sz w:val="22"/>
              </w:rPr>
            </w:pPr>
            <w:r w:rsidRPr="00624565">
              <w:rPr>
                <w:rFonts w:ascii="Calibri" w:hAnsi="Calibri"/>
                <w:noProof/>
                <w:color w:val="000000" w:themeColor="text1"/>
                <w:sz w:val="22"/>
              </w:rPr>
              <w:t>0,180</w:t>
            </w:r>
          </w:p>
        </w:tc>
        <w:tc>
          <w:tcPr>
            <w:tcW w:w="1080" w:type="dxa"/>
            <w:tcBorders>
              <w:top w:val="single" w:sz="2" w:space="0" w:color="auto"/>
              <w:left w:val="single" w:sz="2" w:space="0" w:color="auto"/>
              <w:bottom w:val="single" w:sz="2" w:space="0" w:color="auto"/>
              <w:right w:val="single" w:sz="2" w:space="0" w:color="auto"/>
            </w:tcBorders>
            <w:vAlign w:val="bottom"/>
            <w:hideMark/>
          </w:tcPr>
          <w:p w14:paraId="3FC93E4B" w14:textId="77777777" w:rsidR="00DF0307" w:rsidRPr="00624565" w:rsidRDefault="00DF0307" w:rsidP="006333CA">
            <w:pPr>
              <w:spacing w:before="60" w:after="60" w:line="240" w:lineRule="exact"/>
              <w:jc w:val="right"/>
              <w:rPr>
                <w:rFonts w:ascii="Calibri" w:eastAsia="Calibri" w:hAnsi="Calibri" w:cs="Calibri"/>
                <w:noProof/>
                <w:sz w:val="22"/>
              </w:rPr>
            </w:pPr>
            <w:r w:rsidRPr="00624565">
              <w:rPr>
                <w:rFonts w:ascii="Calibri" w:hAnsi="Calibri"/>
                <w:noProof/>
                <w:color w:val="000000" w:themeColor="text1"/>
                <w:sz w:val="22"/>
              </w:rPr>
              <w:t>0,180</w:t>
            </w:r>
          </w:p>
        </w:tc>
        <w:tc>
          <w:tcPr>
            <w:tcW w:w="1080" w:type="dxa"/>
            <w:tcBorders>
              <w:top w:val="single" w:sz="2" w:space="0" w:color="auto"/>
              <w:left w:val="single" w:sz="2" w:space="0" w:color="auto"/>
              <w:bottom w:val="single" w:sz="2" w:space="0" w:color="auto"/>
              <w:right w:val="single" w:sz="2" w:space="0" w:color="auto"/>
            </w:tcBorders>
            <w:vAlign w:val="bottom"/>
            <w:hideMark/>
          </w:tcPr>
          <w:p w14:paraId="2667AA80" w14:textId="77777777" w:rsidR="00DF0307" w:rsidRPr="00624565" w:rsidRDefault="00DF0307" w:rsidP="006333CA">
            <w:pPr>
              <w:spacing w:before="60" w:after="60" w:line="200" w:lineRule="exact"/>
              <w:jc w:val="right"/>
              <w:rPr>
                <w:noProof/>
                <w:sz w:val="22"/>
              </w:rPr>
            </w:pPr>
            <w:r w:rsidRPr="00624565">
              <w:rPr>
                <w:rFonts w:ascii="Calibri" w:hAnsi="Calibri"/>
                <w:noProof/>
                <w:color w:val="000000" w:themeColor="text1"/>
                <w:sz w:val="22"/>
              </w:rPr>
              <w:t>0,180</w:t>
            </w:r>
          </w:p>
        </w:tc>
        <w:tc>
          <w:tcPr>
            <w:tcW w:w="1080" w:type="dxa"/>
            <w:tcBorders>
              <w:top w:val="single" w:sz="2" w:space="0" w:color="auto"/>
              <w:left w:val="single" w:sz="2" w:space="0" w:color="auto"/>
              <w:bottom w:val="single" w:sz="2" w:space="0" w:color="auto"/>
              <w:right w:val="single" w:sz="2" w:space="0" w:color="auto"/>
            </w:tcBorders>
            <w:vAlign w:val="bottom"/>
            <w:hideMark/>
          </w:tcPr>
          <w:p w14:paraId="7204AF83" w14:textId="77777777" w:rsidR="00DF0307" w:rsidRPr="00624565" w:rsidRDefault="00DF0307" w:rsidP="006333CA">
            <w:pPr>
              <w:spacing w:before="60" w:after="60" w:line="240" w:lineRule="exact"/>
              <w:jc w:val="right"/>
              <w:rPr>
                <w:rFonts w:ascii="Calibri" w:eastAsia="Calibri" w:hAnsi="Calibri" w:cs="Calibri"/>
                <w:noProof/>
                <w:sz w:val="22"/>
              </w:rPr>
            </w:pPr>
            <w:r w:rsidRPr="00624565">
              <w:rPr>
                <w:rFonts w:ascii="Calibri" w:hAnsi="Calibri"/>
                <w:b/>
                <w:noProof/>
                <w:color w:val="000000" w:themeColor="text1"/>
                <w:sz w:val="22"/>
              </w:rPr>
              <w:t>0,720</w:t>
            </w:r>
          </w:p>
        </w:tc>
      </w:tr>
      <w:tr w:rsidR="00DF0307" w:rsidRPr="00624565" w14:paraId="7D1D1183" w14:textId="77777777" w:rsidTr="006333CA">
        <w:trPr>
          <w:trHeight w:val="585"/>
        </w:trPr>
        <w:tc>
          <w:tcPr>
            <w:tcW w:w="1980" w:type="dxa"/>
            <w:tcBorders>
              <w:top w:val="single" w:sz="2" w:space="0" w:color="auto"/>
              <w:left w:val="single" w:sz="2" w:space="0" w:color="auto"/>
              <w:bottom w:val="single" w:sz="2" w:space="0" w:color="auto"/>
              <w:right w:val="single" w:sz="2" w:space="0" w:color="auto"/>
            </w:tcBorders>
            <w:shd w:val="clear" w:color="auto" w:fill="CCCCCC"/>
            <w:vAlign w:val="center"/>
            <w:hideMark/>
          </w:tcPr>
          <w:p w14:paraId="586A9153" w14:textId="77777777" w:rsidR="00DF0307" w:rsidRPr="00624565" w:rsidRDefault="00DF0307" w:rsidP="006333CA">
            <w:pPr>
              <w:spacing w:before="60" w:after="60" w:line="200" w:lineRule="exact"/>
              <w:jc w:val="center"/>
              <w:rPr>
                <w:b/>
                <w:noProof/>
                <w:sz w:val="16"/>
                <w:szCs w:val="16"/>
              </w:rPr>
            </w:pPr>
            <w:r w:rsidRPr="00624565">
              <w:rPr>
                <w:b/>
                <w:noProof/>
                <w:sz w:val="16"/>
              </w:rPr>
              <w:t>Suma cząstkowa DZIAŁU 7</w:t>
            </w:r>
            <w:r w:rsidRPr="00624565">
              <w:rPr>
                <w:noProof/>
              </w:rPr>
              <w:t xml:space="preserve"> </w:t>
            </w:r>
            <w:r w:rsidRPr="00624565">
              <w:rPr>
                <w:noProof/>
              </w:rPr>
              <w:br/>
            </w:r>
            <w:r w:rsidRPr="00624565">
              <w:rPr>
                <w:b/>
                <w:noProof/>
                <w:sz w:val="16"/>
              </w:rPr>
              <w:t xml:space="preserve">wieloletnich ram finansowych </w:t>
            </w:r>
          </w:p>
        </w:tc>
        <w:tc>
          <w:tcPr>
            <w:tcW w:w="1080" w:type="dxa"/>
            <w:tcBorders>
              <w:top w:val="single" w:sz="2" w:space="0" w:color="auto"/>
              <w:left w:val="single" w:sz="2" w:space="0" w:color="auto"/>
              <w:bottom w:val="single" w:sz="2" w:space="0" w:color="auto"/>
              <w:right w:val="single" w:sz="2" w:space="0" w:color="auto"/>
            </w:tcBorders>
            <w:vAlign w:val="bottom"/>
            <w:hideMark/>
          </w:tcPr>
          <w:p w14:paraId="0B55FEB6" w14:textId="77777777" w:rsidR="00DF0307" w:rsidRPr="00624565" w:rsidRDefault="00DF0307" w:rsidP="006333CA">
            <w:pPr>
              <w:spacing w:before="60" w:after="60" w:line="200" w:lineRule="exact"/>
              <w:jc w:val="right"/>
              <w:rPr>
                <w:rFonts w:ascii="Calibri" w:hAnsi="Calibri" w:cs="Calibri"/>
                <w:noProof/>
                <w:color w:val="000000" w:themeColor="text1"/>
                <w:sz w:val="22"/>
              </w:rPr>
            </w:pPr>
            <w:r w:rsidRPr="00624565">
              <w:rPr>
                <w:rFonts w:ascii="Calibri" w:hAnsi="Calibri"/>
                <w:noProof/>
                <w:color w:val="000000" w:themeColor="text1"/>
                <w:sz w:val="22"/>
              </w:rPr>
              <w:t>0,786</w:t>
            </w:r>
          </w:p>
        </w:tc>
        <w:tc>
          <w:tcPr>
            <w:tcW w:w="1080" w:type="dxa"/>
            <w:tcBorders>
              <w:top w:val="single" w:sz="2" w:space="0" w:color="auto"/>
              <w:left w:val="single" w:sz="2" w:space="0" w:color="auto"/>
              <w:bottom w:val="single" w:sz="2" w:space="0" w:color="auto"/>
              <w:right w:val="single" w:sz="2" w:space="0" w:color="auto"/>
            </w:tcBorders>
            <w:vAlign w:val="bottom"/>
            <w:hideMark/>
          </w:tcPr>
          <w:p w14:paraId="7D19529F" w14:textId="77777777" w:rsidR="00DF0307" w:rsidRPr="00624565" w:rsidRDefault="00DF0307" w:rsidP="006333CA">
            <w:pPr>
              <w:spacing w:before="60" w:after="60" w:line="200" w:lineRule="exact"/>
              <w:jc w:val="right"/>
              <w:rPr>
                <w:rFonts w:ascii="Calibri" w:hAnsi="Calibri" w:cs="Calibri"/>
                <w:noProof/>
                <w:color w:val="000000" w:themeColor="text1"/>
                <w:sz w:val="22"/>
              </w:rPr>
            </w:pPr>
            <w:r w:rsidRPr="00624565">
              <w:rPr>
                <w:rFonts w:ascii="Calibri" w:hAnsi="Calibri"/>
                <w:noProof/>
                <w:color w:val="000000" w:themeColor="text1"/>
                <w:sz w:val="22"/>
              </w:rPr>
              <w:t>0,786</w:t>
            </w:r>
          </w:p>
        </w:tc>
        <w:tc>
          <w:tcPr>
            <w:tcW w:w="1080" w:type="dxa"/>
            <w:tcBorders>
              <w:top w:val="single" w:sz="2" w:space="0" w:color="auto"/>
              <w:left w:val="single" w:sz="2" w:space="0" w:color="auto"/>
              <w:bottom w:val="single" w:sz="2" w:space="0" w:color="auto"/>
              <w:right w:val="single" w:sz="2" w:space="0" w:color="auto"/>
            </w:tcBorders>
            <w:vAlign w:val="bottom"/>
            <w:hideMark/>
          </w:tcPr>
          <w:p w14:paraId="4F839B0B" w14:textId="77777777" w:rsidR="00DF0307" w:rsidRPr="00624565" w:rsidRDefault="00DF0307" w:rsidP="006333CA">
            <w:pPr>
              <w:spacing w:before="60" w:after="60" w:line="200" w:lineRule="exact"/>
              <w:jc w:val="right"/>
              <w:rPr>
                <w:rFonts w:ascii="Calibri" w:hAnsi="Calibri" w:cs="Calibri"/>
                <w:noProof/>
                <w:color w:val="000000" w:themeColor="text1"/>
                <w:sz w:val="22"/>
              </w:rPr>
            </w:pPr>
            <w:r w:rsidRPr="00624565">
              <w:rPr>
                <w:rFonts w:ascii="Calibri" w:hAnsi="Calibri"/>
                <w:noProof/>
                <w:color w:val="000000" w:themeColor="text1"/>
                <w:sz w:val="22"/>
              </w:rPr>
              <w:t>0,786</w:t>
            </w:r>
          </w:p>
        </w:tc>
        <w:tc>
          <w:tcPr>
            <w:tcW w:w="1080" w:type="dxa"/>
            <w:tcBorders>
              <w:top w:val="single" w:sz="2" w:space="0" w:color="auto"/>
              <w:left w:val="single" w:sz="2" w:space="0" w:color="auto"/>
              <w:bottom w:val="single" w:sz="2" w:space="0" w:color="auto"/>
              <w:right w:val="single" w:sz="2" w:space="0" w:color="auto"/>
            </w:tcBorders>
            <w:vAlign w:val="bottom"/>
            <w:hideMark/>
          </w:tcPr>
          <w:p w14:paraId="06DFC373" w14:textId="77777777" w:rsidR="00DF0307" w:rsidRPr="00624565" w:rsidRDefault="00DF0307" w:rsidP="006333CA">
            <w:pPr>
              <w:spacing w:before="60" w:after="60" w:line="240" w:lineRule="exact"/>
              <w:jc w:val="right"/>
              <w:rPr>
                <w:rFonts w:ascii="Calibri" w:hAnsi="Calibri" w:cs="Calibri"/>
                <w:noProof/>
                <w:color w:val="000000" w:themeColor="text1"/>
                <w:sz w:val="22"/>
              </w:rPr>
            </w:pPr>
            <w:r w:rsidRPr="00624565">
              <w:rPr>
                <w:rFonts w:ascii="Calibri" w:hAnsi="Calibri"/>
                <w:noProof/>
                <w:color w:val="000000" w:themeColor="text1"/>
                <w:sz w:val="22"/>
              </w:rPr>
              <w:t>0,786</w:t>
            </w:r>
          </w:p>
        </w:tc>
        <w:tc>
          <w:tcPr>
            <w:tcW w:w="1080" w:type="dxa"/>
            <w:tcBorders>
              <w:top w:val="single" w:sz="2" w:space="0" w:color="auto"/>
              <w:left w:val="single" w:sz="2" w:space="0" w:color="auto"/>
              <w:bottom w:val="single" w:sz="2" w:space="0" w:color="auto"/>
              <w:right w:val="single" w:sz="2" w:space="0" w:color="auto"/>
            </w:tcBorders>
            <w:vAlign w:val="bottom"/>
            <w:hideMark/>
          </w:tcPr>
          <w:p w14:paraId="5159CD12" w14:textId="77777777" w:rsidR="00DF0307" w:rsidRPr="00624565" w:rsidRDefault="00DF0307" w:rsidP="006333CA">
            <w:pPr>
              <w:spacing w:before="60" w:after="60" w:line="240" w:lineRule="exact"/>
              <w:jc w:val="right"/>
              <w:rPr>
                <w:rFonts w:ascii="Calibri" w:hAnsi="Calibri" w:cs="Calibri"/>
                <w:b/>
                <w:noProof/>
                <w:color w:val="000000" w:themeColor="text1"/>
                <w:sz w:val="22"/>
              </w:rPr>
            </w:pPr>
            <w:r w:rsidRPr="00624565">
              <w:rPr>
                <w:rFonts w:ascii="Calibri" w:hAnsi="Calibri"/>
                <w:b/>
                <w:noProof/>
                <w:color w:val="000000" w:themeColor="text1"/>
                <w:sz w:val="22"/>
              </w:rPr>
              <w:t>3,144</w:t>
            </w:r>
          </w:p>
        </w:tc>
      </w:tr>
    </w:tbl>
    <w:p w14:paraId="5F35D6F5" w14:textId="77777777" w:rsidR="00DF0307" w:rsidRPr="00624565" w:rsidRDefault="00DF0307" w:rsidP="00DF0307">
      <w:pPr>
        <w:spacing w:line="200" w:lineRule="exact"/>
        <w:rPr>
          <w:noProof/>
          <w:sz w:val="16"/>
          <w:szCs w:val="16"/>
          <w:lang w:eastAsia="en-GB"/>
        </w:rPr>
      </w:pPr>
    </w:p>
    <w:tbl>
      <w:tblPr>
        <w:tblW w:w="738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tblGrid>
      <w:tr w:rsidR="00DF0307" w:rsidRPr="00624565" w14:paraId="0E83B1CD" w14:textId="77777777" w:rsidTr="006333CA">
        <w:trPr>
          <w:trHeight w:val="585"/>
        </w:trPr>
        <w:tc>
          <w:tcPr>
            <w:tcW w:w="1980" w:type="dxa"/>
            <w:tcBorders>
              <w:top w:val="single" w:sz="2" w:space="0" w:color="auto"/>
              <w:left w:val="single" w:sz="2" w:space="0" w:color="auto"/>
              <w:bottom w:val="single" w:sz="2" w:space="0" w:color="auto"/>
              <w:right w:val="single" w:sz="2" w:space="0" w:color="auto"/>
            </w:tcBorders>
            <w:shd w:val="clear" w:color="auto" w:fill="CCCCCC"/>
            <w:vAlign w:val="center"/>
          </w:tcPr>
          <w:p w14:paraId="2F846553" w14:textId="77777777" w:rsidR="00DF0307" w:rsidRPr="00624565" w:rsidRDefault="00DF0307" w:rsidP="006333CA">
            <w:pPr>
              <w:spacing w:before="60" w:after="60" w:line="200" w:lineRule="exact"/>
              <w:jc w:val="center"/>
              <w:rPr>
                <w:noProof/>
                <w:sz w:val="16"/>
                <w:szCs w:val="16"/>
              </w:rPr>
            </w:pPr>
            <w:r w:rsidRPr="00624565">
              <w:rPr>
                <w:b/>
                <w:noProof/>
                <w:sz w:val="16"/>
              </w:rPr>
              <w:t>Poza DZIAŁEM 7</w:t>
            </w:r>
            <w:r w:rsidRPr="00624565">
              <w:rPr>
                <w:rStyle w:val="FootnoteReference"/>
                <w:noProof/>
              </w:rPr>
              <w:footnoteReference w:id="126"/>
            </w:r>
            <w:r w:rsidRPr="00624565">
              <w:rPr>
                <w:noProof/>
              </w:rPr>
              <w:t xml:space="preserve"> </w:t>
            </w:r>
            <w:r w:rsidRPr="00624565">
              <w:rPr>
                <w:noProof/>
              </w:rPr>
              <w:br/>
            </w:r>
            <w:r w:rsidRPr="00624565">
              <w:rPr>
                <w:b/>
                <w:noProof/>
                <w:sz w:val="16"/>
              </w:rPr>
              <w:t xml:space="preserve">wieloletnich ram finansowych </w:t>
            </w:r>
          </w:p>
          <w:p w14:paraId="052FDF59" w14:textId="77777777" w:rsidR="00DF0307" w:rsidRPr="00624565" w:rsidRDefault="00DF0307" w:rsidP="006333CA">
            <w:pPr>
              <w:spacing w:before="0" w:after="0" w:line="200" w:lineRule="exact"/>
              <w:jc w:val="center"/>
              <w:rPr>
                <w:b/>
                <w:noProof/>
                <w:sz w:val="16"/>
                <w:szCs w:val="16"/>
              </w:rPr>
            </w:pPr>
          </w:p>
        </w:tc>
        <w:tc>
          <w:tcPr>
            <w:tcW w:w="1080" w:type="dxa"/>
            <w:tcBorders>
              <w:top w:val="single" w:sz="2" w:space="0" w:color="auto"/>
              <w:left w:val="single" w:sz="2" w:space="0" w:color="auto"/>
              <w:bottom w:val="single" w:sz="2" w:space="0" w:color="auto"/>
              <w:right w:val="single" w:sz="2" w:space="0" w:color="auto"/>
            </w:tcBorders>
            <w:vAlign w:val="center"/>
            <w:hideMark/>
          </w:tcPr>
          <w:p w14:paraId="189803AB" w14:textId="77777777" w:rsidR="00DF0307" w:rsidRPr="00624565" w:rsidRDefault="00DF0307" w:rsidP="006333CA">
            <w:pPr>
              <w:spacing w:before="60" w:after="60" w:line="200" w:lineRule="exact"/>
              <w:jc w:val="right"/>
              <w:rPr>
                <w:noProof/>
                <w:sz w:val="16"/>
                <w:szCs w:val="16"/>
              </w:rPr>
            </w:pPr>
            <w:r w:rsidRPr="00624565">
              <w:rPr>
                <w:noProof/>
                <w:sz w:val="16"/>
              </w:rPr>
              <w:t>Nie dotyczy</w:t>
            </w:r>
          </w:p>
        </w:tc>
        <w:tc>
          <w:tcPr>
            <w:tcW w:w="1080" w:type="dxa"/>
            <w:tcBorders>
              <w:top w:val="single" w:sz="2" w:space="0" w:color="auto"/>
              <w:left w:val="single" w:sz="2" w:space="0" w:color="auto"/>
              <w:bottom w:val="single" w:sz="2" w:space="0" w:color="auto"/>
              <w:right w:val="single" w:sz="2" w:space="0" w:color="auto"/>
            </w:tcBorders>
            <w:vAlign w:val="center"/>
            <w:hideMark/>
          </w:tcPr>
          <w:p w14:paraId="1AD182A7" w14:textId="77777777" w:rsidR="00DF0307" w:rsidRPr="00624565" w:rsidRDefault="00DF0307" w:rsidP="006333CA">
            <w:pPr>
              <w:spacing w:before="60" w:after="60" w:line="200" w:lineRule="exact"/>
              <w:jc w:val="right"/>
              <w:rPr>
                <w:noProof/>
                <w:sz w:val="16"/>
                <w:szCs w:val="16"/>
              </w:rPr>
            </w:pPr>
            <w:r w:rsidRPr="00624565">
              <w:rPr>
                <w:noProof/>
                <w:sz w:val="16"/>
              </w:rPr>
              <w:t>Nie dotyczy</w:t>
            </w:r>
          </w:p>
        </w:tc>
        <w:tc>
          <w:tcPr>
            <w:tcW w:w="1080" w:type="dxa"/>
            <w:tcBorders>
              <w:top w:val="single" w:sz="2" w:space="0" w:color="auto"/>
              <w:left w:val="single" w:sz="2" w:space="0" w:color="auto"/>
              <w:bottom w:val="single" w:sz="2" w:space="0" w:color="auto"/>
              <w:right w:val="single" w:sz="2" w:space="0" w:color="auto"/>
            </w:tcBorders>
            <w:vAlign w:val="center"/>
            <w:hideMark/>
          </w:tcPr>
          <w:p w14:paraId="728DF7BD" w14:textId="77777777" w:rsidR="00DF0307" w:rsidRPr="00624565" w:rsidRDefault="00DF0307" w:rsidP="006333CA">
            <w:pPr>
              <w:spacing w:before="60" w:after="60" w:line="200" w:lineRule="exact"/>
              <w:jc w:val="right"/>
              <w:rPr>
                <w:noProof/>
                <w:sz w:val="16"/>
                <w:szCs w:val="16"/>
              </w:rPr>
            </w:pPr>
            <w:r w:rsidRPr="00624565">
              <w:rPr>
                <w:noProof/>
                <w:sz w:val="16"/>
              </w:rPr>
              <w:t>Nie dotyczy</w:t>
            </w:r>
          </w:p>
        </w:tc>
        <w:tc>
          <w:tcPr>
            <w:tcW w:w="1080" w:type="dxa"/>
            <w:tcBorders>
              <w:top w:val="single" w:sz="2" w:space="0" w:color="auto"/>
              <w:left w:val="single" w:sz="2" w:space="0" w:color="auto"/>
              <w:bottom w:val="single" w:sz="2" w:space="0" w:color="auto"/>
              <w:right w:val="single" w:sz="2" w:space="0" w:color="auto"/>
            </w:tcBorders>
            <w:vAlign w:val="center"/>
            <w:hideMark/>
          </w:tcPr>
          <w:p w14:paraId="4B65FAE8" w14:textId="77777777" w:rsidR="00DF0307" w:rsidRPr="00624565" w:rsidRDefault="00DF0307" w:rsidP="006333CA">
            <w:pPr>
              <w:spacing w:before="60" w:after="60" w:line="200" w:lineRule="exact"/>
              <w:jc w:val="right"/>
              <w:rPr>
                <w:noProof/>
                <w:sz w:val="16"/>
                <w:szCs w:val="16"/>
              </w:rPr>
            </w:pPr>
            <w:r w:rsidRPr="00624565">
              <w:rPr>
                <w:noProof/>
                <w:sz w:val="16"/>
              </w:rPr>
              <w:t>Nie dotyczy</w:t>
            </w:r>
          </w:p>
        </w:tc>
        <w:tc>
          <w:tcPr>
            <w:tcW w:w="1080" w:type="dxa"/>
            <w:tcBorders>
              <w:top w:val="single" w:sz="2" w:space="0" w:color="auto"/>
              <w:left w:val="single" w:sz="2" w:space="0" w:color="auto"/>
              <w:bottom w:val="single" w:sz="2" w:space="0" w:color="auto"/>
              <w:right w:val="single" w:sz="2" w:space="0" w:color="auto"/>
            </w:tcBorders>
            <w:vAlign w:val="center"/>
            <w:hideMark/>
          </w:tcPr>
          <w:p w14:paraId="225769D4" w14:textId="77777777" w:rsidR="00DF0307" w:rsidRPr="00624565" w:rsidRDefault="00DF0307" w:rsidP="006333CA">
            <w:pPr>
              <w:spacing w:before="60" w:after="60" w:line="200" w:lineRule="exact"/>
              <w:jc w:val="right"/>
              <w:rPr>
                <w:noProof/>
                <w:sz w:val="16"/>
                <w:szCs w:val="16"/>
              </w:rPr>
            </w:pPr>
            <w:r w:rsidRPr="00624565">
              <w:rPr>
                <w:noProof/>
                <w:sz w:val="16"/>
              </w:rPr>
              <w:t>Nie dotyczy</w:t>
            </w:r>
          </w:p>
        </w:tc>
      </w:tr>
      <w:tr w:rsidR="00DF0307" w:rsidRPr="00624565" w14:paraId="0AEE08E8" w14:textId="77777777" w:rsidTr="006333CA">
        <w:trPr>
          <w:trHeight w:val="585"/>
        </w:trPr>
        <w:tc>
          <w:tcPr>
            <w:tcW w:w="1980" w:type="dxa"/>
            <w:tcBorders>
              <w:top w:val="single" w:sz="2" w:space="0" w:color="auto"/>
              <w:left w:val="single" w:sz="2" w:space="0" w:color="auto"/>
              <w:bottom w:val="single" w:sz="2" w:space="0" w:color="auto"/>
              <w:right w:val="single" w:sz="2" w:space="0" w:color="auto"/>
            </w:tcBorders>
            <w:vAlign w:val="center"/>
            <w:hideMark/>
          </w:tcPr>
          <w:p w14:paraId="6D48B965" w14:textId="77777777" w:rsidR="00DF0307" w:rsidRPr="00624565" w:rsidRDefault="00DF0307" w:rsidP="006333CA">
            <w:pPr>
              <w:spacing w:before="60" w:after="60" w:line="200" w:lineRule="exact"/>
              <w:ind w:left="72"/>
              <w:jc w:val="left"/>
              <w:rPr>
                <w:noProof/>
                <w:sz w:val="16"/>
                <w:szCs w:val="16"/>
              </w:rPr>
            </w:pPr>
            <w:r w:rsidRPr="00624565">
              <w:rPr>
                <w:noProof/>
                <w:sz w:val="16"/>
              </w:rPr>
              <w:t xml:space="preserve">Zasoby ludzkie </w:t>
            </w:r>
          </w:p>
        </w:tc>
        <w:tc>
          <w:tcPr>
            <w:tcW w:w="1080" w:type="dxa"/>
            <w:tcBorders>
              <w:top w:val="single" w:sz="2" w:space="0" w:color="auto"/>
              <w:left w:val="single" w:sz="2" w:space="0" w:color="auto"/>
              <w:bottom w:val="single" w:sz="2" w:space="0" w:color="auto"/>
              <w:right w:val="single" w:sz="2" w:space="0" w:color="auto"/>
            </w:tcBorders>
            <w:vAlign w:val="center"/>
          </w:tcPr>
          <w:p w14:paraId="19FD532D" w14:textId="77777777" w:rsidR="00DF0307" w:rsidRPr="00624565" w:rsidRDefault="00DF0307" w:rsidP="006333CA">
            <w:pPr>
              <w:spacing w:before="60" w:after="60" w:line="200" w:lineRule="exact"/>
              <w:jc w:val="right"/>
              <w:rPr>
                <w:noProof/>
                <w:sz w:val="16"/>
                <w:szCs w:val="16"/>
              </w:rPr>
            </w:pPr>
          </w:p>
        </w:tc>
        <w:tc>
          <w:tcPr>
            <w:tcW w:w="1080" w:type="dxa"/>
            <w:tcBorders>
              <w:top w:val="single" w:sz="2" w:space="0" w:color="auto"/>
              <w:left w:val="single" w:sz="2" w:space="0" w:color="auto"/>
              <w:bottom w:val="single" w:sz="2" w:space="0" w:color="auto"/>
              <w:right w:val="single" w:sz="2" w:space="0" w:color="auto"/>
            </w:tcBorders>
            <w:vAlign w:val="center"/>
          </w:tcPr>
          <w:p w14:paraId="266CA603" w14:textId="77777777" w:rsidR="00DF0307" w:rsidRPr="00624565" w:rsidRDefault="00DF0307" w:rsidP="006333CA">
            <w:pPr>
              <w:spacing w:before="60" w:after="60" w:line="200" w:lineRule="exact"/>
              <w:jc w:val="right"/>
              <w:rPr>
                <w:noProof/>
                <w:sz w:val="16"/>
                <w:szCs w:val="16"/>
              </w:rPr>
            </w:pPr>
          </w:p>
        </w:tc>
        <w:tc>
          <w:tcPr>
            <w:tcW w:w="1080" w:type="dxa"/>
            <w:tcBorders>
              <w:top w:val="single" w:sz="2" w:space="0" w:color="auto"/>
              <w:left w:val="single" w:sz="2" w:space="0" w:color="auto"/>
              <w:bottom w:val="single" w:sz="2" w:space="0" w:color="auto"/>
              <w:right w:val="single" w:sz="2" w:space="0" w:color="auto"/>
            </w:tcBorders>
            <w:vAlign w:val="center"/>
          </w:tcPr>
          <w:p w14:paraId="31299190" w14:textId="77777777" w:rsidR="00DF0307" w:rsidRPr="00624565" w:rsidRDefault="00DF0307" w:rsidP="006333CA">
            <w:pPr>
              <w:spacing w:before="60" w:after="60" w:line="200" w:lineRule="exact"/>
              <w:jc w:val="right"/>
              <w:rPr>
                <w:noProof/>
                <w:sz w:val="16"/>
                <w:szCs w:val="16"/>
              </w:rPr>
            </w:pPr>
          </w:p>
        </w:tc>
        <w:tc>
          <w:tcPr>
            <w:tcW w:w="1080" w:type="dxa"/>
            <w:tcBorders>
              <w:top w:val="single" w:sz="2" w:space="0" w:color="auto"/>
              <w:left w:val="single" w:sz="2" w:space="0" w:color="auto"/>
              <w:bottom w:val="single" w:sz="2" w:space="0" w:color="auto"/>
              <w:right w:val="single" w:sz="2" w:space="0" w:color="auto"/>
            </w:tcBorders>
            <w:vAlign w:val="center"/>
          </w:tcPr>
          <w:p w14:paraId="22C21E4D" w14:textId="77777777" w:rsidR="00DF0307" w:rsidRPr="00624565" w:rsidRDefault="00DF0307" w:rsidP="006333CA">
            <w:pPr>
              <w:spacing w:before="60" w:after="60" w:line="200" w:lineRule="exact"/>
              <w:jc w:val="right"/>
              <w:rPr>
                <w:noProof/>
                <w:sz w:val="16"/>
                <w:szCs w:val="16"/>
              </w:rPr>
            </w:pPr>
          </w:p>
        </w:tc>
        <w:tc>
          <w:tcPr>
            <w:tcW w:w="1080" w:type="dxa"/>
            <w:tcBorders>
              <w:top w:val="single" w:sz="2" w:space="0" w:color="auto"/>
              <w:left w:val="single" w:sz="2" w:space="0" w:color="auto"/>
              <w:bottom w:val="single" w:sz="2" w:space="0" w:color="auto"/>
              <w:right w:val="single" w:sz="2" w:space="0" w:color="auto"/>
            </w:tcBorders>
            <w:vAlign w:val="center"/>
          </w:tcPr>
          <w:p w14:paraId="0C113369" w14:textId="77777777" w:rsidR="00DF0307" w:rsidRPr="00624565" w:rsidRDefault="00DF0307" w:rsidP="006333CA">
            <w:pPr>
              <w:spacing w:before="60" w:after="60" w:line="200" w:lineRule="exact"/>
              <w:jc w:val="right"/>
              <w:rPr>
                <w:noProof/>
                <w:sz w:val="16"/>
                <w:szCs w:val="16"/>
              </w:rPr>
            </w:pPr>
          </w:p>
        </w:tc>
      </w:tr>
      <w:tr w:rsidR="00DF0307" w:rsidRPr="00624565" w14:paraId="00014AB1" w14:textId="77777777" w:rsidTr="006333CA">
        <w:trPr>
          <w:trHeight w:val="585"/>
        </w:trPr>
        <w:tc>
          <w:tcPr>
            <w:tcW w:w="1980" w:type="dxa"/>
            <w:tcBorders>
              <w:top w:val="single" w:sz="2" w:space="0" w:color="auto"/>
              <w:left w:val="single" w:sz="2" w:space="0" w:color="auto"/>
              <w:bottom w:val="single" w:sz="2" w:space="0" w:color="auto"/>
              <w:right w:val="single" w:sz="2" w:space="0" w:color="auto"/>
            </w:tcBorders>
            <w:vAlign w:val="center"/>
            <w:hideMark/>
          </w:tcPr>
          <w:p w14:paraId="68D863E0" w14:textId="0893A578" w:rsidR="00DF0307" w:rsidRPr="00624565" w:rsidRDefault="00DF0307" w:rsidP="006333CA">
            <w:pPr>
              <w:spacing w:before="60" w:after="60" w:line="200" w:lineRule="exact"/>
              <w:ind w:left="72"/>
              <w:jc w:val="left"/>
              <w:rPr>
                <w:noProof/>
                <w:sz w:val="16"/>
                <w:szCs w:val="16"/>
              </w:rPr>
            </w:pPr>
            <w:r w:rsidRPr="00624565">
              <w:rPr>
                <w:noProof/>
                <w:sz w:val="16"/>
              </w:rPr>
              <w:t>Pozostałe wydatk</w:t>
            </w:r>
            <w:r w:rsidRPr="003F3D2B">
              <w:rPr>
                <w:noProof/>
                <w:sz w:val="16"/>
              </w:rPr>
              <w:t>i</w:t>
            </w:r>
            <w:r w:rsidR="003F3D2B" w:rsidRPr="003F3D2B">
              <w:rPr>
                <w:noProof/>
                <w:sz w:val="16"/>
              </w:rPr>
              <w:t xml:space="preserve"> </w:t>
            </w:r>
            <w:r w:rsidRPr="003F3D2B">
              <w:rPr>
                <w:noProof/>
              </w:rPr>
              <w:br/>
            </w:r>
            <w:r w:rsidRPr="00624565">
              <w:rPr>
                <w:noProof/>
                <w:sz w:val="16"/>
              </w:rPr>
              <w:t>o charakterze administracyjnym</w:t>
            </w:r>
          </w:p>
        </w:tc>
        <w:tc>
          <w:tcPr>
            <w:tcW w:w="1080" w:type="dxa"/>
            <w:tcBorders>
              <w:top w:val="single" w:sz="2" w:space="0" w:color="auto"/>
              <w:left w:val="single" w:sz="2" w:space="0" w:color="auto"/>
              <w:bottom w:val="single" w:sz="2" w:space="0" w:color="auto"/>
              <w:right w:val="single" w:sz="2" w:space="0" w:color="auto"/>
            </w:tcBorders>
            <w:vAlign w:val="center"/>
          </w:tcPr>
          <w:p w14:paraId="507C8009" w14:textId="77777777" w:rsidR="00DF0307" w:rsidRPr="00624565" w:rsidRDefault="00DF0307" w:rsidP="006333CA">
            <w:pPr>
              <w:spacing w:before="60" w:after="60" w:line="200" w:lineRule="exact"/>
              <w:jc w:val="right"/>
              <w:rPr>
                <w:noProof/>
                <w:sz w:val="16"/>
                <w:szCs w:val="16"/>
              </w:rPr>
            </w:pPr>
          </w:p>
        </w:tc>
        <w:tc>
          <w:tcPr>
            <w:tcW w:w="1080" w:type="dxa"/>
            <w:tcBorders>
              <w:top w:val="single" w:sz="2" w:space="0" w:color="auto"/>
              <w:left w:val="single" w:sz="2" w:space="0" w:color="auto"/>
              <w:bottom w:val="single" w:sz="2" w:space="0" w:color="auto"/>
              <w:right w:val="single" w:sz="2" w:space="0" w:color="auto"/>
            </w:tcBorders>
            <w:vAlign w:val="center"/>
          </w:tcPr>
          <w:p w14:paraId="5348B62E" w14:textId="77777777" w:rsidR="00DF0307" w:rsidRPr="00624565" w:rsidRDefault="00DF0307" w:rsidP="006333CA">
            <w:pPr>
              <w:spacing w:before="60" w:after="60" w:line="200" w:lineRule="exact"/>
              <w:jc w:val="right"/>
              <w:rPr>
                <w:noProof/>
                <w:sz w:val="16"/>
                <w:szCs w:val="16"/>
              </w:rPr>
            </w:pPr>
          </w:p>
        </w:tc>
        <w:tc>
          <w:tcPr>
            <w:tcW w:w="1080" w:type="dxa"/>
            <w:tcBorders>
              <w:top w:val="single" w:sz="2" w:space="0" w:color="auto"/>
              <w:left w:val="single" w:sz="2" w:space="0" w:color="auto"/>
              <w:bottom w:val="single" w:sz="2" w:space="0" w:color="auto"/>
              <w:right w:val="single" w:sz="2" w:space="0" w:color="auto"/>
            </w:tcBorders>
            <w:vAlign w:val="center"/>
          </w:tcPr>
          <w:p w14:paraId="2781E58B" w14:textId="77777777" w:rsidR="00DF0307" w:rsidRPr="00624565" w:rsidRDefault="00DF0307" w:rsidP="006333CA">
            <w:pPr>
              <w:spacing w:before="60" w:after="60" w:line="200" w:lineRule="exact"/>
              <w:jc w:val="right"/>
              <w:rPr>
                <w:noProof/>
                <w:sz w:val="16"/>
                <w:szCs w:val="16"/>
              </w:rPr>
            </w:pPr>
          </w:p>
        </w:tc>
        <w:tc>
          <w:tcPr>
            <w:tcW w:w="1080" w:type="dxa"/>
            <w:tcBorders>
              <w:top w:val="single" w:sz="2" w:space="0" w:color="auto"/>
              <w:left w:val="single" w:sz="2" w:space="0" w:color="auto"/>
              <w:bottom w:val="single" w:sz="2" w:space="0" w:color="auto"/>
              <w:right w:val="single" w:sz="2" w:space="0" w:color="auto"/>
            </w:tcBorders>
            <w:vAlign w:val="center"/>
          </w:tcPr>
          <w:p w14:paraId="3D4FCF60" w14:textId="77777777" w:rsidR="00DF0307" w:rsidRPr="00624565" w:rsidRDefault="00DF0307" w:rsidP="006333CA">
            <w:pPr>
              <w:spacing w:before="60" w:after="60" w:line="200" w:lineRule="exact"/>
              <w:jc w:val="right"/>
              <w:rPr>
                <w:noProof/>
                <w:sz w:val="16"/>
                <w:szCs w:val="16"/>
              </w:rPr>
            </w:pPr>
          </w:p>
        </w:tc>
        <w:tc>
          <w:tcPr>
            <w:tcW w:w="1080" w:type="dxa"/>
            <w:tcBorders>
              <w:top w:val="single" w:sz="2" w:space="0" w:color="auto"/>
              <w:left w:val="single" w:sz="2" w:space="0" w:color="auto"/>
              <w:bottom w:val="single" w:sz="2" w:space="0" w:color="auto"/>
              <w:right w:val="single" w:sz="2" w:space="0" w:color="auto"/>
            </w:tcBorders>
            <w:vAlign w:val="center"/>
          </w:tcPr>
          <w:p w14:paraId="39D37376" w14:textId="77777777" w:rsidR="00DF0307" w:rsidRPr="00624565" w:rsidRDefault="00DF0307" w:rsidP="006333CA">
            <w:pPr>
              <w:spacing w:before="60" w:after="60" w:line="200" w:lineRule="exact"/>
              <w:jc w:val="right"/>
              <w:rPr>
                <w:noProof/>
                <w:sz w:val="16"/>
                <w:szCs w:val="16"/>
              </w:rPr>
            </w:pPr>
          </w:p>
        </w:tc>
      </w:tr>
      <w:tr w:rsidR="00DF0307" w:rsidRPr="00624565" w14:paraId="44DE9413" w14:textId="77777777" w:rsidTr="006333CA">
        <w:trPr>
          <w:trHeight w:val="585"/>
        </w:trPr>
        <w:tc>
          <w:tcPr>
            <w:tcW w:w="1980" w:type="dxa"/>
            <w:tcBorders>
              <w:top w:val="single" w:sz="2" w:space="0" w:color="auto"/>
              <w:left w:val="single" w:sz="2" w:space="0" w:color="auto"/>
              <w:bottom w:val="single" w:sz="2" w:space="0" w:color="auto"/>
              <w:right w:val="single" w:sz="2" w:space="0" w:color="auto"/>
            </w:tcBorders>
            <w:shd w:val="clear" w:color="auto" w:fill="CCCCCC"/>
            <w:vAlign w:val="center"/>
            <w:hideMark/>
          </w:tcPr>
          <w:p w14:paraId="4C9B0D17" w14:textId="5CD26E5A" w:rsidR="00DF0307" w:rsidRPr="00624565" w:rsidRDefault="00DF0307" w:rsidP="006333CA">
            <w:pPr>
              <w:spacing w:before="60" w:after="60" w:line="200" w:lineRule="exact"/>
              <w:jc w:val="center"/>
              <w:rPr>
                <w:b/>
                <w:noProof/>
                <w:sz w:val="16"/>
                <w:szCs w:val="16"/>
              </w:rPr>
            </w:pPr>
            <w:r w:rsidRPr="00624565">
              <w:rPr>
                <w:b/>
                <w:noProof/>
                <w:sz w:val="16"/>
              </w:rPr>
              <w:t>Suma cząstkow</w:t>
            </w:r>
            <w:r w:rsidRPr="003F3D2B">
              <w:rPr>
                <w:b/>
                <w:noProof/>
                <w:sz w:val="16"/>
              </w:rPr>
              <w:t>a</w:t>
            </w:r>
            <w:r w:rsidR="003F3D2B" w:rsidRPr="003F3D2B">
              <w:rPr>
                <w:b/>
                <w:noProof/>
                <w:sz w:val="16"/>
              </w:rPr>
              <w:t xml:space="preserve"> </w:t>
            </w:r>
            <w:r w:rsidRPr="003F3D2B">
              <w:rPr>
                <w:noProof/>
              </w:rPr>
              <w:br/>
            </w:r>
            <w:r w:rsidRPr="00624565">
              <w:rPr>
                <w:b/>
                <w:noProof/>
                <w:sz w:val="16"/>
              </w:rPr>
              <w:t>poza DZIAŁEM 7</w:t>
            </w:r>
            <w:r w:rsidRPr="00624565">
              <w:rPr>
                <w:noProof/>
              </w:rPr>
              <w:t xml:space="preserve"> </w:t>
            </w:r>
            <w:r w:rsidRPr="00624565">
              <w:rPr>
                <w:noProof/>
              </w:rPr>
              <w:br/>
            </w:r>
            <w:r w:rsidRPr="00624565">
              <w:rPr>
                <w:b/>
                <w:noProof/>
                <w:sz w:val="16"/>
              </w:rPr>
              <w:t xml:space="preserve">wieloletnich ram finansowych </w:t>
            </w:r>
          </w:p>
        </w:tc>
        <w:tc>
          <w:tcPr>
            <w:tcW w:w="1080" w:type="dxa"/>
            <w:tcBorders>
              <w:top w:val="single" w:sz="2" w:space="0" w:color="auto"/>
              <w:left w:val="single" w:sz="2" w:space="0" w:color="auto"/>
              <w:bottom w:val="single" w:sz="2" w:space="0" w:color="auto"/>
              <w:right w:val="single" w:sz="2" w:space="0" w:color="auto"/>
            </w:tcBorders>
            <w:vAlign w:val="center"/>
            <w:hideMark/>
          </w:tcPr>
          <w:p w14:paraId="73520C50" w14:textId="77777777" w:rsidR="00DF0307" w:rsidRPr="00624565" w:rsidRDefault="00DF0307" w:rsidP="006333CA">
            <w:pPr>
              <w:spacing w:before="60" w:after="60" w:line="200" w:lineRule="exact"/>
              <w:jc w:val="center"/>
              <w:rPr>
                <w:noProof/>
                <w:sz w:val="16"/>
                <w:szCs w:val="16"/>
              </w:rPr>
            </w:pPr>
            <w:r w:rsidRPr="00624565">
              <w:rPr>
                <w:noProof/>
                <w:sz w:val="16"/>
              </w:rPr>
              <w:t>Nie dotyczy</w:t>
            </w:r>
          </w:p>
        </w:tc>
        <w:tc>
          <w:tcPr>
            <w:tcW w:w="1080" w:type="dxa"/>
            <w:tcBorders>
              <w:top w:val="single" w:sz="2" w:space="0" w:color="auto"/>
              <w:left w:val="single" w:sz="2" w:space="0" w:color="auto"/>
              <w:bottom w:val="single" w:sz="2" w:space="0" w:color="auto"/>
              <w:right w:val="single" w:sz="2" w:space="0" w:color="auto"/>
            </w:tcBorders>
            <w:vAlign w:val="center"/>
            <w:hideMark/>
          </w:tcPr>
          <w:p w14:paraId="2DAF426A" w14:textId="77777777" w:rsidR="00DF0307" w:rsidRPr="00624565" w:rsidRDefault="00DF0307" w:rsidP="006333CA">
            <w:pPr>
              <w:spacing w:before="60" w:after="60" w:line="200" w:lineRule="exact"/>
              <w:jc w:val="center"/>
              <w:rPr>
                <w:noProof/>
                <w:sz w:val="16"/>
                <w:szCs w:val="16"/>
              </w:rPr>
            </w:pPr>
            <w:r w:rsidRPr="00624565">
              <w:rPr>
                <w:noProof/>
                <w:sz w:val="16"/>
              </w:rPr>
              <w:t>Nie dotyczy</w:t>
            </w:r>
          </w:p>
        </w:tc>
        <w:tc>
          <w:tcPr>
            <w:tcW w:w="1080" w:type="dxa"/>
            <w:tcBorders>
              <w:top w:val="single" w:sz="2" w:space="0" w:color="auto"/>
              <w:left w:val="single" w:sz="2" w:space="0" w:color="auto"/>
              <w:bottom w:val="single" w:sz="2" w:space="0" w:color="auto"/>
              <w:right w:val="single" w:sz="2" w:space="0" w:color="auto"/>
            </w:tcBorders>
            <w:vAlign w:val="center"/>
            <w:hideMark/>
          </w:tcPr>
          <w:p w14:paraId="37939EF8" w14:textId="77777777" w:rsidR="00DF0307" w:rsidRPr="00624565" w:rsidRDefault="00DF0307" w:rsidP="006333CA">
            <w:pPr>
              <w:spacing w:before="60" w:after="60" w:line="200" w:lineRule="exact"/>
              <w:jc w:val="center"/>
              <w:rPr>
                <w:noProof/>
                <w:sz w:val="16"/>
                <w:szCs w:val="16"/>
              </w:rPr>
            </w:pPr>
            <w:r w:rsidRPr="00624565">
              <w:rPr>
                <w:noProof/>
                <w:sz w:val="16"/>
              </w:rPr>
              <w:t>Nie dotyczy</w:t>
            </w:r>
          </w:p>
        </w:tc>
        <w:tc>
          <w:tcPr>
            <w:tcW w:w="1080" w:type="dxa"/>
            <w:tcBorders>
              <w:top w:val="single" w:sz="2" w:space="0" w:color="auto"/>
              <w:left w:val="single" w:sz="2" w:space="0" w:color="auto"/>
              <w:bottom w:val="single" w:sz="2" w:space="0" w:color="auto"/>
              <w:right w:val="single" w:sz="2" w:space="0" w:color="auto"/>
            </w:tcBorders>
            <w:vAlign w:val="center"/>
            <w:hideMark/>
          </w:tcPr>
          <w:p w14:paraId="35466E5B" w14:textId="77777777" w:rsidR="00DF0307" w:rsidRPr="00624565" w:rsidRDefault="00DF0307" w:rsidP="006333CA">
            <w:pPr>
              <w:spacing w:before="60" w:after="60" w:line="200" w:lineRule="exact"/>
              <w:jc w:val="center"/>
              <w:rPr>
                <w:noProof/>
                <w:sz w:val="16"/>
                <w:szCs w:val="16"/>
              </w:rPr>
            </w:pPr>
            <w:r w:rsidRPr="00624565">
              <w:rPr>
                <w:noProof/>
                <w:sz w:val="16"/>
              </w:rPr>
              <w:t>Nie dotyczy</w:t>
            </w:r>
          </w:p>
        </w:tc>
        <w:tc>
          <w:tcPr>
            <w:tcW w:w="1080" w:type="dxa"/>
            <w:tcBorders>
              <w:top w:val="single" w:sz="2" w:space="0" w:color="auto"/>
              <w:left w:val="single" w:sz="2" w:space="0" w:color="auto"/>
              <w:bottom w:val="single" w:sz="2" w:space="0" w:color="auto"/>
              <w:right w:val="single" w:sz="2" w:space="0" w:color="auto"/>
            </w:tcBorders>
            <w:vAlign w:val="center"/>
            <w:hideMark/>
          </w:tcPr>
          <w:p w14:paraId="6A045FDD" w14:textId="77777777" w:rsidR="00DF0307" w:rsidRPr="00624565" w:rsidRDefault="00DF0307" w:rsidP="006333CA">
            <w:pPr>
              <w:spacing w:before="60" w:after="60" w:line="200" w:lineRule="exact"/>
              <w:jc w:val="center"/>
              <w:rPr>
                <w:noProof/>
                <w:sz w:val="16"/>
                <w:szCs w:val="16"/>
              </w:rPr>
            </w:pPr>
            <w:r w:rsidRPr="00624565">
              <w:rPr>
                <w:noProof/>
                <w:sz w:val="16"/>
              </w:rPr>
              <w:t>Nie dotyczy</w:t>
            </w:r>
          </w:p>
        </w:tc>
      </w:tr>
    </w:tbl>
    <w:p w14:paraId="29E3813C" w14:textId="77777777" w:rsidR="00DF0307" w:rsidRPr="00624565" w:rsidRDefault="00DF0307" w:rsidP="00DF0307">
      <w:pPr>
        <w:spacing w:line="200" w:lineRule="exact"/>
        <w:rPr>
          <w:noProof/>
          <w:sz w:val="16"/>
          <w:szCs w:val="16"/>
          <w:lang w:eastAsia="en-GB"/>
        </w:rPr>
      </w:pPr>
    </w:p>
    <w:tbl>
      <w:tblPr>
        <w:tblW w:w="7380" w:type="dxa"/>
        <w:tblInd w:w="-612" w:type="dxa"/>
        <w:tblLayout w:type="fixed"/>
        <w:tblLook w:val="01E0" w:firstRow="1" w:lastRow="1" w:firstColumn="1" w:lastColumn="1" w:noHBand="0" w:noVBand="0"/>
      </w:tblPr>
      <w:tblGrid>
        <w:gridCol w:w="1980"/>
        <w:gridCol w:w="1080"/>
        <w:gridCol w:w="1080"/>
        <w:gridCol w:w="1080"/>
        <w:gridCol w:w="1080"/>
        <w:gridCol w:w="1080"/>
      </w:tblGrid>
      <w:tr w:rsidR="00DF0307" w:rsidRPr="00624565" w14:paraId="431967FD" w14:textId="77777777" w:rsidTr="006333CA">
        <w:trPr>
          <w:trHeight w:val="585"/>
        </w:trPr>
        <w:tc>
          <w:tcPr>
            <w:tcW w:w="1980" w:type="dxa"/>
            <w:tcBorders>
              <w:top w:val="single" w:sz="12" w:space="0" w:color="auto"/>
              <w:left w:val="single" w:sz="12" w:space="0" w:color="auto"/>
              <w:bottom w:val="single" w:sz="12" w:space="0" w:color="auto"/>
              <w:right w:val="single" w:sz="2" w:space="0" w:color="auto"/>
            </w:tcBorders>
            <w:vAlign w:val="center"/>
            <w:hideMark/>
          </w:tcPr>
          <w:p w14:paraId="17E19698" w14:textId="77777777" w:rsidR="00DF0307" w:rsidRPr="00624565" w:rsidRDefault="00DF0307" w:rsidP="006333CA">
            <w:pPr>
              <w:spacing w:before="60" w:after="60" w:line="200" w:lineRule="exact"/>
              <w:jc w:val="center"/>
              <w:rPr>
                <w:noProof/>
                <w:sz w:val="16"/>
                <w:szCs w:val="16"/>
              </w:rPr>
            </w:pPr>
            <w:r w:rsidRPr="00624565">
              <w:rPr>
                <w:b/>
                <w:noProof/>
                <w:sz w:val="16"/>
              </w:rPr>
              <w:t>OGÓŁEM</w:t>
            </w:r>
          </w:p>
        </w:tc>
        <w:tc>
          <w:tcPr>
            <w:tcW w:w="1080" w:type="dxa"/>
            <w:tcBorders>
              <w:top w:val="single" w:sz="12" w:space="0" w:color="auto"/>
              <w:left w:val="single" w:sz="2" w:space="0" w:color="auto"/>
              <w:bottom w:val="single" w:sz="12" w:space="0" w:color="auto"/>
              <w:right w:val="single" w:sz="2" w:space="0" w:color="auto"/>
            </w:tcBorders>
            <w:vAlign w:val="bottom"/>
            <w:hideMark/>
          </w:tcPr>
          <w:p w14:paraId="445AF6BF" w14:textId="77777777" w:rsidR="00DF0307" w:rsidRPr="00624565" w:rsidRDefault="00DF0307" w:rsidP="006333CA">
            <w:pPr>
              <w:spacing w:before="60" w:after="60" w:line="200" w:lineRule="exact"/>
              <w:jc w:val="right"/>
              <w:rPr>
                <w:rFonts w:ascii="Calibri" w:hAnsi="Calibri" w:cs="Calibri"/>
                <w:noProof/>
                <w:color w:val="000000" w:themeColor="text1"/>
                <w:sz w:val="22"/>
              </w:rPr>
            </w:pPr>
            <w:r w:rsidRPr="00624565">
              <w:rPr>
                <w:rFonts w:ascii="Calibri" w:hAnsi="Calibri"/>
                <w:noProof/>
                <w:color w:val="000000" w:themeColor="text1"/>
                <w:sz w:val="22"/>
              </w:rPr>
              <w:t>0,786</w:t>
            </w:r>
          </w:p>
        </w:tc>
        <w:tc>
          <w:tcPr>
            <w:tcW w:w="1080" w:type="dxa"/>
            <w:tcBorders>
              <w:top w:val="single" w:sz="12" w:space="0" w:color="auto"/>
              <w:left w:val="single" w:sz="2" w:space="0" w:color="auto"/>
              <w:bottom w:val="single" w:sz="12" w:space="0" w:color="auto"/>
              <w:right w:val="single" w:sz="2" w:space="0" w:color="auto"/>
            </w:tcBorders>
            <w:vAlign w:val="bottom"/>
            <w:hideMark/>
          </w:tcPr>
          <w:p w14:paraId="70B8D9B2" w14:textId="77777777" w:rsidR="00DF0307" w:rsidRPr="00624565" w:rsidRDefault="00DF0307" w:rsidP="006333CA">
            <w:pPr>
              <w:spacing w:before="60" w:after="60" w:line="200" w:lineRule="exact"/>
              <w:jc w:val="right"/>
              <w:rPr>
                <w:rFonts w:ascii="Calibri" w:hAnsi="Calibri" w:cs="Calibri"/>
                <w:noProof/>
                <w:color w:val="000000" w:themeColor="text1"/>
                <w:sz w:val="22"/>
              </w:rPr>
            </w:pPr>
            <w:r w:rsidRPr="00624565">
              <w:rPr>
                <w:rFonts w:ascii="Calibri" w:hAnsi="Calibri"/>
                <w:noProof/>
                <w:color w:val="000000" w:themeColor="text1"/>
                <w:sz w:val="22"/>
              </w:rPr>
              <w:t>0,786</w:t>
            </w:r>
          </w:p>
        </w:tc>
        <w:tc>
          <w:tcPr>
            <w:tcW w:w="1080" w:type="dxa"/>
            <w:tcBorders>
              <w:top w:val="single" w:sz="12" w:space="0" w:color="auto"/>
              <w:left w:val="single" w:sz="2" w:space="0" w:color="auto"/>
              <w:bottom w:val="single" w:sz="12" w:space="0" w:color="auto"/>
              <w:right w:val="single" w:sz="2" w:space="0" w:color="auto"/>
            </w:tcBorders>
            <w:vAlign w:val="bottom"/>
            <w:hideMark/>
          </w:tcPr>
          <w:p w14:paraId="7E847979" w14:textId="77777777" w:rsidR="00DF0307" w:rsidRPr="00624565" w:rsidRDefault="00DF0307" w:rsidP="006333CA">
            <w:pPr>
              <w:spacing w:before="60" w:after="60" w:line="200" w:lineRule="exact"/>
              <w:jc w:val="right"/>
              <w:rPr>
                <w:rFonts w:ascii="Calibri" w:hAnsi="Calibri" w:cs="Calibri"/>
                <w:noProof/>
                <w:color w:val="000000" w:themeColor="text1"/>
                <w:sz w:val="22"/>
              </w:rPr>
            </w:pPr>
            <w:r w:rsidRPr="00624565">
              <w:rPr>
                <w:rFonts w:ascii="Calibri" w:hAnsi="Calibri"/>
                <w:noProof/>
                <w:color w:val="000000" w:themeColor="text1"/>
                <w:sz w:val="22"/>
              </w:rPr>
              <w:t>0,786</w:t>
            </w:r>
          </w:p>
        </w:tc>
        <w:tc>
          <w:tcPr>
            <w:tcW w:w="1080" w:type="dxa"/>
            <w:tcBorders>
              <w:top w:val="single" w:sz="12" w:space="0" w:color="auto"/>
              <w:left w:val="single" w:sz="2" w:space="0" w:color="auto"/>
              <w:bottom w:val="single" w:sz="12" w:space="0" w:color="auto"/>
              <w:right w:val="single" w:sz="2" w:space="0" w:color="auto"/>
            </w:tcBorders>
            <w:vAlign w:val="bottom"/>
            <w:hideMark/>
          </w:tcPr>
          <w:p w14:paraId="3B3501E1" w14:textId="77777777" w:rsidR="00DF0307" w:rsidRPr="00624565" w:rsidRDefault="00DF0307" w:rsidP="006333CA">
            <w:pPr>
              <w:spacing w:before="60" w:after="60" w:line="200" w:lineRule="exact"/>
              <w:jc w:val="right"/>
              <w:rPr>
                <w:rFonts w:ascii="Calibri" w:hAnsi="Calibri" w:cs="Calibri"/>
                <w:noProof/>
                <w:color w:val="000000" w:themeColor="text1"/>
                <w:sz w:val="22"/>
              </w:rPr>
            </w:pPr>
            <w:r w:rsidRPr="00624565">
              <w:rPr>
                <w:rFonts w:ascii="Calibri" w:hAnsi="Calibri"/>
                <w:noProof/>
                <w:color w:val="000000" w:themeColor="text1"/>
                <w:sz w:val="22"/>
              </w:rPr>
              <w:t>0,786</w:t>
            </w:r>
          </w:p>
        </w:tc>
        <w:tc>
          <w:tcPr>
            <w:tcW w:w="1080" w:type="dxa"/>
            <w:tcBorders>
              <w:top w:val="single" w:sz="12" w:space="0" w:color="auto"/>
              <w:left w:val="single" w:sz="2" w:space="0" w:color="auto"/>
              <w:bottom w:val="single" w:sz="12" w:space="0" w:color="auto"/>
              <w:right w:val="single" w:sz="12" w:space="0" w:color="auto"/>
            </w:tcBorders>
            <w:vAlign w:val="bottom"/>
            <w:hideMark/>
          </w:tcPr>
          <w:p w14:paraId="7B95F65E" w14:textId="77777777" w:rsidR="00DF0307" w:rsidRPr="00624565" w:rsidRDefault="00DF0307" w:rsidP="006333CA">
            <w:pPr>
              <w:spacing w:before="60" w:after="60" w:line="200" w:lineRule="exact"/>
              <w:jc w:val="right"/>
              <w:rPr>
                <w:rFonts w:ascii="Calibri" w:hAnsi="Calibri" w:cs="Calibri"/>
                <w:b/>
                <w:noProof/>
                <w:color w:val="000000" w:themeColor="text1"/>
                <w:sz w:val="22"/>
              </w:rPr>
            </w:pPr>
            <w:r w:rsidRPr="00624565">
              <w:rPr>
                <w:rFonts w:ascii="Calibri" w:hAnsi="Calibri"/>
                <w:b/>
                <w:noProof/>
                <w:color w:val="000000" w:themeColor="text1"/>
                <w:sz w:val="22"/>
              </w:rPr>
              <w:t>3,144</w:t>
            </w:r>
          </w:p>
        </w:tc>
      </w:tr>
    </w:tbl>
    <w:p w14:paraId="40B727DB" w14:textId="68854C78" w:rsidR="00DF0307" w:rsidRPr="00624565" w:rsidRDefault="00DF0307" w:rsidP="00DF0307">
      <w:pPr>
        <w:rPr>
          <w:noProof/>
          <w:sz w:val="18"/>
        </w:rPr>
      </w:pPr>
      <w:r w:rsidRPr="00624565">
        <w:rPr>
          <w:noProof/>
          <w:sz w:val="18"/>
        </w:rPr>
        <w:t>Potrzeby</w:t>
      </w:r>
      <w:r w:rsidR="003F3D2B" w:rsidRPr="00624565">
        <w:rPr>
          <w:noProof/>
          <w:sz w:val="18"/>
        </w:rPr>
        <w:t xml:space="preserve"> w</w:t>
      </w:r>
      <w:r w:rsidR="003F3D2B">
        <w:rPr>
          <w:noProof/>
          <w:sz w:val="18"/>
        </w:rPr>
        <w:t> </w:t>
      </w:r>
      <w:r w:rsidR="003F3D2B" w:rsidRPr="00624565">
        <w:rPr>
          <w:noProof/>
          <w:sz w:val="18"/>
        </w:rPr>
        <w:t>zak</w:t>
      </w:r>
      <w:r w:rsidRPr="00624565">
        <w:rPr>
          <w:noProof/>
          <w:sz w:val="18"/>
        </w:rPr>
        <w:t>resie środków na zasoby ludzkie</w:t>
      </w:r>
      <w:r w:rsidR="003F3D2B" w:rsidRPr="00624565">
        <w:rPr>
          <w:noProof/>
          <w:sz w:val="18"/>
        </w:rPr>
        <w:t xml:space="preserve"> i</w:t>
      </w:r>
      <w:r w:rsidR="003F3D2B">
        <w:rPr>
          <w:noProof/>
          <w:sz w:val="18"/>
        </w:rPr>
        <w:t> </w:t>
      </w:r>
      <w:r w:rsidR="003F3D2B" w:rsidRPr="00624565">
        <w:rPr>
          <w:noProof/>
          <w:sz w:val="18"/>
        </w:rPr>
        <w:t>inn</w:t>
      </w:r>
      <w:r w:rsidRPr="00624565">
        <w:rPr>
          <w:noProof/>
          <w:sz w:val="18"/>
        </w:rPr>
        <w:t>e wydatki</w:t>
      </w:r>
      <w:r w:rsidR="003F3D2B" w:rsidRPr="00624565">
        <w:rPr>
          <w:noProof/>
          <w:sz w:val="18"/>
        </w:rPr>
        <w:t xml:space="preserve"> o</w:t>
      </w:r>
      <w:r w:rsidR="003F3D2B">
        <w:rPr>
          <w:noProof/>
          <w:sz w:val="18"/>
        </w:rPr>
        <w:t> </w:t>
      </w:r>
      <w:r w:rsidR="003F3D2B" w:rsidRPr="00624565">
        <w:rPr>
          <w:noProof/>
          <w:sz w:val="18"/>
        </w:rPr>
        <w:t>cha</w:t>
      </w:r>
      <w:r w:rsidRPr="00624565">
        <w:rPr>
          <w:noProof/>
          <w:sz w:val="18"/>
        </w:rPr>
        <w:t>rakterze administracyjnym zostaną pokryte</w:t>
      </w:r>
      <w:r w:rsidR="003F3D2B" w:rsidRPr="00624565">
        <w:rPr>
          <w:noProof/>
          <w:sz w:val="18"/>
        </w:rPr>
        <w:t xml:space="preserve"> z</w:t>
      </w:r>
      <w:r w:rsidR="003F3D2B">
        <w:rPr>
          <w:noProof/>
          <w:sz w:val="18"/>
        </w:rPr>
        <w:t> </w:t>
      </w:r>
      <w:r w:rsidR="003F3D2B" w:rsidRPr="00624565">
        <w:rPr>
          <w:noProof/>
          <w:sz w:val="18"/>
        </w:rPr>
        <w:t>zas</w:t>
      </w:r>
      <w:r w:rsidRPr="00624565">
        <w:rPr>
          <w:noProof/>
          <w:sz w:val="18"/>
        </w:rPr>
        <w:t>obów dyrekcji generalnej już przydzielonych na zarządzanie tym działaniem lub przesuniętych</w:t>
      </w:r>
      <w:r w:rsidR="003F3D2B" w:rsidRPr="00624565">
        <w:rPr>
          <w:noProof/>
          <w:sz w:val="18"/>
        </w:rPr>
        <w:t xml:space="preserve"> w</w:t>
      </w:r>
      <w:r w:rsidR="003F3D2B">
        <w:rPr>
          <w:noProof/>
          <w:sz w:val="18"/>
        </w:rPr>
        <w:t> </w:t>
      </w:r>
      <w:r w:rsidR="003F3D2B" w:rsidRPr="00624565">
        <w:rPr>
          <w:noProof/>
          <w:sz w:val="18"/>
        </w:rPr>
        <w:t>ram</w:t>
      </w:r>
      <w:r w:rsidRPr="00624565">
        <w:rPr>
          <w:noProof/>
          <w:sz w:val="18"/>
        </w:rPr>
        <w:t>ach dyrekcji generalnej, uzupełnionych</w:t>
      </w:r>
      <w:r w:rsidR="003F3D2B" w:rsidRPr="00624565">
        <w:rPr>
          <w:noProof/>
          <w:sz w:val="18"/>
        </w:rPr>
        <w:t xml:space="preserve"> w</w:t>
      </w:r>
      <w:r w:rsidR="003F3D2B">
        <w:rPr>
          <w:noProof/>
          <w:sz w:val="18"/>
        </w:rPr>
        <w:t> </w:t>
      </w:r>
      <w:r w:rsidR="003F3D2B" w:rsidRPr="00624565">
        <w:rPr>
          <w:noProof/>
          <w:sz w:val="18"/>
        </w:rPr>
        <w:t>raz</w:t>
      </w:r>
      <w:r w:rsidRPr="00624565">
        <w:rPr>
          <w:noProof/>
          <w:sz w:val="18"/>
        </w:rPr>
        <w:t>ie potrzeby wszelkimi dodatkowymi zasobami, które mogą zostać przydzielone zarządzającej dyrekcji generalnej</w:t>
      </w:r>
      <w:r w:rsidR="003F3D2B" w:rsidRPr="00624565">
        <w:rPr>
          <w:noProof/>
          <w:sz w:val="18"/>
        </w:rPr>
        <w:t xml:space="preserve"> w</w:t>
      </w:r>
      <w:r w:rsidR="003F3D2B">
        <w:rPr>
          <w:noProof/>
          <w:sz w:val="18"/>
        </w:rPr>
        <w:t> </w:t>
      </w:r>
      <w:r w:rsidR="003F3D2B" w:rsidRPr="00624565">
        <w:rPr>
          <w:noProof/>
          <w:sz w:val="18"/>
        </w:rPr>
        <w:t>ram</w:t>
      </w:r>
      <w:r w:rsidRPr="00624565">
        <w:rPr>
          <w:noProof/>
          <w:sz w:val="18"/>
        </w:rPr>
        <w:t>ach procedury rocznego przydziału środków oraz</w:t>
      </w:r>
      <w:r w:rsidR="003F3D2B" w:rsidRPr="00624565">
        <w:rPr>
          <w:noProof/>
          <w:sz w:val="18"/>
        </w:rPr>
        <w:t xml:space="preserve"> w</w:t>
      </w:r>
      <w:r w:rsidR="003F3D2B">
        <w:rPr>
          <w:noProof/>
          <w:sz w:val="18"/>
        </w:rPr>
        <w:t> </w:t>
      </w:r>
      <w:r w:rsidR="003F3D2B" w:rsidRPr="00624565">
        <w:rPr>
          <w:noProof/>
          <w:sz w:val="18"/>
        </w:rPr>
        <w:t>świ</w:t>
      </w:r>
      <w:r w:rsidRPr="00624565">
        <w:rPr>
          <w:noProof/>
          <w:sz w:val="18"/>
        </w:rPr>
        <w:t>etle istniejących ograniczeń budżetowych.</w:t>
      </w:r>
    </w:p>
    <w:p w14:paraId="4D80D952" w14:textId="77777777" w:rsidR="00DF0307" w:rsidRPr="00624565" w:rsidRDefault="0043503A" w:rsidP="0043503A">
      <w:pPr>
        <w:pStyle w:val="ManualHeading4"/>
        <w:rPr>
          <w:noProof/>
        </w:rPr>
      </w:pPr>
      <w:r w:rsidRPr="00624565">
        <w:rPr>
          <w:noProof/>
        </w:rPr>
        <w:t xml:space="preserve">3.2.3.4. Szacowane zapotrzebowanie na zasoby ludzkie </w:t>
      </w:r>
    </w:p>
    <w:p w14:paraId="631DF3AE" w14:textId="0FD092DB" w:rsidR="00DF0307" w:rsidRPr="00624565" w:rsidRDefault="00DF0307" w:rsidP="00DF0307">
      <w:pPr>
        <w:pStyle w:val="ListDash1"/>
        <w:rPr>
          <w:noProof/>
        </w:rPr>
      </w:pPr>
      <w:r w:rsidRPr="00624565">
        <w:rPr>
          <w:rFonts w:ascii="Wingdings" w:hAnsi="Wingdings"/>
          <w:noProof/>
        </w:rPr>
        <w:t></w:t>
      </w:r>
      <w:r w:rsidRPr="00624565">
        <w:rPr>
          <w:noProof/>
        </w:rPr>
        <w:tab/>
        <w:t>Wniosek/inicjatywa nie wiąże się</w:t>
      </w:r>
      <w:r w:rsidR="003F3D2B" w:rsidRPr="00624565">
        <w:rPr>
          <w:noProof/>
        </w:rPr>
        <w:t xml:space="preserve"> z</w:t>
      </w:r>
      <w:r w:rsidR="003F3D2B">
        <w:rPr>
          <w:noProof/>
        </w:rPr>
        <w:t> </w:t>
      </w:r>
      <w:r w:rsidR="003F3D2B" w:rsidRPr="00624565">
        <w:rPr>
          <w:noProof/>
        </w:rPr>
        <w:t>kon</w:t>
      </w:r>
      <w:r w:rsidRPr="00624565">
        <w:rPr>
          <w:noProof/>
        </w:rPr>
        <w:t xml:space="preserve">iecznością wykorzystania zasobów ludzkich. </w:t>
      </w:r>
    </w:p>
    <w:p w14:paraId="0F1A52B3" w14:textId="014AD39C" w:rsidR="00DF0307" w:rsidRPr="00624565" w:rsidRDefault="00DF0307" w:rsidP="00DF0307">
      <w:pPr>
        <w:pStyle w:val="ListDash1"/>
        <w:rPr>
          <w:noProof/>
        </w:rPr>
      </w:pPr>
      <w:r w:rsidRPr="00624565">
        <w:rPr>
          <w:rFonts w:ascii="Wingdings" w:hAnsi="Wingdings"/>
          <w:noProof/>
        </w:rPr>
        <w:t></w:t>
      </w:r>
      <w:r w:rsidRPr="00624565">
        <w:rPr>
          <w:noProof/>
        </w:rPr>
        <w:tab/>
        <w:t>Wniosek/inicjatywa wiąże się</w:t>
      </w:r>
      <w:r w:rsidR="003F3D2B" w:rsidRPr="00624565">
        <w:rPr>
          <w:noProof/>
        </w:rPr>
        <w:t xml:space="preserve"> z</w:t>
      </w:r>
      <w:r w:rsidR="003F3D2B">
        <w:rPr>
          <w:noProof/>
        </w:rPr>
        <w:t> </w:t>
      </w:r>
      <w:r w:rsidR="003F3D2B" w:rsidRPr="00624565">
        <w:rPr>
          <w:noProof/>
        </w:rPr>
        <w:t>kon</w:t>
      </w:r>
      <w:r w:rsidRPr="00624565">
        <w:rPr>
          <w:noProof/>
        </w:rPr>
        <w:t>iecznością wykorzystania zasobów ludzkich, jak określono poniżej:</w:t>
      </w:r>
    </w:p>
    <w:p w14:paraId="7FE3537F" w14:textId="77777777" w:rsidR="00DF0307" w:rsidRPr="00624565" w:rsidRDefault="00DF0307" w:rsidP="00DF0307">
      <w:pPr>
        <w:rPr>
          <w:noProof/>
          <w:sz w:val="18"/>
        </w:rPr>
      </w:pPr>
    </w:p>
    <w:p w14:paraId="4F07315D" w14:textId="77777777" w:rsidR="00DF0307" w:rsidRPr="00624565" w:rsidRDefault="00DF0307" w:rsidP="00DF0307">
      <w:pPr>
        <w:spacing w:after="60"/>
        <w:jc w:val="right"/>
        <w:rPr>
          <w:i/>
          <w:noProof/>
          <w:sz w:val="20"/>
        </w:rPr>
      </w:pPr>
    </w:p>
    <w:p w14:paraId="61FD8AEF" w14:textId="6C725B30" w:rsidR="00DF0307" w:rsidRPr="00624565" w:rsidRDefault="00DF0307" w:rsidP="00DF0307">
      <w:pPr>
        <w:spacing w:after="60"/>
        <w:jc w:val="right"/>
        <w:rPr>
          <w:i/>
          <w:noProof/>
          <w:sz w:val="20"/>
        </w:rPr>
      </w:pPr>
      <w:r w:rsidRPr="00624565">
        <w:rPr>
          <w:i/>
          <w:noProof/>
          <w:sz w:val="20"/>
        </w:rPr>
        <w:t>Wartości szacunkowe należy wyrazić</w:t>
      </w:r>
      <w:r w:rsidR="003F3D2B" w:rsidRPr="00624565">
        <w:rPr>
          <w:i/>
          <w:noProof/>
          <w:sz w:val="20"/>
        </w:rPr>
        <w:t xml:space="preserve"> w</w:t>
      </w:r>
      <w:r w:rsidR="003F3D2B">
        <w:rPr>
          <w:i/>
          <w:noProof/>
          <w:sz w:val="20"/>
        </w:rPr>
        <w:t> </w:t>
      </w:r>
      <w:r w:rsidR="003F3D2B" w:rsidRPr="00624565">
        <w:rPr>
          <w:i/>
          <w:noProof/>
          <w:sz w:val="20"/>
        </w:rPr>
        <w:t>ekw</w:t>
      </w:r>
      <w:r w:rsidRPr="00624565">
        <w:rPr>
          <w:i/>
          <w:noProof/>
          <w:sz w:val="20"/>
        </w:rPr>
        <w:t>iwalentach pełnego czasu pracy</w:t>
      </w:r>
    </w:p>
    <w:tbl>
      <w:tblPr>
        <w:tblW w:w="767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2376"/>
        <w:gridCol w:w="2378"/>
        <w:gridCol w:w="731"/>
        <w:gridCol w:w="731"/>
        <w:gridCol w:w="731"/>
        <w:gridCol w:w="731"/>
      </w:tblGrid>
      <w:tr w:rsidR="00DF0307" w:rsidRPr="00624565" w14:paraId="0873B13E" w14:textId="77777777" w:rsidTr="006333CA">
        <w:trPr>
          <w:trHeight w:val="289"/>
          <w:jc w:val="center"/>
        </w:trPr>
        <w:tc>
          <w:tcPr>
            <w:tcW w:w="4754" w:type="dxa"/>
            <w:gridSpan w:val="2"/>
            <w:tcBorders>
              <w:top w:val="single" w:sz="6" w:space="0" w:color="auto"/>
              <w:left w:val="single" w:sz="6" w:space="0" w:color="auto"/>
              <w:bottom w:val="single" w:sz="6" w:space="0" w:color="auto"/>
              <w:right w:val="single" w:sz="6" w:space="0" w:color="auto"/>
            </w:tcBorders>
          </w:tcPr>
          <w:p w14:paraId="56C7DDF8" w14:textId="77777777" w:rsidR="00DF0307" w:rsidRPr="00624565" w:rsidRDefault="00DF0307" w:rsidP="006333CA">
            <w:pPr>
              <w:pStyle w:val="Text1"/>
              <w:spacing w:before="40" w:after="40" w:line="276" w:lineRule="auto"/>
              <w:ind w:left="0"/>
              <w:jc w:val="center"/>
              <w:rPr>
                <w:i/>
                <w:noProof/>
                <w:sz w:val="16"/>
                <w:szCs w:val="16"/>
              </w:rPr>
            </w:pPr>
          </w:p>
        </w:tc>
        <w:tc>
          <w:tcPr>
            <w:tcW w:w="731" w:type="dxa"/>
            <w:tcBorders>
              <w:top w:val="single" w:sz="6" w:space="0" w:color="auto"/>
              <w:left w:val="single" w:sz="6" w:space="0" w:color="auto"/>
              <w:bottom w:val="single" w:sz="6" w:space="0" w:color="auto"/>
              <w:right w:val="single" w:sz="6" w:space="0" w:color="auto"/>
            </w:tcBorders>
            <w:vAlign w:val="center"/>
            <w:hideMark/>
          </w:tcPr>
          <w:p w14:paraId="4C9B698E" w14:textId="77777777" w:rsidR="00DF0307" w:rsidRPr="00624565" w:rsidRDefault="00DF0307" w:rsidP="006333CA">
            <w:pPr>
              <w:spacing w:before="20" w:after="20" w:line="276" w:lineRule="auto"/>
              <w:jc w:val="center"/>
              <w:rPr>
                <w:b/>
                <w:noProof/>
                <w:sz w:val="16"/>
                <w:szCs w:val="16"/>
              </w:rPr>
            </w:pPr>
            <w:r w:rsidRPr="00624565">
              <w:rPr>
                <w:b/>
                <w:noProof/>
                <w:sz w:val="16"/>
              </w:rPr>
              <w:t>2024</w:t>
            </w:r>
          </w:p>
        </w:tc>
        <w:tc>
          <w:tcPr>
            <w:tcW w:w="731" w:type="dxa"/>
            <w:tcBorders>
              <w:top w:val="single" w:sz="6" w:space="0" w:color="auto"/>
              <w:left w:val="single" w:sz="6" w:space="0" w:color="auto"/>
              <w:bottom w:val="single" w:sz="6" w:space="0" w:color="auto"/>
              <w:right w:val="single" w:sz="6" w:space="0" w:color="auto"/>
            </w:tcBorders>
            <w:vAlign w:val="center"/>
            <w:hideMark/>
          </w:tcPr>
          <w:p w14:paraId="012D4D19" w14:textId="77777777" w:rsidR="00DF0307" w:rsidRPr="00624565" w:rsidRDefault="00DF0307" w:rsidP="006333CA">
            <w:pPr>
              <w:spacing w:before="20" w:after="20" w:line="276" w:lineRule="auto"/>
              <w:jc w:val="center"/>
              <w:rPr>
                <w:b/>
                <w:noProof/>
                <w:sz w:val="16"/>
                <w:szCs w:val="16"/>
              </w:rPr>
            </w:pPr>
            <w:r w:rsidRPr="00624565">
              <w:rPr>
                <w:b/>
                <w:noProof/>
                <w:sz w:val="16"/>
              </w:rPr>
              <w:t>2025</w:t>
            </w:r>
          </w:p>
        </w:tc>
        <w:tc>
          <w:tcPr>
            <w:tcW w:w="731" w:type="dxa"/>
            <w:tcBorders>
              <w:top w:val="single" w:sz="6" w:space="0" w:color="auto"/>
              <w:left w:val="single" w:sz="6" w:space="0" w:color="auto"/>
              <w:bottom w:val="single" w:sz="6" w:space="0" w:color="auto"/>
              <w:right w:val="single" w:sz="6" w:space="0" w:color="auto"/>
            </w:tcBorders>
            <w:vAlign w:val="center"/>
            <w:hideMark/>
          </w:tcPr>
          <w:p w14:paraId="41F369C2" w14:textId="77777777" w:rsidR="00DF0307" w:rsidRPr="00624565" w:rsidRDefault="00DF0307" w:rsidP="006333CA">
            <w:pPr>
              <w:spacing w:before="20" w:after="20" w:line="276" w:lineRule="auto"/>
              <w:jc w:val="center"/>
              <w:rPr>
                <w:b/>
                <w:noProof/>
                <w:sz w:val="16"/>
                <w:szCs w:val="16"/>
              </w:rPr>
            </w:pPr>
            <w:r w:rsidRPr="00624565">
              <w:rPr>
                <w:b/>
                <w:noProof/>
                <w:sz w:val="16"/>
              </w:rPr>
              <w:t>2026</w:t>
            </w:r>
          </w:p>
        </w:tc>
        <w:tc>
          <w:tcPr>
            <w:tcW w:w="731" w:type="dxa"/>
            <w:tcBorders>
              <w:top w:val="single" w:sz="6" w:space="0" w:color="auto"/>
              <w:left w:val="single" w:sz="6" w:space="0" w:color="auto"/>
              <w:bottom w:val="single" w:sz="6" w:space="0" w:color="auto"/>
              <w:right w:val="single" w:sz="6" w:space="0" w:color="auto"/>
            </w:tcBorders>
            <w:vAlign w:val="center"/>
            <w:hideMark/>
          </w:tcPr>
          <w:p w14:paraId="322D21BA" w14:textId="77777777" w:rsidR="00DF0307" w:rsidRPr="00624565" w:rsidRDefault="00DF0307" w:rsidP="006333CA">
            <w:pPr>
              <w:spacing w:line="276" w:lineRule="auto"/>
              <w:jc w:val="center"/>
              <w:rPr>
                <w:b/>
                <w:noProof/>
                <w:sz w:val="16"/>
                <w:szCs w:val="16"/>
              </w:rPr>
            </w:pPr>
            <w:r w:rsidRPr="00624565">
              <w:rPr>
                <w:b/>
                <w:noProof/>
                <w:sz w:val="16"/>
              </w:rPr>
              <w:t>2027 (i kolejne lata)</w:t>
            </w:r>
          </w:p>
        </w:tc>
      </w:tr>
      <w:tr w:rsidR="00DF0307" w:rsidRPr="00624565" w14:paraId="474A5DD8" w14:textId="77777777" w:rsidTr="006333CA">
        <w:trPr>
          <w:trHeight w:val="289"/>
          <w:jc w:val="center"/>
        </w:trPr>
        <w:tc>
          <w:tcPr>
            <w:tcW w:w="4754" w:type="dxa"/>
            <w:gridSpan w:val="2"/>
            <w:tcBorders>
              <w:top w:val="single" w:sz="6" w:space="0" w:color="auto"/>
              <w:left w:val="single" w:sz="6" w:space="0" w:color="auto"/>
              <w:bottom w:val="single" w:sz="6" w:space="0" w:color="auto"/>
              <w:right w:val="single" w:sz="6" w:space="0" w:color="auto"/>
            </w:tcBorders>
            <w:vAlign w:val="center"/>
            <w:hideMark/>
          </w:tcPr>
          <w:p w14:paraId="596354BD" w14:textId="690FDB0D" w:rsidR="00DF0307" w:rsidRPr="00624565" w:rsidRDefault="00DF0307" w:rsidP="006333CA">
            <w:pPr>
              <w:pStyle w:val="Text1"/>
              <w:spacing w:beforeLines="20" w:before="48" w:afterLines="20" w:after="48" w:line="276" w:lineRule="auto"/>
              <w:ind w:left="984"/>
              <w:jc w:val="left"/>
              <w:rPr>
                <w:b/>
                <w:noProof/>
                <w:sz w:val="16"/>
                <w:szCs w:val="16"/>
              </w:rPr>
            </w:pPr>
            <w:r w:rsidRPr="00624565">
              <w:rPr>
                <w:noProof/>
              </w:rPr>
              <w:t>20 01 02 01 (w centrali</w:t>
            </w:r>
            <w:r w:rsidR="003F3D2B" w:rsidRPr="00624565">
              <w:rPr>
                <w:noProof/>
              </w:rPr>
              <w:t xml:space="preserve"> i</w:t>
            </w:r>
            <w:r w:rsidR="003F3D2B">
              <w:rPr>
                <w:noProof/>
              </w:rPr>
              <w:t> </w:t>
            </w:r>
            <w:r w:rsidR="003F3D2B" w:rsidRPr="00624565">
              <w:rPr>
                <w:noProof/>
              </w:rPr>
              <w:t>w</w:t>
            </w:r>
            <w:r w:rsidR="003F3D2B">
              <w:rPr>
                <w:noProof/>
              </w:rPr>
              <w:t> </w:t>
            </w:r>
            <w:r w:rsidR="003F3D2B" w:rsidRPr="00624565">
              <w:rPr>
                <w:noProof/>
              </w:rPr>
              <w:t>biu</w:t>
            </w:r>
            <w:r w:rsidRPr="00624565">
              <w:rPr>
                <w:noProof/>
              </w:rPr>
              <w:t>rach przedstawicielstw Komisji)</w:t>
            </w:r>
          </w:p>
        </w:tc>
        <w:tc>
          <w:tcPr>
            <w:tcW w:w="731" w:type="dxa"/>
            <w:tcBorders>
              <w:top w:val="single" w:sz="6" w:space="0" w:color="auto"/>
              <w:left w:val="single" w:sz="6" w:space="0" w:color="auto"/>
              <w:bottom w:val="single" w:sz="6" w:space="0" w:color="auto"/>
              <w:right w:val="single" w:sz="6" w:space="0" w:color="auto"/>
            </w:tcBorders>
            <w:vAlign w:val="bottom"/>
            <w:hideMark/>
          </w:tcPr>
          <w:p w14:paraId="52B6BFDC" w14:textId="77777777" w:rsidR="00DF0307" w:rsidRPr="00624565" w:rsidRDefault="00DF0307" w:rsidP="006333CA">
            <w:pPr>
              <w:spacing w:beforeLines="20" w:before="48" w:afterLines="20" w:after="48" w:line="276" w:lineRule="auto"/>
              <w:jc w:val="center"/>
              <w:rPr>
                <w:rFonts w:eastAsia="Times New Roman"/>
                <w:noProof/>
                <w:sz w:val="16"/>
                <w:szCs w:val="16"/>
              </w:rPr>
            </w:pPr>
            <w:r w:rsidRPr="00624565">
              <w:rPr>
                <w:noProof/>
                <w:sz w:val="16"/>
              </w:rPr>
              <w:t>3</w:t>
            </w:r>
          </w:p>
        </w:tc>
        <w:tc>
          <w:tcPr>
            <w:tcW w:w="731" w:type="dxa"/>
            <w:tcBorders>
              <w:top w:val="single" w:sz="6" w:space="0" w:color="auto"/>
              <w:left w:val="single" w:sz="6" w:space="0" w:color="auto"/>
              <w:bottom w:val="single" w:sz="6" w:space="0" w:color="auto"/>
              <w:right w:val="single" w:sz="6" w:space="0" w:color="auto"/>
            </w:tcBorders>
            <w:vAlign w:val="bottom"/>
            <w:hideMark/>
          </w:tcPr>
          <w:p w14:paraId="47EB35A9" w14:textId="77777777" w:rsidR="00DF0307" w:rsidRPr="00624565" w:rsidRDefault="00DF0307" w:rsidP="006333CA">
            <w:pPr>
              <w:spacing w:beforeLines="20" w:before="48" w:afterLines="20" w:after="48" w:line="276" w:lineRule="auto"/>
              <w:jc w:val="center"/>
              <w:rPr>
                <w:rFonts w:eastAsia="Times New Roman"/>
                <w:noProof/>
                <w:sz w:val="16"/>
                <w:szCs w:val="16"/>
              </w:rPr>
            </w:pPr>
            <w:r w:rsidRPr="00624565">
              <w:rPr>
                <w:noProof/>
                <w:sz w:val="16"/>
              </w:rPr>
              <w:t>3</w:t>
            </w:r>
          </w:p>
        </w:tc>
        <w:tc>
          <w:tcPr>
            <w:tcW w:w="731" w:type="dxa"/>
            <w:tcBorders>
              <w:top w:val="single" w:sz="6" w:space="0" w:color="auto"/>
              <w:left w:val="single" w:sz="6" w:space="0" w:color="auto"/>
              <w:bottom w:val="single" w:sz="6" w:space="0" w:color="auto"/>
              <w:right w:val="single" w:sz="6" w:space="0" w:color="auto"/>
            </w:tcBorders>
            <w:vAlign w:val="bottom"/>
            <w:hideMark/>
          </w:tcPr>
          <w:p w14:paraId="25766CF6" w14:textId="77777777" w:rsidR="00DF0307" w:rsidRPr="00624565" w:rsidRDefault="00DF0307" w:rsidP="006333CA">
            <w:pPr>
              <w:spacing w:beforeLines="20" w:before="48" w:afterLines="20" w:after="48" w:line="276" w:lineRule="auto"/>
              <w:jc w:val="center"/>
              <w:rPr>
                <w:rFonts w:eastAsia="Times New Roman"/>
                <w:noProof/>
                <w:sz w:val="16"/>
                <w:szCs w:val="16"/>
              </w:rPr>
            </w:pPr>
            <w:r w:rsidRPr="00624565">
              <w:rPr>
                <w:noProof/>
                <w:sz w:val="16"/>
              </w:rPr>
              <w:t>3</w:t>
            </w:r>
          </w:p>
        </w:tc>
        <w:tc>
          <w:tcPr>
            <w:tcW w:w="731" w:type="dxa"/>
            <w:tcBorders>
              <w:top w:val="single" w:sz="6" w:space="0" w:color="auto"/>
              <w:left w:val="single" w:sz="6" w:space="0" w:color="auto"/>
              <w:bottom w:val="single" w:sz="6" w:space="0" w:color="auto"/>
              <w:right w:val="single" w:sz="6" w:space="0" w:color="auto"/>
            </w:tcBorders>
            <w:vAlign w:val="bottom"/>
            <w:hideMark/>
          </w:tcPr>
          <w:p w14:paraId="4B3EE7AB" w14:textId="77777777" w:rsidR="00DF0307" w:rsidRPr="00624565" w:rsidRDefault="00DF0307" w:rsidP="006333CA">
            <w:pPr>
              <w:spacing w:beforeLines="20" w:before="48" w:afterLines="20" w:after="48" w:line="276" w:lineRule="auto"/>
              <w:jc w:val="center"/>
              <w:rPr>
                <w:rFonts w:eastAsia="Times New Roman"/>
                <w:noProof/>
                <w:sz w:val="16"/>
                <w:szCs w:val="16"/>
              </w:rPr>
            </w:pPr>
            <w:r w:rsidRPr="00624565">
              <w:rPr>
                <w:noProof/>
                <w:sz w:val="16"/>
              </w:rPr>
              <w:t>3</w:t>
            </w:r>
          </w:p>
        </w:tc>
      </w:tr>
      <w:tr w:rsidR="00DF0307" w:rsidRPr="00624565" w14:paraId="517FDF7C" w14:textId="77777777" w:rsidTr="006333CA">
        <w:trPr>
          <w:trHeight w:val="289"/>
          <w:jc w:val="center"/>
        </w:trPr>
        <w:tc>
          <w:tcPr>
            <w:tcW w:w="4754" w:type="dxa"/>
            <w:gridSpan w:val="2"/>
            <w:tcBorders>
              <w:top w:val="single" w:sz="6" w:space="0" w:color="auto"/>
              <w:left w:val="single" w:sz="6" w:space="0" w:color="auto"/>
              <w:bottom w:val="single" w:sz="6" w:space="0" w:color="auto"/>
              <w:right w:val="single" w:sz="6" w:space="0" w:color="auto"/>
            </w:tcBorders>
            <w:vAlign w:val="center"/>
            <w:hideMark/>
          </w:tcPr>
          <w:p w14:paraId="0AFEEF54" w14:textId="77777777" w:rsidR="00DF0307" w:rsidRPr="00624565" w:rsidRDefault="00DF0307" w:rsidP="006333CA">
            <w:pPr>
              <w:pStyle w:val="Text1"/>
              <w:spacing w:beforeLines="20" w:before="48" w:afterLines="20" w:after="48" w:line="276" w:lineRule="auto"/>
              <w:ind w:left="984"/>
              <w:jc w:val="left"/>
              <w:rPr>
                <w:noProof/>
                <w:sz w:val="16"/>
              </w:rPr>
            </w:pPr>
            <w:r w:rsidRPr="00624565">
              <w:rPr>
                <w:noProof/>
                <w:sz w:val="16"/>
              </w:rPr>
              <w:t>20 01 02 03 (w delegaturach)</w:t>
            </w:r>
          </w:p>
        </w:tc>
        <w:tc>
          <w:tcPr>
            <w:tcW w:w="731" w:type="dxa"/>
            <w:tcBorders>
              <w:top w:val="single" w:sz="6" w:space="0" w:color="auto"/>
              <w:left w:val="single" w:sz="6" w:space="0" w:color="auto"/>
              <w:bottom w:val="single" w:sz="6" w:space="0" w:color="auto"/>
              <w:right w:val="single" w:sz="6" w:space="0" w:color="auto"/>
            </w:tcBorders>
            <w:vAlign w:val="center"/>
          </w:tcPr>
          <w:p w14:paraId="71302468" w14:textId="77777777" w:rsidR="00DF0307" w:rsidRPr="00624565" w:rsidRDefault="00DF0307" w:rsidP="006333CA">
            <w:pPr>
              <w:spacing w:beforeLines="20" w:before="48" w:afterLines="20" w:after="48" w:line="276" w:lineRule="auto"/>
              <w:jc w:val="center"/>
              <w:rPr>
                <w:noProof/>
                <w:sz w:val="16"/>
                <w:szCs w:val="16"/>
              </w:rPr>
            </w:pPr>
          </w:p>
        </w:tc>
        <w:tc>
          <w:tcPr>
            <w:tcW w:w="731" w:type="dxa"/>
            <w:tcBorders>
              <w:top w:val="single" w:sz="6" w:space="0" w:color="auto"/>
              <w:left w:val="single" w:sz="6" w:space="0" w:color="auto"/>
              <w:bottom w:val="single" w:sz="6" w:space="0" w:color="auto"/>
              <w:right w:val="single" w:sz="6" w:space="0" w:color="auto"/>
            </w:tcBorders>
            <w:vAlign w:val="center"/>
          </w:tcPr>
          <w:p w14:paraId="5EF1A124" w14:textId="77777777" w:rsidR="00DF0307" w:rsidRPr="00624565" w:rsidRDefault="00DF0307" w:rsidP="006333CA">
            <w:pPr>
              <w:spacing w:beforeLines="20" w:before="48" w:afterLines="20" w:after="48" w:line="276" w:lineRule="auto"/>
              <w:jc w:val="center"/>
              <w:rPr>
                <w:noProof/>
                <w:sz w:val="16"/>
                <w:szCs w:val="16"/>
              </w:rPr>
            </w:pPr>
          </w:p>
        </w:tc>
        <w:tc>
          <w:tcPr>
            <w:tcW w:w="731" w:type="dxa"/>
            <w:tcBorders>
              <w:top w:val="single" w:sz="6" w:space="0" w:color="auto"/>
              <w:left w:val="single" w:sz="6" w:space="0" w:color="auto"/>
              <w:bottom w:val="single" w:sz="6" w:space="0" w:color="auto"/>
              <w:right w:val="single" w:sz="6" w:space="0" w:color="auto"/>
            </w:tcBorders>
            <w:vAlign w:val="center"/>
          </w:tcPr>
          <w:p w14:paraId="76BFC98D" w14:textId="77777777" w:rsidR="00DF0307" w:rsidRPr="00624565" w:rsidRDefault="00DF0307" w:rsidP="006333CA">
            <w:pPr>
              <w:spacing w:beforeLines="20" w:before="48" w:afterLines="20" w:after="48" w:line="276" w:lineRule="auto"/>
              <w:jc w:val="center"/>
              <w:rPr>
                <w:noProof/>
                <w:sz w:val="16"/>
                <w:szCs w:val="16"/>
              </w:rPr>
            </w:pPr>
          </w:p>
        </w:tc>
        <w:tc>
          <w:tcPr>
            <w:tcW w:w="731" w:type="dxa"/>
            <w:tcBorders>
              <w:top w:val="single" w:sz="6" w:space="0" w:color="auto"/>
              <w:left w:val="single" w:sz="6" w:space="0" w:color="auto"/>
              <w:bottom w:val="single" w:sz="6" w:space="0" w:color="auto"/>
              <w:right w:val="single" w:sz="6" w:space="0" w:color="auto"/>
            </w:tcBorders>
            <w:vAlign w:val="center"/>
          </w:tcPr>
          <w:p w14:paraId="36A42082" w14:textId="77777777" w:rsidR="00DF0307" w:rsidRPr="00624565" w:rsidRDefault="00DF0307" w:rsidP="006333CA">
            <w:pPr>
              <w:spacing w:beforeLines="20" w:before="48" w:afterLines="20" w:after="48" w:line="276" w:lineRule="auto"/>
              <w:jc w:val="center"/>
              <w:rPr>
                <w:noProof/>
                <w:sz w:val="16"/>
                <w:szCs w:val="16"/>
              </w:rPr>
            </w:pPr>
          </w:p>
        </w:tc>
      </w:tr>
      <w:tr w:rsidR="00DF0307" w:rsidRPr="00624565" w14:paraId="7EEF7A5D" w14:textId="77777777" w:rsidTr="006333CA">
        <w:trPr>
          <w:trHeight w:val="289"/>
          <w:jc w:val="center"/>
        </w:trPr>
        <w:tc>
          <w:tcPr>
            <w:tcW w:w="4754" w:type="dxa"/>
            <w:gridSpan w:val="2"/>
            <w:tcBorders>
              <w:top w:val="single" w:sz="6" w:space="0" w:color="auto"/>
              <w:left w:val="single" w:sz="6" w:space="0" w:color="auto"/>
              <w:bottom w:val="single" w:sz="6" w:space="0" w:color="auto"/>
              <w:right w:val="single" w:sz="6" w:space="0" w:color="auto"/>
            </w:tcBorders>
            <w:vAlign w:val="center"/>
            <w:hideMark/>
          </w:tcPr>
          <w:p w14:paraId="31AD8418" w14:textId="77777777" w:rsidR="00DF0307" w:rsidRPr="00624565" w:rsidRDefault="00DF0307" w:rsidP="006333CA">
            <w:pPr>
              <w:pStyle w:val="Text1"/>
              <w:spacing w:beforeLines="20" w:before="48" w:afterLines="20" w:after="48" w:line="276" w:lineRule="auto"/>
              <w:ind w:left="984"/>
              <w:jc w:val="left"/>
              <w:rPr>
                <w:noProof/>
                <w:sz w:val="16"/>
                <w:szCs w:val="16"/>
              </w:rPr>
            </w:pPr>
            <w:r w:rsidRPr="00624565">
              <w:rPr>
                <w:noProof/>
              </w:rPr>
              <w:t>01 01 01 01 (pośrednie badania naukowe)</w:t>
            </w:r>
          </w:p>
        </w:tc>
        <w:tc>
          <w:tcPr>
            <w:tcW w:w="731" w:type="dxa"/>
            <w:tcBorders>
              <w:top w:val="single" w:sz="6" w:space="0" w:color="auto"/>
              <w:left w:val="single" w:sz="6" w:space="0" w:color="auto"/>
              <w:bottom w:val="single" w:sz="6" w:space="0" w:color="auto"/>
              <w:right w:val="single" w:sz="6" w:space="0" w:color="auto"/>
            </w:tcBorders>
            <w:vAlign w:val="center"/>
          </w:tcPr>
          <w:p w14:paraId="68B163B5" w14:textId="77777777" w:rsidR="00DF0307" w:rsidRPr="00624565" w:rsidRDefault="00DF0307" w:rsidP="006333CA">
            <w:pPr>
              <w:spacing w:beforeLines="20" w:before="48" w:afterLines="20" w:after="48" w:line="276" w:lineRule="auto"/>
              <w:jc w:val="center"/>
              <w:rPr>
                <w:noProof/>
                <w:sz w:val="16"/>
                <w:szCs w:val="16"/>
              </w:rPr>
            </w:pPr>
          </w:p>
        </w:tc>
        <w:tc>
          <w:tcPr>
            <w:tcW w:w="731" w:type="dxa"/>
            <w:tcBorders>
              <w:top w:val="single" w:sz="6" w:space="0" w:color="auto"/>
              <w:left w:val="single" w:sz="6" w:space="0" w:color="auto"/>
              <w:bottom w:val="single" w:sz="6" w:space="0" w:color="auto"/>
              <w:right w:val="single" w:sz="6" w:space="0" w:color="auto"/>
            </w:tcBorders>
            <w:vAlign w:val="center"/>
          </w:tcPr>
          <w:p w14:paraId="784B1288" w14:textId="77777777" w:rsidR="00DF0307" w:rsidRPr="00624565" w:rsidRDefault="00DF0307" w:rsidP="006333CA">
            <w:pPr>
              <w:spacing w:beforeLines="20" w:before="48" w:afterLines="20" w:after="48" w:line="276" w:lineRule="auto"/>
              <w:jc w:val="center"/>
              <w:rPr>
                <w:noProof/>
                <w:sz w:val="16"/>
                <w:szCs w:val="16"/>
              </w:rPr>
            </w:pPr>
          </w:p>
        </w:tc>
        <w:tc>
          <w:tcPr>
            <w:tcW w:w="731" w:type="dxa"/>
            <w:tcBorders>
              <w:top w:val="single" w:sz="6" w:space="0" w:color="auto"/>
              <w:left w:val="single" w:sz="6" w:space="0" w:color="auto"/>
              <w:bottom w:val="single" w:sz="6" w:space="0" w:color="auto"/>
              <w:right w:val="single" w:sz="6" w:space="0" w:color="auto"/>
            </w:tcBorders>
            <w:vAlign w:val="center"/>
          </w:tcPr>
          <w:p w14:paraId="7312EE4E" w14:textId="77777777" w:rsidR="00DF0307" w:rsidRPr="00624565" w:rsidRDefault="00DF0307" w:rsidP="006333CA">
            <w:pPr>
              <w:spacing w:beforeLines="20" w:before="48" w:afterLines="20" w:after="48" w:line="276" w:lineRule="auto"/>
              <w:jc w:val="center"/>
              <w:rPr>
                <w:noProof/>
                <w:sz w:val="16"/>
                <w:szCs w:val="16"/>
              </w:rPr>
            </w:pPr>
          </w:p>
        </w:tc>
        <w:tc>
          <w:tcPr>
            <w:tcW w:w="731" w:type="dxa"/>
            <w:tcBorders>
              <w:top w:val="single" w:sz="6" w:space="0" w:color="auto"/>
              <w:left w:val="single" w:sz="6" w:space="0" w:color="auto"/>
              <w:bottom w:val="single" w:sz="6" w:space="0" w:color="auto"/>
              <w:right w:val="single" w:sz="6" w:space="0" w:color="auto"/>
            </w:tcBorders>
            <w:vAlign w:val="center"/>
          </w:tcPr>
          <w:p w14:paraId="384D0CC4" w14:textId="77777777" w:rsidR="00DF0307" w:rsidRPr="00624565" w:rsidRDefault="00DF0307" w:rsidP="006333CA">
            <w:pPr>
              <w:spacing w:beforeLines="20" w:before="48" w:afterLines="20" w:after="48" w:line="276" w:lineRule="auto"/>
              <w:jc w:val="center"/>
              <w:rPr>
                <w:noProof/>
                <w:sz w:val="16"/>
                <w:szCs w:val="16"/>
              </w:rPr>
            </w:pPr>
          </w:p>
        </w:tc>
      </w:tr>
      <w:tr w:rsidR="00DF0307" w:rsidRPr="00624565" w14:paraId="2DFBD201" w14:textId="77777777" w:rsidTr="006333CA">
        <w:trPr>
          <w:trHeight w:val="289"/>
          <w:jc w:val="center"/>
        </w:trPr>
        <w:tc>
          <w:tcPr>
            <w:tcW w:w="4754" w:type="dxa"/>
            <w:gridSpan w:val="2"/>
            <w:tcBorders>
              <w:top w:val="single" w:sz="6" w:space="0" w:color="auto"/>
              <w:left w:val="single" w:sz="6" w:space="0" w:color="auto"/>
              <w:bottom w:val="single" w:sz="6" w:space="0" w:color="auto"/>
              <w:right w:val="single" w:sz="6" w:space="0" w:color="auto"/>
            </w:tcBorders>
            <w:vAlign w:val="center"/>
            <w:hideMark/>
          </w:tcPr>
          <w:p w14:paraId="443646B5" w14:textId="77777777" w:rsidR="00DF0307" w:rsidRPr="00624565" w:rsidRDefault="00DF0307" w:rsidP="006333CA">
            <w:pPr>
              <w:pStyle w:val="Text1"/>
              <w:spacing w:beforeLines="20" w:before="48" w:afterLines="20" w:after="48" w:line="276" w:lineRule="auto"/>
              <w:ind w:left="984"/>
              <w:jc w:val="left"/>
              <w:rPr>
                <w:noProof/>
                <w:sz w:val="16"/>
                <w:szCs w:val="16"/>
              </w:rPr>
            </w:pPr>
            <w:r w:rsidRPr="00624565">
              <w:rPr>
                <w:noProof/>
                <w:sz w:val="16"/>
              </w:rPr>
              <w:t xml:space="preserve"> 01 01 01 11 (bezpośrednie badania naukowe)</w:t>
            </w:r>
          </w:p>
        </w:tc>
        <w:tc>
          <w:tcPr>
            <w:tcW w:w="731" w:type="dxa"/>
            <w:tcBorders>
              <w:top w:val="single" w:sz="6" w:space="0" w:color="auto"/>
              <w:left w:val="single" w:sz="6" w:space="0" w:color="auto"/>
              <w:bottom w:val="single" w:sz="6" w:space="0" w:color="auto"/>
              <w:right w:val="single" w:sz="6" w:space="0" w:color="auto"/>
            </w:tcBorders>
            <w:vAlign w:val="center"/>
          </w:tcPr>
          <w:p w14:paraId="71437095" w14:textId="77777777" w:rsidR="00DF0307" w:rsidRPr="00624565" w:rsidRDefault="00DF0307" w:rsidP="006333CA">
            <w:pPr>
              <w:spacing w:beforeLines="20" w:before="48" w:afterLines="20" w:after="48" w:line="276" w:lineRule="auto"/>
              <w:jc w:val="center"/>
              <w:rPr>
                <w:noProof/>
                <w:sz w:val="16"/>
                <w:szCs w:val="16"/>
              </w:rPr>
            </w:pPr>
          </w:p>
        </w:tc>
        <w:tc>
          <w:tcPr>
            <w:tcW w:w="731" w:type="dxa"/>
            <w:tcBorders>
              <w:top w:val="single" w:sz="6" w:space="0" w:color="auto"/>
              <w:left w:val="single" w:sz="6" w:space="0" w:color="auto"/>
              <w:bottom w:val="single" w:sz="6" w:space="0" w:color="auto"/>
              <w:right w:val="single" w:sz="6" w:space="0" w:color="auto"/>
            </w:tcBorders>
            <w:vAlign w:val="center"/>
          </w:tcPr>
          <w:p w14:paraId="4342F45F" w14:textId="77777777" w:rsidR="00DF0307" w:rsidRPr="00624565" w:rsidRDefault="00DF0307" w:rsidP="006333CA">
            <w:pPr>
              <w:spacing w:beforeLines="20" w:before="48" w:afterLines="20" w:after="48" w:line="276" w:lineRule="auto"/>
              <w:jc w:val="center"/>
              <w:rPr>
                <w:noProof/>
                <w:sz w:val="16"/>
                <w:szCs w:val="16"/>
              </w:rPr>
            </w:pPr>
          </w:p>
        </w:tc>
        <w:tc>
          <w:tcPr>
            <w:tcW w:w="731" w:type="dxa"/>
            <w:tcBorders>
              <w:top w:val="single" w:sz="6" w:space="0" w:color="auto"/>
              <w:left w:val="single" w:sz="6" w:space="0" w:color="auto"/>
              <w:bottom w:val="single" w:sz="6" w:space="0" w:color="auto"/>
              <w:right w:val="single" w:sz="6" w:space="0" w:color="auto"/>
            </w:tcBorders>
            <w:vAlign w:val="center"/>
          </w:tcPr>
          <w:p w14:paraId="7AA5BE3E" w14:textId="77777777" w:rsidR="00DF0307" w:rsidRPr="00624565" w:rsidRDefault="00DF0307" w:rsidP="006333CA">
            <w:pPr>
              <w:spacing w:beforeLines="20" w:before="48" w:afterLines="20" w:after="48" w:line="276" w:lineRule="auto"/>
              <w:jc w:val="center"/>
              <w:rPr>
                <w:noProof/>
                <w:sz w:val="16"/>
                <w:szCs w:val="16"/>
              </w:rPr>
            </w:pPr>
          </w:p>
        </w:tc>
        <w:tc>
          <w:tcPr>
            <w:tcW w:w="731" w:type="dxa"/>
            <w:tcBorders>
              <w:top w:val="single" w:sz="6" w:space="0" w:color="auto"/>
              <w:left w:val="single" w:sz="6" w:space="0" w:color="auto"/>
              <w:bottom w:val="single" w:sz="6" w:space="0" w:color="auto"/>
              <w:right w:val="single" w:sz="6" w:space="0" w:color="auto"/>
            </w:tcBorders>
            <w:vAlign w:val="center"/>
          </w:tcPr>
          <w:p w14:paraId="438059A4" w14:textId="77777777" w:rsidR="00DF0307" w:rsidRPr="00624565" w:rsidRDefault="00DF0307" w:rsidP="006333CA">
            <w:pPr>
              <w:spacing w:beforeLines="20" w:before="48" w:afterLines="20" w:after="48" w:line="276" w:lineRule="auto"/>
              <w:jc w:val="center"/>
              <w:rPr>
                <w:noProof/>
                <w:sz w:val="16"/>
                <w:szCs w:val="16"/>
              </w:rPr>
            </w:pPr>
          </w:p>
        </w:tc>
      </w:tr>
      <w:tr w:rsidR="00DF0307" w:rsidRPr="00624565" w14:paraId="7DD314D2" w14:textId="77777777" w:rsidTr="006333CA">
        <w:trPr>
          <w:trHeight w:val="289"/>
          <w:jc w:val="center"/>
        </w:trPr>
        <w:tc>
          <w:tcPr>
            <w:tcW w:w="4754" w:type="dxa"/>
            <w:gridSpan w:val="2"/>
            <w:tcBorders>
              <w:top w:val="single" w:sz="6" w:space="0" w:color="auto"/>
              <w:left w:val="single" w:sz="6" w:space="0" w:color="auto"/>
              <w:bottom w:val="single" w:sz="6" w:space="0" w:color="auto"/>
              <w:right w:val="single" w:sz="6" w:space="0" w:color="auto"/>
            </w:tcBorders>
            <w:vAlign w:val="center"/>
            <w:hideMark/>
          </w:tcPr>
          <w:p w14:paraId="30B439A5" w14:textId="77777777" w:rsidR="00DF0307" w:rsidRPr="00624565" w:rsidRDefault="00DF0307" w:rsidP="006333CA">
            <w:pPr>
              <w:pStyle w:val="Text1"/>
              <w:spacing w:beforeLines="20" w:before="48" w:afterLines="20" w:after="48" w:line="276" w:lineRule="auto"/>
              <w:ind w:left="984"/>
              <w:jc w:val="left"/>
              <w:rPr>
                <w:noProof/>
                <w:sz w:val="16"/>
              </w:rPr>
            </w:pPr>
            <w:r w:rsidRPr="00624565">
              <w:rPr>
                <w:noProof/>
                <w:sz w:val="16"/>
              </w:rPr>
              <w:t>Inna linia budżetowa (określić)</w:t>
            </w:r>
          </w:p>
        </w:tc>
        <w:tc>
          <w:tcPr>
            <w:tcW w:w="731" w:type="dxa"/>
            <w:tcBorders>
              <w:top w:val="single" w:sz="6" w:space="0" w:color="auto"/>
              <w:left w:val="single" w:sz="6" w:space="0" w:color="auto"/>
              <w:bottom w:val="single" w:sz="6" w:space="0" w:color="auto"/>
              <w:right w:val="single" w:sz="6" w:space="0" w:color="auto"/>
            </w:tcBorders>
            <w:vAlign w:val="center"/>
          </w:tcPr>
          <w:p w14:paraId="0D143B26" w14:textId="77777777" w:rsidR="00DF0307" w:rsidRPr="00624565" w:rsidRDefault="00DF0307" w:rsidP="006333CA">
            <w:pPr>
              <w:spacing w:beforeLines="20" w:before="48" w:afterLines="20" w:after="48" w:line="276" w:lineRule="auto"/>
              <w:jc w:val="center"/>
              <w:rPr>
                <w:noProof/>
                <w:sz w:val="16"/>
                <w:szCs w:val="16"/>
              </w:rPr>
            </w:pPr>
          </w:p>
        </w:tc>
        <w:tc>
          <w:tcPr>
            <w:tcW w:w="731" w:type="dxa"/>
            <w:tcBorders>
              <w:top w:val="single" w:sz="6" w:space="0" w:color="auto"/>
              <w:left w:val="single" w:sz="6" w:space="0" w:color="auto"/>
              <w:bottom w:val="single" w:sz="6" w:space="0" w:color="auto"/>
              <w:right w:val="single" w:sz="6" w:space="0" w:color="auto"/>
            </w:tcBorders>
            <w:vAlign w:val="center"/>
          </w:tcPr>
          <w:p w14:paraId="5C2DC9DD" w14:textId="77777777" w:rsidR="00DF0307" w:rsidRPr="00624565" w:rsidRDefault="00DF0307" w:rsidP="006333CA">
            <w:pPr>
              <w:spacing w:beforeLines="20" w:before="48" w:afterLines="20" w:after="48" w:line="276" w:lineRule="auto"/>
              <w:jc w:val="center"/>
              <w:rPr>
                <w:noProof/>
                <w:sz w:val="16"/>
                <w:szCs w:val="16"/>
              </w:rPr>
            </w:pPr>
          </w:p>
        </w:tc>
        <w:tc>
          <w:tcPr>
            <w:tcW w:w="731" w:type="dxa"/>
            <w:tcBorders>
              <w:top w:val="single" w:sz="6" w:space="0" w:color="auto"/>
              <w:left w:val="single" w:sz="6" w:space="0" w:color="auto"/>
              <w:bottom w:val="single" w:sz="6" w:space="0" w:color="auto"/>
              <w:right w:val="single" w:sz="6" w:space="0" w:color="auto"/>
            </w:tcBorders>
            <w:vAlign w:val="center"/>
          </w:tcPr>
          <w:p w14:paraId="63A611CD" w14:textId="77777777" w:rsidR="00DF0307" w:rsidRPr="00624565" w:rsidRDefault="00DF0307" w:rsidP="006333CA">
            <w:pPr>
              <w:spacing w:beforeLines="20" w:before="48" w:afterLines="20" w:after="48" w:line="276" w:lineRule="auto"/>
              <w:jc w:val="center"/>
              <w:rPr>
                <w:noProof/>
                <w:sz w:val="16"/>
                <w:szCs w:val="16"/>
              </w:rPr>
            </w:pPr>
          </w:p>
        </w:tc>
        <w:tc>
          <w:tcPr>
            <w:tcW w:w="731" w:type="dxa"/>
            <w:tcBorders>
              <w:top w:val="single" w:sz="6" w:space="0" w:color="auto"/>
              <w:left w:val="single" w:sz="6" w:space="0" w:color="auto"/>
              <w:bottom w:val="single" w:sz="6" w:space="0" w:color="auto"/>
              <w:right w:val="single" w:sz="6" w:space="0" w:color="auto"/>
            </w:tcBorders>
            <w:vAlign w:val="center"/>
          </w:tcPr>
          <w:p w14:paraId="7505E29A" w14:textId="77777777" w:rsidR="00DF0307" w:rsidRPr="00624565" w:rsidRDefault="00DF0307" w:rsidP="006333CA">
            <w:pPr>
              <w:spacing w:beforeLines="20" w:before="48" w:afterLines="20" w:after="48" w:line="276" w:lineRule="auto"/>
              <w:jc w:val="center"/>
              <w:rPr>
                <w:noProof/>
                <w:sz w:val="16"/>
                <w:szCs w:val="16"/>
              </w:rPr>
            </w:pPr>
          </w:p>
        </w:tc>
      </w:tr>
      <w:tr w:rsidR="00DF0307" w:rsidRPr="00624565" w14:paraId="1A50D007" w14:textId="77777777" w:rsidTr="006333CA">
        <w:trPr>
          <w:trHeight w:val="289"/>
          <w:jc w:val="center"/>
        </w:trPr>
        <w:tc>
          <w:tcPr>
            <w:tcW w:w="4754" w:type="dxa"/>
            <w:gridSpan w:val="2"/>
            <w:tcBorders>
              <w:top w:val="single" w:sz="6" w:space="0" w:color="auto"/>
              <w:left w:val="single" w:sz="6" w:space="0" w:color="auto"/>
              <w:bottom w:val="single" w:sz="6" w:space="0" w:color="auto"/>
              <w:right w:val="single" w:sz="6" w:space="0" w:color="auto"/>
            </w:tcBorders>
            <w:vAlign w:val="center"/>
            <w:hideMark/>
          </w:tcPr>
          <w:p w14:paraId="25D2A544" w14:textId="01608F78" w:rsidR="00DF0307" w:rsidRPr="00624565" w:rsidRDefault="00DF0307" w:rsidP="006333CA">
            <w:pPr>
              <w:pStyle w:val="Text1"/>
              <w:spacing w:beforeLines="20" w:before="48" w:afterLines="20" w:after="48" w:line="276" w:lineRule="auto"/>
              <w:ind w:left="986"/>
              <w:jc w:val="left"/>
              <w:rPr>
                <w:b/>
                <w:noProof/>
                <w:sz w:val="16"/>
                <w:szCs w:val="16"/>
              </w:rPr>
            </w:pPr>
            <w:r w:rsidRPr="00624565">
              <w:rPr>
                <w:noProof/>
              </w:rPr>
              <w:t>20 02 01 (CA, SNE, INT</w:t>
            </w:r>
            <w:r w:rsidR="003F3D2B" w:rsidRPr="00624565">
              <w:rPr>
                <w:noProof/>
              </w:rPr>
              <w:t xml:space="preserve"> z</w:t>
            </w:r>
            <w:r w:rsidR="003F3D2B">
              <w:rPr>
                <w:noProof/>
              </w:rPr>
              <w:t> </w:t>
            </w:r>
            <w:r w:rsidR="003F3D2B" w:rsidRPr="00624565">
              <w:rPr>
                <w:noProof/>
              </w:rPr>
              <w:t>glo</w:t>
            </w:r>
            <w:r w:rsidRPr="00624565">
              <w:rPr>
                <w:noProof/>
              </w:rPr>
              <w:t>balnej koperty finansowej)</w:t>
            </w:r>
          </w:p>
        </w:tc>
        <w:tc>
          <w:tcPr>
            <w:tcW w:w="731" w:type="dxa"/>
            <w:tcBorders>
              <w:top w:val="single" w:sz="6" w:space="0" w:color="auto"/>
              <w:left w:val="single" w:sz="6" w:space="0" w:color="auto"/>
              <w:bottom w:val="single" w:sz="6" w:space="0" w:color="auto"/>
              <w:right w:val="single" w:sz="6" w:space="0" w:color="auto"/>
            </w:tcBorders>
            <w:vAlign w:val="bottom"/>
            <w:hideMark/>
          </w:tcPr>
          <w:p w14:paraId="1D1AE79D" w14:textId="77777777" w:rsidR="00DF0307" w:rsidRPr="00624565" w:rsidRDefault="00DF0307" w:rsidP="006333CA">
            <w:pPr>
              <w:spacing w:beforeLines="20" w:before="48" w:afterLines="20" w:after="48" w:line="276" w:lineRule="auto"/>
              <w:jc w:val="center"/>
              <w:rPr>
                <w:rFonts w:eastAsia="Times New Roman"/>
                <w:noProof/>
                <w:sz w:val="16"/>
                <w:szCs w:val="16"/>
              </w:rPr>
            </w:pPr>
            <w:r w:rsidRPr="00624565">
              <w:rPr>
                <w:noProof/>
                <w:sz w:val="16"/>
              </w:rPr>
              <w:t>1</w:t>
            </w:r>
          </w:p>
        </w:tc>
        <w:tc>
          <w:tcPr>
            <w:tcW w:w="731" w:type="dxa"/>
            <w:tcBorders>
              <w:top w:val="single" w:sz="6" w:space="0" w:color="auto"/>
              <w:left w:val="single" w:sz="6" w:space="0" w:color="auto"/>
              <w:bottom w:val="single" w:sz="6" w:space="0" w:color="auto"/>
              <w:right w:val="single" w:sz="6" w:space="0" w:color="auto"/>
            </w:tcBorders>
            <w:vAlign w:val="bottom"/>
            <w:hideMark/>
          </w:tcPr>
          <w:p w14:paraId="2C343792" w14:textId="77777777" w:rsidR="00DF0307" w:rsidRPr="00624565" w:rsidRDefault="00DF0307" w:rsidP="006333CA">
            <w:pPr>
              <w:spacing w:beforeLines="20" w:before="48" w:afterLines="20" w:after="48" w:line="276" w:lineRule="auto"/>
              <w:jc w:val="center"/>
              <w:rPr>
                <w:rFonts w:eastAsia="Times New Roman"/>
                <w:noProof/>
                <w:sz w:val="16"/>
                <w:szCs w:val="16"/>
              </w:rPr>
            </w:pPr>
            <w:r w:rsidRPr="00624565">
              <w:rPr>
                <w:noProof/>
                <w:sz w:val="16"/>
              </w:rPr>
              <w:t>1</w:t>
            </w:r>
          </w:p>
        </w:tc>
        <w:tc>
          <w:tcPr>
            <w:tcW w:w="731" w:type="dxa"/>
            <w:tcBorders>
              <w:top w:val="single" w:sz="6" w:space="0" w:color="auto"/>
              <w:left w:val="single" w:sz="6" w:space="0" w:color="auto"/>
              <w:bottom w:val="single" w:sz="6" w:space="0" w:color="auto"/>
              <w:right w:val="single" w:sz="6" w:space="0" w:color="auto"/>
            </w:tcBorders>
            <w:vAlign w:val="bottom"/>
            <w:hideMark/>
          </w:tcPr>
          <w:p w14:paraId="6A44A518" w14:textId="77777777" w:rsidR="00DF0307" w:rsidRPr="00624565" w:rsidRDefault="00DF0307" w:rsidP="006333CA">
            <w:pPr>
              <w:spacing w:beforeLines="20" w:before="48" w:afterLines="20" w:after="48" w:line="276" w:lineRule="auto"/>
              <w:jc w:val="center"/>
              <w:rPr>
                <w:rFonts w:eastAsia="Times New Roman"/>
                <w:noProof/>
                <w:sz w:val="16"/>
                <w:szCs w:val="16"/>
              </w:rPr>
            </w:pPr>
            <w:r w:rsidRPr="00624565">
              <w:rPr>
                <w:noProof/>
                <w:sz w:val="16"/>
              </w:rPr>
              <w:t>1</w:t>
            </w:r>
          </w:p>
        </w:tc>
        <w:tc>
          <w:tcPr>
            <w:tcW w:w="731" w:type="dxa"/>
            <w:tcBorders>
              <w:top w:val="single" w:sz="6" w:space="0" w:color="auto"/>
              <w:left w:val="single" w:sz="6" w:space="0" w:color="auto"/>
              <w:bottom w:val="single" w:sz="6" w:space="0" w:color="auto"/>
              <w:right w:val="single" w:sz="6" w:space="0" w:color="auto"/>
            </w:tcBorders>
            <w:vAlign w:val="bottom"/>
            <w:hideMark/>
          </w:tcPr>
          <w:p w14:paraId="667E6761" w14:textId="77777777" w:rsidR="00DF0307" w:rsidRPr="00624565" w:rsidRDefault="00DF0307" w:rsidP="006333CA">
            <w:pPr>
              <w:spacing w:beforeLines="20" w:before="48" w:afterLines="20" w:after="48" w:line="276" w:lineRule="auto"/>
              <w:jc w:val="center"/>
              <w:rPr>
                <w:rFonts w:eastAsia="Times New Roman"/>
                <w:noProof/>
                <w:sz w:val="16"/>
                <w:szCs w:val="16"/>
              </w:rPr>
            </w:pPr>
            <w:r w:rsidRPr="00624565">
              <w:rPr>
                <w:noProof/>
                <w:sz w:val="16"/>
              </w:rPr>
              <w:t>1</w:t>
            </w:r>
          </w:p>
        </w:tc>
      </w:tr>
      <w:tr w:rsidR="00DF0307" w:rsidRPr="00624565" w14:paraId="4233C025" w14:textId="77777777" w:rsidTr="006333CA">
        <w:trPr>
          <w:trHeight w:val="289"/>
          <w:jc w:val="center"/>
        </w:trPr>
        <w:tc>
          <w:tcPr>
            <w:tcW w:w="4754" w:type="dxa"/>
            <w:gridSpan w:val="2"/>
            <w:tcBorders>
              <w:top w:val="single" w:sz="6" w:space="0" w:color="auto"/>
              <w:left w:val="single" w:sz="6" w:space="0" w:color="auto"/>
              <w:bottom w:val="single" w:sz="6" w:space="0" w:color="auto"/>
              <w:right w:val="single" w:sz="6" w:space="0" w:color="auto"/>
            </w:tcBorders>
            <w:vAlign w:val="center"/>
            <w:hideMark/>
          </w:tcPr>
          <w:p w14:paraId="29496394" w14:textId="78C9AB5B" w:rsidR="00DF0307" w:rsidRPr="00624565" w:rsidRDefault="00DF0307" w:rsidP="006333CA">
            <w:pPr>
              <w:pStyle w:val="Text1"/>
              <w:spacing w:beforeLines="20" w:before="48" w:afterLines="20" w:after="48" w:line="276" w:lineRule="auto"/>
              <w:ind w:left="986"/>
              <w:jc w:val="left"/>
              <w:rPr>
                <w:noProof/>
                <w:sz w:val="16"/>
              </w:rPr>
            </w:pPr>
            <w:r w:rsidRPr="00624565">
              <w:rPr>
                <w:noProof/>
                <w:sz w:val="16"/>
              </w:rPr>
              <w:t>20 02 03 (CA, LA, SNE, INT i JPD</w:t>
            </w:r>
            <w:r w:rsidR="003F3D2B" w:rsidRPr="00624565">
              <w:rPr>
                <w:noProof/>
                <w:sz w:val="16"/>
              </w:rPr>
              <w:t xml:space="preserve"> w</w:t>
            </w:r>
            <w:r w:rsidR="003F3D2B">
              <w:rPr>
                <w:noProof/>
                <w:sz w:val="16"/>
              </w:rPr>
              <w:t> </w:t>
            </w:r>
            <w:r w:rsidR="003F3D2B" w:rsidRPr="00624565">
              <w:rPr>
                <w:noProof/>
                <w:sz w:val="16"/>
              </w:rPr>
              <w:t>del</w:t>
            </w:r>
            <w:r w:rsidRPr="00624565">
              <w:rPr>
                <w:noProof/>
                <w:sz w:val="16"/>
              </w:rPr>
              <w:t>egaturach)</w:t>
            </w:r>
          </w:p>
        </w:tc>
        <w:tc>
          <w:tcPr>
            <w:tcW w:w="731" w:type="dxa"/>
            <w:tcBorders>
              <w:top w:val="single" w:sz="6" w:space="0" w:color="auto"/>
              <w:left w:val="single" w:sz="6" w:space="0" w:color="auto"/>
              <w:bottom w:val="single" w:sz="6" w:space="0" w:color="auto"/>
              <w:right w:val="single" w:sz="6" w:space="0" w:color="auto"/>
            </w:tcBorders>
            <w:vAlign w:val="center"/>
          </w:tcPr>
          <w:p w14:paraId="7F7DDFBB" w14:textId="77777777" w:rsidR="00DF0307" w:rsidRPr="00624565" w:rsidRDefault="00DF0307" w:rsidP="006333CA">
            <w:pPr>
              <w:spacing w:beforeLines="20" w:before="48" w:afterLines="20" w:after="48" w:line="276" w:lineRule="auto"/>
              <w:jc w:val="center"/>
              <w:rPr>
                <w:noProof/>
                <w:sz w:val="16"/>
                <w:szCs w:val="16"/>
              </w:rPr>
            </w:pPr>
          </w:p>
        </w:tc>
        <w:tc>
          <w:tcPr>
            <w:tcW w:w="731" w:type="dxa"/>
            <w:tcBorders>
              <w:top w:val="single" w:sz="6" w:space="0" w:color="auto"/>
              <w:left w:val="single" w:sz="6" w:space="0" w:color="auto"/>
              <w:bottom w:val="single" w:sz="6" w:space="0" w:color="auto"/>
              <w:right w:val="single" w:sz="6" w:space="0" w:color="auto"/>
            </w:tcBorders>
            <w:vAlign w:val="center"/>
          </w:tcPr>
          <w:p w14:paraId="1AFD0744" w14:textId="77777777" w:rsidR="00DF0307" w:rsidRPr="00624565" w:rsidRDefault="00DF0307" w:rsidP="006333CA">
            <w:pPr>
              <w:spacing w:beforeLines="20" w:before="48" w:afterLines="20" w:after="48" w:line="276" w:lineRule="auto"/>
              <w:jc w:val="center"/>
              <w:rPr>
                <w:noProof/>
                <w:sz w:val="16"/>
                <w:szCs w:val="16"/>
              </w:rPr>
            </w:pPr>
          </w:p>
        </w:tc>
        <w:tc>
          <w:tcPr>
            <w:tcW w:w="731" w:type="dxa"/>
            <w:tcBorders>
              <w:top w:val="single" w:sz="6" w:space="0" w:color="auto"/>
              <w:left w:val="single" w:sz="6" w:space="0" w:color="auto"/>
              <w:bottom w:val="single" w:sz="6" w:space="0" w:color="auto"/>
              <w:right w:val="single" w:sz="6" w:space="0" w:color="auto"/>
            </w:tcBorders>
            <w:vAlign w:val="center"/>
          </w:tcPr>
          <w:p w14:paraId="780C78C4" w14:textId="77777777" w:rsidR="00DF0307" w:rsidRPr="00624565" w:rsidRDefault="00DF0307" w:rsidP="006333CA">
            <w:pPr>
              <w:spacing w:beforeLines="20" w:before="48" w:afterLines="20" w:after="48" w:line="276" w:lineRule="auto"/>
              <w:jc w:val="center"/>
              <w:rPr>
                <w:noProof/>
                <w:sz w:val="16"/>
                <w:szCs w:val="16"/>
              </w:rPr>
            </w:pPr>
          </w:p>
        </w:tc>
        <w:tc>
          <w:tcPr>
            <w:tcW w:w="731" w:type="dxa"/>
            <w:tcBorders>
              <w:top w:val="single" w:sz="6" w:space="0" w:color="auto"/>
              <w:left w:val="single" w:sz="6" w:space="0" w:color="auto"/>
              <w:bottom w:val="single" w:sz="6" w:space="0" w:color="auto"/>
              <w:right w:val="single" w:sz="6" w:space="0" w:color="auto"/>
            </w:tcBorders>
            <w:vAlign w:val="center"/>
          </w:tcPr>
          <w:p w14:paraId="1181F8D5" w14:textId="77777777" w:rsidR="00DF0307" w:rsidRPr="00624565" w:rsidRDefault="00DF0307" w:rsidP="006333CA">
            <w:pPr>
              <w:spacing w:beforeLines="20" w:before="48" w:afterLines="20" w:after="48" w:line="276" w:lineRule="auto"/>
              <w:jc w:val="center"/>
              <w:rPr>
                <w:noProof/>
                <w:sz w:val="16"/>
                <w:szCs w:val="16"/>
              </w:rPr>
            </w:pPr>
          </w:p>
        </w:tc>
      </w:tr>
      <w:tr w:rsidR="00DF0307" w:rsidRPr="00624565" w14:paraId="1581ACFF" w14:textId="77777777" w:rsidTr="006333CA">
        <w:trPr>
          <w:trHeight w:val="289"/>
          <w:jc w:val="center"/>
        </w:trPr>
        <w:tc>
          <w:tcPr>
            <w:tcW w:w="2376" w:type="dxa"/>
            <w:vMerge w:val="restart"/>
            <w:tcBorders>
              <w:top w:val="single" w:sz="6" w:space="0" w:color="auto"/>
              <w:left w:val="single" w:sz="6" w:space="0" w:color="auto"/>
              <w:bottom w:val="single" w:sz="6" w:space="0" w:color="auto"/>
              <w:right w:val="single" w:sz="6" w:space="0" w:color="auto"/>
            </w:tcBorders>
            <w:vAlign w:val="center"/>
          </w:tcPr>
          <w:p w14:paraId="565F3131" w14:textId="628E88DB" w:rsidR="00DF0307" w:rsidRPr="00624565" w:rsidRDefault="00DF0307" w:rsidP="006333CA">
            <w:pPr>
              <w:pStyle w:val="Text1"/>
              <w:spacing w:beforeLines="20" w:before="48" w:afterLines="20" w:after="48" w:line="276" w:lineRule="auto"/>
              <w:ind w:left="986"/>
              <w:jc w:val="left"/>
              <w:rPr>
                <w:b/>
                <w:noProof/>
                <w:sz w:val="16"/>
                <w:szCs w:val="16"/>
              </w:rPr>
            </w:pPr>
            <w:r w:rsidRPr="00624565">
              <w:rPr>
                <w:b/>
                <w:noProof/>
                <w:sz w:val="16"/>
              </w:rPr>
              <w:t>XX</w:t>
            </w:r>
            <w:r w:rsidRPr="00624565">
              <w:rPr>
                <w:noProof/>
                <w:sz w:val="16"/>
              </w:rPr>
              <w:t xml:space="preserve"> 0</w:t>
            </w:r>
            <w:r w:rsidRPr="003F3D2B">
              <w:rPr>
                <w:noProof/>
                <w:sz w:val="16"/>
              </w:rPr>
              <w:t>1</w:t>
            </w:r>
            <w:r w:rsidR="003F3D2B" w:rsidRPr="003F3D2B">
              <w:rPr>
                <w:noProof/>
                <w:sz w:val="16"/>
              </w:rPr>
              <w:t xml:space="preserve"> </w:t>
            </w:r>
            <w:r w:rsidRPr="003F3D2B">
              <w:rPr>
                <w:noProof/>
                <w:sz w:val="16"/>
              </w:rPr>
              <w:t>x</w:t>
            </w:r>
            <w:r w:rsidRPr="00624565">
              <w:rPr>
                <w:noProof/>
                <w:sz w:val="16"/>
              </w:rPr>
              <w:t xml:space="preserve">x </w:t>
            </w:r>
            <w:r w:rsidRPr="00624565">
              <w:rPr>
                <w:b/>
                <w:noProof/>
                <w:sz w:val="16"/>
              </w:rPr>
              <w:t>yy z</w:t>
            </w:r>
            <w:r w:rsidRPr="003F3D2B">
              <w:rPr>
                <w:b/>
                <w:noProof/>
                <w:sz w:val="16"/>
              </w:rPr>
              <w:t>z</w:t>
            </w:r>
            <w:r w:rsidR="003F3D2B" w:rsidRPr="003F3D2B">
              <w:rPr>
                <w:b/>
                <w:noProof/>
                <w:sz w:val="16"/>
              </w:rPr>
              <w:t xml:space="preserve"> </w:t>
            </w:r>
            <w:r w:rsidRPr="003F3D2B">
              <w:rPr>
                <w:rStyle w:val="FootnoteReference"/>
                <w:noProof/>
              </w:rPr>
              <w:footnoteReference w:id="127"/>
            </w:r>
          </w:p>
          <w:p w14:paraId="1CEF1845" w14:textId="77777777" w:rsidR="00DF0307" w:rsidRPr="00624565" w:rsidRDefault="00DF0307" w:rsidP="006333CA">
            <w:pPr>
              <w:pStyle w:val="Text1"/>
              <w:spacing w:beforeLines="20" w:before="48" w:afterLines="20" w:after="48" w:line="276" w:lineRule="auto"/>
              <w:ind w:left="986"/>
              <w:jc w:val="left"/>
              <w:rPr>
                <w:b/>
                <w:noProof/>
                <w:sz w:val="16"/>
                <w:szCs w:val="16"/>
              </w:rPr>
            </w:pPr>
          </w:p>
        </w:tc>
        <w:tc>
          <w:tcPr>
            <w:tcW w:w="2378" w:type="dxa"/>
            <w:tcBorders>
              <w:top w:val="single" w:sz="6" w:space="0" w:color="auto"/>
              <w:left w:val="single" w:sz="6" w:space="0" w:color="auto"/>
              <w:bottom w:val="single" w:sz="6" w:space="0" w:color="auto"/>
              <w:right w:val="single" w:sz="6" w:space="0" w:color="auto"/>
            </w:tcBorders>
            <w:vAlign w:val="center"/>
          </w:tcPr>
          <w:p w14:paraId="1B82BF06" w14:textId="3E28C56F" w:rsidR="00DF0307" w:rsidRPr="00624565" w:rsidRDefault="00DF0307" w:rsidP="006333CA">
            <w:pPr>
              <w:pStyle w:val="Text1"/>
              <w:spacing w:beforeLines="20" w:before="48" w:afterLines="20" w:after="48" w:line="276" w:lineRule="auto"/>
              <w:ind w:left="986"/>
              <w:jc w:val="left"/>
              <w:rPr>
                <w:b/>
                <w:noProof/>
                <w:sz w:val="16"/>
                <w:szCs w:val="16"/>
              </w:rPr>
            </w:pPr>
            <w:r w:rsidRPr="00624565">
              <w:rPr>
                <w:noProof/>
                <w:sz w:val="16"/>
              </w:rPr>
              <w:t>-</w:t>
            </w:r>
            <w:r w:rsidR="003F3D2B" w:rsidRPr="00624565">
              <w:rPr>
                <w:noProof/>
                <w:sz w:val="16"/>
              </w:rPr>
              <w:t xml:space="preserve"> w</w:t>
            </w:r>
            <w:r w:rsidR="003F3D2B">
              <w:rPr>
                <w:noProof/>
                <w:sz w:val="16"/>
              </w:rPr>
              <w:t> </w:t>
            </w:r>
            <w:r w:rsidR="003F3D2B" w:rsidRPr="00624565">
              <w:rPr>
                <w:noProof/>
                <w:sz w:val="16"/>
              </w:rPr>
              <w:t>cen</w:t>
            </w:r>
            <w:r w:rsidRPr="00624565">
              <w:rPr>
                <w:noProof/>
                <w:sz w:val="16"/>
              </w:rPr>
              <w:t>trali</w:t>
            </w:r>
          </w:p>
          <w:p w14:paraId="01E70640" w14:textId="77777777" w:rsidR="00DF0307" w:rsidRPr="00624565" w:rsidRDefault="00DF0307" w:rsidP="006333CA">
            <w:pPr>
              <w:pStyle w:val="Text1"/>
              <w:spacing w:beforeLines="20" w:before="48" w:afterLines="20" w:after="48" w:line="276" w:lineRule="auto"/>
              <w:ind w:left="986"/>
              <w:jc w:val="left"/>
              <w:rPr>
                <w:b/>
                <w:noProof/>
                <w:sz w:val="16"/>
                <w:szCs w:val="16"/>
              </w:rPr>
            </w:pPr>
          </w:p>
        </w:tc>
        <w:tc>
          <w:tcPr>
            <w:tcW w:w="731" w:type="dxa"/>
            <w:tcBorders>
              <w:top w:val="single" w:sz="6" w:space="0" w:color="auto"/>
              <w:left w:val="single" w:sz="6" w:space="0" w:color="auto"/>
              <w:bottom w:val="single" w:sz="6" w:space="0" w:color="auto"/>
              <w:right w:val="single" w:sz="6" w:space="0" w:color="auto"/>
            </w:tcBorders>
            <w:vAlign w:val="center"/>
          </w:tcPr>
          <w:p w14:paraId="16E77A27" w14:textId="77777777" w:rsidR="00DF0307" w:rsidRPr="00624565" w:rsidRDefault="00DF0307" w:rsidP="006333CA">
            <w:pPr>
              <w:spacing w:beforeLines="20" w:before="48" w:afterLines="20" w:after="48" w:line="276" w:lineRule="auto"/>
              <w:jc w:val="center"/>
              <w:rPr>
                <w:noProof/>
                <w:sz w:val="16"/>
                <w:szCs w:val="16"/>
              </w:rPr>
            </w:pPr>
          </w:p>
        </w:tc>
        <w:tc>
          <w:tcPr>
            <w:tcW w:w="731" w:type="dxa"/>
            <w:tcBorders>
              <w:top w:val="single" w:sz="6" w:space="0" w:color="auto"/>
              <w:left w:val="single" w:sz="6" w:space="0" w:color="auto"/>
              <w:bottom w:val="single" w:sz="6" w:space="0" w:color="auto"/>
              <w:right w:val="single" w:sz="6" w:space="0" w:color="auto"/>
            </w:tcBorders>
            <w:vAlign w:val="center"/>
          </w:tcPr>
          <w:p w14:paraId="4945E6C9" w14:textId="77777777" w:rsidR="00DF0307" w:rsidRPr="00624565" w:rsidRDefault="00DF0307" w:rsidP="006333CA">
            <w:pPr>
              <w:spacing w:beforeLines="20" w:before="48" w:afterLines="20" w:after="48" w:line="276" w:lineRule="auto"/>
              <w:jc w:val="center"/>
              <w:rPr>
                <w:noProof/>
                <w:sz w:val="16"/>
                <w:szCs w:val="16"/>
              </w:rPr>
            </w:pPr>
          </w:p>
        </w:tc>
        <w:tc>
          <w:tcPr>
            <w:tcW w:w="731" w:type="dxa"/>
            <w:tcBorders>
              <w:top w:val="single" w:sz="6" w:space="0" w:color="auto"/>
              <w:left w:val="single" w:sz="6" w:space="0" w:color="auto"/>
              <w:bottom w:val="single" w:sz="6" w:space="0" w:color="auto"/>
              <w:right w:val="single" w:sz="6" w:space="0" w:color="auto"/>
            </w:tcBorders>
            <w:vAlign w:val="center"/>
          </w:tcPr>
          <w:p w14:paraId="19B39BD7" w14:textId="77777777" w:rsidR="00DF0307" w:rsidRPr="00624565" w:rsidRDefault="00DF0307" w:rsidP="006333CA">
            <w:pPr>
              <w:spacing w:beforeLines="20" w:before="48" w:afterLines="20" w:after="48" w:line="276" w:lineRule="auto"/>
              <w:jc w:val="center"/>
              <w:rPr>
                <w:noProof/>
                <w:sz w:val="16"/>
                <w:szCs w:val="16"/>
              </w:rPr>
            </w:pPr>
          </w:p>
        </w:tc>
        <w:tc>
          <w:tcPr>
            <w:tcW w:w="731" w:type="dxa"/>
            <w:tcBorders>
              <w:top w:val="single" w:sz="6" w:space="0" w:color="auto"/>
              <w:left w:val="single" w:sz="6" w:space="0" w:color="auto"/>
              <w:bottom w:val="single" w:sz="6" w:space="0" w:color="auto"/>
              <w:right w:val="single" w:sz="6" w:space="0" w:color="auto"/>
            </w:tcBorders>
            <w:vAlign w:val="center"/>
          </w:tcPr>
          <w:p w14:paraId="1A6E5363" w14:textId="77777777" w:rsidR="00DF0307" w:rsidRPr="00624565" w:rsidRDefault="00DF0307" w:rsidP="006333CA">
            <w:pPr>
              <w:spacing w:beforeLines="20" w:before="48" w:afterLines="20" w:after="48" w:line="276" w:lineRule="auto"/>
              <w:jc w:val="center"/>
              <w:rPr>
                <w:noProof/>
                <w:sz w:val="16"/>
                <w:szCs w:val="16"/>
              </w:rPr>
            </w:pPr>
          </w:p>
        </w:tc>
      </w:tr>
      <w:tr w:rsidR="00DF0307" w:rsidRPr="00624565" w14:paraId="16EDF16F" w14:textId="77777777" w:rsidTr="006333CA">
        <w:trPr>
          <w:trHeight w:val="289"/>
          <w:jc w:val="center"/>
        </w:trPr>
        <w:tc>
          <w:tcPr>
            <w:tcW w:w="2376" w:type="dxa"/>
            <w:vMerge/>
            <w:vAlign w:val="center"/>
            <w:hideMark/>
          </w:tcPr>
          <w:p w14:paraId="2AD676AC" w14:textId="77777777" w:rsidR="00DF0307" w:rsidRPr="00624565" w:rsidRDefault="00DF0307" w:rsidP="006333CA">
            <w:pPr>
              <w:spacing w:before="0" w:after="0" w:line="276" w:lineRule="auto"/>
              <w:jc w:val="left"/>
              <w:rPr>
                <w:b/>
                <w:noProof/>
                <w:sz w:val="16"/>
                <w:szCs w:val="16"/>
              </w:rPr>
            </w:pPr>
          </w:p>
        </w:tc>
        <w:tc>
          <w:tcPr>
            <w:tcW w:w="2378" w:type="dxa"/>
            <w:tcBorders>
              <w:top w:val="single" w:sz="6" w:space="0" w:color="auto"/>
              <w:left w:val="single" w:sz="6" w:space="0" w:color="auto"/>
              <w:bottom w:val="single" w:sz="6" w:space="0" w:color="auto"/>
              <w:right w:val="single" w:sz="6" w:space="0" w:color="auto"/>
            </w:tcBorders>
            <w:vAlign w:val="center"/>
            <w:hideMark/>
          </w:tcPr>
          <w:p w14:paraId="00937BA1" w14:textId="7EBBFC6B" w:rsidR="00DF0307" w:rsidRPr="00624565" w:rsidRDefault="00DF0307" w:rsidP="006333CA">
            <w:pPr>
              <w:pStyle w:val="Text1"/>
              <w:spacing w:beforeLines="20" w:before="48" w:afterLines="20" w:after="48" w:line="276" w:lineRule="auto"/>
              <w:ind w:left="986"/>
              <w:jc w:val="left"/>
              <w:rPr>
                <w:b/>
                <w:noProof/>
                <w:sz w:val="16"/>
                <w:szCs w:val="16"/>
              </w:rPr>
            </w:pPr>
            <w:r w:rsidRPr="00624565">
              <w:rPr>
                <w:noProof/>
                <w:sz w:val="16"/>
              </w:rPr>
              <w:t>-</w:t>
            </w:r>
            <w:r w:rsidR="003F3D2B" w:rsidRPr="00624565">
              <w:rPr>
                <w:noProof/>
                <w:sz w:val="16"/>
              </w:rPr>
              <w:t xml:space="preserve"> w</w:t>
            </w:r>
            <w:r w:rsidR="003F3D2B">
              <w:rPr>
                <w:noProof/>
                <w:sz w:val="16"/>
              </w:rPr>
              <w:t> </w:t>
            </w:r>
            <w:r w:rsidR="003F3D2B" w:rsidRPr="00624565">
              <w:rPr>
                <w:noProof/>
                <w:sz w:val="16"/>
              </w:rPr>
              <w:t>del</w:t>
            </w:r>
            <w:r w:rsidRPr="00624565">
              <w:rPr>
                <w:noProof/>
                <w:sz w:val="16"/>
              </w:rPr>
              <w:t xml:space="preserve">egaturach </w:t>
            </w:r>
          </w:p>
        </w:tc>
        <w:tc>
          <w:tcPr>
            <w:tcW w:w="731" w:type="dxa"/>
            <w:tcBorders>
              <w:top w:val="single" w:sz="6" w:space="0" w:color="auto"/>
              <w:left w:val="single" w:sz="6" w:space="0" w:color="auto"/>
              <w:bottom w:val="single" w:sz="6" w:space="0" w:color="auto"/>
              <w:right w:val="single" w:sz="6" w:space="0" w:color="auto"/>
            </w:tcBorders>
            <w:vAlign w:val="center"/>
          </w:tcPr>
          <w:p w14:paraId="34FA8C7B" w14:textId="77777777" w:rsidR="00DF0307" w:rsidRPr="00624565" w:rsidRDefault="00DF0307" w:rsidP="006333CA">
            <w:pPr>
              <w:spacing w:beforeLines="20" w:before="48" w:afterLines="20" w:after="48" w:line="276" w:lineRule="auto"/>
              <w:jc w:val="center"/>
              <w:rPr>
                <w:noProof/>
                <w:sz w:val="16"/>
                <w:szCs w:val="16"/>
              </w:rPr>
            </w:pPr>
          </w:p>
        </w:tc>
        <w:tc>
          <w:tcPr>
            <w:tcW w:w="731" w:type="dxa"/>
            <w:tcBorders>
              <w:top w:val="single" w:sz="6" w:space="0" w:color="auto"/>
              <w:left w:val="single" w:sz="6" w:space="0" w:color="auto"/>
              <w:bottom w:val="single" w:sz="6" w:space="0" w:color="auto"/>
              <w:right w:val="single" w:sz="6" w:space="0" w:color="auto"/>
            </w:tcBorders>
            <w:vAlign w:val="center"/>
          </w:tcPr>
          <w:p w14:paraId="0AEC1EFC" w14:textId="77777777" w:rsidR="00DF0307" w:rsidRPr="00624565" w:rsidRDefault="00DF0307" w:rsidP="006333CA">
            <w:pPr>
              <w:spacing w:beforeLines="20" w:before="48" w:afterLines="20" w:after="48" w:line="276" w:lineRule="auto"/>
              <w:jc w:val="center"/>
              <w:rPr>
                <w:noProof/>
                <w:sz w:val="16"/>
                <w:szCs w:val="16"/>
              </w:rPr>
            </w:pPr>
          </w:p>
        </w:tc>
        <w:tc>
          <w:tcPr>
            <w:tcW w:w="731" w:type="dxa"/>
            <w:tcBorders>
              <w:top w:val="single" w:sz="6" w:space="0" w:color="auto"/>
              <w:left w:val="single" w:sz="6" w:space="0" w:color="auto"/>
              <w:bottom w:val="single" w:sz="6" w:space="0" w:color="auto"/>
              <w:right w:val="single" w:sz="6" w:space="0" w:color="auto"/>
            </w:tcBorders>
            <w:vAlign w:val="center"/>
          </w:tcPr>
          <w:p w14:paraId="1F6D4F6D" w14:textId="77777777" w:rsidR="00DF0307" w:rsidRPr="00624565" w:rsidRDefault="00DF0307" w:rsidP="006333CA">
            <w:pPr>
              <w:spacing w:beforeLines="20" w:before="48" w:afterLines="20" w:after="48" w:line="276" w:lineRule="auto"/>
              <w:jc w:val="center"/>
              <w:rPr>
                <w:noProof/>
                <w:sz w:val="16"/>
                <w:szCs w:val="16"/>
              </w:rPr>
            </w:pPr>
          </w:p>
        </w:tc>
        <w:tc>
          <w:tcPr>
            <w:tcW w:w="731" w:type="dxa"/>
            <w:tcBorders>
              <w:top w:val="single" w:sz="6" w:space="0" w:color="auto"/>
              <w:left w:val="single" w:sz="6" w:space="0" w:color="auto"/>
              <w:bottom w:val="single" w:sz="6" w:space="0" w:color="auto"/>
              <w:right w:val="single" w:sz="6" w:space="0" w:color="auto"/>
            </w:tcBorders>
            <w:vAlign w:val="center"/>
          </w:tcPr>
          <w:p w14:paraId="3F8CC853" w14:textId="77777777" w:rsidR="00DF0307" w:rsidRPr="00624565" w:rsidRDefault="00DF0307" w:rsidP="006333CA">
            <w:pPr>
              <w:spacing w:beforeLines="20" w:before="48" w:afterLines="20" w:after="48" w:line="276" w:lineRule="auto"/>
              <w:jc w:val="center"/>
              <w:rPr>
                <w:noProof/>
                <w:sz w:val="16"/>
                <w:szCs w:val="16"/>
              </w:rPr>
            </w:pPr>
          </w:p>
        </w:tc>
      </w:tr>
      <w:tr w:rsidR="00DF0307" w:rsidRPr="00624565" w14:paraId="1F582750" w14:textId="77777777" w:rsidTr="006333CA">
        <w:trPr>
          <w:trHeight w:val="289"/>
          <w:jc w:val="center"/>
        </w:trPr>
        <w:tc>
          <w:tcPr>
            <w:tcW w:w="4754" w:type="dxa"/>
            <w:gridSpan w:val="2"/>
            <w:tcBorders>
              <w:top w:val="single" w:sz="6" w:space="0" w:color="auto"/>
              <w:left w:val="single" w:sz="6" w:space="0" w:color="auto"/>
              <w:bottom w:val="single" w:sz="6" w:space="0" w:color="auto"/>
              <w:right w:val="single" w:sz="6" w:space="0" w:color="auto"/>
            </w:tcBorders>
            <w:vAlign w:val="center"/>
            <w:hideMark/>
          </w:tcPr>
          <w:p w14:paraId="4153DFE1" w14:textId="77777777" w:rsidR="00DF0307" w:rsidRPr="00624565" w:rsidRDefault="00DF0307" w:rsidP="006333CA">
            <w:pPr>
              <w:pStyle w:val="Text1"/>
              <w:spacing w:beforeLines="20" w:before="48" w:afterLines="20" w:after="48" w:line="276" w:lineRule="auto"/>
              <w:ind w:left="986"/>
              <w:jc w:val="left"/>
              <w:rPr>
                <w:noProof/>
                <w:sz w:val="16"/>
                <w:szCs w:val="16"/>
              </w:rPr>
            </w:pPr>
            <w:r w:rsidRPr="00624565">
              <w:rPr>
                <w:noProof/>
              </w:rPr>
              <w:t>01 01 01 02 (CA, SNE, INT – pośrednie badania naukowe)</w:t>
            </w:r>
          </w:p>
        </w:tc>
        <w:tc>
          <w:tcPr>
            <w:tcW w:w="731" w:type="dxa"/>
            <w:tcBorders>
              <w:top w:val="single" w:sz="6" w:space="0" w:color="auto"/>
              <w:left w:val="single" w:sz="6" w:space="0" w:color="auto"/>
              <w:bottom w:val="single" w:sz="6" w:space="0" w:color="auto"/>
              <w:right w:val="single" w:sz="6" w:space="0" w:color="auto"/>
            </w:tcBorders>
            <w:vAlign w:val="center"/>
          </w:tcPr>
          <w:p w14:paraId="49C08930" w14:textId="77777777" w:rsidR="00DF0307" w:rsidRPr="00624565" w:rsidRDefault="00DF0307" w:rsidP="006333CA">
            <w:pPr>
              <w:spacing w:beforeLines="20" w:before="48" w:afterLines="20" w:after="48" w:line="276" w:lineRule="auto"/>
              <w:jc w:val="center"/>
              <w:rPr>
                <w:noProof/>
                <w:sz w:val="16"/>
                <w:szCs w:val="16"/>
              </w:rPr>
            </w:pPr>
          </w:p>
        </w:tc>
        <w:tc>
          <w:tcPr>
            <w:tcW w:w="731" w:type="dxa"/>
            <w:tcBorders>
              <w:top w:val="single" w:sz="6" w:space="0" w:color="auto"/>
              <w:left w:val="single" w:sz="6" w:space="0" w:color="auto"/>
              <w:bottom w:val="single" w:sz="6" w:space="0" w:color="auto"/>
              <w:right w:val="single" w:sz="6" w:space="0" w:color="auto"/>
            </w:tcBorders>
            <w:vAlign w:val="center"/>
          </w:tcPr>
          <w:p w14:paraId="7A5BD717" w14:textId="77777777" w:rsidR="00DF0307" w:rsidRPr="00624565" w:rsidRDefault="00DF0307" w:rsidP="006333CA">
            <w:pPr>
              <w:spacing w:beforeLines="20" w:before="48" w:afterLines="20" w:after="48" w:line="276" w:lineRule="auto"/>
              <w:jc w:val="center"/>
              <w:rPr>
                <w:noProof/>
                <w:sz w:val="16"/>
                <w:szCs w:val="16"/>
              </w:rPr>
            </w:pPr>
          </w:p>
        </w:tc>
        <w:tc>
          <w:tcPr>
            <w:tcW w:w="731" w:type="dxa"/>
            <w:tcBorders>
              <w:top w:val="single" w:sz="6" w:space="0" w:color="auto"/>
              <w:left w:val="single" w:sz="6" w:space="0" w:color="auto"/>
              <w:bottom w:val="single" w:sz="6" w:space="0" w:color="auto"/>
              <w:right w:val="single" w:sz="6" w:space="0" w:color="auto"/>
            </w:tcBorders>
            <w:vAlign w:val="center"/>
          </w:tcPr>
          <w:p w14:paraId="305799B3" w14:textId="77777777" w:rsidR="00DF0307" w:rsidRPr="00624565" w:rsidRDefault="00DF0307" w:rsidP="006333CA">
            <w:pPr>
              <w:spacing w:beforeLines="20" w:before="48" w:afterLines="20" w:after="48" w:line="276" w:lineRule="auto"/>
              <w:jc w:val="center"/>
              <w:rPr>
                <w:noProof/>
                <w:sz w:val="16"/>
                <w:szCs w:val="16"/>
              </w:rPr>
            </w:pPr>
          </w:p>
        </w:tc>
        <w:tc>
          <w:tcPr>
            <w:tcW w:w="731" w:type="dxa"/>
            <w:tcBorders>
              <w:top w:val="single" w:sz="6" w:space="0" w:color="auto"/>
              <w:left w:val="single" w:sz="6" w:space="0" w:color="auto"/>
              <w:bottom w:val="single" w:sz="6" w:space="0" w:color="auto"/>
              <w:right w:val="single" w:sz="6" w:space="0" w:color="auto"/>
            </w:tcBorders>
            <w:vAlign w:val="center"/>
          </w:tcPr>
          <w:p w14:paraId="2BB023BF" w14:textId="77777777" w:rsidR="00DF0307" w:rsidRPr="00624565" w:rsidRDefault="00DF0307" w:rsidP="006333CA">
            <w:pPr>
              <w:spacing w:beforeLines="20" w:before="48" w:afterLines="20" w:after="48" w:line="276" w:lineRule="auto"/>
              <w:jc w:val="center"/>
              <w:rPr>
                <w:noProof/>
                <w:sz w:val="16"/>
                <w:szCs w:val="16"/>
              </w:rPr>
            </w:pPr>
          </w:p>
        </w:tc>
      </w:tr>
      <w:tr w:rsidR="00DF0307" w:rsidRPr="00624565" w14:paraId="721B8B87" w14:textId="77777777" w:rsidTr="006333CA">
        <w:trPr>
          <w:trHeight w:val="289"/>
          <w:jc w:val="center"/>
        </w:trPr>
        <w:tc>
          <w:tcPr>
            <w:tcW w:w="4754" w:type="dxa"/>
            <w:gridSpan w:val="2"/>
            <w:tcBorders>
              <w:top w:val="single" w:sz="6" w:space="0" w:color="auto"/>
              <w:left w:val="single" w:sz="6" w:space="0" w:color="auto"/>
              <w:bottom w:val="single" w:sz="6" w:space="0" w:color="auto"/>
              <w:right w:val="single" w:sz="6" w:space="0" w:color="auto"/>
            </w:tcBorders>
            <w:vAlign w:val="center"/>
            <w:hideMark/>
          </w:tcPr>
          <w:p w14:paraId="13E8E223" w14:textId="77777777" w:rsidR="00DF0307" w:rsidRPr="00624565" w:rsidRDefault="00DF0307" w:rsidP="006333CA">
            <w:pPr>
              <w:pStyle w:val="Text1"/>
              <w:spacing w:beforeLines="20" w:before="48" w:afterLines="20" w:after="48" w:line="276" w:lineRule="auto"/>
              <w:ind w:left="986"/>
              <w:jc w:val="left"/>
              <w:rPr>
                <w:noProof/>
                <w:color w:val="FF0000"/>
                <w:sz w:val="16"/>
                <w:szCs w:val="16"/>
              </w:rPr>
            </w:pPr>
            <w:r w:rsidRPr="00624565">
              <w:rPr>
                <w:noProof/>
                <w:sz w:val="16"/>
              </w:rPr>
              <w:t xml:space="preserve"> 01 01 01 12 (CA, INT, SNE – bezpośrednie badania naukowe)</w:t>
            </w:r>
          </w:p>
        </w:tc>
        <w:tc>
          <w:tcPr>
            <w:tcW w:w="731" w:type="dxa"/>
            <w:tcBorders>
              <w:top w:val="single" w:sz="6" w:space="0" w:color="auto"/>
              <w:left w:val="single" w:sz="6" w:space="0" w:color="auto"/>
              <w:bottom w:val="single" w:sz="6" w:space="0" w:color="auto"/>
              <w:right w:val="single" w:sz="6" w:space="0" w:color="auto"/>
            </w:tcBorders>
            <w:vAlign w:val="center"/>
          </w:tcPr>
          <w:p w14:paraId="6838036C" w14:textId="77777777" w:rsidR="00DF0307" w:rsidRPr="00624565" w:rsidRDefault="00DF0307" w:rsidP="006333CA">
            <w:pPr>
              <w:spacing w:beforeLines="20" w:before="48" w:afterLines="20" w:after="48" w:line="276" w:lineRule="auto"/>
              <w:jc w:val="center"/>
              <w:rPr>
                <w:noProof/>
                <w:sz w:val="16"/>
                <w:szCs w:val="16"/>
              </w:rPr>
            </w:pPr>
          </w:p>
        </w:tc>
        <w:tc>
          <w:tcPr>
            <w:tcW w:w="731" w:type="dxa"/>
            <w:tcBorders>
              <w:top w:val="single" w:sz="6" w:space="0" w:color="auto"/>
              <w:left w:val="single" w:sz="6" w:space="0" w:color="auto"/>
              <w:bottom w:val="single" w:sz="6" w:space="0" w:color="auto"/>
              <w:right w:val="single" w:sz="6" w:space="0" w:color="auto"/>
            </w:tcBorders>
            <w:vAlign w:val="center"/>
          </w:tcPr>
          <w:p w14:paraId="47E8349B" w14:textId="77777777" w:rsidR="00DF0307" w:rsidRPr="00624565" w:rsidRDefault="00DF0307" w:rsidP="006333CA">
            <w:pPr>
              <w:spacing w:beforeLines="20" w:before="48" w:afterLines="20" w:after="48" w:line="276" w:lineRule="auto"/>
              <w:jc w:val="center"/>
              <w:rPr>
                <w:noProof/>
                <w:sz w:val="16"/>
                <w:szCs w:val="16"/>
              </w:rPr>
            </w:pPr>
          </w:p>
        </w:tc>
        <w:tc>
          <w:tcPr>
            <w:tcW w:w="731" w:type="dxa"/>
            <w:tcBorders>
              <w:top w:val="single" w:sz="6" w:space="0" w:color="auto"/>
              <w:left w:val="single" w:sz="6" w:space="0" w:color="auto"/>
              <w:bottom w:val="single" w:sz="6" w:space="0" w:color="auto"/>
              <w:right w:val="single" w:sz="6" w:space="0" w:color="auto"/>
            </w:tcBorders>
            <w:vAlign w:val="center"/>
          </w:tcPr>
          <w:p w14:paraId="3236E724" w14:textId="77777777" w:rsidR="00DF0307" w:rsidRPr="00624565" w:rsidRDefault="00DF0307" w:rsidP="006333CA">
            <w:pPr>
              <w:spacing w:beforeLines="20" w:before="48" w:afterLines="20" w:after="48" w:line="276" w:lineRule="auto"/>
              <w:jc w:val="center"/>
              <w:rPr>
                <w:noProof/>
                <w:sz w:val="16"/>
                <w:szCs w:val="16"/>
              </w:rPr>
            </w:pPr>
          </w:p>
        </w:tc>
        <w:tc>
          <w:tcPr>
            <w:tcW w:w="731" w:type="dxa"/>
            <w:tcBorders>
              <w:top w:val="single" w:sz="6" w:space="0" w:color="auto"/>
              <w:left w:val="single" w:sz="6" w:space="0" w:color="auto"/>
              <w:bottom w:val="single" w:sz="6" w:space="0" w:color="auto"/>
              <w:right w:val="single" w:sz="6" w:space="0" w:color="auto"/>
            </w:tcBorders>
            <w:vAlign w:val="center"/>
          </w:tcPr>
          <w:p w14:paraId="7F4E18D4" w14:textId="77777777" w:rsidR="00DF0307" w:rsidRPr="00624565" w:rsidRDefault="00DF0307" w:rsidP="006333CA">
            <w:pPr>
              <w:spacing w:beforeLines="20" w:before="48" w:afterLines="20" w:after="48" w:line="276" w:lineRule="auto"/>
              <w:jc w:val="center"/>
              <w:rPr>
                <w:noProof/>
                <w:sz w:val="16"/>
                <w:szCs w:val="16"/>
              </w:rPr>
            </w:pPr>
          </w:p>
        </w:tc>
      </w:tr>
      <w:tr w:rsidR="00DF0307" w:rsidRPr="00624565" w14:paraId="40407D66" w14:textId="77777777" w:rsidTr="006333CA">
        <w:trPr>
          <w:trHeight w:val="289"/>
          <w:jc w:val="center"/>
        </w:trPr>
        <w:tc>
          <w:tcPr>
            <w:tcW w:w="4754" w:type="dxa"/>
            <w:gridSpan w:val="2"/>
            <w:tcBorders>
              <w:top w:val="single" w:sz="6" w:space="0" w:color="auto"/>
              <w:left w:val="single" w:sz="6" w:space="0" w:color="auto"/>
              <w:bottom w:val="single" w:sz="6" w:space="0" w:color="auto"/>
              <w:right w:val="single" w:sz="6" w:space="0" w:color="auto"/>
            </w:tcBorders>
            <w:vAlign w:val="center"/>
            <w:hideMark/>
          </w:tcPr>
          <w:p w14:paraId="25C4A677" w14:textId="77777777" w:rsidR="00DF0307" w:rsidRPr="00624565" w:rsidRDefault="00DF0307" w:rsidP="006333CA">
            <w:pPr>
              <w:pStyle w:val="Text1"/>
              <w:spacing w:beforeLines="20" w:before="48" w:afterLines="20" w:after="48" w:line="276" w:lineRule="auto"/>
              <w:ind w:left="986"/>
              <w:jc w:val="left"/>
              <w:rPr>
                <w:noProof/>
                <w:sz w:val="16"/>
              </w:rPr>
            </w:pPr>
            <w:r w:rsidRPr="00624565">
              <w:rPr>
                <w:noProof/>
                <w:sz w:val="16"/>
              </w:rPr>
              <w:t>Inna linia budżetowa (określić)</w:t>
            </w:r>
          </w:p>
        </w:tc>
        <w:tc>
          <w:tcPr>
            <w:tcW w:w="731" w:type="dxa"/>
            <w:tcBorders>
              <w:top w:val="single" w:sz="6" w:space="0" w:color="auto"/>
              <w:left w:val="single" w:sz="6" w:space="0" w:color="auto"/>
              <w:bottom w:val="single" w:sz="6" w:space="0" w:color="auto"/>
              <w:right w:val="single" w:sz="6" w:space="0" w:color="auto"/>
            </w:tcBorders>
            <w:vAlign w:val="center"/>
          </w:tcPr>
          <w:p w14:paraId="0432F6C8" w14:textId="77777777" w:rsidR="00DF0307" w:rsidRPr="00624565" w:rsidRDefault="00DF0307" w:rsidP="006333CA">
            <w:pPr>
              <w:spacing w:beforeLines="20" w:before="48" w:afterLines="20" w:after="48" w:line="276" w:lineRule="auto"/>
              <w:jc w:val="center"/>
              <w:rPr>
                <w:noProof/>
                <w:sz w:val="16"/>
                <w:szCs w:val="16"/>
              </w:rPr>
            </w:pPr>
          </w:p>
        </w:tc>
        <w:tc>
          <w:tcPr>
            <w:tcW w:w="731" w:type="dxa"/>
            <w:tcBorders>
              <w:top w:val="single" w:sz="6" w:space="0" w:color="auto"/>
              <w:left w:val="single" w:sz="6" w:space="0" w:color="auto"/>
              <w:bottom w:val="single" w:sz="6" w:space="0" w:color="auto"/>
              <w:right w:val="single" w:sz="6" w:space="0" w:color="auto"/>
            </w:tcBorders>
            <w:vAlign w:val="center"/>
          </w:tcPr>
          <w:p w14:paraId="3231F813" w14:textId="77777777" w:rsidR="00DF0307" w:rsidRPr="00624565" w:rsidRDefault="00DF0307" w:rsidP="006333CA">
            <w:pPr>
              <w:spacing w:beforeLines="20" w:before="48" w:afterLines="20" w:after="48" w:line="276" w:lineRule="auto"/>
              <w:jc w:val="center"/>
              <w:rPr>
                <w:noProof/>
                <w:sz w:val="16"/>
                <w:szCs w:val="16"/>
              </w:rPr>
            </w:pPr>
          </w:p>
        </w:tc>
        <w:tc>
          <w:tcPr>
            <w:tcW w:w="731" w:type="dxa"/>
            <w:tcBorders>
              <w:top w:val="single" w:sz="6" w:space="0" w:color="auto"/>
              <w:left w:val="single" w:sz="6" w:space="0" w:color="auto"/>
              <w:bottom w:val="single" w:sz="6" w:space="0" w:color="auto"/>
              <w:right w:val="single" w:sz="6" w:space="0" w:color="auto"/>
            </w:tcBorders>
            <w:vAlign w:val="center"/>
          </w:tcPr>
          <w:p w14:paraId="4206CB31" w14:textId="77777777" w:rsidR="00DF0307" w:rsidRPr="00624565" w:rsidRDefault="00DF0307" w:rsidP="006333CA">
            <w:pPr>
              <w:spacing w:beforeLines="20" w:before="48" w:afterLines="20" w:after="48" w:line="276" w:lineRule="auto"/>
              <w:jc w:val="center"/>
              <w:rPr>
                <w:noProof/>
                <w:sz w:val="16"/>
                <w:szCs w:val="16"/>
              </w:rPr>
            </w:pPr>
          </w:p>
        </w:tc>
        <w:tc>
          <w:tcPr>
            <w:tcW w:w="731" w:type="dxa"/>
            <w:tcBorders>
              <w:top w:val="single" w:sz="6" w:space="0" w:color="auto"/>
              <w:left w:val="single" w:sz="6" w:space="0" w:color="auto"/>
              <w:bottom w:val="single" w:sz="6" w:space="0" w:color="auto"/>
              <w:right w:val="single" w:sz="6" w:space="0" w:color="auto"/>
            </w:tcBorders>
            <w:vAlign w:val="center"/>
          </w:tcPr>
          <w:p w14:paraId="19ADEBEC" w14:textId="77777777" w:rsidR="00DF0307" w:rsidRPr="00624565" w:rsidRDefault="00DF0307" w:rsidP="006333CA">
            <w:pPr>
              <w:spacing w:beforeLines="20" w:before="48" w:afterLines="20" w:after="48" w:line="276" w:lineRule="auto"/>
              <w:jc w:val="center"/>
              <w:rPr>
                <w:noProof/>
                <w:sz w:val="16"/>
                <w:szCs w:val="16"/>
              </w:rPr>
            </w:pPr>
          </w:p>
        </w:tc>
      </w:tr>
      <w:tr w:rsidR="00DF0307" w:rsidRPr="00624565" w14:paraId="3F9BF8B4" w14:textId="77777777" w:rsidTr="006333CA">
        <w:trPr>
          <w:trHeight w:val="289"/>
          <w:jc w:val="center"/>
        </w:trPr>
        <w:tc>
          <w:tcPr>
            <w:tcW w:w="4754" w:type="dxa"/>
            <w:gridSpan w:val="2"/>
            <w:tcBorders>
              <w:top w:val="double" w:sz="4" w:space="0" w:color="auto"/>
              <w:left w:val="single" w:sz="6" w:space="0" w:color="auto"/>
              <w:bottom w:val="single" w:sz="6" w:space="0" w:color="auto"/>
              <w:right w:val="single" w:sz="6" w:space="0" w:color="auto"/>
            </w:tcBorders>
            <w:vAlign w:val="center"/>
            <w:hideMark/>
          </w:tcPr>
          <w:p w14:paraId="05178288" w14:textId="77777777" w:rsidR="00DF0307" w:rsidRPr="00624565" w:rsidRDefault="00DF0307" w:rsidP="006333CA">
            <w:pPr>
              <w:pStyle w:val="Text1"/>
              <w:spacing w:beforeLines="20" w:before="48" w:afterLines="20" w:after="48" w:line="276" w:lineRule="auto"/>
              <w:ind w:left="986"/>
              <w:jc w:val="left"/>
              <w:rPr>
                <w:noProof/>
                <w:sz w:val="16"/>
                <w:szCs w:val="16"/>
              </w:rPr>
            </w:pPr>
            <w:r w:rsidRPr="00624565">
              <w:rPr>
                <w:b/>
                <w:noProof/>
                <w:sz w:val="16"/>
              </w:rPr>
              <w:t>OGÓŁEM</w:t>
            </w:r>
          </w:p>
        </w:tc>
        <w:tc>
          <w:tcPr>
            <w:tcW w:w="731" w:type="dxa"/>
            <w:tcBorders>
              <w:top w:val="double" w:sz="4" w:space="0" w:color="auto"/>
              <w:left w:val="single" w:sz="6" w:space="0" w:color="auto"/>
              <w:bottom w:val="single" w:sz="6" w:space="0" w:color="auto"/>
              <w:right w:val="single" w:sz="6" w:space="0" w:color="auto"/>
            </w:tcBorders>
            <w:vAlign w:val="bottom"/>
            <w:hideMark/>
          </w:tcPr>
          <w:p w14:paraId="71F75207" w14:textId="77777777" w:rsidR="00DF0307" w:rsidRPr="00624565" w:rsidRDefault="00DF0307" w:rsidP="006333CA">
            <w:pPr>
              <w:spacing w:beforeLines="20" w:before="48" w:afterLines="20" w:after="48" w:line="276" w:lineRule="auto"/>
              <w:jc w:val="center"/>
              <w:rPr>
                <w:rFonts w:eastAsia="Times New Roman"/>
                <w:noProof/>
                <w:sz w:val="16"/>
                <w:szCs w:val="16"/>
              </w:rPr>
            </w:pPr>
            <w:r w:rsidRPr="00624565">
              <w:rPr>
                <w:noProof/>
                <w:sz w:val="16"/>
              </w:rPr>
              <w:t>4</w:t>
            </w:r>
          </w:p>
        </w:tc>
        <w:tc>
          <w:tcPr>
            <w:tcW w:w="731" w:type="dxa"/>
            <w:tcBorders>
              <w:top w:val="double" w:sz="4" w:space="0" w:color="auto"/>
              <w:left w:val="single" w:sz="6" w:space="0" w:color="auto"/>
              <w:bottom w:val="single" w:sz="6" w:space="0" w:color="auto"/>
              <w:right w:val="single" w:sz="6" w:space="0" w:color="auto"/>
            </w:tcBorders>
            <w:vAlign w:val="bottom"/>
            <w:hideMark/>
          </w:tcPr>
          <w:p w14:paraId="3812C058" w14:textId="77777777" w:rsidR="00DF0307" w:rsidRPr="00624565" w:rsidRDefault="00DF0307" w:rsidP="006333CA">
            <w:pPr>
              <w:spacing w:beforeLines="20" w:before="48" w:afterLines="20" w:after="48" w:line="276" w:lineRule="auto"/>
              <w:jc w:val="center"/>
              <w:rPr>
                <w:noProof/>
                <w:sz w:val="16"/>
                <w:szCs w:val="16"/>
              </w:rPr>
            </w:pPr>
            <w:r w:rsidRPr="00624565">
              <w:rPr>
                <w:noProof/>
                <w:sz w:val="16"/>
              </w:rPr>
              <w:t>4</w:t>
            </w:r>
          </w:p>
        </w:tc>
        <w:tc>
          <w:tcPr>
            <w:tcW w:w="731" w:type="dxa"/>
            <w:tcBorders>
              <w:top w:val="double" w:sz="4" w:space="0" w:color="auto"/>
              <w:left w:val="single" w:sz="6" w:space="0" w:color="auto"/>
              <w:bottom w:val="single" w:sz="6" w:space="0" w:color="auto"/>
              <w:right w:val="single" w:sz="6" w:space="0" w:color="auto"/>
            </w:tcBorders>
            <w:vAlign w:val="bottom"/>
            <w:hideMark/>
          </w:tcPr>
          <w:p w14:paraId="4269B5BA" w14:textId="77777777" w:rsidR="00DF0307" w:rsidRPr="00624565" w:rsidRDefault="00DF0307" w:rsidP="006333CA">
            <w:pPr>
              <w:spacing w:beforeLines="20" w:before="48" w:afterLines="20" w:after="48" w:line="276" w:lineRule="auto"/>
              <w:jc w:val="center"/>
              <w:rPr>
                <w:noProof/>
                <w:sz w:val="16"/>
                <w:szCs w:val="16"/>
              </w:rPr>
            </w:pPr>
            <w:r w:rsidRPr="00624565">
              <w:rPr>
                <w:noProof/>
                <w:sz w:val="16"/>
              </w:rPr>
              <w:t>4</w:t>
            </w:r>
          </w:p>
        </w:tc>
        <w:tc>
          <w:tcPr>
            <w:tcW w:w="731" w:type="dxa"/>
            <w:tcBorders>
              <w:top w:val="double" w:sz="4" w:space="0" w:color="auto"/>
              <w:left w:val="single" w:sz="6" w:space="0" w:color="auto"/>
              <w:bottom w:val="single" w:sz="6" w:space="0" w:color="auto"/>
              <w:right w:val="single" w:sz="6" w:space="0" w:color="auto"/>
            </w:tcBorders>
            <w:vAlign w:val="bottom"/>
            <w:hideMark/>
          </w:tcPr>
          <w:p w14:paraId="6C6D7E87" w14:textId="77777777" w:rsidR="00DF0307" w:rsidRPr="00624565" w:rsidRDefault="00DF0307" w:rsidP="006333CA">
            <w:pPr>
              <w:spacing w:beforeLines="20" w:before="48" w:afterLines="20" w:after="48" w:line="276" w:lineRule="auto"/>
              <w:jc w:val="center"/>
              <w:rPr>
                <w:noProof/>
                <w:sz w:val="16"/>
                <w:szCs w:val="16"/>
              </w:rPr>
            </w:pPr>
            <w:r w:rsidRPr="00624565">
              <w:rPr>
                <w:noProof/>
                <w:sz w:val="16"/>
              </w:rPr>
              <w:t>4</w:t>
            </w:r>
          </w:p>
        </w:tc>
      </w:tr>
    </w:tbl>
    <w:p w14:paraId="5DA0EE60" w14:textId="77777777" w:rsidR="00DF0307" w:rsidRPr="00624565" w:rsidRDefault="00DF0307" w:rsidP="00DF0307">
      <w:pPr>
        <w:rPr>
          <w:noProof/>
          <w:sz w:val="20"/>
        </w:rPr>
      </w:pPr>
    </w:p>
    <w:p w14:paraId="01E5C2AE" w14:textId="77777777" w:rsidR="00DF0307" w:rsidRPr="00624565" w:rsidRDefault="00DF0307" w:rsidP="00DF0307">
      <w:pPr>
        <w:rPr>
          <w:noProof/>
          <w:sz w:val="20"/>
        </w:rPr>
      </w:pPr>
      <w:r w:rsidRPr="00624565">
        <w:rPr>
          <w:noProof/>
          <w:sz w:val="20"/>
        </w:rPr>
        <w:t>Opis zadań do wykonania:</w:t>
      </w:r>
    </w:p>
    <w:tbl>
      <w:tblPr>
        <w:tblW w:w="0" w:type="dxa"/>
        <w:tblInd w:w="-4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240"/>
        <w:gridCol w:w="7200"/>
      </w:tblGrid>
      <w:tr w:rsidR="00DF0307" w:rsidRPr="00624565" w14:paraId="729C835D" w14:textId="77777777" w:rsidTr="006333CA">
        <w:tc>
          <w:tcPr>
            <w:tcW w:w="3240" w:type="dxa"/>
            <w:tcBorders>
              <w:top w:val="single" w:sz="2" w:space="0" w:color="auto"/>
              <w:left w:val="single" w:sz="2" w:space="0" w:color="auto"/>
              <w:bottom w:val="single" w:sz="2" w:space="0" w:color="auto"/>
              <w:right w:val="single" w:sz="2" w:space="0" w:color="auto"/>
            </w:tcBorders>
            <w:hideMark/>
          </w:tcPr>
          <w:p w14:paraId="666A2C9B" w14:textId="1A03F7C8" w:rsidR="00DF0307" w:rsidRPr="00624565" w:rsidRDefault="00DF0307" w:rsidP="006333CA">
            <w:pPr>
              <w:spacing w:line="276" w:lineRule="auto"/>
              <w:rPr>
                <w:noProof/>
                <w:sz w:val="20"/>
              </w:rPr>
            </w:pPr>
            <w:r w:rsidRPr="00624565">
              <w:rPr>
                <w:noProof/>
                <w:sz w:val="20"/>
              </w:rPr>
              <w:t>Urzędnicy</w:t>
            </w:r>
            <w:r w:rsidR="003F3D2B" w:rsidRPr="00624565">
              <w:rPr>
                <w:noProof/>
                <w:sz w:val="20"/>
              </w:rPr>
              <w:t xml:space="preserve"> i</w:t>
            </w:r>
            <w:r w:rsidR="003F3D2B">
              <w:rPr>
                <w:noProof/>
                <w:sz w:val="20"/>
              </w:rPr>
              <w:t> </w:t>
            </w:r>
            <w:r w:rsidR="003F3D2B" w:rsidRPr="00624565">
              <w:rPr>
                <w:noProof/>
                <w:sz w:val="20"/>
              </w:rPr>
              <w:t>pra</w:t>
            </w:r>
            <w:r w:rsidRPr="00624565">
              <w:rPr>
                <w:noProof/>
                <w:sz w:val="20"/>
              </w:rPr>
              <w:t>cownicy zatrudnieni na czas określony</w:t>
            </w:r>
          </w:p>
        </w:tc>
        <w:tc>
          <w:tcPr>
            <w:tcW w:w="7200" w:type="dxa"/>
            <w:tcBorders>
              <w:top w:val="single" w:sz="2" w:space="0" w:color="auto"/>
              <w:left w:val="single" w:sz="2" w:space="0" w:color="auto"/>
              <w:bottom w:val="single" w:sz="2" w:space="0" w:color="auto"/>
              <w:right w:val="single" w:sz="2" w:space="0" w:color="auto"/>
            </w:tcBorders>
            <w:hideMark/>
          </w:tcPr>
          <w:p w14:paraId="123E1446" w14:textId="4422BB3E" w:rsidR="00DF0307" w:rsidRPr="00624565" w:rsidRDefault="00DF0307" w:rsidP="006333CA">
            <w:pPr>
              <w:spacing w:line="276" w:lineRule="auto"/>
              <w:rPr>
                <w:noProof/>
              </w:rPr>
            </w:pPr>
            <w:r w:rsidRPr="00624565">
              <w:rPr>
                <w:noProof/>
                <w:sz w:val="18"/>
              </w:rPr>
              <w:t>Por. wyjaśnienie dotyczące H7</w:t>
            </w:r>
            <w:r w:rsidR="003F3D2B" w:rsidRPr="00624565">
              <w:rPr>
                <w:noProof/>
                <w:sz w:val="18"/>
              </w:rPr>
              <w:t xml:space="preserve"> w</w:t>
            </w:r>
            <w:r w:rsidR="003F3D2B">
              <w:rPr>
                <w:noProof/>
                <w:sz w:val="18"/>
              </w:rPr>
              <w:t> </w:t>
            </w:r>
            <w:r w:rsidR="003F3D2B" w:rsidRPr="00624565">
              <w:rPr>
                <w:noProof/>
                <w:sz w:val="18"/>
              </w:rPr>
              <w:t>sek</w:t>
            </w:r>
            <w:r w:rsidRPr="00624565">
              <w:rPr>
                <w:noProof/>
                <w:sz w:val="18"/>
              </w:rPr>
              <w:t>cji 3.2.1.</w:t>
            </w:r>
          </w:p>
        </w:tc>
      </w:tr>
      <w:tr w:rsidR="00DF0307" w:rsidRPr="00624565" w14:paraId="06541B37" w14:textId="77777777" w:rsidTr="006333CA">
        <w:tc>
          <w:tcPr>
            <w:tcW w:w="3240" w:type="dxa"/>
            <w:tcBorders>
              <w:top w:val="single" w:sz="2" w:space="0" w:color="auto"/>
              <w:left w:val="single" w:sz="2" w:space="0" w:color="auto"/>
              <w:bottom w:val="single" w:sz="2" w:space="0" w:color="auto"/>
              <w:right w:val="single" w:sz="2" w:space="0" w:color="auto"/>
            </w:tcBorders>
            <w:hideMark/>
          </w:tcPr>
          <w:p w14:paraId="796880FD" w14:textId="77777777" w:rsidR="00DF0307" w:rsidRPr="00624565" w:rsidRDefault="00DF0307" w:rsidP="006333CA">
            <w:pPr>
              <w:spacing w:before="60" w:after="60" w:line="276" w:lineRule="auto"/>
              <w:rPr>
                <w:noProof/>
                <w:sz w:val="20"/>
              </w:rPr>
            </w:pPr>
            <w:r w:rsidRPr="00624565">
              <w:rPr>
                <w:noProof/>
                <w:sz w:val="20"/>
              </w:rPr>
              <w:t>Personel zewnętrzny</w:t>
            </w:r>
          </w:p>
        </w:tc>
        <w:tc>
          <w:tcPr>
            <w:tcW w:w="7200" w:type="dxa"/>
            <w:tcBorders>
              <w:top w:val="single" w:sz="2" w:space="0" w:color="auto"/>
              <w:left w:val="single" w:sz="2" w:space="0" w:color="auto"/>
              <w:bottom w:val="single" w:sz="2" w:space="0" w:color="auto"/>
              <w:right w:val="single" w:sz="2" w:space="0" w:color="auto"/>
            </w:tcBorders>
            <w:hideMark/>
          </w:tcPr>
          <w:p w14:paraId="39297401" w14:textId="45759A36" w:rsidR="00DF0307" w:rsidRPr="00624565" w:rsidRDefault="00DF0307" w:rsidP="006333CA">
            <w:pPr>
              <w:spacing w:line="276" w:lineRule="auto"/>
              <w:rPr>
                <w:noProof/>
                <w:sz w:val="20"/>
              </w:rPr>
            </w:pPr>
            <w:r w:rsidRPr="00624565">
              <w:rPr>
                <w:noProof/>
                <w:sz w:val="18"/>
              </w:rPr>
              <w:t>Por. wyjaśnienie dotyczące H7</w:t>
            </w:r>
            <w:r w:rsidR="003F3D2B" w:rsidRPr="00624565">
              <w:rPr>
                <w:noProof/>
                <w:sz w:val="18"/>
              </w:rPr>
              <w:t xml:space="preserve"> w</w:t>
            </w:r>
            <w:r w:rsidR="003F3D2B">
              <w:rPr>
                <w:noProof/>
                <w:sz w:val="18"/>
              </w:rPr>
              <w:t> </w:t>
            </w:r>
            <w:r w:rsidR="003F3D2B" w:rsidRPr="00624565">
              <w:rPr>
                <w:noProof/>
                <w:sz w:val="18"/>
              </w:rPr>
              <w:t>sek</w:t>
            </w:r>
            <w:r w:rsidRPr="00624565">
              <w:rPr>
                <w:noProof/>
                <w:sz w:val="18"/>
              </w:rPr>
              <w:t>cji 3.2.1.</w:t>
            </w:r>
          </w:p>
        </w:tc>
      </w:tr>
    </w:tbl>
    <w:p w14:paraId="63A4C014" w14:textId="77777777" w:rsidR="00DF0307" w:rsidRPr="00624565" w:rsidRDefault="00DF0307" w:rsidP="00DF0307">
      <w:pPr>
        <w:rPr>
          <w:noProof/>
          <w:sz w:val="18"/>
          <w:lang w:eastAsia="en-GB"/>
        </w:rPr>
      </w:pPr>
    </w:p>
    <w:p w14:paraId="4269BAD3" w14:textId="77777777" w:rsidR="009769E5" w:rsidRPr="00624565" w:rsidRDefault="009769E5" w:rsidP="009769E5">
      <w:pPr>
        <w:rPr>
          <w:noProof/>
        </w:rPr>
        <w:sectPr w:rsidR="009769E5" w:rsidRPr="00624565" w:rsidSect="006A11C7">
          <w:pgSz w:w="11907" w:h="16840"/>
          <w:pgMar w:top="1134" w:right="1418" w:bottom="1134" w:left="1418" w:header="709" w:footer="709" w:gutter="0"/>
          <w:cols w:space="708"/>
          <w:docGrid w:linePitch="360"/>
        </w:sectPr>
      </w:pPr>
    </w:p>
    <w:p w14:paraId="6D30F848" w14:textId="147C6C2A" w:rsidR="009769E5" w:rsidRPr="00624565" w:rsidRDefault="009769E5" w:rsidP="009769E5">
      <w:pPr>
        <w:pStyle w:val="ManualHeading3"/>
        <w:rPr>
          <w:noProof/>
        </w:rPr>
      </w:pPr>
      <w:r w:rsidRPr="00624565">
        <w:rPr>
          <w:noProof/>
        </w:rPr>
        <w:t>3.2.4.</w:t>
      </w:r>
      <w:r w:rsidRPr="00624565">
        <w:rPr>
          <w:noProof/>
        </w:rPr>
        <w:tab/>
        <w:t>Zgodność</w:t>
      </w:r>
      <w:r w:rsidR="003F3D2B" w:rsidRPr="00624565">
        <w:rPr>
          <w:noProof/>
        </w:rPr>
        <w:t xml:space="preserve"> z</w:t>
      </w:r>
      <w:r w:rsidR="003F3D2B">
        <w:rPr>
          <w:noProof/>
        </w:rPr>
        <w:t> </w:t>
      </w:r>
      <w:r w:rsidR="003F3D2B" w:rsidRPr="00624565">
        <w:rPr>
          <w:noProof/>
        </w:rPr>
        <w:t>obo</w:t>
      </w:r>
      <w:r w:rsidRPr="00624565">
        <w:rPr>
          <w:noProof/>
        </w:rPr>
        <w:t xml:space="preserve">wiązującymi wieloletnimi ramami finansowymi </w:t>
      </w:r>
    </w:p>
    <w:p w14:paraId="0AB1D4E0" w14:textId="77777777" w:rsidR="009769E5" w:rsidRPr="00624565" w:rsidRDefault="009769E5" w:rsidP="009769E5">
      <w:pPr>
        <w:pStyle w:val="Text1"/>
        <w:rPr>
          <w:noProof/>
        </w:rPr>
      </w:pPr>
      <w:r w:rsidRPr="00624565">
        <w:rPr>
          <w:noProof/>
        </w:rPr>
        <w:t>Wniosek/inicjatywa:</w:t>
      </w:r>
    </w:p>
    <w:p w14:paraId="63404C72" w14:textId="1D8F647B" w:rsidR="009769E5" w:rsidRPr="00624565" w:rsidRDefault="00DF0307" w:rsidP="009769E5">
      <w:pPr>
        <w:pStyle w:val="ListDash1"/>
        <w:rPr>
          <w:noProof/>
        </w:rPr>
      </w:pPr>
      <w:r w:rsidRPr="00624565">
        <w:rPr>
          <w:rFonts w:ascii="Wingdings" w:hAnsi="Wingdings"/>
          <w:noProof/>
        </w:rPr>
        <w:t></w:t>
      </w:r>
      <w:r w:rsidRPr="00624565">
        <w:rPr>
          <w:noProof/>
        </w:rPr>
        <w:tab/>
        <w:t>może zostać</w:t>
      </w:r>
      <w:r w:rsidR="003F3D2B" w:rsidRPr="00624565">
        <w:rPr>
          <w:noProof/>
        </w:rPr>
        <w:t xml:space="preserve"> w</w:t>
      </w:r>
      <w:r w:rsidR="003F3D2B">
        <w:rPr>
          <w:noProof/>
        </w:rPr>
        <w:t> </w:t>
      </w:r>
      <w:r w:rsidR="003F3D2B" w:rsidRPr="00624565">
        <w:rPr>
          <w:noProof/>
        </w:rPr>
        <w:t>peł</w:t>
      </w:r>
      <w:r w:rsidRPr="00624565">
        <w:rPr>
          <w:noProof/>
        </w:rPr>
        <w:t>ni sfinansowany(a) przez przegrupowanie środków</w:t>
      </w:r>
      <w:r w:rsidR="003F3D2B" w:rsidRPr="00624565">
        <w:rPr>
          <w:noProof/>
        </w:rPr>
        <w:t xml:space="preserve"> w</w:t>
      </w:r>
      <w:r w:rsidR="003F3D2B">
        <w:rPr>
          <w:noProof/>
        </w:rPr>
        <w:t> </w:t>
      </w:r>
      <w:r w:rsidR="003F3D2B" w:rsidRPr="00624565">
        <w:rPr>
          <w:noProof/>
        </w:rPr>
        <w:t>ram</w:t>
      </w:r>
      <w:r w:rsidRPr="00624565">
        <w:rPr>
          <w:noProof/>
        </w:rPr>
        <w:t>ach odpowiedniego działu wieloletnich ram finansowych (WRF).</w:t>
      </w:r>
    </w:p>
    <w:p w14:paraId="34C19EA9" w14:textId="68F5DA45" w:rsidR="00DF0307" w:rsidRPr="00624565" w:rsidRDefault="00DF0307" w:rsidP="00DF0307">
      <w:pPr>
        <w:pStyle w:val="Text2"/>
        <w:rPr>
          <w:noProof/>
          <w:sz w:val="20"/>
        </w:rPr>
      </w:pPr>
      <w:r w:rsidRPr="00624565">
        <w:rPr>
          <w:noProof/>
        </w:rPr>
        <w:t>Na potrzeby skompensowania wzrostu dotacji EEA wykorzystane zostaną środki przydzielone na program LIFE (linia budżetowa 09.02.02).</w:t>
      </w:r>
    </w:p>
    <w:p w14:paraId="02F08CCB" w14:textId="1F0316F8" w:rsidR="009769E5" w:rsidRPr="00624565" w:rsidRDefault="009769E5" w:rsidP="009769E5">
      <w:pPr>
        <w:pStyle w:val="ListDash1"/>
        <w:rPr>
          <w:noProof/>
        </w:rPr>
      </w:pPr>
      <w:r w:rsidRPr="00624565">
        <w:rPr>
          <w:rFonts w:ascii="Wingdings" w:hAnsi="Wingdings"/>
          <w:noProof/>
        </w:rPr>
        <w:t></w:t>
      </w:r>
      <w:r w:rsidRPr="00624565">
        <w:rPr>
          <w:noProof/>
        </w:rPr>
        <w:tab/>
        <w:t>wymaga zastosowania nieprzydzielonego marginesu środków</w:t>
      </w:r>
      <w:r w:rsidR="003F3D2B" w:rsidRPr="00624565">
        <w:rPr>
          <w:noProof/>
        </w:rPr>
        <w:t xml:space="preserve"> w</w:t>
      </w:r>
      <w:r w:rsidR="003F3D2B">
        <w:rPr>
          <w:noProof/>
        </w:rPr>
        <w:t> </w:t>
      </w:r>
      <w:r w:rsidR="003F3D2B" w:rsidRPr="00624565">
        <w:rPr>
          <w:noProof/>
        </w:rPr>
        <w:t>ram</w:t>
      </w:r>
      <w:r w:rsidRPr="00624565">
        <w:rPr>
          <w:noProof/>
        </w:rPr>
        <w:t>ach odpowiedniego działu WRF lub zastosowania specjalnych instrumentów zdefiniowanych</w:t>
      </w:r>
      <w:r w:rsidR="003F3D2B" w:rsidRPr="00624565">
        <w:rPr>
          <w:noProof/>
        </w:rPr>
        <w:t xml:space="preserve"> w</w:t>
      </w:r>
      <w:r w:rsidR="003F3D2B">
        <w:rPr>
          <w:noProof/>
        </w:rPr>
        <w:t> </w:t>
      </w:r>
      <w:r w:rsidR="003F3D2B" w:rsidRPr="00624565">
        <w:rPr>
          <w:noProof/>
        </w:rPr>
        <w:t>roz</w:t>
      </w:r>
      <w:r w:rsidRPr="00624565">
        <w:rPr>
          <w:noProof/>
        </w:rPr>
        <w:t>porządzeniu</w:t>
      </w:r>
      <w:r w:rsidR="003F3D2B" w:rsidRPr="00624565">
        <w:rPr>
          <w:noProof/>
        </w:rPr>
        <w:t xml:space="preserve"> w</w:t>
      </w:r>
      <w:r w:rsidR="003F3D2B">
        <w:rPr>
          <w:noProof/>
        </w:rPr>
        <w:t> </w:t>
      </w:r>
      <w:r w:rsidR="003F3D2B" w:rsidRPr="00624565">
        <w:rPr>
          <w:noProof/>
        </w:rPr>
        <w:t>spr</w:t>
      </w:r>
      <w:r w:rsidRPr="00624565">
        <w:rPr>
          <w:noProof/>
        </w:rPr>
        <w:t>awie WRF.</w:t>
      </w:r>
    </w:p>
    <w:p w14:paraId="61560197" w14:textId="77777777" w:rsidR="009769E5" w:rsidRPr="00624565" w:rsidRDefault="009769E5" w:rsidP="009769E5">
      <w:pPr>
        <w:pStyle w:val="ListDash1"/>
        <w:rPr>
          <w:noProof/>
        </w:rPr>
      </w:pPr>
      <w:r w:rsidRPr="00624565">
        <w:rPr>
          <w:rFonts w:ascii="Wingdings" w:hAnsi="Wingdings"/>
          <w:noProof/>
        </w:rPr>
        <w:t></w:t>
      </w:r>
      <w:r w:rsidRPr="00624565">
        <w:rPr>
          <w:noProof/>
        </w:rPr>
        <w:tab/>
        <w:t>wymaga rewizji WRF.</w:t>
      </w:r>
    </w:p>
    <w:p w14:paraId="3B87E064" w14:textId="73B57223" w:rsidR="009769E5" w:rsidRPr="00624565" w:rsidRDefault="009769E5" w:rsidP="009769E5">
      <w:pPr>
        <w:pStyle w:val="ManualHeading3"/>
        <w:rPr>
          <w:bCs/>
          <w:noProof/>
          <w:szCs w:val="24"/>
        </w:rPr>
      </w:pPr>
      <w:r w:rsidRPr="00624565">
        <w:rPr>
          <w:noProof/>
        </w:rPr>
        <w:t>3.2.5.</w:t>
      </w:r>
      <w:r w:rsidRPr="00624565">
        <w:rPr>
          <w:noProof/>
        </w:rPr>
        <w:tab/>
        <w:t>Udział osób trzecich</w:t>
      </w:r>
      <w:r w:rsidR="003F3D2B" w:rsidRPr="00624565">
        <w:rPr>
          <w:noProof/>
        </w:rPr>
        <w:t xml:space="preserve"> w</w:t>
      </w:r>
      <w:r w:rsidR="003F3D2B">
        <w:rPr>
          <w:noProof/>
        </w:rPr>
        <w:t> </w:t>
      </w:r>
      <w:r w:rsidR="003F3D2B" w:rsidRPr="00624565">
        <w:rPr>
          <w:noProof/>
        </w:rPr>
        <w:t>fin</w:t>
      </w:r>
      <w:r w:rsidRPr="00624565">
        <w:rPr>
          <w:noProof/>
        </w:rPr>
        <w:t xml:space="preserve">ansowaniu </w:t>
      </w:r>
    </w:p>
    <w:p w14:paraId="66B82156" w14:textId="77777777" w:rsidR="009769E5" w:rsidRPr="00624565" w:rsidRDefault="009769E5" w:rsidP="009769E5">
      <w:pPr>
        <w:pStyle w:val="Text1"/>
        <w:rPr>
          <w:noProof/>
        </w:rPr>
      </w:pPr>
      <w:r w:rsidRPr="00624565">
        <w:rPr>
          <w:noProof/>
        </w:rPr>
        <w:t>Wniosek/inicjatywa:</w:t>
      </w:r>
    </w:p>
    <w:p w14:paraId="40E3C53F" w14:textId="77777777" w:rsidR="009769E5" w:rsidRPr="00624565" w:rsidRDefault="00DF0307" w:rsidP="009769E5">
      <w:pPr>
        <w:pStyle w:val="ListDash1"/>
        <w:rPr>
          <w:noProof/>
        </w:rPr>
      </w:pPr>
      <w:r w:rsidRPr="00624565">
        <w:rPr>
          <w:rFonts w:ascii="Wingdings" w:hAnsi="Wingdings"/>
          <w:noProof/>
        </w:rPr>
        <w:t></w:t>
      </w:r>
      <w:r w:rsidRPr="00624565">
        <w:rPr>
          <w:noProof/>
        </w:rPr>
        <w:tab/>
        <w:t>nie przewiduje współfinansowania ze strony osób trzecich</w:t>
      </w:r>
    </w:p>
    <w:p w14:paraId="7D12D607" w14:textId="2AA0D373" w:rsidR="009769E5" w:rsidRPr="00624565" w:rsidRDefault="009769E5" w:rsidP="009769E5">
      <w:pPr>
        <w:pStyle w:val="ListDash1"/>
        <w:rPr>
          <w:noProof/>
        </w:rPr>
      </w:pPr>
      <w:r w:rsidRPr="00624565">
        <w:rPr>
          <w:rFonts w:ascii="Wingdings" w:hAnsi="Wingdings"/>
          <w:noProof/>
        </w:rPr>
        <w:t></w:t>
      </w:r>
      <w:r w:rsidRPr="00624565">
        <w:rPr>
          <w:noProof/>
        </w:rPr>
        <w:tab/>
        <w:t>przewiduje współfinansowanie ze strony osób trzecich szacowane zgodnie</w:t>
      </w:r>
      <w:r w:rsidR="003F3D2B" w:rsidRPr="00624565">
        <w:rPr>
          <w:noProof/>
        </w:rPr>
        <w:t xml:space="preserve"> z</w:t>
      </w:r>
      <w:r w:rsidR="003F3D2B">
        <w:rPr>
          <w:noProof/>
        </w:rPr>
        <w:t> </w:t>
      </w:r>
      <w:r w:rsidR="003F3D2B" w:rsidRPr="00624565">
        <w:rPr>
          <w:noProof/>
        </w:rPr>
        <w:t>pon</w:t>
      </w:r>
      <w:r w:rsidRPr="00624565">
        <w:rPr>
          <w:noProof/>
        </w:rPr>
        <w:t>iższymi szacunkami:</w:t>
      </w:r>
    </w:p>
    <w:p w14:paraId="56A9CA12" w14:textId="0908BA9A" w:rsidR="009769E5" w:rsidRPr="00624565" w:rsidRDefault="009769E5" w:rsidP="009769E5">
      <w:pPr>
        <w:jc w:val="right"/>
        <w:rPr>
          <w:noProof/>
          <w:sz w:val="20"/>
        </w:rPr>
      </w:pPr>
      <w:r w:rsidRPr="00624565">
        <w:rPr>
          <w:noProof/>
          <w:sz w:val="20"/>
        </w:rPr>
        <w:t>środki</w:t>
      </w:r>
      <w:r w:rsidR="003F3D2B" w:rsidRPr="00624565">
        <w:rPr>
          <w:noProof/>
          <w:sz w:val="20"/>
        </w:rPr>
        <w:t xml:space="preserve"> w</w:t>
      </w:r>
      <w:r w:rsidR="003F3D2B">
        <w:rPr>
          <w:noProof/>
          <w:sz w:val="20"/>
        </w:rPr>
        <w:t> </w:t>
      </w:r>
      <w:r w:rsidR="003F3D2B" w:rsidRPr="00624565">
        <w:rPr>
          <w:noProof/>
          <w:sz w:val="20"/>
        </w:rPr>
        <w:t>mln</w:t>
      </w:r>
      <w:r w:rsidRPr="00624565">
        <w:rPr>
          <w:noProof/>
          <w:sz w:val="20"/>
        </w:rPr>
        <w:t xml:space="preserve"> EUR (do trzech miejsc po przecinku)</w:t>
      </w:r>
    </w:p>
    <w:tbl>
      <w:tblPr>
        <w:tblW w:w="10246" w:type="dxa"/>
        <w:tblInd w:w="-4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40"/>
        <w:gridCol w:w="964"/>
        <w:gridCol w:w="964"/>
        <w:gridCol w:w="964"/>
        <w:gridCol w:w="964"/>
        <w:gridCol w:w="964"/>
        <w:gridCol w:w="964"/>
        <w:gridCol w:w="964"/>
        <w:gridCol w:w="1158"/>
      </w:tblGrid>
      <w:tr w:rsidR="009769E5" w:rsidRPr="00624565" w14:paraId="0A26B437" w14:textId="77777777" w:rsidTr="009769E5">
        <w:trPr>
          <w:cantSplit/>
        </w:trPr>
        <w:tc>
          <w:tcPr>
            <w:tcW w:w="2340" w:type="dxa"/>
          </w:tcPr>
          <w:p w14:paraId="4AB9F45F" w14:textId="77777777" w:rsidR="009769E5" w:rsidRPr="00624565" w:rsidRDefault="009769E5" w:rsidP="009769E5">
            <w:pPr>
              <w:spacing w:before="60" w:after="60"/>
              <w:rPr>
                <w:noProof/>
                <w:sz w:val="20"/>
              </w:rPr>
            </w:pPr>
          </w:p>
        </w:tc>
        <w:tc>
          <w:tcPr>
            <w:tcW w:w="964" w:type="dxa"/>
            <w:vAlign w:val="center"/>
          </w:tcPr>
          <w:p w14:paraId="5AE0C690" w14:textId="77777777" w:rsidR="009769E5" w:rsidRPr="00624565" w:rsidRDefault="009769E5" w:rsidP="009769E5">
            <w:pPr>
              <w:jc w:val="center"/>
              <w:rPr>
                <w:noProof/>
                <w:sz w:val="20"/>
              </w:rPr>
            </w:pPr>
            <w:r w:rsidRPr="00624565">
              <w:rPr>
                <w:noProof/>
                <w:sz w:val="20"/>
              </w:rPr>
              <w:t>Rok</w:t>
            </w:r>
            <w:r w:rsidRPr="00624565">
              <w:rPr>
                <w:noProof/>
              </w:rPr>
              <w:t xml:space="preserve"> </w:t>
            </w:r>
            <w:r w:rsidRPr="00624565">
              <w:rPr>
                <w:noProof/>
              </w:rPr>
              <w:br/>
            </w:r>
            <w:r w:rsidRPr="00624565">
              <w:rPr>
                <w:b/>
                <w:noProof/>
                <w:sz w:val="20"/>
              </w:rPr>
              <w:t>N</w:t>
            </w:r>
            <w:r w:rsidRPr="00624565">
              <w:rPr>
                <w:rStyle w:val="FootnoteReference"/>
                <w:b/>
                <w:noProof/>
                <w:sz w:val="20"/>
                <w:szCs w:val="20"/>
              </w:rPr>
              <w:footnoteReference w:id="128"/>
            </w:r>
          </w:p>
        </w:tc>
        <w:tc>
          <w:tcPr>
            <w:tcW w:w="964" w:type="dxa"/>
            <w:vAlign w:val="center"/>
          </w:tcPr>
          <w:p w14:paraId="7C2E6B49" w14:textId="77777777" w:rsidR="009769E5" w:rsidRPr="00624565" w:rsidRDefault="009769E5" w:rsidP="009769E5">
            <w:pPr>
              <w:jc w:val="center"/>
              <w:rPr>
                <w:noProof/>
                <w:sz w:val="20"/>
              </w:rPr>
            </w:pPr>
            <w:r w:rsidRPr="00624565">
              <w:rPr>
                <w:noProof/>
                <w:sz w:val="20"/>
              </w:rPr>
              <w:t>Rok</w:t>
            </w:r>
            <w:r w:rsidRPr="00624565">
              <w:rPr>
                <w:noProof/>
              </w:rPr>
              <w:t xml:space="preserve"> </w:t>
            </w:r>
            <w:r w:rsidRPr="00624565">
              <w:rPr>
                <w:noProof/>
              </w:rPr>
              <w:br/>
            </w:r>
            <w:r w:rsidRPr="00624565">
              <w:rPr>
                <w:b/>
                <w:noProof/>
                <w:sz w:val="20"/>
              </w:rPr>
              <w:t>N+1</w:t>
            </w:r>
          </w:p>
        </w:tc>
        <w:tc>
          <w:tcPr>
            <w:tcW w:w="964" w:type="dxa"/>
            <w:vAlign w:val="center"/>
          </w:tcPr>
          <w:p w14:paraId="1BD6BBB8" w14:textId="77777777" w:rsidR="009769E5" w:rsidRPr="00624565" w:rsidRDefault="009769E5" w:rsidP="009769E5">
            <w:pPr>
              <w:jc w:val="center"/>
              <w:rPr>
                <w:noProof/>
                <w:sz w:val="20"/>
              </w:rPr>
            </w:pPr>
            <w:r w:rsidRPr="00624565">
              <w:rPr>
                <w:noProof/>
                <w:sz w:val="20"/>
              </w:rPr>
              <w:t>Rok</w:t>
            </w:r>
            <w:r w:rsidRPr="00624565">
              <w:rPr>
                <w:noProof/>
              </w:rPr>
              <w:t xml:space="preserve"> </w:t>
            </w:r>
            <w:r w:rsidRPr="00624565">
              <w:rPr>
                <w:noProof/>
              </w:rPr>
              <w:br/>
            </w:r>
            <w:r w:rsidRPr="00624565">
              <w:rPr>
                <w:b/>
                <w:noProof/>
                <w:sz w:val="20"/>
              </w:rPr>
              <w:t>N+2</w:t>
            </w:r>
          </w:p>
        </w:tc>
        <w:tc>
          <w:tcPr>
            <w:tcW w:w="964" w:type="dxa"/>
            <w:vAlign w:val="center"/>
          </w:tcPr>
          <w:p w14:paraId="17EC4069" w14:textId="77777777" w:rsidR="009769E5" w:rsidRPr="00624565" w:rsidRDefault="009769E5" w:rsidP="009769E5">
            <w:pPr>
              <w:jc w:val="center"/>
              <w:rPr>
                <w:noProof/>
                <w:sz w:val="20"/>
              </w:rPr>
            </w:pPr>
            <w:r w:rsidRPr="00624565">
              <w:rPr>
                <w:noProof/>
                <w:sz w:val="20"/>
              </w:rPr>
              <w:t>Rok</w:t>
            </w:r>
            <w:r w:rsidRPr="00624565">
              <w:rPr>
                <w:noProof/>
              </w:rPr>
              <w:t xml:space="preserve"> </w:t>
            </w:r>
            <w:r w:rsidRPr="00624565">
              <w:rPr>
                <w:noProof/>
              </w:rPr>
              <w:br/>
            </w:r>
            <w:r w:rsidRPr="00624565">
              <w:rPr>
                <w:b/>
                <w:noProof/>
                <w:sz w:val="20"/>
              </w:rPr>
              <w:t>N+3</w:t>
            </w:r>
          </w:p>
        </w:tc>
        <w:tc>
          <w:tcPr>
            <w:tcW w:w="2892" w:type="dxa"/>
            <w:gridSpan w:val="3"/>
            <w:vAlign w:val="center"/>
          </w:tcPr>
          <w:p w14:paraId="5D6FC952" w14:textId="1ED3CA5C" w:rsidR="009769E5" w:rsidRPr="00624565" w:rsidRDefault="009769E5" w:rsidP="009769E5">
            <w:pPr>
              <w:jc w:val="center"/>
              <w:rPr>
                <w:b/>
                <w:noProof/>
                <w:sz w:val="20"/>
              </w:rPr>
            </w:pPr>
            <w:r w:rsidRPr="00624565">
              <w:rPr>
                <w:noProof/>
                <w:sz w:val="20"/>
              </w:rPr>
              <w:t xml:space="preserve">Wprowadzić taką liczbę kolumn dla poszczególnych lat, jaka jest niezbędna, by odzwierciedlić cały okres wpływu (por. </w:t>
            </w:r>
            <w:r w:rsidRPr="003F3D2B">
              <w:rPr>
                <w:noProof/>
                <w:sz w:val="20"/>
              </w:rPr>
              <w:t>pkt</w:t>
            </w:r>
            <w:r w:rsidR="003F3D2B" w:rsidRPr="003F3D2B">
              <w:rPr>
                <w:noProof/>
                <w:sz w:val="20"/>
              </w:rPr>
              <w:t> </w:t>
            </w:r>
            <w:r w:rsidRPr="003F3D2B">
              <w:rPr>
                <w:noProof/>
                <w:sz w:val="20"/>
              </w:rPr>
              <w:t>1</w:t>
            </w:r>
            <w:r w:rsidRPr="00624565">
              <w:rPr>
                <w:noProof/>
                <w:sz w:val="20"/>
              </w:rPr>
              <w:t>.6)</w:t>
            </w:r>
          </w:p>
        </w:tc>
        <w:tc>
          <w:tcPr>
            <w:tcW w:w="1158" w:type="dxa"/>
            <w:vAlign w:val="center"/>
          </w:tcPr>
          <w:p w14:paraId="248B2C14" w14:textId="77777777" w:rsidR="009769E5" w:rsidRPr="00624565" w:rsidRDefault="009769E5" w:rsidP="009769E5">
            <w:pPr>
              <w:spacing w:before="60" w:after="60"/>
              <w:jc w:val="center"/>
              <w:rPr>
                <w:noProof/>
                <w:sz w:val="20"/>
              </w:rPr>
            </w:pPr>
            <w:r w:rsidRPr="00624565">
              <w:rPr>
                <w:noProof/>
                <w:sz w:val="20"/>
              </w:rPr>
              <w:t>Ogółem</w:t>
            </w:r>
          </w:p>
        </w:tc>
      </w:tr>
      <w:tr w:rsidR="009769E5" w:rsidRPr="00624565" w14:paraId="7ED3B236" w14:textId="77777777" w:rsidTr="009769E5">
        <w:trPr>
          <w:cantSplit/>
        </w:trPr>
        <w:tc>
          <w:tcPr>
            <w:tcW w:w="2340" w:type="dxa"/>
          </w:tcPr>
          <w:p w14:paraId="09DC5742" w14:textId="77777777" w:rsidR="009769E5" w:rsidRPr="00624565" w:rsidRDefault="009769E5" w:rsidP="009769E5">
            <w:pPr>
              <w:rPr>
                <w:noProof/>
              </w:rPr>
            </w:pPr>
            <w:r w:rsidRPr="00624565">
              <w:rPr>
                <w:noProof/>
                <w:sz w:val="20"/>
              </w:rPr>
              <w:t>Określić organ współfinansujący</w:t>
            </w:r>
            <w:r w:rsidRPr="00624565">
              <w:rPr>
                <w:i/>
                <w:noProof/>
                <w:sz w:val="20"/>
              </w:rPr>
              <w:t xml:space="preserve"> </w:t>
            </w:r>
          </w:p>
        </w:tc>
        <w:tc>
          <w:tcPr>
            <w:tcW w:w="964" w:type="dxa"/>
            <w:vAlign w:val="center"/>
          </w:tcPr>
          <w:p w14:paraId="650C3812" w14:textId="77777777" w:rsidR="009769E5" w:rsidRPr="00624565" w:rsidRDefault="009769E5" w:rsidP="009769E5">
            <w:pPr>
              <w:spacing w:before="60" w:after="60"/>
              <w:jc w:val="center"/>
              <w:rPr>
                <w:noProof/>
                <w:sz w:val="20"/>
              </w:rPr>
            </w:pPr>
          </w:p>
        </w:tc>
        <w:tc>
          <w:tcPr>
            <w:tcW w:w="964" w:type="dxa"/>
            <w:vAlign w:val="center"/>
          </w:tcPr>
          <w:p w14:paraId="20CFF41E" w14:textId="77777777" w:rsidR="009769E5" w:rsidRPr="00624565" w:rsidRDefault="009769E5" w:rsidP="009769E5">
            <w:pPr>
              <w:spacing w:before="60" w:after="60"/>
              <w:jc w:val="center"/>
              <w:rPr>
                <w:noProof/>
                <w:sz w:val="20"/>
              </w:rPr>
            </w:pPr>
          </w:p>
        </w:tc>
        <w:tc>
          <w:tcPr>
            <w:tcW w:w="964" w:type="dxa"/>
            <w:vAlign w:val="center"/>
          </w:tcPr>
          <w:p w14:paraId="64D4D3C0" w14:textId="77777777" w:rsidR="009769E5" w:rsidRPr="00624565" w:rsidRDefault="009769E5" w:rsidP="009769E5">
            <w:pPr>
              <w:spacing w:before="60" w:after="60"/>
              <w:jc w:val="center"/>
              <w:rPr>
                <w:noProof/>
                <w:sz w:val="20"/>
              </w:rPr>
            </w:pPr>
          </w:p>
        </w:tc>
        <w:tc>
          <w:tcPr>
            <w:tcW w:w="964" w:type="dxa"/>
            <w:vAlign w:val="center"/>
          </w:tcPr>
          <w:p w14:paraId="53CC5713" w14:textId="77777777" w:rsidR="009769E5" w:rsidRPr="00624565" w:rsidRDefault="009769E5" w:rsidP="009769E5">
            <w:pPr>
              <w:spacing w:before="60" w:after="60"/>
              <w:jc w:val="center"/>
              <w:rPr>
                <w:noProof/>
                <w:sz w:val="20"/>
              </w:rPr>
            </w:pPr>
          </w:p>
        </w:tc>
        <w:tc>
          <w:tcPr>
            <w:tcW w:w="964" w:type="dxa"/>
            <w:vAlign w:val="center"/>
          </w:tcPr>
          <w:p w14:paraId="61354413" w14:textId="77777777" w:rsidR="009769E5" w:rsidRPr="00624565" w:rsidRDefault="009769E5" w:rsidP="009769E5">
            <w:pPr>
              <w:spacing w:before="60" w:after="60"/>
              <w:jc w:val="center"/>
              <w:rPr>
                <w:noProof/>
                <w:sz w:val="20"/>
              </w:rPr>
            </w:pPr>
          </w:p>
        </w:tc>
        <w:tc>
          <w:tcPr>
            <w:tcW w:w="964" w:type="dxa"/>
            <w:vAlign w:val="center"/>
          </w:tcPr>
          <w:p w14:paraId="53817461" w14:textId="77777777" w:rsidR="009769E5" w:rsidRPr="00624565" w:rsidRDefault="009769E5" w:rsidP="009769E5">
            <w:pPr>
              <w:spacing w:before="60" w:after="60"/>
              <w:jc w:val="center"/>
              <w:rPr>
                <w:noProof/>
                <w:sz w:val="20"/>
              </w:rPr>
            </w:pPr>
          </w:p>
        </w:tc>
        <w:tc>
          <w:tcPr>
            <w:tcW w:w="964" w:type="dxa"/>
            <w:vAlign w:val="center"/>
          </w:tcPr>
          <w:p w14:paraId="285A8129" w14:textId="77777777" w:rsidR="009769E5" w:rsidRPr="00624565" w:rsidRDefault="009769E5" w:rsidP="009769E5">
            <w:pPr>
              <w:spacing w:before="60" w:after="60"/>
              <w:jc w:val="center"/>
              <w:rPr>
                <w:noProof/>
                <w:sz w:val="20"/>
              </w:rPr>
            </w:pPr>
          </w:p>
        </w:tc>
        <w:tc>
          <w:tcPr>
            <w:tcW w:w="1158" w:type="dxa"/>
            <w:vAlign w:val="center"/>
          </w:tcPr>
          <w:p w14:paraId="3319C628" w14:textId="77777777" w:rsidR="009769E5" w:rsidRPr="00624565" w:rsidRDefault="009769E5" w:rsidP="009769E5">
            <w:pPr>
              <w:spacing w:before="60" w:after="60"/>
              <w:jc w:val="center"/>
              <w:rPr>
                <w:noProof/>
                <w:sz w:val="20"/>
              </w:rPr>
            </w:pPr>
          </w:p>
        </w:tc>
      </w:tr>
      <w:tr w:rsidR="009769E5" w:rsidRPr="00624565" w14:paraId="7F9F13D0" w14:textId="77777777" w:rsidTr="009769E5">
        <w:trPr>
          <w:cantSplit/>
        </w:trPr>
        <w:tc>
          <w:tcPr>
            <w:tcW w:w="2340" w:type="dxa"/>
          </w:tcPr>
          <w:p w14:paraId="1A68BEFA" w14:textId="77777777" w:rsidR="009769E5" w:rsidRPr="00624565" w:rsidRDefault="009769E5" w:rsidP="009769E5">
            <w:pPr>
              <w:spacing w:before="60" w:after="60"/>
              <w:jc w:val="left"/>
              <w:rPr>
                <w:noProof/>
                <w:sz w:val="20"/>
              </w:rPr>
            </w:pPr>
            <w:r w:rsidRPr="00624565">
              <w:rPr>
                <w:noProof/>
                <w:sz w:val="20"/>
              </w:rPr>
              <w:t xml:space="preserve">OGÓŁEM środki objęte współfinansowaniem </w:t>
            </w:r>
          </w:p>
        </w:tc>
        <w:tc>
          <w:tcPr>
            <w:tcW w:w="964" w:type="dxa"/>
            <w:vAlign w:val="center"/>
          </w:tcPr>
          <w:p w14:paraId="3F732BF3" w14:textId="77777777" w:rsidR="009769E5" w:rsidRPr="00624565" w:rsidRDefault="009769E5" w:rsidP="009769E5">
            <w:pPr>
              <w:spacing w:before="60" w:after="60"/>
              <w:jc w:val="center"/>
              <w:rPr>
                <w:noProof/>
                <w:sz w:val="20"/>
              </w:rPr>
            </w:pPr>
          </w:p>
        </w:tc>
        <w:tc>
          <w:tcPr>
            <w:tcW w:w="964" w:type="dxa"/>
            <w:vAlign w:val="center"/>
          </w:tcPr>
          <w:p w14:paraId="4069ECC8" w14:textId="77777777" w:rsidR="009769E5" w:rsidRPr="00624565" w:rsidRDefault="009769E5" w:rsidP="009769E5">
            <w:pPr>
              <w:spacing w:before="60" w:after="60"/>
              <w:jc w:val="center"/>
              <w:rPr>
                <w:noProof/>
                <w:sz w:val="20"/>
              </w:rPr>
            </w:pPr>
          </w:p>
        </w:tc>
        <w:tc>
          <w:tcPr>
            <w:tcW w:w="964" w:type="dxa"/>
            <w:vAlign w:val="center"/>
          </w:tcPr>
          <w:p w14:paraId="3AAD96E3" w14:textId="77777777" w:rsidR="009769E5" w:rsidRPr="00624565" w:rsidRDefault="009769E5" w:rsidP="009769E5">
            <w:pPr>
              <w:spacing w:before="60" w:after="60"/>
              <w:jc w:val="center"/>
              <w:rPr>
                <w:noProof/>
                <w:sz w:val="20"/>
              </w:rPr>
            </w:pPr>
          </w:p>
        </w:tc>
        <w:tc>
          <w:tcPr>
            <w:tcW w:w="964" w:type="dxa"/>
            <w:vAlign w:val="center"/>
          </w:tcPr>
          <w:p w14:paraId="30826153" w14:textId="77777777" w:rsidR="009769E5" w:rsidRPr="00624565" w:rsidRDefault="009769E5" w:rsidP="009769E5">
            <w:pPr>
              <w:spacing w:before="60" w:after="60"/>
              <w:jc w:val="center"/>
              <w:rPr>
                <w:noProof/>
                <w:sz w:val="20"/>
              </w:rPr>
            </w:pPr>
          </w:p>
        </w:tc>
        <w:tc>
          <w:tcPr>
            <w:tcW w:w="964" w:type="dxa"/>
            <w:vAlign w:val="center"/>
          </w:tcPr>
          <w:p w14:paraId="14DC8559" w14:textId="77777777" w:rsidR="009769E5" w:rsidRPr="00624565" w:rsidRDefault="009769E5" w:rsidP="009769E5">
            <w:pPr>
              <w:spacing w:before="60" w:after="60"/>
              <w:jc w:val="center"/>
              <w:rPr>
                <w:noProof/>
                <w:sz w:val="20"/>
              </w:rPr>
            </w:pPr>
          </w:p>
        </w:tc>
        <w:tc>
          <w:tcPr>
            <w:tcW w:w="964" w:type="dxa"/>
            <w:vAlign w:val="center"/>
          </w:tcPr>
          <w:p w14:paraId="6AF452CA" w14:textId="77777777" w:rsidR="009769E5" w:rsidRPr="00624565" w:rsidRDefault="009769E5" w:rsidP="009769E5">
            <w:pPr>
              <w:spacing w:before="60" w:after="60"/>
              <w:jc w:val="center"/>
              <w:rPr>
                <w:noProof/>
                <w:sz w:val="20"/>
              </w:rPr>
            </w:pPr>
          </w:p>
        </w:tc>
        <w:tc>
          <w:tcPr>
            <w:tcW w:w="964" w:type="dxa"/>
            <w:vAlign w:val="center"/>
          </w:tcPr>
          <w:p w14:paraId="3A18F6B6" w14:textId="77777777" w:rsidR="009769E5" w:rsidRPr="00624565" w:rsidRDefault="009769E5" w:rsidP="009769E5">
            <w:pPr>
              <w:spacing w:before="60" w:after="60"/>
              <w:jc w:val="center"/>
              <w:rPr>
                <w:noProof/>
                <w:sz w:val="20"/>
              </w:rPr>
            </w:pPr>
          </w:p>
        </w:tc>
        <w:tc>
          <w:tcPr>
            <w:tcW w:w="1158" w:type="dxa"/>
            <w:vAlign w:val="center"/>
          </w:tcPr>
          <w:p w14:paraId="6ABD6A2C" w14:textId="77777777" w:rsidR="009769E5" w:rsidRPr="00624565" w:rsidRDefault="009769E5" w:rsidP="009769E5">
            <w:pPr>
              <w:spacing w:before="60" w:after="60"/>
              <w:jc w:val="center"/>
              <w:rPr>
                <w:noProof/>
                <w:sz w:val="20"/>
              </w:rPr>
            </w:pPr>
          </w:p>
        </w:tc>
      </w:tr>
    </w:tbl>
    <w:p w14:paraId="14C8201B" w14:textId="77777777" w:rsidR="009769E5" w:rsidRPr="00624565" w:rsidRDefault="009769E5" w:rsidP="009769E5">
      <w:pPr>
        <w:rPr>
          <w:noProof/>
        </w:rPr>
      </w:pPr>
      <w:r w:rsidRPr="00624565">
        <w:rPr>
          <w:noProof/>
        </w:rPr>
        <w:t xml:space="preserve"> </w:t>
      </w:r>
      <w:r w:rsidRPr="00624565">
        <w:rPr>
          <w:noProof/>
        </w:rPr>
        <w:br/>
      </w:r>
    </w:p>
    <w:p w14:paraId="5C8463EE" w14:textId="77777777" w:rsidR="009769E5" w:rsidRPr="00624565" w:rsidRDefault="009769E5" w:rsidP="009769E5">
      <w:pPr>
        <w:pStyle w:val="ManualHeading2"/>
        <w:rPr>
          <w:bCs/>
          <w:noProof/>
          <w:szCs w:val="24"/>
        </w:rPr>
      </w:pPr>
      <w:r w:rsidRPr="00624565">
        <w:rPr>
          <w:noProof/>
        </w:rPr>
        <w:br w:type="page"/>
        <w:t>3.3.</w:t>
      </w:r>
      <w:r w:rsidRPr="00624565">
        <w:rPr>
          <w:noProof/>
        </w:rPr>
        <w:tab/>
        <w:t xml:space="preserve">Szacunkowy wpływ na dochody </w:t>
      </w:r>
    </w:p>
    <w:p w14:paraId="5DFA7D2C" w14:textId="77777777" w:rsidR="009769E5" w:rsidRPr="00624565" w:rsidRDefault="00DF0307" w:rsidP="009769E5">
      <w:pPr>
        <w:pStyle w:val="ListDash1"/>
        <w:rPr>
          <w:noProof/>
        </w:rPr>
      </w:pPr>
      <w:r w:rsidRPr="00624565">
        <w:rPr>
          <w:rFonts w:ascii="Wingdings" w:hAnsi="Wingdings"/>
          <w:noProof/>
        </w:rPr>
        <w:t></w:t>
      </w:r>
      <w:r w:rsidRPr="00624565">
        <w:rPr>
          <w:noProof/>
        </w:rPr>
        <w:tab/>
        <w:t>Wniosek/inicjatywa nie ma wpływu finansowego na dochody</w:t>
      </w:r>
    </w:p>
    <w:p w14:paraId="6DA0E769" w14:textId="77777777" w:rsidR="009769E5" w:rsidRPr="00624565" w:rsidRDefault="009769E5" w:rsidP="009769E5">
      <w:pPr>
        <w:pStyle w:val="ListDash1"/>
        <w:rPr>
          <w:noProof/>
        </w:rPr>
      </w:pPr>
      <w:r w:rsidRPr="00624565">
        <w:rPr>
          <w:rFonts w:ascii="Wingdings" w:hAnsi="Wingdings"/>
          <w:noProof/>
        </w:rPr>
        <w:t></w:t>
      </w:r>
      <w:r w:rsidRPr="00624565">
        <w:rPr>
          <w:noProof/>
        </w:rPr>
        <w:tab/>
        <w:t>Wniosek/inicjatywa ma wpływ finansowy określony poniżej:</w:t>
      </w:r>
    </w:p>
    <w:p w14:paraId="50DA8C99" w14:textId="77777777" w:rsidR="009769E5" w:rsidRPr="00624565" w:rsidRDefault="009769E5" w:rsidP="009769E5">
      <w:pPr>
        <w:pStyle w:val="ListNumberLevel3"/>
        <w:rPr>
          <w:noProof/>
        </w:rPr>
      </w:pPr>
      <w:r w:rsidRPr="00624565">
        <w:rPr>
          <w:rFonts w:ascii="Wingdings" w:hAnsi="Wingdings"/>
          <w:noProof/>
        </w:rPr>
        <w:t></w:t>
      </w:r>
      <w:r w:rsidRPr="00624565">
        <w:rPr>
          <w:noProof/>
        </w:rPr>
        <w:tab/>
        <w:t xml:space="preserve">wpływ na zasoby własne </w:t>
      </w:r>
    </w:p>
    <w:p w14:paraId="6B50A152" w14:textId="77777777" w:rsidR="009769E5" w:rsidRPr="00624565" w:rsidRDefault="009769E5" w:rsidP="009769E5">
      <w:pPr>
        <w:pStyle w:val="ListNumberLevel3"/>
        <w:rPr>
          <w:noProof/>
        </w:rPr>
      </w:pPr>
      <w:r w:rsidRPr="00624565">
        <w:rPr>
          <w:rFonts w:ascii="Wingdings" w:hAnsi="Wingdings"/>
          <w:noProof/>
        </w:rPr>
        <w:t></w:t>
      </w:r>
      <w:r w:rsidRPr="00624565">
        <w:rPr>
          <w:noProof/>
        </w:rPr>
        <w:tab/>
        <w:t>wpływ na dochody inne</w:t>
      </w:r>
    </w:p>
    <w:p w14:paraId="0F49BB88" w14:textId="77777777" w:rsidR="009769E5" w:rsidRPr="00624565" w:rsidRDefault="009769E5" w:rsidP="009769E5">
      <w:pPr>
        <w:pStyle w:val="ListNumberLevel3"/>
        <w:rPr>
          <w:noProof/>
        </w:rPr>
      </w:pPr>
      <w:r w:rsidRPr="00624565">
        <w:rPr>
          <w:noProof/>
        </w:rPr>
        <w:t>Wskazać, czy dochody są przypisane do linii budżetowej po stronie wydatków</w:t>
      </w:r>
      <w:r w:rsidRPr="00624565">
        <w:rPr>
          <w:rFonts w:ascii="Wingdings" w:hAnsi="Wingdings"/>
          <w:noProof/>
        </w:rPr>
        <w:t></w:t>
      </w:r>
      <w:r w:rsidRPr="00624565">
        <w:rPr>
          <w:noProof/>
        </w:rPr>
        <w:tab/>
      </w:r>
    </w:p>
    <w:p w14:paraId="1AAC03E2" w14:textId="033AB174" w:rsidR="009769E5" w:rsidRPr="00624565" w:rsidRDefault="009769E5" w:rsidP="009769E5">
      <w:pPr>
        <w:ind w:left="4320"/>
        <w:rPr>
          <w:i/>
          <w:noProof/>
          <w:sz w:val="20"/>
        </w:rPr>
      </w:pPr>
      <w:r w:rsidRPr="00624565">
        <w:rPr>
          <w:noProof/>
        </w:rPr>
        <w:t xml:space="preserve">    </w:t>
      </w:r>
      <w:r w:rsidR="003F3D2B" w:rsidRPr="00624565">
        <w:rPr>
          <w:noProof/>
        </w:rPr>
        <w:t xml:space="preserve"> w</w:t>
      </w:r>
      <w:r w:rsidR="003F3D2B">
        <w:rPr>
          <w:noProof/>
        </w:rPr>
        <w:t> </w:t>
      </w:r>
      <w:r w:rsidR="003F3D2B" w:rsidRPr="00624565">
        <w:rPr>
          <w:noProof/>
        </w:rPr>
        <w:t>mln</w:t>
      </w:r>
      <w:r w:rsidRPr="00624565">
        <w:rPr>
          <w:noProof/>
        </w:rPr>
        <w:t xml:space="preserve"> EUR (do trzech miejsc po przecinku)</w:t>
      </w:r>
    </w:p>
    <w:tbl>
      <w:tblPr>
        <w:tblW w:w="1062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4"/>
        <w:gridCol w:w="1325"/>
        <w:gridCol w:w="1031"/>
        <w:gridCol w:w="900"/>
        <w:gridCol w:w="900"/>
        <w:gridCol w:w="1080"/>
        <w:gridCol w:w="1080"/>
        <w:gridCol w:w="1080"/>
        <w:gridCol w:w="1080"/>
      </w:tblGrid>
      <w:tr w:rsidR="009769E5" w:rsidRPr="00624565" w14:paraId="39936835" w14:textId="77777777" w:rsidTr="009769E5">
        <w:trPr>
          <w:trHeight w:val="388"/>
        </w:trPr>
        <w:tc>
          <w:tcPr>
            <w:tcW w:w="2144" w:type="dxa"/>
            <w:vMerge w:val="restart"/>
            <w:vAlign w:val="center"/>
          </w:tcPr>
          <w:p w14:paraId="541DC6C6" w14:textId="77777777" w:rsidR="009769E5" w:rsidRPr="00624565" w:rsidRDefault="009769E5" w:rsidP="009769E5">
            <w:pPr>
              <w:spacing w:before="40" w:after="40"/>
              <w:rPr>
                <w:noProof/>
                <w:sz w:val="18"/>
              </w:rPr>
            </w:pPr>
            <w:r w:rsidRPr="00624565">
              <w:rPr>
                <w:noProof/>
                <w:sz w:val="18"/>
              </w:rPr>
              <w:t>Linia budżetowa po stronie dochodów</w:t>
            </w:r>
          </w:p>
        </w:tc>
        <w:tc>
          <w:tcPr>
            <w:tcW w:w="1325" w:type="dxa"/>
            <w:vMerge w:val="restart"/>
            <w:vAlign w:val="center"/>
          </w:tcPr>
          <w:p w14:paraId="155F7352" w14:textId="426D706C" w:rsidR="009769E5" w:rsidRPr="00624565" w:rsidRDefault="009769E5" w:rsidP="009769E5">
            <w:pPr>
              <w:jc w:val="center"/>
              <w:rPr>
                <w:noProof/>
                <w:sz w:val="18"/>
              </w:rPr>
            </w:pPr>
            <w:r w:rsidRPr="00624565">
              <w:rPr>
                <w:noProof/>
                <w:sz w:val="18"/>
              </w:rPr>
              <w:t>Środki zapisane</w:t>
            </w:r>
            <w:r w:rsidR="003F3D2B" w:rsidRPr="00624565">
              <w:rPr>
                <w:noProof/>
                <w:sz w:val="18"/>
              </w:rPr>
              <w:t xml:space="preserve"> w</w:t>
            </w:r>
            <w:r w:rsidR="003F3D2B">
              <w:rPr>
                <w:noProof/>
                <w:sz w:val="18"/>
              </w:rPr>
              <w:t> </w:t>
            </w:r>
            <w:r w:rsidR="003F3D2B" w:rsidRPr="00624565">
              <w:rPr>
                <w:noProof/>
                <w:sz w:val="18"/>
              </w:rPr>
              <w:t>bud</w:t>
            </w:r>
            <w:r w:rsidRPr="00624565">
              <w:rPr>
                <w:noProof/>
                <w:sz w:val="18"/>
              </w:rPr>
              <w:t>żecie na bieżący rok budżetowy</w:t>
            </w:r>
          </w:p>
        </w:tc>
        <w:tc>
          <w:tcPr>
            <w:tcW w:w="7151" w:type="dxa"/>
            <w:gridSpan w:val="7"/>
            <w:vAlign w:val="center"/>
          </w:tcPr>
          <w:p w14:paraId="09D7DF05" w14:textId="77777777" w:rsidR="009769E5" w:rsidRPr="00624565" w:rsidRDefault="009769E5" w:rsidP="009769E5">
            <w:pPr>
              <w:jc w:val="center"/>
              <w:rPr>
                <w:noProof/>
                <w:sz w:val="18"/>
              </w:rPr>
            </w:pPr>
            <w:r w:rsidRPr="00624565">
              <w:rPr>
                <w:noProof/>
                <w:sz w:val="18"/>
              </w:rPr>
              <w:t>Wpływ wniosku/inicjatywy</w:t>
            </w:r>
            <w:r w:rsidRPr="00624565">
              <w:rPr>
                <w:rStyle w:val="FootnoteReference"/>
                <w:noProof/>
                <w:sz w:val="18"/>
                <w:szCs w:val="18"/>
              </w:rPr>
              <w:footnoteReference w:id="129"/>
            </w:r>
          </w:p>
        </w:tc>
      </w:tr>
      <w:tr w:rsidR="009769E5" w:rsidRPr="00624565" w14:paraId="6071AF99" w14:textId="77777777" w:rsidTr="009769E5">
        <w:trPr>
          <w:trHeight w:val="388"/>
        </w:trPr>
        <w:tc>
          <w:tcPr>
            <w:tcW w:w="2144" w:type="dxa"/>
            <w:vMerge/>
          </w:tcPr>
          <w:p w14:paraId="6711853B" w14:textId="77777777" w:rsidR="009769E5" w:rsidRPr="00624565" w:rsidRDefault="009769E5" w:rsidP="009769E5">
            <w:pPr>
              <w:spacing w:before="40" w:after="40"/>
              <w:rPr>
                <w:noProof/>
                <w:sz w:val="18"/>
              </w:rPr>
            </w:pPr>
          </w:p>
        </w:tc>
        <w:tc>
          <w:tcPr>
            <w:tcW w:w="1325" w:type="dxa"/>
            <w:vMerge/>
          </w:tcPr>
          <w:p w14:paraId="26310951" w14:textId="77777777" w:rsidR="009769E5" w:rsidRPr="00624565" w:rsidRDefault="009769E5" w:rsidP="009769E5">
            <w:pPr>
              <w:spacing w:beforeLines="40" w:before="96" w:afterLines="40" w:after="96"/>
              <w:rPr>
                <w:i/>
                <w:noProof/>
                <w:sz w:val="18"/>
              </w:rPr>
            </w:pPr>
          </w:p>
        </w:tc>
        <w:tc>
          <w:tcPr>
            <w:tcW w:w="1031" w:type="dxa"/>
            <w:vAlign w:val="center"/>
          </w:tcPr>
          <w:p w14:paraId="423F3CF2" w14:textId="77777777" w:rsidR="009769E5" w:rsidRPr="00624565" w:rsidRDefault="009769E5" w:rsidP="009769E5">
            <w:pPr>
              <w:jc w:val="center"/>
              <w:rPr>
                <w:noProof/>
                <w:sz w:val="18"/>
              </w:rPr>
            </w:pPr>
            <w:r w:rsidRPr="00624565">
              <w:rPr>
                <w:noProof/>
                <w:sz w:val="18"/>
              </w:rPr>
              <w:t>Rok</w:t>
            </w:r>
            <w:r w:rsidRPr="00624565">
              <w:rPr>
                <w:noProof/>
              </w:rPr>
              <w:t xml:space="preserve"> </w:t>
            </w:r>
            <w:r w:rsidRPr="00624565">
              <w:rPr>
                <w:noProof/>
              </w:rPr>
              <w:br/>
            </w:r>
            <w:r w:rsidRPr="00624565">
              <w:rPr>
                <w:b/>
                <w:noProof/>
                <w:sz w:val="18"/>
              </w:rPr>
              <w:t>N</w:t>
            </w:r>
          </w:p>
        </w:tc>
        <w:tc>
          <w:tcPr>
            <w:tcW w:w="900" w:type="dxa"/>
            <w:vAlign w:val="center"/>
          </w:tcPr>
          <w:p w14:paraId="0F11E58F" w14:textId="77777777" w:rsidR="009769E5" w:rsidRPr="00624565" w:rsidRDefault="009769E5" w:rsidP="009769E5">
            <w:pPr>
              <w:jc w:val="center"/>
              <w:rPr>
                <w:noProof/>
                <w:sz w:val="18"/>
              </w:rPr>
            </w:pPr>
            <w:r w:rsidRPr="00624565">
              <w:rPr>
                <w:noProof/>
                <w:sz w:val="18"/>
              </w:rPr>
              <w:t>Rok</w:t>
            </w:r>
            <w:r w:rsidRPr="00624565">
              <w:rPr>
                <w:noProof/>
              </w:rPr>
              <w:t xml:space="preserve"> </w:t>
            </w:r>
            <w:r w:rsidRPr="00624565">
              <w:rPr>
                <w:noProof/>
              </w:rPr>
              <w:br/>
            </w:r>
            <w:r w:rsidRPr="00624565">
              <w:rPr>
                <w:b/>
                <w:noProof/>
                <w:sz w:val="18"/>
              </w:rPr>
              <w:t>N+1</w:t>
            </w:r>
          </w:p>
        </w:tc>
        <w:tc>
          <w:tcPr>
            <w:tcW w:w="900" w:type="dxa"/>
            <w:vAlign w:val="center"/>
          </w:tcPr>
          <w:p w14:paraId="3CA06A07" w14:textId="77777777" w:rsidR="009769E5" w:rsidRPr="00624565" w:rsidRDefault="009769E5" w:rsidP="009769E5">
            <w:pPr>
              <w:jc w:val="center"/>
              <w:rPr>
                <w:noProof/>
                <w:sz w:val="18"/>
              </w:rPr>
            </w:pPr>
            <w:r w:rsidRPr="00624565">
              <w:rPr>
                <w:noProof/>
                <w:sz w:val="18"/>
              </w:rPr>
              <w:t>Rok</w:t>
            </w:r>
            <w:r w:rsidRPr="00624565">
              <w:rPr>
                <w:noProof/>
              </w:rPr>
              <w:t xml:space="preserve"> </w:t>
            </w:r>
            <w:r w:rsidRPr="00624565">
              <w:rPr>
                <w:noProof/>
              </w:rPr>
              <w:br/>
            </w:r>
            <w:r w:rsidRPr="00624565">
              <w:rPr>
                <w:b/>
                <w:noProof/>
                <w:sz w:val="18"/>
              </w:rPr>
              <w:t>N+2</w:t>
            </w:r>
          </w:p>
        </w:tc>
        <w:tc>
          <w:tcPr>
            <w:tcW w:w="1080" w:type="dxa"/>
            <w:vAlign w:val="center"/>
          </w:tcPr>
          <w:p w14:paraId="71106887" w14:textId="77777777" w:rsidR="009769E5" w:rsidRPr="00624565" w:rsidRDefault="009769E5" w:rsidP="009769E5">
            <w:pPr>
              <w:jc w:val="center"/>
              <w:rPr>
                <w:noProof/>
                <w:sz w:val="18"/>
              </w:rPr>
            </w:pPr>
            <w:r w:rsidRPr="00624565">
              <w:rPr>
                <w:noProof/>
                <w:sz w:val="18"/>
              </w:rPr>
              <w:t>Rok</w:t>
            </w:r>
            <w:r w:rsidRPr="00624565">
              <w:rPr>
                <w:noProof/>
              </w:rPr>
              <w:t xml:space="preserve"> </w:t>
            </w:r>
            <w:r w:rsidRPr="00624565">
              <w:rPr>
                <w:noProof/>
              </w:rPr>
              <w:br/>
            </w:r>
            <w:r w:rsidRPr="00624565">
              <w:rPr>
                <w:b/>
                <w:noProof/>
                <w:sz w:val="18"/>
              </w:rPr>
              <w:t>N+3</w:t>
            </w:r>
          </w:p>
        </w:tc>
        <w:tc>
          <w:tcPr>
            <w:tcW w:w="3240" w:type="dxa"/>
            <w:gridSpan w:val="3"/>
            <w:vAlign w:val="center"/>
          </w:tcPr>
          <w:p w14:paraId="1D870904" w14:textId="2C03284D" w:rsidR="009769E5" w:rsidRPr="00624565" w:rsidRDefault="009769E5" w:rsidP="009769E5">
            <w:pPr>
              <w:jc w:val="center"/>
              <w:rPr>
                <w:b/>
                <w:noProof/>
                <w:sz w:val="18"/>
              </w:rPr>
            </w:pPr>
            <w:r w:rsidRPr="00624565">
              <w:rPr>
                <w:noProof/>
                <w:sz w:val="18"/>
              </w:rPr>
              <w:t xml:space="preserve">Wprowadzić taką liczbę kolumn dla poszczególnych lat, jaka jest niezbędna, by odzwierciedlić cały okres wpływu (por. </w:t>
            </w:r>
            <w:r w:rsidRPr="003F3D2B">
              <w:rPr>
                <w:noProof/>
                <w:sz w:val="18"/>
              </w:rPr>
              <w:t>pkt</w:t>
            </w:r>
            <w:r w:rsidR="003F3D2B" w:rsidRPr="003F3D2B">
              <w:rPr>
                <w:noProof/>
                <w:sz w:val="18"/>
              </w:rPr>
              <w:t> </w:t>
            </w:r>
            <w:r w:rsidRPr="003F3D2B">
              <w:rPr>
                <w:noProof/>
                <w:sz w:val="18"/>
              </w:rPr>
              <w:t>1</w:t>
            </w:r>
            <w:r w:rsidRPr="00624565">
              <w:rPr>
                <w:noProof/>
                <w:sz w:val="18"/>
              </w:rPr>
              <w:t>.6)</w:t>
            </w:r>
          </w:p>
        </w:tc>
      </w:tr>
      <w:tr w:rsidR="009769E5" w:rsidRPr="00624565" w14:paraId="761CFA29" w14:textId="77777777" w:rsidTr="009769E5">
        <w:trPr>
          <w:trHeight w:val="388"/>
        </w:trPr>
        <w:tc>
          <w:tcPr>
            <w:tcW w:w="2144" w:type="dxa"/>
            <w:vAlign w:val="center"/>
          </w:tcPr>
          <w:p w14:paraId="046A75EC" w14:textId="77777777" w:rsidR="009769E5" w:rsidRPr="00624565" w:rsidRDefault="009769E5" w:rsidP="009769E5">
            <w:pPr>
              <w:spacing w:before="40" w:after="40"/>
              <w:rPr>
                <w:noProof/>
                <w:sz w:val="18"/>
              </w:rPr>
            </w:pPr>
            <w:r w:rsidRPr="00624565">
              <w:rPr>
                <w:noProof/>
                <w:sz w:val="18"/>
              </w:rPr>
              <w:t>Artykuł …</w:t>
            </w:r>
          </w:p>
        </w:tc>
        <w:tc>
          <w:tcPr>
            <w:tcW w:w="1325" w:type="dxa"/>
          </w:tcPr>
          <w:p w14:paraId="033AA373" w14:textId="77777777" w:rsidR="009769E5" w:rsidRPr="00624565" w:rsidRDefault="009769E5" w:rsidP="009769E5">
            <w:pPr>
              <w:spacing w:beforeLines="40" w:before="96" w:afterLines="40" w:after="96"/>
              <w:jc w:val="center"/>
              <w:rPr>
                <w:i/>
                <w:noProof/>
                <w:sz w:val="18"/>
              </w:rPr>
            </w:pPr>
          </w:p>
        </w:tc>
        <w:tc>
          <w:tcPr>
            <w:tcW w:w="1031" w:type="dxa"/>
          </w:tcPr>
          <w:p w14:paraId="7B9D158A" w14:textId="77777777" w:rsidR="009769E5" w:rsidRPr="00624565" w:rsidRDefault="009769E5" w:rsidP="009769E5">
            <w:pPr>
              <w:spacing w:beforeLines="40" w:before="96" w:afterLines="40" w:after="96"/>
              <w:jc w:val="center"/>
              <w:rPr>
                <w:noProof/>
                <w:sz w:val="18"/>
              </w:rPr>
            </w:pPr>
          </w:p>
        </w:tc>
        <w:tc>
          <w:tcPr>
            <w:tcW w:w="900" w:type="dxa"/>
          </w:tcPr>
          <w:p w14:paraId="54505A20" w14:textId="77777777" w:rsidR="009769E5" w:rsidRPr="00624565" w:rsidRDefault="009769E5" w:rsidP="009769E5">
            <w:pPr>
              <w:spacing w:beforeLines="40" w:before="96" w:afterLines="40" w:after="96"/>
              <w:jc w:val="center"/>
              <w:rPr>
                <w:noProof/>
                <w:sz w:val="18"/>
              </w:rPr>
            </w:pPr>
          </w:p>
        </w:tc>
        <w:tc>
          <w:tcPr>
            <w:tcW w:w="900" w:type="dxa"/>
          </w:tcPr>
          <w:p w14:paraId="299E6C4C" w14:textId="77777777" w:rsidR="009769E5" w:rsidRPr="00624565" w:rsidRDefault="009769E5" w:rsidP="009769E5">
            <w:pPr>
              <w:spacing w:beforeLines="40" w:before="96" w:afterLines="40" w:after="96"/>
              <w:jc w:val="center"/>
              <w:rPr>
                <w:noProof/>
                <w:sz w:val="18"/>
              </w:rPr>
            </w:pPr>
          </w:p>
        </w:tc>
        <w:tc>
          <w:tcPr>
            <w:tcW w:w="1080" w:type="dxa"/>
          </w:tcPr>
          <w:p w14:paraId="3DAD5DF3" w14:textId="77777777" w:rsidR="009769E5" w:rsidRPr="00624565" w:rsidRDefault="009769E5" w:rsidP="009769E5">
            <w:pPr>
              <w:spacing w:beforeLines="40" w:before="96" w:afterLines="40" w:after="96"/>
              <w:jc w:val="center"/>
              <w:rPr>
                <w:noProof/>
                <w:sz w:val="18"/>
              </w:rPr>
            </w:pPr>
          </w:p>
        </w:tc>
        <w:tc>
          <w:tcPr>
            <w:tcW w:w="1080" w:type="dxa"/>
          </w:tcPr>
          <w:p w14:paraId="3EFA11EA" w14:textId="77777777" w:rsidR="009769E5" w:rsidRPr="00624565" w:rsidRDefault="009769E5" w:rsidP="009769E5">
            <w:pPr>
              <w:spacing w:beforeLines="40" w:before="96" w:afterLines="40" w:after="96"/>
              <w:jc w:val="center"/>
              <w:rPr>
                <w:noProof/>
                <w:sz w:val="18"/>
              </w:rPr>
            </w:pPr>
          </w:p>
        </w:tc>
        <w:tc>
          <w:tcPr>
            <w:tcW w:w="1080" w:type="dxa"/>
          </w:tcPr>
          <w:p w14:paraId="1A8E014C" w14:textId="77777777" w:rsidR="009769E5" w:rsidRPr="00624565" w:rsidRDefault="009769E5" w:rsidP="009769E5">
            <w:pPr>
              <w:spacing w:beforeLines="40" w:before="96" w:afterLines="40" w:after="96"/>
              <w:jc w:val="center"/>
              <w:rPr>
                <w:noProof/>
                <w:sz w:val="18"/>
              </w:rPr>
            </w:pPr>
          </w:p>
        </w:tc>
        <w:tc>
          <w:tcPr>
            <w:tcW w:w="1080" w:type="dxa"/>
          </w:tcPr>
          <w:p w14:paraId="54D4786E" w14:textId="77777777" w:rsidR="009769E5" w:rsidRPr="00624565" w:rsidRDefault="009769E5" w:rsidP="009769E5">
            <w:pPr>
              <w:spacing w:beforeLines="40" w:before="96" w:afterLines="40" w:after="96"/>
              <w:jc w:val="center"/>
              <w:rPr>
                <w:noProof/>
                <w:sz w:val="18"/>
              </w:rPr>
            </w:pPr>
          </w:p>
        </w:tc>
      </w:tr>
    </w:tbl>
    <w:p w14:paraId="50B5EDCE" w14:textId="77777777" w:rsidR="009769E5" w:rsidRPr="00624565" w:rsidRDefault="009769E5" w:rsidP="009769E5">
      <w:pPr>
        <w:pStyle w:val="Text1"/>
        <w:rPr>
          <w:noProof/>
          <w:sz w:val="20"/>
        </w:rPr>
      </w:pPr>
      <w:r w:rsidRPr="00624565">
        <w:rPr>
          <w:noProof/>
          <w:sz w:val="20"/>
        </w:rPr>
        <w:t>W przypadku wpływu na dochody przeznaczone na określony cel należy wskazać linie budżetowe po stronie wydatków, które ten wpływ obejmie.</w:t>
      </w:r>
    </w:p>
    <w:p w14:paraId="6E70DBDD" w14:textId="331CEE21" w:rsidR="009769E5" w:rsidRPr="00624565" w:rsidRDefault="009769E5" w:rsidP="009769E5">
      <w:pPr>
        <w:pStyle w:val="Text1"/>
        <w:pBdr>
          <w:top w:val="single" w:sz="4" w:space="1" w:color="auto"/>
          <w:left w:val="single" w:sz="4" w:space="4" w:color="auto"/>
          <w:bottom w:val="single" w:sz="4" w:space="1" w:color="auto"/>
          <w:right w:val="single" w:sz="4" w:space="4" w:color="auto"/>
        </w:pBdr>
        <w:rPr>
          <w:noProof/>
        </w:rPr>
      </w:pPr>
    </w:p>
    <w:p w14:paraId="7AAF99EE" w14:textId="77777777" w:rsidR="009769E5" w:rsidRPr="00624565" w:rsidRDefault="009769E5" w:rsidP="009769E5">
      <w:pPr>
        <w:pStyle w:val="Text1"/>
        <w:rPr>
          <w:noProof/>
          <w:sz w:val="20"/>
        </w:rPr>
      </w:pPr>
      <w:r w:rsidRPr="00624565">
        <w:rPr>
          <w:noProof/>
          <w:sz w:val="20"/>
        </w:rPr>
        <w:t>Pozostałe uwagi (np. metoda/wzór użyte do obliczenia wpływu na dochody albo inne informacje).</w:t>
      </w:r>
    </w:p>
    <w:p w14:paraId="3DB127FD" w14:textId="77E82B1F" w:rsidR="009769E5" w:rsidRPr="00624565" w:rsidRDefault="009769E5" w:rsidP="009769E5">
      <w:pPr>
        <w:pStyle w:val="Text1"/>
        <w:pBdr>
          <w:top w:val="single" w:sz="4" w:space="1" w:color="auto"/>
          <w:left w:val="single" w:sz="4" w:space="4" w:color="auto"/>
          <w:bottom w:val="single" w:sz="4" w:space="1" w:color="auto"/>
          <w:right w:val="single" w:sz="4" w:space="4" w:color="auto"/>
        </w:pBdr>
        <w:rPr>
          <w:noProof/>
        </w:rPr>
      </w:pPr>
    </w:p>
    <w:sectPr w:rsidR="009769E5" w:rsidRPr="00624565" w:rsidSect="006A11C7">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3099D8" w14:textId="77777777" w:rsidR="00406A17" w:rsidRDefault="00406A17" w:rsidP="009769E5">
      <w:pPr>
        <w:spacing w:before="0" w:after="0"/>
      </w:pPr>
      <w:r>
        <w:separator/>
      </w:r>
    </w:p>
  </w:endnote>
  <w:endnote w:type="continuationSeparator" w:id="0">
    <w:p w14:paraId="6B5813DD" w14:textId="77777777" w:rsidR="00406A17" w:rsidRDefault="00406A17" w:rsidP="009769E5">
      <w:pPr>
        <w:spacing w:before="0" w:after="0"/>
      </w:pPr>
      <w:r>
        <w:continuationSeparator/>
      </w:r>
    </w:p>
  </w:endnote>
  <w:endnote w:type="continuationNotice" w:id="1">
    <w:p w14:paraId="4AC5294C" w14:textId="77777777" w:rsidR="00406A17" w:rsidRDefault="00406A1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EUAlbertina">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51FE83" w14:textId="4A429EF7" w:rsidR="00406A17" w:rsidRPr="006A11C7" w:rsidRDefault="006A11C7" w:rsidP="006A11C7">
    <w:pPr>
      <w:pStyle w:val="Footer"/>
      <w:rPr>
        <w:rFonts w:ascii="Arial" w:hAnsi="Arial" w:cs="Arial"/>
        <w:b/>
        <w:sz w:val="48"/>
      </w:rPr>
    </w:pPr>
    <w:r w:rsidRPr="006A11C7">
      <w:rPr>
        <w:rFonts w:ascii="Arial" w:hAnsi="Arial" w:cs="Arial"/>
        <w:b/>
        <w:sz w:val="48"/>
      </w:rPr>
      <w:t>PL</w:t>
    </w:r>
    <w:r w:rsidRPr="006A11C7">
      <w:rPr>
        <w:rFonts w:ascii="Arial" w:hAnsi="Arial" w:cs="Arial"/>
        <w:b/>
        <w:sz w:val="48"/>
      </w:rPr>
      <w:tab/>
    </w:r>
    <w:r w:rsidRPr="006A11C7">
      <w:rPr>
        <w:rFonts w:ascii="Arial" w:hAnsi="Arial" w:cs="Arial"/>
        <w:b/>
        <w:sz w:val="48"/>
      </w:rPr>
      <w:tab/>
    </w:r>
    <w:r w:rsidRPr="006A11C7">
      <w:tab/>
    </w:r>
    <w:r w:rsidRPr="006A11C7">
      <w:rPr>
        <w:rFonts w:ascii="Arial" w:hAnsi="Arial" w:cs="Arial"/>
        <w:b/>
        <w:sz w:val="48"/>
      </w:rPr>
      <w:t>PL</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4069D2" w14:textId="27A7B805" w:rsidR="006A11C7" w:rsidRPr="006A11C7" w:rsidRDefault="006A11C7" w:rsidP="006A11C7">
    <w:pPr>
      <w:pStyle w:val="Footer"/>
      <w:rPr>
        <w:rFonts w:ascii="Arial" w:hAnsi="Arial" w:cs="Arial"/>
        <w:b/>
        <w:sz w:val="48"/>
      </w:rPr>
    </w:pPr>
    <w:r w:rsidRPr="006A11C7">
      <w:rPr>
        <w:rFonts w:ascii="Arial" w:hAnsi="Arial" w:cs="Arial"/>
        <w:b/>
        <w:sz w:val="48"/>
      </w:rPr>
      <w:t>PL</w:t>
    </w:r>
    <w:r w:rsidRPr="006A11C7">
      <w:rPr>
        <w:rFonts w:ascii="Arial" w:hAnsi="Arial" w:cs="Arial"/>
        <w:b/>
        <w:sz w:val="48"/>
      </w:rPr>
      <w:tab/>
    </w:r>
    <w:r>
      <w:fldChar w:fldCharType="begin"/>
    </w:r>
    <w:r>
      <w:instrText xml:space="preserve"> PAGE  \* MERGEFORMAT </w:instrText>
    </w:r>
    <w:r>
      <w:fldChar w:fldCharType="separate"/>
    </w:r>
    <w:r w:rsidR="000A28CF">
      <w:rPr>
        <w:noProof/>
      </w:rPr>
      <w:t>69</w:t>
    </w:r>
    <w:r>
      <w:fldChar w:fldCharType="end"/>
    </w:r>
    <w:r>
      <w:tab/>
    </w:r>
    <w:r w:rsidRPr="006A11C7">
      <w:tab/>
    </w:r>
    <w:r w:rsidRPr="006A11C7">
      <w:rPr>
        <w:rFonts w:ascii="Arial" w:hAnsi="Arial" w:cs="Arial"/>
        <w:b/>
        <w:sz w:val="48"/>
      </w:rPr>
      <w:t>PL</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464F98" w14:textId="77777777" w:rsidR="006A11C7" w:rsidRPr="006A11C7" w:rsidRDefault="006A11C7" w:rsidP="006A11C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0E49D7" w14:textId="76253321" w:rsidR="006A11C7" w:rsidRPr="006A11C7" w:rsidRDefault="006A11C7" w:rsidP="006A11C7">
    <w:pPr>
      <w:pStyle w:val="FooterLandscape"/>
      <w:rPr>
        <w:rFonts w:ascii="Arial" w:hAnsi="Arial" w:cs="Arial"/>
        <w:b/>
        <w:sz w:val="48"/>
      </w:rPr>
    </w:pPr>
    <w:r w:rsidRPr="006A11C7">
      <w:rPr>
        <w:rFonts w:ascii="Arial" w:hAnsi="Arial" w:cs="Arial"/>
        <w:b/>
        <w:sz w:val="48"/>
      </w:rPr>
      <w:t>PL</w:t>
    </w:r>
    <w:r w:rsidRPr="006A11C7">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6A11C7">
      <w:tab/>
    </w:r>
    <w:r w:rsidRPr="006A11C7">
      <w:rPr>
        <w:rFonts w:ascii="Arial" w:hAnsi="Arial" w:cs="Arial"/>
        <w:b/>
        <w:sz w:val="48"/>
      </w:rPr>
      <w:t>PL</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7768AD" w14:textId="77777777" w:rsidR="006A11C7" w:rsidRPr="006A11C7" w:rsidRDefault="006A11C7" w:rsidP="006A11C7">
    <w:pPr>
      <w:pStyle w:val="FooterLandscape"/>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B4ADD5" w14:textId="56828187" w:rsidR="00406A17" w:rsidRPr="006A11C7" w:rsidRDefault="006A11C7" w:rsidP="006A11C7">
    <w:pPr>
      <w:pStyle w:val="Footer"/>
      <w:rPr>
        <w:rFonts w:ascii="Arial" w:hAnsi="Arial" w:cs="Arial"/>
        <w:b/>
        <w:sz w:val="48"/>
      </w:rPr>
    </w:pPr>
    <w:r w:rsidRPr="006A11C7">
      <w:rPr>
        <w:rFonts w:ascii="Arial" w:hAnsi="Arial" w:cs="Arial"/>
        <w:b/>
        <w:sz w:val="48"/>
      </w:rPr>
      <w:t>PL</w:t>
    </w:r>
    <w:r w:rsidRPr="006A11C7">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6A11C7">
      <w:tab/>
    </w:r>
    <w:r w:rsidRPr="006A11C7">
      <w:rPr>
        <w:rFonts w:ascii="Arial" w:hAnsi="Arial" w:cs="Arial"/>
        <w:b/>
        <w:sz w:val="48"/>
      </w:rPr>
      <w:t>PL</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F5F842" w14:textId="77777777" w:rsidR="006A11C7" w:rsidRPr="006A11C7" w:rsidRDefault="006A11C7" w:rsidP="006A11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F5D9CC" w14:textId="77777777" w:rsidR="00406A17" w:rsidRDefault="00406A17" w:rsidP="009769E5">
      <w:pPr>
        <w:spacing w:before="0" w:after="0"/>
      </w:pPr>
      <w:r>
        <w:separator/>
      </w:r>
    </w:p>
  </w:footnote>
  <w:footnote w:type="continuationSeparator" w:id="0">
    <w:p w14:paraId="1E755CBE" w14:textId="77777777" w:rsidR="00406A17" w:rsidRDefault="00406A17" w:rsidP="009769E5">
      <w:pPr>
        <w:spacing w:before="0" w:after="0"/>
      </w:pPr>
      <w:r>
        <w:continuationSeparator/>
      </w:r>
    </w:p>
  </w:footnote>
  <w:footnote w:type="continuationNotice" w:id="1">
    <w:p w14:paraId="4D5162C3" w14:textId="77777777" w:rsidR="00406A17" w:rsidRDefault="00406A17">
      <w:pPr>
        <w:spacing w:before="0" w:after="0"/>
      </w:pPr>
    </w:p>
  </w:footnote>
  <w:footnote w:id="2">
    <w:p w14:paraId="430D7C04" w14:textId="6EB811EB" w:rsidR="00406A17" w:rsidRPr="00872B04" w:rsidRDefault="00406A17" w:rsidP="00B025AB">
      <w:pPr>
        <w:pStyle w:val="FootnoteText"/>
        <w:rPr>
          <w:sz w:val="18"/>
          <w:szCs w:val="18"/>
        </w:rPr>
      </w:pPr>
      <w:r>
        <w:rPr>
          <w:rStyle w:val="FootnoteReference"/>
        </w:rPr>
        <w:footnoteRef/>
      </w:r>
      <w:r>
        <w:tab/>
      </w:r>
      <w:r>
        <w:rPr>
          <w:sz w:val="18"/>
        </w:rPr>
        <w:t>Komisja Europejska, Wniosek dotyczący dyrektywy Parlamentu Europejskiego</w:t>
      </w:r>
      <w:r w:rsidR="003F3D2B">
        <w:rPr>
          <w:sz w:val="18"/>
        </w:rPr>
        <w:t xml:space="preserve"> i Rad</w:t>
      </w:r>
      <w:r>
        <w:rPr>
          <w:sz w:val="18"/>
        </w:rPr>
        <w:t>y zmieniającej dyrektywy 2005/29/WE</w:t>
      </w:r>
      <w:r w:rsidR="003F3D2B">
        <w:rPr>
          <w:sz w:val="18"/>
        </w:rPr>
        <w:t xml:space="preserve"> i 2</w:t>
      </w:r>
      <w:r>
        <w:rPr>
          <w:sz w:val="18"/>
        </w:rPr>
        <w:t>011/83/UE</w:t>
      </w:r>
      <w:r w:rsidR="003F3D2B">
        <w:rPr>
          <w:sz w:val="18"/>
        </w:rPr>
        <w:t xml:space="preserve"> w odn</w:t>
      </w:r>
      <w:r>
        <w:rPr>
          <w:sz w:val="18"/>
        </w:rPr>
        <w:t>iesieniu do wzmocnienia pozycji konsumentów</w:t>
      </w:r>
      <w:r w:rsidR="003F3D2B">
        <w:rPr>
          <w:sz w:val="18"/>
        </w:rPr>
        <w:t xml:space="preserve"> w pro</w:t>
      </w:r>
      <w:r>
        <w:rPr>
          <w:sz w:val="18"/>
        </w:rPr>
        <w:t>cesie transformacji ekologicznej poprzez lepsze informowanie</w:t>
      </w:r>
      <w:r w:rsidR="003F3D2B">
        <w:rPr>
          <w:sz w:val="18"/>
        </w:rPr>
        <w:t xml:space="preserve"> i lep</w:t>
      </w:r>
      <w:r>
        <w:rPr>
          <w:sz w:val="18"/>
        </w:rPr>
        <w:t xml:space="preserve">szą ochronę przed nieuczciwymi praktykami (COM(2022) 143 final), dostępny na stronie internetowej: </w:t>
      </w:r>
      <w:hyperlink r:id="rId1" w:history="1">
        <w:r>
          <w:rPr>
            <w:rStyle w:val="Hyperlink"/>
            <w:sz w:val="18"/>
          </w:rPr>
          <w:t>https://eur-lex.europa.eu/legal-content/pl/TXT/HTML/?uri=CELEX:52022PC0143&amp;from=EN</w:t>
        </w:r>
      </w:hyperlink>
      <w:r>
        <w:rPr>
          <w:sz w:val="18"/>
        </w:rPr>
        <w:t xml:space="preserve"> </w:t>
      </w:r>
    </w:p>
  </w:footnote>
  <w:footnote w:id="3">
    <w:p w14:paraId="775B6D02" w14:textId="49988697" w:rsidR="00406A17" w:rsidRPr="00DB3860" w:rsidRDefault="00406A17" w:rsidP="00B025AB">
      <w:pPr>
        <w:pStyle w:val="FootnoteText"/>
        <w:rPr>
          <w:sz w:val="18"/>
          <w:szCs w:val="18"/>
        </w:rPr>
      </w:pPr>
      <w:r>
        <w:rPr>
          <w:rStyle w:val="FootnoteReference"/>
        </w:rPr>
        <w:footnoteRef/>
      </w:r>
      <w:r>
        <w:tab/>
      </w:r>
      <w:r>
        <w:rPr>
          <w:sz w:val="18"/>
        </w:rPr>
        <w:t xml:space="preserve"> Dyrektywa 2005/29/WE Parlamentu Europejskiego</w:t>
      </w:r>
      <w:r w:rsidR="003F3D2B">
        <w:rPr>
          <w:sz w:val="18"/>
        </w:rPr>
        <w:t xml:space="preserve"> i Rad</w:t>
      </w:r>
      <w:r>
        <w:rPr>
          <w:sz w:val="18"/>
        </w:rPr>
        <w:t>y</w:t>
      </w:r>
      <w:r w:rsidR="003F3D2B">
        <w:rPr>
          <w:sz w:val="18"/>
        </w:rPr>
        <w:t xml:space="preserve"> z dni</w:t>
      </w:r>
      <w:r>
        <w:rPr>
          <w:sz w:val="18"/>
        </w:rPr>
        <w:t>a 11 maja 20</w:t>
      </w:r>
      <w:r w:rsidRPr="003F3D2B">
        <w:rPr>
          <w:sz w:val="18"/>
        </w:rPr>
        <w:t>05</w:t>
      </w:r>
      <w:r w:rsidR="003F3D2B" w:rsidRPr="003F3D2B">
        <w:rPr>
          <w:sz w:val="18"/>
        </w:rPr>
        <w:t> </w:t>
      </w:r>
      <w:r w:rsidRPr="003F3D2B">
        <w:rPr>
          <w:sz w:val="18"/>
        </w:rPr>
        <w:t>r.</w:t>
      </w:r>
      <w:r>
        <w:rPr>
          <w:sz w:val="18"/>
        </w:rPr>
        <w:t xml:space="preserve"> dotycząca nieuczciwych praktyk handlowych stosowanych przez przedsiębiorstwa wobec konsumentów na rynku wewnętrznym oraz zmieniająca dyrektywę Rady 84/450/EWG, dyrektywy 97/7/WE, 98/27/WE</w:t>
      </w:r>
      <w:r w:rsidR="003F3D2B">
        <w:rPr>
          <w:sz w:val="18"/>
        </w:rPr>
        <w:t xml:space="preserve"> i 2</w:t>
      </w:r>
      <w:r>
        <w:rPr>
          <w:sz w:val="18"/>
        </w:rPr>
        <w:t>002/65/WE Parlamentu Europejskiego</w:t>
      </w:r>
      <w:r w:rsidR="003F3D2B">
        <w:rPr>
          <w:sz w:val="18"/>
        </w:rPr>
        <w:t xml:space="preserve"> i Rad</w:t>
      </w:r>
      <w:r>
        <w:rPr>
          <w:sz w:val="18"/>
        </w:rPr>
        <w:t xml:space="preserve">y oraz rozporządzenie (WE) </w:t>
      </w:r>
      <w:r w:rsidRPr="003F3D2B">
        <w:rPr>
          <w:sz w:val="18"/>
        </w:rPr>
        <w:t>nr</w:t>
      </w:r>
      <w:r w:rsidR="003F3D2B" w:rsidRPr="003F3D2B">
        <w:rPr>
          <w:sz w:val="18"/>
        </w:rPr>
        <w:t> </w:t>
      </w:r>
      <w:r w:rsidRPr="003F3D2B">
        <w:rPr>
          <w:sz w:val="18"/>
        </w:rPr>
        <w:t>2</w:t>
      </w:r>
      <w:r>
        <w:rPr>
          <w:sz w:val="18"/>
        </w:rPr>
        <w:t>006/2004 Parlamentu Europejskiego</w:t>
      </w:r>
      <w:r w:rsidR="003F3D2B">
        <w:rPr>
          <w:sz w:val="18"/>
        </w:rPr>
        <w:t xml:space="preserve"> i Rad</w:t>
      </w:r>
      <w:r>
        <w:rPr>
          <w:sz w:val="18"/>
        </w:rPr>
        <w:t>y („Dyrektywa</w:t>
      </w:r>
      <w:r w:rsidR="003F3D2B">
        <w:rPr>
          <w:sz w:val="18"/>
        </w:rPr>
        <w:t xml:space="preserve"> o nie</w:t>
      </w:r>
      <w:r>
        <w:rPr>
          <w:sz w:val="18"/>
        </w:rPr>
        <w:t>uczciwych praktykach handlowych”), Dz.U. L 149</w:t>
      </w:r>
      <w:r w:rsidR="003F3D2B">
        <w:rPr>
          <w:sz w:val="18"/>
        </w:rPr>
        <w:t xml:space="preserve"> z 1</w:t>
      </w:r>
      <w:r>
        <w:rPr>
          <w:sz w:val="18"/>
        </w:rPr>
        <w:t>1.6.2005, s. 22, ze zmianami.</w:t>
      </w:r>
    </w:p>
  </w:footnote>
  <w:footnote w:id="4">
    <w:p w14:paraId="0971D17A" w14:textId="77777777" w:rsidR="00406A17" w:rsidRPr="00624565" w:rsidRDefault="00406A17" w:rsidP="00B025AB">
      <w:pPr>
        <w:pStyle w:val="FootnoteText"/>
        <w:rPr>
          <w:sz w:val="18"/>
          <w:szCs w:val="18"/>
          <w:lang w:val="en-IE"/>
        </w:rPr>
      </w:pPr>
      <w:r>
        <w:rPr>
          <w:rStyle w:val="FootnoteReference"/>
        </w:rPr>
        <w:footnoteRef/>
      </w:r>
      <w:r w:rsidRPr="00624565">
        <w:rPr>
          <w:lang w:val="en-IE"/>
        </w:rPr>
        <w:tab/>
      </w:r>
      <w:r w:rsidRPr="00624565">
        <w:rPr>
          <w:sz w:val="18"/>
          <w:lang w:val="en-IE"/>
        </w:rPr>
        <w:t xml:space="preserve">SWD(2022) 85 final; </w:t>
      </w:r>
      <w:hyperlink r:id="rId2" w:history="1">
        <w:r w:rsidRPr="00624565">
          <w:rPr>
            <w:rStyle w:val="Hyperlink"/>
            <w:sz w:val="18"/>
            <w:lang w:val="en-IE"/>
          </w:rPr>
          <w:t>EUR-Lex - 52022SC0085 - PL - EUR-Lex (europa.eu)</w:t>
        </w:r>
      </w:hyperlink>
      <w:r w:rsidRPr="00624565">
        <w:rPr>
          <w:sz w:val="18"/>
          <w:lang w:val="en-IE"/>
        </w:rPr>
        <w:t xml:space="preserve"> </w:t>
      </w:r>
    </w:p>
  </w:footnote>
  <w:footnote w:id="5">
    <w:p w14:paraId="6E7DF096" w14:textId="5751D16E" w:rsidR="00406A17" w:rsidRPr="00872B04" w:rsidRDefault="00406A17" w:rsidP="00B025AB">
      <w:pPr>
        <w:pStyle w:val="FootnoteText"/>
        <w:rPr>
          <w:sz w:val="18"/>
          <w:szCs w:val="18"/>
        </w:rPr>
      </w:pPr>
      <w:r>
        <w:rPr>
          <w:rStyle w:val="FootnoteReference"/>
        </w:rPr>
        <w:footnoteRef/>
      </w:r>
      <w:r>
        <w:tab/>
      </w:r>
      <w:r>
        <w:rPr>
          <w:sz w:val="18"/>
        </w:rPr>
        <w:t>Komunikat Komisji do Parlamentu Europejskiego, Rady Europejskiej, Rady, Europejskiego Komitetu Ekonomiczno-Społecznego</w:t>
      </w:r>
      <w:r w:rsidR="003F3D2B">
        <w:rPr>
          <w:sz w:val="18"/>
        </w:rPr>
        <w:t xml:space="preserve"> i Kom</w:t>
      </w:r>
      <w:r>
        <w:rPr>
          <w:sz w:val="18"/>
        </w:rPr>
        <w:t xml:space="preserve">itetu Regionów, Europejski Zielony Ład, </w:t>
      </w:r>
      <w:hyperlink r:id="rId3" w:history="1">
        <w:r>
          <w:rPr>
            <w:sz w:val="18"/>
          </w:rPr>
          <w:t>COM(2019) 640</w:t>
        </w:r>
      </w:hyperlink>
      <w:r>
        <w:rPr>
          <w:sz w:val="18"/>
        </w:rPr>
        <w:t>.</w:t>
      </w:r>
    </w:p>
  </w:footnote>
  <w:footnote w:id="6">
    <w:p w14:paraId="70839E54" w14:textId="67CC6B99" w:rsidR="00406A17" w:rsidRPr="00624565" w:rsidRDefault="00406A17" w:rsidP="00B025AB">
      <w:pPr>
        <w:pStyle w:val="FootnoteText"/>
        <w:rPr>
          <w:sz w:val="18"/>
          <w:szCs w:val="18"/>
          <w:lang w:val="en-IE"/>
        </w:rPr>
      </w:pPr>
      <w:r>
        <w:rPr>
          <w:rStyle w:val="FootnoteReference"/>
        </w:rPr>
        <w:footnoteRef/>
      </w:r>
      <w:r w:rsidRPr="00624565">
        <w:rPr>
          <w:lang w:val="en-IE"/>
        </w:rPr>
        <w:tab/>
      </w:r>
      <w:r w:rsidRPr="00624565">
        <w:rPr>
          <w:color w:val="000000"/>
          <w:sz w:val="18"/>
          <w:shd w:val="clear" w:color="auto" w:fill="FFFFFF"/>
          <w:lang w:val="en-IE"/>
        </w:rPr>
        <w:t>COM(2020) 98 final, 11 marca 20</w:t>
      </w:r>
      <w:r w:rsidRPr="003F3D2B">
        <w:rPr>
          <w:color w:val="000000"/>
          <w:sz w:val="18"/>
          <w:shd w:val="clear" w:color="auto" w:fill="FFFFFF"/>
        </w:rPr>
        <w:t>20</w:t>
      </w:r>
      <w:r w:rsidR="003F3D2B" w:rsidRPr="003F3D2B">
        <w:rPr>
          <w:color w:val="000000"/>
          <w:sz w:val="18"/>
          <w:shd w:val="clear" w:color="auto" w:fill="FFFFFF"/>
        </w:rPr>
        <w:t> </w:t>
      </w:r>
      <w:r w:rsidRPr="003F3D2B">
        <w:rPr>
          <w:color w:val="000000"/>
          <w:sz w:val="18"/>
          <w:shd w:val="clear" w:color="auto" w:fill="FFFFFF"/>
        </w:rPr>
        <w:t>r.</w:t>
      </w:r>
    </w:p>
  </w:footnote>
  <w:footnote w:id="7">
    <w:p w14:paraId="045DF5D4" w14:textId="06700B8C" w:rsidR="00406A17" w:rsidRPr="00624565" w:rsidRDefault="00406A17" w:rsidP="00B025AB">
      <w:pPr>
        <w:pStyle w:val="FootnoteText"/>
        <w:rPr>
          <w:sz w:val="18"/>
          <w:szCs w:val="18"/>
          <w:lang w:val="en-IE"/>
        </w:rPr>
      </w:pPr>
      <w:r>
        <w:rPr>
          <w:rStyle w:val="FootnoteReference"/>
        </w:rPr>
        <w:footnoteRef/>
      </w:r>
      <w:r w:rsidRPr="00624565">
        <w:rPr>
          <w:lang w:val="en-IE"/>
        </w:rPr>
        <w:tab/>
      </w:r>
      <w:r w:rsidRPr="00624565">
        <w:rPr>
          <w:color w:val="000000"/>
          <w:sz w:val="18"/>
          <w:shd w:val="clear" w:color="auto" w:fill="FFFFFF"/>
          <w:lang w:val="en-IE"/>
        </w:rPr>
        <w:t>COM(2020) 696 final, 13 listopada 20</w:t>
      </w:r>
      <w:r w:rsidRPr="003F3D2B">
        <w:rPr>
          <w:color w:val="000000"/>
          <w:sz w:val="18"/>
          <w:shd w:val="clear" w:color="auto" w:fill="FFFFFF"/>
        </w:rPr>
        <w:t>20</w:t>
      </w:r>
      <w:r w:rsidR="003F3D2B" w:rsidRPr="003F3D2B">
        <w:rPr>
          <w:color w:val="000000"/>
          <w:sz w:val="18"/>
          <w:shd w:val="clear" w:color="auto" w:fill="FFFFFF"/>
        </w:rPr>
        <w:t> </w:t>
      </w:r>
      <w:r w:rsidRPr="003F3D2B">
        <w:rPr>
          <w:color w:val="000000"/>
          <w:sz w:val="18"/>
          <w:shd w:val="clear" w:color="auto" w:fill="FFFFFF"/>
        </w:rPr>
        <w:t>r.</w:t>
      </w:r>
      <w:r w:rsidRPr="00624565">
        <w:rPr>
          <w:color w:val="000000"/>
          <w:shd w:val="clear" w:color="auto" w:fill="FFFFFF"/>
          <w:lang w:val="en-IE"/>
        </w:rPr>
        <w:t>.</w:t>
      </w:r>
      <w:r w:rsidRPr="00624565">
        <w:rPr>
          <w:sz w:val="18"/>
          <w:lang w:val="en-IE"/>
        </w:rPr>
        <w:t xml:space="preserve"> </w:t>
      </w:r>
    </w:p>
  </w:footnote>
  <w:footnote w:id="8">
    <w:p w14:paraId="23AC7C7E" w14:textId="726100FB" w:rsidR="00406A17" w:rsidRPr="00872B04" w:rsidRDefault="00406A17" w:rsidP="00B025AB">
      <w:pPr>
        <w:pStyle w:val="FootnoteText"/>
        <w:rPr>
          <w:sz w:val="18"/>
          <w:szCs w:val="18"/>
        </w:rPr>
      </w:pPr>
      <w:r>
        <w:rPr>
          <w:rStyle w:val="FootnoteReference"/>
        </w:rPr>
        <w:footnoteRef/>
      </w:r>
      <w:r>
        <w:tab/>
      </w:r>
      <w:r>
        <w:rPr>
          <w:sz w:val="18"/>
        </w:rPr>
        <w:t>COM(2023) 62 final, 1 lutego 20</w:t>
      </w:r>
      <w:r w:rsidRPr="003F3D2B">
        <w:rPr>
          <w:sz w:val="18"/>
        </w:rPr>
        <w:t>23</w:t>
      </w:r>
      <w:r w:rsidR="003F3D2B" w:rsidRPr="003F3D2B">
        <w:rPr>
          <w:sz w:val="18"/>
        </w:rPr>
        <w:t> </w:t>
      </w:r>
      <w:r w:rsidRPr="003F3D2B">
        <w:rPr>
          <w:sz w:val="18"/>
        </w:rPr>
        <w:t>r.</w:t>
      </w:r>
    </w:p>
  </w:footnote>
  <w:footnote w:id="9">
    <w:p w14:paraId="2B30A346" w14:textId="77777777" w:rsidR="00406A17" w:rsidRPr="00872B04" w:rsidRDefault="00406A17" w:rsidP="00B025AB">
      <w:pPr>
        <w:pStyle w:val="FootnoteText"/>
        <w:rPr>
          <w:sz w:val="18"/>
          <w:szCs w:val="18"/>
        </w:rPr>
      </w:pPr>
      <w:r>
        <w:rPr>
          <w:rStyle w:val="FootnoteReference"/>
        </w:rPr>
        <w:footnoteRef/>
      </w:r>
      <w:r>
        <w:tab/>
      </w:r>
      <w:r>
        <w:rPr>
          <w:sz w:val="18"/>
        </w:rPr>
        <w:t>Konkluzje Rady 14167/20.</w:t>
      </w:r>
    </w:p>
  </w:footnote>
  <w:footnote w:id="10">
    <w:p w14:paraId="03F4826F" w14:textId="78444EB6" w:rsidR="00406A17" w:rsidRPr="001A47E1" w:rsidRDefault="00406A17" w:rsidP="00B025AB">
      <w:pPr>
        <w:pStyle w:val="FootnoteText"/>
      </w:pPr>
      <w:r>
        <w:rPr>
          <w:rStyle w:val="FootnoteReference"/>
        </w:rPr>
        <w:footnoteRef/>
      </w:r>
      <w:r>
        <w:tab/>
      </w:r>
      <w:r>
        <w:rPr>
          <w:sz w:val="18"/>
        </w:rPr>
        <w:t>Rezolucja Parlamentu Europejskiego</w:t>
      </w:r>
      <w:r w:rsidR="003F3D2B">
        <w:rPr>
          <w:sz w:val="18"/>
        </w:rPr>
        <w:t xml:space="preserve"> z dni</w:t>
      </w:r>
      <w:r>
        <w:rPr>
          <w:sz w:val="18"/>
        </w:rPr>
        <w:t>a 10 lutego 20</w:t>
      </w:r>
      <w:r w:rsidRPr="003F3D2B">
        <w:rPr>
          <w:sz w:val="18"/>
        </w:rPr>
        <w:t>21</w:t>
      </w:r>
      <w:r w:rsidR="003F3D2B" w:rsidRPr="003F3D2B">
        <w:rPr>
          <w:sz w:val="18"/>
        </w:rPr>
        <w:t> </w:t>
      </w:r>
      <w:r w:rsidRPr="003F3D2B">
        <w:rPr>
          <w:sz w:val="18"/>
        </w:rPr>
        <w:t>r.</w:t>
      </w:r>
      <w:r w:rsidR="003F3D2B">
        <w:rPr>
          <w:sz w:val="18"/>
        </w:rPr>
        <w:t xml:space="preserve"> w spr</w:t>
      </w:r>
      <w:r>
        <w:rPr>
          <w:sz w:val="18"/>
        </w:rPr>
        <w:t>awie nowego planu działania UE dotyczącego gospodarki</w:t>
      </w:r>
      <w:r w:rsidR="003F3D2B">
        <w:rPr>
          <w:sz w:val="18"/>
        </w:rPr>
        <w:t xml:space="preserve"> o obi</w:t>
      </w:r>
      <w:r>
        <w:rPr>
          <w:sz w:val="18"/>
        </w:rPr>
        <w:t>egu zamkniętym (2020/2077(INI)).</w:t>
      </w:r>
    </w:p>
  </w:footnote>
  <w:footnote w:id="11">
    <w:p w14:paraId="563C932C" w14:textId="3716E092" w:rsidR="00406A17" w:rsidRPr="00350EF7" w:rsidRDefault="00406A17" w:rsidP="00B025AB">
      <w:pPr>
        <w:pStyle w:val="FootnoteText"/>
        <w:rPr>
          <w:sz w:val="18"/>
          <w:szCs w:val="18"/>
        </w:rPr>
      </w:pPr>
      <w:r>
        <w:rPr>
          <w:rStyle w:val="FootnoteReference"/>
        </w:rPr>
        <w:footnoteRef/>
      </w:r>
      <w:r>
        <w:tab/>
      </w:r>
      <w:hyperlink r:id="rId4" w:history="1">
        <w:r>
          <w:rPr>
            <w:rStyle w:val="Hyperlink"/>
            <w:sz w:val="18"/>
          </w:rPr>
          <w:t>Konferencja</w:t>
        </w:r>
        <w:r w:rsidR="003F3D2B">
          <w:rPr>
            <w:rStyle w:val="Hyperlink"/>
            <w:sz w:val="18"/>
          </w:rPr>
          <w:t xml:space="preserve"> w spr</w:t>
        </w:r>
        <w:r>
          <w:rPr>
            <w:rStyle w:val="Hyperlink"/>
            <w:sz w:val="18"/>
          </w:rPr>
          <w:t>awie przyszłości Europy – sprawozdanie</w:t>
        </w:r>
        <w:r w:rsidR="003F3D2B">
          <w:rPr>
            <w:rStyle w:val="Hyperlink"/>
            <w:sz w:val="18"/>
          </w:rPr>
          <w:t xml:space="preserve"> z wyn</w:t>
        </w:r>
        <w:r>
          <w:rPr>
            <w:rStyle w:val="Hyperlink"/>
            <w:sz w:val="18"/>
          </w:rPr>
          <w:t xml:space="preserve">ików końcowych, </w:t>
        </w:r>
        <w:r w:rsidRPr="003F3D2B">
          <w:rPr>
            <w:rStyle w:val="Hyperlink"/>
            <w:sz w:val="18"/>
          </w:rPr>
          <w:t>maj</w:t>
        </w:r>
        <w:r w:rsidR="003F3D2B" w:rsidRPr="003F3D2B">
          <w:rPr>
            <w:rStyle w:val="Hyperlink"/>
            <w:sz w:val="18"/>
          </w:rPr>
          <w:t> </w:t>
        </w:r>
        <w:r w:rsidRPr="003F3D2B">
          <w:rPr>
            <w:rStyle w:val="Hyperlink"/>
            <w:sz w:val="18"/>
          </w:rPr>
          <w:t>2</w:t>
        </w:r>
        <w:r>
          <w:rPr>
            <w:rStyle w:val="Hyperlink"/>
            <w:sz w:val="18"/>
          </w:rPr>
          <w:t>0</w:t>
        </w:r>
        <w:r w:rsidRPr="003F3D2B">
          <w:rPr>
            <w:rStyle w:val="Hyperlink"/>
            <w:sz w:val="18"/>
          </w:rPr>
          <w:t>22</w:t>
        </w:r>
        <w:r w:rsidR="003F3D2B" w:rsidRPr="003F3D2B">
          <w:rPr>
            <w:rStyle w:val="Hyperlink"/>
            <w:sz w:val="18"/>
          </w:rPr>
          <w:t> </w:t>
        </w:r>
        <w:r w:rsidRPr="003F3D2B">
          <w:rPr>
            <w:rStyle w:val="Hyperlink"/>
            <w:sz w:val="18"/>
          </w:rPr>
          <w:t>r.</w:t>
        </w:r>
      </w:hyperlink>
    </w:p>
  </w:footnote>
  <w:footnote w:id="12">
    <w:p w14:paraId="6CE6D753" w14:textId="77777777" w:rsidR="00406A17" w:rsidRPr="00350EF7" w:rsidRDefault="00406A17" w:rsidP="00B025AB">
      <w:pPr>
        <w:pStyle w:val="FootnoteText"/>
        <w:rPr>
          <w:sz w:val="18"/>
          <w:szCs w:val="18"/>
        </w:rPr>
      </w:pPr>
      <w:r>
        <w:rPr>
          <w:rStyle w:val="FootnoteReference"/>
        </w:rPr>
        <w:footnoteRef/>
      </w:r>
      <w:r>
        <w:tab/>
      </w:r>
      <w:r>
        <w:rPr>
          <w:sz w:val="18"/>
        </w:rPr>
        <w:t>COM(2022) 404 final</w:t>
      </w:r>
    </w:p>
  </w:footnote>
  <w:footnote w:id="13">
    <w:p w14:paraId="0C154BE2" w14:textId="18F5EDEA" w:rsidR="00406A17" w:rsidRPr="00197F51" w:rsidRDefault="00406A17" w:rsidP="00743A82">
      <w:pPr>
        <w:pStyle w:val="FootnoteText"/>
        <w:rPr>
          <w:sz w:val="18"/>
          <w:szCs w:val="18"/>
        </w:rPr>
      </w:pPr>
      <w:r>
        <w:rPr>
          <w:rStyle w:val="FootnoteReference"/>
        </w:rPr>
        <w:footnoteRef/>
      </w:r>
      <w:r>
        <w:tab/>
      </w:r>
      <w:r>
        <w:rPr>
          <w:sz w:val="18"/>
        </w:rPr>
        <w:t>Komisja Europejska, Behavioural Study on Consumers’ engagement in the circular economy [Badanie behawiorystyczne</w:t>
      </w:r>
      <w:r w:rsidR="003F3D2B">
        <w:rPr>
          <w:sz w:val="18"/>
        </w:rPr>
        <w:t xml:space="preserve"> w zak</w:t>
      </w:r>
      <w:r>
        <w:rPr>
          <w:sz w:val="18"/>
        </w:rPr>
        <w:t>resie zaangażowania konsumentów</w:t>
      </w:r>
      <w:r w:rsidR="003F3D2B">
        <w:rPr>
          <w:sz w:val="18"/>
        </w:rPr>
        <w:t xml:space="preserve"> w gos</w:t>
      </w:r>
      <w:r>
        <w:rPr>
          <w:sz w:val="18"/>
        </w:rPr>
        <w:t>podarkę</w:t>
      </w:r>
      <w:r w:rsidR="003F3D2B">
        <w:rPr>
          <w:sz w:val="18"/>
        </w:rPr>
        <w:t xml:space="preserve"> o obi</w:t>
      </w:r>
      <w:r>
        <w:rPr>
          <w:sz w:val="18"/>
        </w:rPr>
        <w:t>egu zamkniętym], 20</w:t>
      </w:r>
      <w:r w:rsidRPr="003F3D2B">
        <w:rPr>
          <w:sz w:val="18"/>
        </w:rPr>
        <w:t>18</w:t>
      </w:r>
      <w:r w:rsidR="003F3D2B" w:rsidRPr="003F3D2B">
        <w:rPr>
          <w:sz w:val="18"/>
        </w:rPr>
        <w:t> </w:t>
      </w:r>
      <w:r w:rsidRPr="003F3D2B">
        <w:rPr>
          <w:sz w:val="18"/>
        </w:rPr>
        <w:t>r.</w:t>
      </w:r>
      <w:r>
        <w:rPr>
          <w:sz w:val="18"/>
        </w:rPr>
        <w:t>, s. 10.</w:t>
      </w:r>
    </w:p>
  </w:footnote>
  <w:footnote w:id="14">
    <w:p w14:paraId="280CCB7C" w14:textId="62D0DC82" w:rsidR="00406A17" w:rsidRPr="00BD5C77" w:rsidRDefault="00406A17" w:rsidP="00743A82">
      <w:pPr>
        <w:pStyle w:val="FootnoteText"/>
        <w:rPr>
          <w:sz w:val="18"/>
          <w:szCs w:val="18"/>
        </w:rPr>
      </w:pPr>
      <w:r>
        <w:rPr>
          <w:rStyle w:val="FootnoteReference"/>
        </w:rPr>
        <w:footnoteRef/>
      </w:r>
      <w:r>
        <w:tab/>
      </w:r>
      <w:r>
        <w:rPr>
          <w:sz w:val="18"/>
        </w:rPr>
        <w:t>Komisja Europejska, Wstępna ocena skutków: Umożliwienie konsumentom zielonej transformacji, 20</w:t>
      </w:r>
      <w:r w:rsidRPr="003F3D2B">
        <w:rPr>
          <w:sz w:val="18"/>
        </w:rPr>
        <w:t>20</w:t>
      </w:r>
      <w:r w:rsidR="003F3D2B" w:rsidRPr="003F3D2B">
        <w:rPr>
          <w:sz w:val="18"/>
        </w:rPr>
        <w:t> </w:t>
      </w:r>
      <w:r w:rsidRPr="003F3D2B">
        <w:rPr>
          <w:sz w:val="18"/>
        </w:rPr>
        <w:t>r.</w:t>
      </w:r>
    </w:p>
  </w:footnote>
  <w:footnote w:id="15">
    <w:p w14:paraId="0DE7183C" w14:textId="77777777" w:rsidR="00406A17" w:rsidRPr="00BD5C77" w:rsidRDefault="00406A17" w:rsidP="00743A82">
      <w:pPr>
        <w:pStyle w:val="FootnoteText"/>
        <w:rPr>
          <w:sz w:val="18"/>
          <w:szCs w:val="18"/>
        </w:rPr>
      </w:pPr>
      <w:r>
        <w:rPr>
          <w:rStyle w:val="FootnoteReference"/>
        </w:rPr>
        <w:footnoteRef/>
      </w:r>
      <w:r>
        <w:tab/>
      </w:r>
      <w:r>
        <w:rPr>
          <w:sz w:val="18"/>
        </w:rPr>
        <w:t xml:space="preserve">Podsumowanie otwartych konsultacji publicznych jest dostępne na stronie internetowej Komisji Europejskiej „Wyraź swoją opinię”: </w:t>
      </w:r>
      <w:hyperlink r:id="rId5" w:history="1">
        <w:r>
          <w:rPr>
            <w:rStyle w:val="Hyperlink"/>
            <w:sz w:val="18"/>
          </w:rPr>
          <w:t>https://ec.europa.eu/info/law/better-regulation/have-your-say/initiatives/12467-Empowering-the-consumer-for</w:t>
        </w:r>
      </w:hyperlink>
      <w:r>
        <w:rPr>
          <w:rStyle w:val="Hyperlink"/>
          <w:sz w:val="18"/>
        </w:rPr>
        <w:t>-the-green-transition</w:t>
      </w:r>
    </w:p>
  </w:footnote>
  <w:footnote w:id="16">
    <w:p w14:paraId="75997482" w14:textId="4BDA0D7D" w:rsidR="00406A17" w:rsidRPr="00BD5C77" w:rsidRDefault="00406A17" w:rsidP="00743A82">
      <w:pPr>
        <w:pStyle w:val="FootnoteText"/>
        <w:rPr>
          <w:sz w:val="18"/>
          <w:szCs w:val="18"/>
        </w:rPr>
      </w:pPr>
      <w:r>
        <w:rPr>
          <w:rStyle w:val="FootnoteReference"/>
        </w:rPr>
        <w:footnoteRef/>
      </w:r>
      <w:r>
        <w:tab/>
      </w:r>
      <w:hyperlink r:id="rId6" w:history="1">
        <w:r>
          <w:rPr>
            <w:rStyle w:val="Hyperlink"/>
            <w:sz w:val="18"/>
          </w:rPr>
          <w:t>Uzasadnione twierdzenia dotyczące ekologiczności produktów</w:t>
        </w:r>
        <w:r w:rsidR="003F3D2B">
          <w:rPr>
            <w:rStyle w:val="Hyperlink"/>
            <w:sz w:val="18"/>
          </w:rPr>
          <w:t xml:space="preserve"> i prz</w:t>
        </w:r>
        <w:r>
          <w:rPr>
            <w:rStyle w:val="Hyperlink"/>
            <w:sz w:val="18"/>
          </w:rPr>
          <w:t>edsiębiorstw (europa.eu)</w:t>
        </w:r>
      </w:hyperlink>
    </w:p>
  </w:footnote>
  <w:footnote w:id="17">
    <w:p w14:paraId="1B17A0B5" w14:textId="2ECF3B1C" w:rsidR="00406A17" w:rsidRPr="00BD5C77" w:rsidRDefault="00406A17" w:rsidP="00D96629">
      <w:pPr>
        <w:pStyle w:val="FootnoteText"/>
        <w:rPr>
          <w:sz w:val="18"/>
          <w:szCs w:val="18"/>
        </w:rPr>
      </w:pPr>
      <w:r>
        <w:rPr>
          <w:rStyle w:val="FootnoteReference"/>
        </w:rPr>
        <w:footnoteRef/>
      </w:r>
      <w:r>
        <w:tab/>
      </w:r>
      <w:hyperlink r:id="rId7" w:history="1">
        <w:r>
          <w:rPr>
            <w:i/>
            <w:color w:val="0000FF" w:themeColor="hyperlink"/>
            <w:sz w:val="18"/>
            <w:u w:val="single"/>
          </w:rPr>
          <w:t>Consumer Market Study on Environmental Claims for Non-Food Products [Badanie rynku konsumenckiego dotyczące oświadczeń środowiskowych dla produktów niespożywczych]</w:t>
        </w:r>
      </w:hyperlink>
      <w:r>
        <w:rPr>
          <w:sz w:val="18"/>
        </w:rPr>
        <w:t>, Komisja Europejska, 20</w:t>
      </w:r>
      <w:r w:rsidRPr="003F3D2B">
        <w:rPr>
          <w:sz w:val="18"/>
        </w:rPr>
        <w:t>14</w:t>
      </w:r>
      <w:r w:rsidR="003F3D2B" w:rsidRPr="003F3D2B">
        <w:rPr>
          <w:sz w:val="18"/>
        </w:rPr>
        <w:t> </w:t>
      </w:r>
      <w:r w:rsidRPr="003F3D2B">
        <w:rPr>
          <w:sz w:val="18"/>
        </w:rPr>
        <w:t>r.</w:t>
      </w:r>
    </w:p>
  </w:footnote>
  <w:footnote w:id="18">
    <w:p w14:paraId="747CEE6E" w14:textId="21DB23D1" w:rsidR="00406A17" w:rsidRPr="00BD5C77" w:rsidRDefault="00406A17" w:rsidP="00D96629">
      <w:pPr>
        <w:pStyle w:val="FootnoteText"/>
        <w:rPr>
          <w:sz w:val="18"/>
          <w:szCs w:val="18"/>
        </w:rPr>
      </w:pPr>
      <w:r>
        <w:rPr>
          <w:rStyle w:val="FootnoteReference"/>
        </w:rPr>
        <w:footnoteRef/>
      </w:r>
      <w:r>
        <w:tab/>
      </w:r>
      <w:r>
        <w:rPr>
          <w:sz w:val="18"/>
        </w:rPr>
        <w:t>Environmental claims in the EU:Inventory and reliability assessment Final report [Oświadczenia środowiskowe w UE – spis</w:t>
      </w:r>
      <w:r w:rsidR="003F3D2B">
        <w:rPr>
          <w:sz w:val="18"/>
        </w:rPr>
        <w:t xml:space="preserve"> i oce</w:t>
      </w:r>
      <w:r>
        <w:rPr>
          <w:sz w:val="18"/>
        </w:rPr>
        <w:t>na wiarygodności. Sprawozdanie końcowe], Komisja Europejska, 20</w:t>
      </w:r>
      <w:r w:rsidRPr="003F3D2B">
        <w:rPr>
          <w:sz w:val="18"/>
        </w:rPr>
        <w:t>20</w:t>
      </w:r>
      <w:r w:rsidR="003F3D2B" w:rsidRPr="003F3D2B">
        <w:rPr>
          <w:sz w:val="18"/>
        </w:rPr>
        <w:t> </w:t>
      </w:r>
      <w:r w:rsidRPr="003F3D2B">
        <w:rPr>
          <w:sz w:val="18"/>
        </w:rPr>
        <w:t>r.</w:t>
      </w:r>
      <w:r>
        <w:rPr>
          <w:sz w:val="18"/>
        </w:rPr>
        <w:t xml:space="preserve"> Dostęp pod adresem: https://ec.europa.eu/environment/eussd/smgp/pdf/2020_Greenclaims_inventory.zip</w:t>
      </w:r>
    </w:p>
  </w:footnote>
  <w:footnote w:id="19">
    <w:p w14:paraId="77D3F861" w14:textId="7FAAF608" w:rsidR="00406A17" w:rsidRPr="00BD5C77" w:rsidRDefault="00406A17" w:rsidP="00D96629">
      <w:pPr>
        <w:pStyle w:val="FootnoteText"/>
        <w:rPr>
          <w:sz w:val="18"/>
          <w:szCs w:val="18"/>
        </w:rPr>
      </w:pPr>
      <w:r>
        <w:rPr>
          <w:rStyle w:val="FootnoteReference"/>
        </w:rPr>
        <w:footnoteRef/>
      </w:r>
      <w:r>
        <w:tab/>
      </w:r>
      <w:r>
        <w:rPr>
          <w:sz w:val="18"/>
        </w:rPr>
        <w:t>2020 – sweep on misleading sustainability claims [Akcja kontrolna UE</w:t>
      </w:r>
      <w:r w:rsidR="003F3D2B">
        <w:rPr>
          <w:sz w:val="18"/>
        </w:rPr>
        <w:t xml:space="preserve"> w zak</w:t>
      </w:r>
      <w:r>
        <w:rPr>
          <w:sz w:val="18"/>
        </w:rPr>
        <w:t>resie wprowadzających</w:t>
      </w:r>
      <w:r w:rsidR="003F3D2B">
        <w:rPr>
          <w:sz w:val="18"/>
        </w:rPr>
        <w:t xml:space="preserve"> w błą</w:t>
      </w:r>
      <w:r>
        <w:rPr>
          <w:sz w:val="18"/>
        </w:rPr>
        <w:t>d oświadczeń dotyczących zrównoważonego rozwoju – 20</w:t>
      </w:r>
      <w:r w:rsidRPr="003F3D2B">
        <w:rPr>
          <w:sz w:val="18"/>
        </w:rPr>
        <w:t>20</w:t>
      </w:r>
      <w:r w:rsidR="003F3D2B" w:rsidRPr="003F3D2B">
        <w:rPr>
          <w:sz w:val="18"/>
        </w:rPr>
        <w:t> </w:t>
      </w:r>
      <w:r w:rsidRPr="003F3D2B">
        <w:rPr>
          <w:sz w:val="18"/>
        </w:rPr>
        <w:t>r.</w:t>
      </w:r>
      <w:r>
        <w:rPr>
          <w:sz w:val="18"/>
        </w:rPr>
        <w:t>],</w:t>
      </w:r>
      <w:r>
        <w:rPr>
          <w:i/>
          <w:sz w:val="18"/>
        </w:rPr>
        <w:t xml:space="preserve"> </w:t>
      </w:r>
      <w:hyperlink r:id="rId8" w:anchor="ref-2020--sweep-on-misleading-sustainability-claims" w:history="1">
        <w:r>
          <w:rPr>
            <w:rStyle w:val="Hyperlink"/>
            <w:sz w:val="18"/>
          </w:rPr>
          <w:t>Sweeps (europa.eu)</w:t>
        </w:r>
      </w:hyperlink>
      <w:r>
        <w:rPr>
          <w:sz w:val="18"/>
        </w:rPr>
        <w:t xml:space="preserve"> </w:t>
      </w:r>
    </w:p>
  </w:footnote>
  <w:footnote w:id="20">
    <w:p w14:paraId="19EC9C59" w14:textId="392B90E3" w:rsidR="00406A17" w:rsidRPr="00197F51" w:rsidRDefault="00406A17" w:rsidP="00D96629">
      <w:pPr>
        <w:pStyle w:val="FootnoteText"/>
        <w:rPr>
          <w:sz w:val="18"/>
          <w:szCs w:val="18"/>
          <w:vertAlign w:val="superscript"/>
        </w:rPr>
      </w:pPr>
      <w:r>
        <w:rPr>
          <w:rStyle w:val="FootnoteReference"/>
        </w:rPr>
        <w:footnoteRef/>
      </w:r>
      <w:r>
        <w:tab/>
      </w:r>
      <w:r>
        <w:rPr>
          <w:sz w:val="18"/>
        </w:rPr>
        <w:t>Przegląd stron internetowych pod kątem pseudoekologicznego marketingu:brak dowodów</w:t>
      </w:r>
      <w:r w:rsidR="003F3D2B">
        <w:rPr>
          <w:sz w:val="18"/>
        </w:rPr>
        <w:t xml:space="preserve"> w prz</w:t>
      </w:r>
      <w:r>
        <w:rPr>
          <w:sz w:val="18"/>
        </w:rPr>
        <w:t xml:space="preserve">ypadku połowy oświadczeń środowiskowych, dostęp na stronie internetowej: </w:t>
      </w:r>
      <w:hyperlink r:id="rId9" w:history="1">
        <w:r>
          <w:rPr>
            <w:rStyle w:val="Hyperlink"/>
            <w:sz w:val="18"/>
          </w:rPr>
          <w:t>https://ec.europa.eu/commission/presscorner/detail/pl/ip_21_269</w:t>
        </w:r>
      </w:hyperlink>
      <w:r>
        <w:rPr>
          <w:rStyle w:val="Hyperlink"/>
          <w:sz w:val="18"/>
        </w:rPr>
        <w:t xml:space="preserve"> </w:t>
      </w:r>
    </w:p>
  </w:footnote>
  <w:footnote w:id="21">
    <w:p w14:paraId="2536C698" w14:textId="77777777" w:rsidR="00406A17" w:rsidRPr="00953E06" w:rsidRDefault="00406A17" w:rsidP="00D96629">
      <w:pPr>
        <w:pStyle w:val="FootnoteText"/>
        <w:rPr>
          <w:sz w:val="18"/>
          <w:szCs w:val="18"/>
        </w:rPr>
      </w:pPr>
      <w:r>
        <w:rPr>
          <w:rStyle w:val="FootnoteReference"/>
        </w:rPr>
        <w:footnoteRef/>
      </w:r>
      <w:r>
        <w:tab/>
      </w:r>
      <w:r>
        <w:rPr>
          <w:sz w:val="18"/>
        </w:rPr>
        <w:t>SWD(2022) 85 final, załącznik 2, s. 66</w:t>
      </w:r>
    </w:p>
  </w:footnote>
  <w:footnote w:id="22">
    <w:p w14:paraId="416D7AE7" w14:textId="62B8A5B6" w:rsidR="00406A17" w:rsidRPr="003F19EF" w:rsidRDefault="00406A17" w:rsidP="00D96629">
      <w:pPr>
        <w:pStyle w:val="FootnoteText"/>
        <w:rPr>
          <w:sz w:val="18"/>
          <w:szCs w:val="18"/>
        </w:rPr>
      </w:pPr>
      <w:r>
        <w:rPr>
          <w:rStyle w:val="FootnoteReference"/>
        </w:rPr>
        <w:footnoteRef/>
      </w:r>
      <w:r>
        <w:tab/>
      </w:r>
      <w:r>
        <w:rPr>
          <w:sz w:val="18"/>
        </w:rPr>
        <w:t>Odpowiedzi udzielono</w:t>
      </w:r>
      <w:r w:rsidR="003F3D2B">
        <w:rPr>
          <w:sz w:val="18"/>
        </w:rPr>
        <w:t xml:space="preserve"> w 5</w:t>
      </w:r>
      <w:r>
        <w:rPr>
          <w:sz w:val="18"/>
        </w:rPr>
        <w:t>-stopniowej skali Likerta. Przeliczono je na punkty, by ułatwić spójną prezentację</w:t>
      </w:r>
      <w:r w:rsidR="003F3D2B">
        <w:rPr>
          <w:sz w:val="18"/>
        </w:rPr>
        <w:t xml:space="preserve"> i dob</w:t>
      </w:r>
      <w:r>
        <w:rPr>
          <w:sz w:val="18"/>
        </w:rPr>
        <w:t>rze odzwierciedlić stopień zgodności. Odpowiedzi „nie wiem” otrzymały 0 punktów, odpowiedzi „w ogóle mnie to nie interesuje” lub „w ogóle nieskuteczne” – 1 punkt; na drugim końcu skali odpowiedzi „jestem bardzo zainteresowany” lub „zawsze” otrzymały 4 punkty.</w:t>
      </w:r>
    </w:p>
  </w:footnote>
  <w:footnote w:id="23">
    <w:p w14:paraId="2010C6E9" w14:textId="12B367BD" w:rsidR="00406A17" w:rsidRPr="00352F2A" w:rsidRDefault="00406A17" w:rsidP="00D96629">
      <w:pPr>
        <w:pStyle w:val="FootnoteText"/>
      </w:pPr>
      <w:r>
        <w:rPr>
          <w:rStyle w:val="FootnoteReference"/>
        </w:rPr>
        <w:footnoteRef/>
      </w:r>
      <w:r>
        <w:tab/>
      </w:r>
      <w:r>
        <w:rPr>
          <w:sz w:val="18"/>
        </w:rPr>
        <w:t>Oświadczenie dotyczące przedsiębiorcy dotyczy każdego oświadczenia złożonego przez przedsiębiorcę</w:t>
      </w:r>
      <w:r w:rsidR="003F3D2B">
        <w:rPr>
          <w:sz w:val="18"/>
        </w:rPr>
        <w:t xml:space="preserve"> w odn</w:t>
      </w:r>
      <w:r>
        <w:rPr>
          <w:sz w:val="18"/>
        </w:rPr>
        <w:t>iesieniu do niego samego jako organizacji,</w:t>
      </w:r>
      <w:r w:rsidR="003F3D2B">
        <w:rPr>
          <w:sz w:val="18"/>
        </w:rPr>
        <w:t xml:space="preserve"> w prz</w:t>
      </w:r>
      <w:r>
        <w:rPr>
          <w:sz w:val="18"/>
        </w:rPr>
        <w:t>eciwieństwie do oświadczenia złożonego przez przedsiębiorcę</w:t>
      </w:r>
      <w:r w:rsidR="003F3D2B">
        <w:rPr>
          <w:sz w:val="18"/>
        </w:rPr>
        <w:t xml:space="preserve"> w odn</w:t>
      </w:r>
      <w:r>
        <w:rPr>
          <w:sz w:val="18"/>
        </w:rPr>
        <w:t>iesieniu do jednego</w:t>
      </w:r>
      <w:r w:rsidR="003F3D2B">
        <w:rPr>
          <w:sz w:val="18"/>
        </w:rPr>
        <w:t xml:space="preserve"> z jeg</w:t>
      </w:r>
      <w:r>
        <w:rPr>
          <w:sz w:val="18"/>
        </w:rPr>
        <w:t>o produktów (towarów lub usług).</w:t>
      </w:r>
    </w:p>
  </w:footnote>
  <w:footnote w:id="24">
    <w:p w14:paraId="3EABAE10" w14:textId="6E0F0131" w:rsidR="00406A17" w:rsidRPr="00197F51" w:rsidRDefault="00406A17" w:rsidP="00D96629">
      <w:pPr>
        <w:pStyle w:val="FootnoteText"/>
        <w:rPr>
          <w:sz w:val="18"/>
          <w:szCs w:val="18"/>
        </w:rPr>
      </w:pPr>
      <w:r>
        <w:rPr>
          <w:rStyle w:val="FootnoteReference"/>
        </w:rPr>
        <w:footnoteRef/>
      </w:r>
      <w:r>
        <w:tab/>
      </w:r>
      <w:r>
        <w:rPr>
          <w:sz w:val="18"/>
        </w:rPr>
        <w:t>Badanie przygotowawcze mające na celu zebranie dowodów na temat sposobów wzmocnienia pozycji konsumentów, aby odgrywali aktywną rolę</w:t>
      </w:r>
      <w:r w:rsidR="003F3D2B">
        <w:rPr>
          <w:sz w:val="18"/>
        </w:rPr>
        <w:t xml:space="preserve"> w pro</w:t>
      </w:r>
      <w:r>
        <w:rPr>
          <w:sz w:val="18"/>
        </w:rPr>
        <w:t>cesie przechodzenia na zieloną gospodarkę, październik 20</w:t>
      </w:r>
      <w:r w:rsidRPr="003F3D2B">
        <w:rPr>
          <w:sz w:val="18"/>
        </w:rPr>
        <w:t>21</w:t>
      </w:r>
      <w:r w:rsidR="003F3D2B" w:rsidRPr="003F3D2B">
        <w:rPr>
          <w:sz w:val="18"/>
        </w:rPr>
        <w:t> </w:t>
      </w:r>
      <w:r w:rsidRPr="003F3D2B">
        <w:rPr>
          <w:sz w:val="18"/>
        </w:rPr>
        <w:t>r.</w:t>
      </w:r>
      <w:r>
        <w:rPr>
          <w:sz w:val="18"/>
        </w:rPr>
        <w:t xml:space="preserve"> Dostępne na stronie internetowej:</w:t>
      </w:r>
      <w:hyperlink r:id="rId10" w:history="1">
        <w:r>
          <w:rPr>
            <w:rStyle w:val="Hyperlink"/>
            <w:sz w:val="18"/>
          </w:rPr>
          <w:t>Wniosek dotyczący dyrektywy</w:t>
        </w:r>
        <w:r w:rsidR="003F3D2B">
          <w:rPr>
            <w:rStyle w:val="Hyperlink"/>
            <w:sz w:val="18"/>
          </w:rPr>
          <w:t xml:space="preserve"> w spr</w:t>
        </w:r>
        <w:r>
          <w:rPr>
            <w:rStyle w:val="Hyperlink"/>
            <w:sz w:val="18"/>
          </w:rPr>
          <w:t>awie wzmocnienia pozycji konsumentów</w:t>
        </w:r>
        <w:r w:rsidR="003F3D2B">
          <w:rPr>
            <w:rStyle w:val="Hyperlink"/>
            <w:sz w:val="18"/>
          </w:rPr>
          <w:t xml:space="preserve"> w pro</w:t>
        </w:r>
        <w:r>
          <w:rPr>
            <w:rStyle w:val="Hyperlink"/>
            <w:sz w:val="18"/>
          </w:rPr>
          <w:t>cesie transformacji ekologicznej oraz załącznik (europa.eu).</w:t>
        </w:r>
      </w:hyperlink>
    </w:p>
  </w:footnote>
  <w:footnote w:id="25">
    <w:p w14:paraId="5B417859" w14:textId="66F8E96A" w:rsidR="00406A17" w:rsidRPr="00D77535" w:rsidRDefault="00406A17" w:rsidP="00D96629">
      <w:pPr>
        <w:pStyle w:val="FootnoteText"/>
        <w:rPr>
          <w:sz w:val="18"/>
          <w:szCs w:val="18"/>
        </w:rPr>
      </w:pPr>
      <w:r>
        <w:rPr>
          <w:rStyle w:val="FootnoteReference"/>
        </w:rPr>
        <w:footnoteRef/>
      </w:r>
      <w:r>
        <w:tab/>
      </w:r>
      <w:r>
        <w:rPr>
          <w:sz w:val="18"/>
        </w:rPr>
        <w:t>Komisja Europejska, Wstępna ocena skutków: Umożliwienie konsumentom zielonej transformacji, 20</w:t>
      </w:r>
      <w:r w:rsidRPr="003F3D2B">
        <w:rPr>
          <w:sz w:val="18"/>
        </w:rPr>
        <w:t>20</w:t>
      </w:r>
      <w:r w:rsidR="003F3D2B" w:rsidRPr="003F3D2B">
        <w:rPr>
          <w:sz w:val="18"/>
        </w:rPr>
        <w:t> </w:t>
      </w:r>
      <w:r w:rsidRPr="003F3D2B">
        <w:rPr>
          <w:sz w:val="18"/>
        </w:rPr>
        <w:t>r.</w:t>
      </w:r>
      <w:r>
        <w:rPr>
          <w:sz w:val="18"/>
        </w:rPr>
        <w:t xml:space="preserve"> – przegląd konsultacji</w:t>
      </w:r>
      <w:r w:rsidR="003F3D2B">
        <w:rPr>
          <w:sz w:val="18"/>
        </w:rPr>
        <w:t xml:space="preserve"> w zał</w:t>
      </w:r>
      <w:r>
        <w:rPr>
          <w:sz w:val="18"/>
        </w:rPr>
        <w:t>ączniku 2 do oceny skutków, s. 69.</w:t>
      </w:r>
    </w:p>
  </w:footnote>
  <w:footnote w:id="26">
    <w:p w14:paraId="79B2D4AE" w14:textId="74A24554" w:rsidR="00406A17" w:rsidRPr="003F3D2B" w:rsidRDefault="00406A17" w:rsidP="00D96629">
      <w:pPr>
        <w:pStyle w:val="FootnoteText"/>
      </w:pPr>
      <w:r>
        <w:rPr>
          <w:rStyle w:val="FootnoteReference"/>
        </w:rPr>
        <w:footnoteRef/>
      </w:r>
      <w:r>
        <w:tab/>
      </w:r>
      <w:r>
        <w:rPr>
          <w:sz w:val="18"/>
        </w:rPr>
        <w:t>Więcej informacji na temat konsekwencji tych problemów dla rynku konsumenckiego</w:t>
      </w:r>
      <w:r w:rsidR="003F3D2B">
        <w:rPr>
          <w:sz w:val="18"/>
        </w:rPr>
        <w:t xml:space="preserve"> i śro</w:t>
      </w:r>
      <w:r>
        <w:rPr>
          <w:sz w:val="18"/>
        </w:rPr>
        <w:t>dowiska naturalnego zawarto</w:t>
      </w:r>
      <w:r w:rsidR="003F3D2B">
        <w:rPr>
          <w:sz w:val="18"/>
        </w:rPr>
        <w:t xml:space="preserve"> w zał</w:t>
      </w:r>
      <w:r>
        <w:rPr>
          <w:sz w:val="18"/>
        </w:rPr>
        <w:t>ączniku 12 do dokumentu SWD(2022) 85 final</w:t>
      </w:r>
      <w:r w:rsidRPr="003F3D2B">
        <w:rPr>
          <w:sz w:val="18"/>
        </w:rPr>
        <w:t>.</w:t>
      </w:r>
      <w:r w:rsidR="003F3D2B" w:rsidRPr="003F3D2B">
        <w:rPr>
          <w:sz w:val="18"/>
        </w:rPr>
        <w:t xml:space="preserve"> </w:t>
      </w:r>
    </w:p>
  </w:footnote>
  <w:footnote w:id="27">
    <w:p w14:paraId="5C961C0F" w14:textId="76AA7F18" w:rsidR="00406A17" w:rsidRPr="00932836" w:rsidRDefault="00406A17" w:rsidP="00D96629">
      <w:pPr>
        <w:pStyle w:val="FootnoteText"/>
        <w:rPr>
          <w:sz w:val="18"/>
          <w:szCs w:val="18"/>
        </w:rPr>
      </w:pPr>
      <w:r>
        <w:rPr>
          <w:rStyle w:val="FootnoteReference"/>
        </w:rPr>
        <w:footnoteRef/>
      </w:r>
      <w:r>
        <w:tab/>
      </w:r>
      <w:r>
        <w:rPr>
          <w:sz w:val="18"/>
        </w:rPr>
        <w:t>Art. 6</w:t>
      </w:r>
      <w:r w:rsidR="003F3D2B">
        <w:rPr>
          <w:sz w:val="18"/>
        </w:rPr>
        <w:t xml:space="preserve"> i 7</w:t>
      </w:r>
      <w:r>
        <w:rPr>
          <w:sz w:val="18"/>
        </w:rPr>
        <w:t xml:space="preserve"> </w:t>
      </w:r>
      <w:r>
        <w:rPr>
          <w:color w:val="000000"/>
          <w:sz w:val="18"/>
          <w:bdr w:val="none" w:sz="0" w:space="0" w:color="auto" w:frame="1"/>
          <w:shd w:val="clear" w:color="auto" w:fill="FFFFFF"/>
        </w:rPr>
        <w:t>dyrektywy 2005/29/WE Parlamentu Europejskiego</w:t>
      </w:r>
      <w:r w:rsidR="003F3D2B">
        <w:rPr>
          <w:color w:val="000000"/>
          <w:sz w:val="18"/>
          <w:bdr w:val="none" w:sz="0" w:space="0" w:color="auto" w:frame="1"/>
          <w:shd w:val="clear" w:color="auto" w:fill="FFFFFF"/>
        </w:rPr>
        <w:t xml:space="preserve"> i Rad</w:t>
      </w:r>
      <w:r>
        <w:rPr>
          <w:color w:val="000000"/>
          <w:sz w:val="18"/>
          <w:bdr w:val="none" w:sz="0" w:space="0" w:color="auto" w:frame="1"/>
          <w:shd w:val="clear" w:color="auto" w:fill="FFFFFF"/>
        </w:rPr>
        <w:t>y</w:t>
      </w:r>
      <w:r w:rsidR="003F3D2B">
        <w:rPr>
          <w:color w:val="000000"/>
          <w:sz w:val="18"/>
          <w:bdr w:val="none" w:sz="0" w:space="0" w:color="auto" w:frame="1"/>
          <w:shd w:val="clear" w:color="auto" w:fill="FFFFFF"/>
        </w:rPr>
        <w:t xml:space="preserve"> z dni</w:t>
      </w:r>
      <w:r>
        <w:rPr>
          <w:color w:val="000000"/>
          <w:sz w:val="18"/>
          <w:bdr w:val="none" w:sz="0" w:space="0" w:color="auto" w:frame="1"/>
          <w:shd w:val="clear" w:color="auto" w:fill="FFFFFF"/>
        </w:rPr>
        <w:t>a 11 maja 20</w:t>
      </w:r>
      <w:r w:rsidRPr="003F3D2B">
        <w:rPr>
          <w:color w:val="000000"/>
          <w:sz w:val="18"/>
          <w:bdr w:val="none" w:sz="0" w:space="0" w:color="auto" w:frame="1"/>
          <w:shd w:val="clear" w:color="auto" w:fill="FFFFFF"/>
        </w:rPr>
        <w:t>05</w:t>
      </w:r>
      <w:r w:rsidR="003F3D2B" w:rsidRPr="003F3D2B">
        <w:rPr>
          <w:color w:val="000000"/>
          <w:sz w:val="18"/>
          <w:bdr w:val="none" w:sz="0" w:space="0" w:color="auto" w:frame="1"/>
          <w:shd w:val="clear" w:color="auto" w:fill="FFFFFF"/>
        </w:rPr>
        <w:t> </w:t>
      </w:r>
      <w:r w:rsidRPr="003F3D2B">
        <w:rPr>
          <w:color w:val="000000"/>
          <w:sz w:val="18"/>
          <w:bdr w:val="none" w:sz="0" w:space="0" w:color="auto" w:frame="1"/>
          <w:shd w:val="clear" w:color="auto" w:fill="FFFFFF"/>
        </w:rPr>
        <w:t>r.</w:t>
      </w:r>
      <w:r>
        <w:rPr>
          <w:color w:val="000000"/>
          <w:sz w:val="18"/>
          <w:bdr w:val="none" w:sz="0" w:space="0" w:color="auto" w:frame="1"/>
          <w:shd w:val="clear" w:color="auto" w:fill="FFFFFF"/>
        </w:rPr>
        <w:t xml:space="preserve"> dotyczącej nieuczciwych praktyk handlowych stosowanych przez przedsiębiorstwa wobec konsumentów na rynku wewnętrznym oraz zmieniającej dyrektywę Rady 84/450/EWG, dyrektywę 97/7/WE, 98/27/WE</w:t>
      </w:r>
      <w:r w:rsidR="003F3D2B">
        <w:rPr>
          <w:color w:val="000000"/>
          <w:sz w:val="18"/>
          <w:bdr w:val="none" w:sz="0" w:space="0" w:color="auto" w:frame="1"/>
          <w:shd w:val="clear" w:color="auto" w:fill="FFFFFF"/>
        </w:rPr>
        <w:t xml:space="preserve"> i 2</w:t>
      </w:r>
      <w:r>
        <w:rPr>
          <w:color w:val="000000"/>
          <w:sz w:val="18"/>
          <w:bdr w:val="none" w:sz="0" w:space="0" w:color="auto" w:frame="1"/>
          <w:shd w:val="clear" w:color="auto" w:fill="FFFFFF"/>
        </w:rPr>
        <w:t>002/65/WE Parlamentu Europejskiego</w:t>
      </w:r>
      <w:r w:rsidR="003F3D2B">
        <w:rPr>
          <w:color w:val="000000"/>
          <w:sz w:val="18"/>
          <w:bdr w:val="none" w:sz="0" w:space="0" w:color="auto" w:frame="1"/>
          <w:shd w:val="clear" w:color="auto" w:fill="FFFFFF"/>
        </w:rPr>
        <w:t xml:space="preserve"> i Rad</w:t>
      </w:r>
      <w:r>
        <w:rPr>
          <w:color w:val="000000"/>
          <w:sz w:val="18"/>
          <w:bdr w:val="none" w:sz="0" w:space="0" w:color="auto" w:frame="1"/>
          <w:shd w:val="clear" w:color="auto" w:fill="FFFFFF"/>
        </w:rPr>
        <w:t xml:space="preserve">y oraz rozporządzenie (WE) </w:t>
      </w:r>
      <w:r w:rsidRPr="003F3D2B">
        <w:rPr>
          <w:color w:val="000000"/>
          <w:sz w:val="18"/>
          <w:bdr w:val="none" w:sz="0" w:space="0" w:color="auto" w:frame="1"/>
          <w:shd w:val="clear" w:color="auto" w:fill="FFFFFF"/>
        </w:rPr>
        <w:t>nr</w:t>
      </w:r>
      <w:r w:rsidR="003F3D2B" w:rsidRPr="003F3D2B">
        <w:rPr>
          <w:color w:val="000000"/>
          <w:sz w:val="18"/>
          <w:bdr w:val="none" w:sz="0" w:space="0" w:color="auto" w:frame="1"/>
          <w:shd w:val="clear" w:color="auto" w:fill="FFFFFF"/>
        </w:rPr>
        <w:t> </w:t>
      </w:r>
      <w:r w:rsidRPr="003F3D2B">
        <w:rPr>
          <w:color w:val="000000"/>
          <w:sz w:val="18"/>
          <w:bdr w:val="none" w:sz="0" w:space="0" w:color="auto" w:frame="1"/>
          <w:shd w:val="clear" w:color="auto" w:fill="FFFFFF"/>
        </w:rPr>
        <w:t>2</w:t>
      </w:r>
      <w:r>
        <w:rPr>
          <w:color w:val="000000"/>
          <w:sz w:val="18"/>
          <w:bdr w:val="none" w:sz="0" w:space="0" w:color="auto" w:frame="1"/>
          <w:shd w:val="clear" w:color="auto" w:fill="FFFFFF"/>
        </w:rPr>
        <w:t>006/2004 Parlamentu Europejskiego</w:t>
      </w:r>
      <w:r w:rsidR="003F3D2B">
        <w:rPr>
          <w:color w:val="000000"/>
          <w:sz w:val="18"/>
          <w:bdr w:val="none" w:sz="0" w:space="0" w:color="auto" w:frame="1"/>
          <w:shd w:val="clear" w:color="auto" w:fill="FFFFFF"/>
        </w:rPr>
        <w:t xml:space="preserve"> i Rad</w:t>
      </w:r>
      <w:r>
        <w:rPr>
          <w:color w:val="000000"/>
          <w:sz w:val="18"/>
          <w:bdr w:val="none" w:sz="0" w:space="0" w:color="auto" w:frame="1"/>
          <w:shd w:val="clear" w:color="auto" w:fill="FFFFFF"/>
        </w:rPr>
        <w:t>y („Dyrektywy</w:t>
      </w:r>
      <w:r w:rsidR="003F3D2B">
        <w:rPr>
          <w:color w:val="000000"/>
          <w:sz w:val="18"/>
          <w:bdr w:val="none" w:sz="0" w:space="0" w:color="auto" w:frame="1"/>
          <w:shd w:val="clear" w:color="auto" w:fill="FFFFFF"/>
        </w:rPr>
        <w:t xml:space="preserve"> o nie</w:t>
      </w:r>
      <w:r>
        <w:rPr>
          <w:color w:val="000000"/>
          <w:sz w:val="18"/>
          <w:bdr w:val="none" w:sz="0" w:space="0" w:color="auto" w:frame="1"/>
          <w:shd w:val="clear" w:color="auto" w:fill="FFFFFF"/>
        </w:rPr>
        <w:t>uczciwych praktykach handlowych”) (Dz.U. L 149</w:t>
      </w:r>
      <w:r w:rsidR="003F3D2B">
        <w:rPr>
          <w:color w:val="000000"/>
          <w:sz w:val="18"/>
          <w:bdr w:val="none" w:sz="0" w:space="0" w:color="auto" w:frame="1"/>
          <w:shd w:val="clear" w:color="auto" w:fill="FFFFFF"/>
        </w:rPr>
        <w:t xml:space="preserve"> z 1</w:t>
      </w:r>
      <w:r>
        <w:rPr>
          <w:color w:val="000000"/>
          <w:sz w:val="18"/>
          <w:bdr w:val="none" w:sz="0" w:space="0" w:color="auto" w:frame="1"/>
          <w:shd w:val="clear" w:color="auto" w:fill="FFFFFF"/>
        </w:rPr>
        <w:t>1.6.2005, s. 22).</w:t>
      </w:r>
    </w:p>
  </w:footnote>
  <w:footnote w:id="28">
    <w:p w14:paraId="05BF473E" w14:textId="1B7D3584" w:rsidR="00406A17" w:rsidRPr="00932836" w:rsidRDefault="00406A17" w:rsidP="00D96629">
      <w:pPr>
        <w:pStyle w:val="FootnoteText"/>
        <w:rPr>
          <w:sz w:val="18"/>
          <w:szCs w:val="18"/>
        </w:rPr>
      </w:pPr>
      <w:r>
        <w:rPr>
          <w:rStyle w:val="FootnoteReference"/>
        </w:rPr>
        <w:footnoteRef/>
      </w:r>
      <w:r>
        <w:tab/>
      </w:r>
      <w:r>
        <w:rPr>
          <w:sz w:val="18"/>
        </w:rPr>
        <w:t xml:space="preserve">Załącznik I do </w:t>
      </w:r>
      <w:r>
        <w:rPr>
          <w:color w:val="000000"/>
          <w:sz w:val="18"/>
          <w:bdr w:val="none" w:sz="0" w:space="0" w:color="auto" w:frame="1"/>
          <w:shd w:val="clear" w:color="auto" w:fill="FFFFFF"/>
        </w:rPr>
        <w:t>dyrektywy 2005/29/WE Parlamentu Europejskiego</w:t>
      </w:r>
      <w:r w:rsidR="003F3D2B">
        <w:rPr>
          <w:color w:val="000000"/>
          <w:sz w:val="18"/>
          <w:bdr w:val="none" w:sz="0" w:space="0" w:color="auto" w:frame="1"/>
          <w:shd w:val="clear" w:color="auto" w:fill="FFFFFF"/>
        </w:rPr>
        <w:t xml:space="preserve"> i Rad</w:t>
      </w:r>
      <w:r>
        <w:rPr>
          <w:color w:val="000000"/>
          <w:sz w:val="18"/>
          <w:bdr w:val="none" w:sz="0" w:space="0" w:color="auto" w:frame="1"/>
          <w:shd w:val="clear" w:color="auto" w:fill="FFFFFF"/>
        </w:rPr>
        <w:t>y</w:t>
      </w:r>
      <w:r w:rsidR="003F3D2B">
        <w:rPr>
          <w:color w:val="000000"/>
          <w:sz w:val="18"/>
          <w:bdr w:val="none" w:sz="0" w:space="0" w:color="auto" w:frame="1"/>
          <w:shd w:val="clear" w:color="auto" w:fill="FFFFFF"/>
        </w:rPr>
        <w:t xml:space="preserve"> z dni</w:t>
      </w:r>
      <w:r>
        <w:rPr>
          <w:color w:val="000000"/>
          <w:sz w:val="18"/>
          <w:bdr w:val="none" w:sz="0" w:space="0" w:color="auto" w:frame="1"/>
          <w:shd w:val="clear" w:color="auto" w:fill="FFFFFF"/>
        </w:rPr>
        <w:t>a 11 maja 20</w:t>
      </w:r>
      <w:r w:rsidRPr="003F3D2B">
        <w:rPr>
          <w:color w:val="000000"/>
          <w:sz w:val="18"/>
          <w:bdr w:val="none" w:sz="0" w:space="0" w:color="auto" w:frame="1"/>
          <w:shd w:val="clear" w:color="auto" w:fill="FFFFFF"/>
        </w:rPr>
        <w:t>05</w:t>
      </w:r>
      <w:r w:rsidR="003F3D2B" w:rsidRPr="003F3D2B">
        <w:rPr>
          <w:color w:val="000000"/>
          <w:sz w:val="18"/>
          <w:bdr w:val="none" w:sz="0" w:space="0" w:color="auto" w:frame="1"/>
          <w:shd w:val="clear" w:color="auto" w:fill="FFFFFF"/>
        </w:rPr>
        <w:t> </w:t>
      </w:r>
      <w:r w:rsidRPr="003F3D2B">
        <w:rPr>
          <w:color w:val="000000"/>
          <w:sz w:val="18"/>
          <w:bdr w:val="none" w:sz="0" w:space="0" w:color="auto" w:frame="1"/>
          <w:shd w:val="clear" w:color="auto" w:fill="FFFFFF"/>
        </w:rPr>
        <w:t>r.</w:t>
      </w:r>
      <w:r>
        <w:rPr>
          <w:color w:val="000000"/>
          <w:sz w:val="18"/>
          <w:bdr w:val="none" w:sz="0" w:space="0" w:color="auto" w:frame="1"/>
          <w:shd w:val="clear" w:color="auto" w:fill="FFFFFF"/>
        </w:rPr>
        <w:t xml:space="preserve"> dotyczącej nieuczciwych praktyk handlowych stosowanych przez przedsiębiorstwa wobec konsumentów na rynku wewnętrznym oraz zmieniającej dyrektywę Rady 84/450/EWG, dyrektywy 97/7/WE, 98/27/WE</w:t>
      </w:r>
      <w:r w:rsidR="003F3D2B">
        <w:rPr>
          <w:color w:val="000000"/>
          <w:sz w:val="18"/>
          <w:bdr w:val="none" w:sz="0" w:space="0" w:color="auto" w:frame="1"/>
          <w:shd w:val="clear" w:color="auto" w:fill="FFFFFF"/>
        </w:rPr>
        <w:t xml:space="preserve"> i 2</w:t>
      </w:r>
      <w:r>
        <w:rPr>
          <w:color w:val="000000"/>
          <w:sz w:val="18"/>
          <w:bdr w:val="none" w:sz="0" w:space="0" w:color="auto" w:frame="1"/>
          <w:shd w:val="clear" w:color="auto" w:fill="FFFFFF"/>
        </w:rPr>
        <w:t>002/65/WE Parlamentu Europejskiego</w:t>
      </w:r>
      <w:r w:rsidR="003F3D2B">
        <w:rPr>
          <w:color w:val="000000"/>
          <w:sz w:val="18"/>
          <w:bdr w:val="none" w:sz="0" w:space="0" w:color="auto" w:frame="1"/>
          <w:shd w:val="clear" w:color="auto" w:fill="FFFFFF"/>
        </w:rPr>
        <w:t xml:space="preserve"> i Rad</w:t>
      </w:r>
      <w:r>
        <w:rPr>
          <w:color w:val="000000"/>
          <w:sz w:val="18"/>
          <w:bdr w:val="none" w:sz="0" w:space="0" w:color="auto" w:frame="1"/>
          <w:shd w:val="clear" w:color="auto" w:fill="FFFFFF"/>
        </w:rPr>
        <w:t xml:space="preserve">y oraz rozporządzenie (WE) </w:t>
      </w:r>
      <w:r w:rsidRPr="003F3D2B">
        <w:rPr>
          <w:color w:val="000000"/>
          <w:sz w:val="18"/>
          <w:bdr w:val="none" w:sz="0" w:space="0" w:color="auto" w:frame="1"/>
          <w:shd w:val="clear" w:color="auto" w:fill="FFFFFF"/>
        </w:rPr>
        <w:t>nr</w:t>
      </w:r>
      <w:r w:rsidR="003F3D2B" w:rsidRPr="003F3D2B">
        <w:rPr>
          <w:color w:val="000000"/>
          <w:sz w:val="18"/>
          <w:bdr w:val="none" w:sz="0" w:space="0" w:color="auto" w:frame="1"/>
          <w:shd w:val="clear" w:color="auto" w:fill="FFFFFF"/>
        </w:rPr>
        <w:t> </w:t>
      </w:r>
      <w:r w:rsidRPr="003F3D2B">
        <w:rPr>
          <w:color w:val="000000"/>
          <w:sz w:val="18"/>
          <w:bdr w:val="none" w:sz="0" w:space="0" w:color="auto" w:frame="1"/>
          <w:shd w:val="clear" w:color="auto" w:fill="FFFFFF"/>
        </w:rPr>
        <w:t>2</w:t>
      </w:r>
      <w:r>
        <w:rPr>
          <w:color w:val="000000"/>
          <w:sz w:val="18"/>
          <w:bdr w:val="none" w:sz="0" w:space="0" w:color="auto" w:frame="1"/>
          <w:shd w:val="clear" w:color="auto" w:fill="FFFFFF"/>
        </w:rPr>
        <w:t>006/2004 Parlamentu Europejskiego</w:t>
      </w:r>
      <w:r w:rsidR="003F3D2B">
        <w:rPr>
          <w:color w:val="000000"/>
          <w:sz w:val="18"/>
          <w:bdr w:val="none" w:sz="0" w:space="0" w:color="auto" w:frame="1"/>
          <w:shd w:val="clear" w:color="auto" w:fill="FFFFFF"/>
        </w:rPr>
        <w:t xml:space="preserve"> i Rad</w:t>
      </w:r>
      <w:r>
        <w:rPr>
          <w:color w:val="000000"/>
          <w:sz w:val="18"/>
          <w:bdr w:val="none" w:sz="0" w:space="0" w:color="auto" w:frame="1"/>
          <w:shd w:val="clear" w:color="auto" w:fill="FFFFFF"/>
        </w:rPr>
        <w:t>y („Dyrektywy</w:t>
      </w:r>
      <w:r w:rsidR="003F3D2B">
        <w:rPr>
          <w:color w:val="000000"/>
          <w:sz w:val="18"/>
          <w:bdr w:val="none" w:sz="0" w:space="0" w:color="auto" w:frame="1"/>
          <w:shd w:val="clear" w:color="auto" w:fill="FFFFFF"/>
        </w:rPr>
        <w:t xml:space="preserve"> o nie</w:t>
      </w:r>
      <w:r>
        <w:rPr>
          <w:color w:val="000000"/>
          <w:sz w:val="18"/>
          <w:bdr w:val="none" w:sz="0" w:space="0" w:color="auto" w:frame="1"/>
          <w:shd w:val="clear" w:color="auto" w:fill="FFFFFF"/>
        </w:rPr>
        <w:t>uczciwych praktykach handlowych”) (Dz.U. L 149</w:t>
      </w:r>
      <w:r w:rsidR="003F3D2B">
        <w:rPr>
          <w:color w:val="000000"/>
          <w:sz w:val="18"/>
          <w:bdr w:val="none" w:sz="0" w:space="0" w:color="auto" w:frame="1"/>
          <w:shd w:val="clear" w:color="auto" w:fill="FFFFFF"/>
        </w:rPr>
        <w:t xml:space="preserve"> z 1</w:t>
      </w:r>
      <w:r>
        <w:rPr>
          <w:color w:val="000000"/>
          <w:sz w:val="18"/>
          <w:bdr w:val="none" w:sz="0" w:space="0" w:color="auto" w:frame="1"/>
          <w:shd w:val="clear" w:color="auto" w:fill="FFFFFF"/>
        </w:rPr>
        <w:t>1.6.2005, s. 22).</w:t>
      </w:r>
    </w:p>
  </w:footnote>
  <w:footnote w:id="29">
    <w:p w14:paraId="161CB632" w14:textId="77777777" w:rsidR="00406A17" w:rsidRPr="00B83F01" w:rsidRDefault="00406A17" w:rsidP="00D96629">
      <w:pPr>
        <w:pStyle w:val="FootnoteText"/>
      </w:pPr>
      <w:r>
        <w:rPr>
          <w:rStyle w:val="FootnoteReference"/>
        </w:rPr>
        <w:footnoteRef/>
      </w:r>
      <w:r>
        <w:tab/>
        <w:t>COM(2022) 672 final</w:t>
      </w:r>
    </w:p>
  </w:footnote>
  <w:footnote w:id="30">
    <w:p w14:paraId="66865721" w14:textId="09459DDD" w:rsidR="00406A17" w:rsidRPr="008C242C" w:rsidRDefault="00406A17" w:rsidP="00D96629">
      <w:pPr>
        <w:pStyle w:val="FootnoteText"/>
        <w:rPr>
          <w:sz w:val="18"/>
          <w:szCs w:val="18"/>
        </w:rPr>
      </w:pPr>
      <w:r>
        <w:rPr>
          <w:rStyle w:val="FootnoteReference"/>
        </w:rPr>
        <w:footnoteRef/>
      </w:r>
      <w:r>
        <w:tab/>
      </w:r>
      <w:r>
        <w:rPr>
          <w:sz w:val="18"/>
        </w:rPr>
        <w:t>Dyrektywa Parlamentu Europejskiego</w:t>
      </w:r>
      <w:r w:rsidR="003F3D2B">
        <w:rPr>
          <w:sz w:val="18"/>
        </w:rPr>
        <w:t xml:space="preserve"> i Rad</w:t>
      </w:r>
      <w:r>
        <w:rPr>
          <w:sz w:val="18"/>
        </w:rPr>
        <w:t>y 2009/125/WE</w:t>
      </w:r>
      <w:r w:rsidR="003F3D2B">
        <w:rPr>
          <w:sz w:val="18"/>
        </w:rPr>
        <w:t xml:space="preserve"> z dni</w:t>
      </w:r>
      <w:r>
        <w:rPr>
          <w:sz w:val="18"/>
        </w:rPr>
        <w:t>a 21 października 20</w:t>
      </w:r>
      <w:r w:rsidRPr="003F3D2B">
        <w:rPr>
          <w:sz w:val="18"/>
        </w:rPr>
        <w:t>09</w:t>
      </w:r>
      <w:r w:rsidR="003F3D2B" w:rsidRPr="003F3D2B">
        <w:rPr>
          <w:sz w:val="18"/>
        </w:rPr>
        <w:t> </w:t>
      </w:r>
      <w:r w:rsidRPr="003F3D2B">
        <w:rPr>
          <w:sz w:val="18"/>
        </w:rPr>
        <w:t>r.</w:t>
      </w:r>
      <w:r>
        <w:rPr>
          <w:sz w:val="18"/>
        </w:rPr>
        <w:t xml:space="preserve"> ustanawiająca ogólne zasady ustalania wymogów dotyczących ekoprojektu dla produktów związanych</w:t>
      </w:r>
      <w:r w:rsidR="003F3D2B">
        <w:rPr>
          <w:sz w:val="18"/>
        </w:rPr>
        <w:t xml:space="preserve"> z ene</w:t>
      </w:r>
      <w:r>
        <w:rPr>
          <w:sz w:val="18"/>
        </w:rPr>
        <w:t>rgią, L 285/10</w:t>
      </w:r>
    </w:p>
  </w:footnote>
  <w:footnote w:id="31">
    <w:p w14:paraId="4AC98B51" w14:textId="77777777" w:rsidR="00406A17" w:rsidRPr="008C242C" w:rsidRDefault="00406A17" w:rsidP="00D96629">
      <w:pPr>
        <w:pStyle w:val="FootnoteText"/>
        <w:rPr>
          <w:sz w:val="18"/>
          <w:szCs w:val="18"/>
        </w:rPr>
      </w:pPr>
      <w:r>
        <w:rPr>
          <w:rStyle w:val="FootnoteReference"/>
        </w:rPr>
        <w:footnoteRef/>
      </w:r>
      <w:r>
        <w:tab/>
      </w:r>
      <w:r>
        <w:rPr>
          <w:sz w:val="18"/>
        </w:rPr>
        <w:t xml:space="preserve">COM(2022) 142 final. </w:t>
      </w:r>
    </w:p>
  </w:footnote>
  <w:footnote w:id="32">
    <w:p w14:paraId="30F285B5" w14:textId="0A284B18" w:rsidR="00406A17" w:rsidRPr="008C242C" w:rsidRDefault="00406A17" w:rsidP="00D96629">
      <w:pPr>
        <w:pStyle w:val="FootnoteText"/>
        <w:rPr>
          <w:sz w:val="18"/>
          <w:szCs w:val="18"/>
        </w:rPr>
      </w:pPr>
      <w:r>
        <w:rPr>
          <w:rStyle w:val="FootnoteReference"/>
        </w:rPr>
        <w:footnoteRef/>
      </w:r>
      <w:r>
        <w:tab/>
      </w:r>
      <w:r>
        <w:rPr>
          <w:sz w:val="18"/>
        </w:rPr>
        <w:t>Rozporządzenie Parlamentu Europejskiego</w:t>
      </w:r>
      <w:r w:rsidR="003F3D2B">
        <w:rPr>
          <w:sz w:val="18"/>
        </w:rPr>
        <w:t xml:space="preserve"> i Rad</w:t>
      </w:r>
      <w:r>
        <w:rPr>
          <w:sz w:val="18"/>
        </w:rPr>
        <w:t xml:space="preserve">y (UE) </w:t>
      </w:r>
      <w:r w:rsidRPr="003F3D2B">
        <w:rPr>
          <w:sz w:val="18"/>
        </w:rPr>
        <w:t>nr</w:t>
      </w:r>
      <w:r w:rsidR="003F3D2B" w:rsidRPr="003F3D2B">
        <w:rPr>
          <w:sz w:val="18"/>
        </w:rPr>
        <w:t> </w:t>
      </w:r>
      <w:r w:rsidRPr="003F3D2B">
        <w:rPr>
          <w:sz w:val="18"/>
        </w:rPr>
        <w:t>3</w:t>
      </w:r>
      <w:r>
        <w:rPr>
          <w:sz w:val="18"/>
        </w:rPr>
        <w:t>05/2011</w:t>
      </w:r>
      <w:r w:rsidR="003F3D2B">
        <w:rPr>
          <w:sz w:val="18"/>
        </w:rPr>
        <w:t xml:space="preserve"> z dni</w:t>
      </w:r>
      <w:r>
        <w:rPr>
          <w:sz w:val="18"/>
        </w:rPr>
        <w:t>a 9 marca 20</w:t>
      </w:r>
      <w:r w:rsidRPr="003F3D2B">
        <w:rPr>
          <w:sz w:val="18"/>
        </w:rPr>
        <w:t>11</w:t>
      </w:r>
      <w:r w:rsidR="003F3D2B" w:rsidRPr="003F3D2B">
        <w:rPr>
          <w:sz w:val="18"/>
        </w:rPr>
        <w:t> </w:t>
      </w:r>
      <w:r w:rsidRPr="003F3D2B">
        <w:rPr>
          <w:sz w:val="18"/>
        </w:rPr>
        <w:t>r.</w:t>
      </w:r>
      <w:r>
        <w:rPr>
          <w:sz w:val="18"/>
        </w:rPr>
        <w:t xml:space="preserve"> ustanawiające zharmonizowane warunki wprowadzania do obrotu wyrobów budowlanych</w:t>
      </w:r>
      <w:r w:rsidR="003F3D2B">
        <w:rPr>
          <w:sz w:val="18"/>
        </w:rPr>
        <w:t xml:space="preserve"> i uch</w:t>
      </w:r>
      <w:r>
        <w:rPr>
          <w:sz w:val="18"/>
        </w:rPr>
        <w:t>ylające dyrektywę Rady 89/106/EWG (Dz.U. L 88</w:t>
      </w:r>
      <w:r w:rsidR="003F3D2B">
        <w:rPr>
          <w:sz w:val="18"/>
        </w:rPr>
        <w:t xml:space="preserve"> z 4</w:t>
      </w:r>
      <w:r>
        <w:rPr>
          <w:sz w:val="18"/>
        </w:rPr>
        <w:t>.4.2011, s. 5).</w:t>
      </w:r>
    </w:p>
  </w:footnote>
  <w:footnote w:id="33">
    <w:p w14:paraId="63003E14" w14:textId="77777777" w:rsidR="00406A17" w:rsidRPr="00F01AF6" w:rsidRDefault="00406A17" w:rsidP="00D96629">
      <w:pPr>
        <w:pStyle w:val="FootnoteText"/>
        <w:rPr>
          <w:sz w:val="18"/>
          <w:szCs w:val="18"/>
        </w:rPr>
      </w:pPr>
      <w:r>
        <w:rPr>
          <w:rStyle w:val="FootnoteReference"/>
        </w:rPr>
        <w:footnoteRef/>
      </w:r>
      <w:r>
        <w:tab/>
      </w:r>
      <w:r>
        <w:rPr>
          <w:sz w:val="18"/>
        </w:rPr>
        <w:t>COM(2020) 798 final.</w:t>
      </w:r>
    </w:p>
  </w:footnote>
  <w:footnote w:id="34">
    <w:p w14:paraId="1B5A707E" w14:textId="3623DC24" w:rsidR="00406A17" w:rsidRPr="008C242C" w:rsidRDefault="00406A17" w:rsidP="00D96629">
      <w:pPr>
        <w:pStyle w:val="FootnoteText"/>
        <w:rPr>
          <w:sz w:val="18"/>
          <w:szCs w:val="18"/>
        </w:rPr>
      </w:pPr>
      <w:r>
        <w:rPr>
          <w:rStyle w:val="FootnoteReference"/>
        </w:rPr>
        <w:footnoteRef/>
      </w:r>
      <w:r>
        <w:tab/>
      </w:r>
      <w:r>
        <w:rPr>
          <w:sz w:val="18"/>
        </w:rPr>
        <w:t>Rozporządzenie Parlamentu Europejskiego</w:t>
      </w:r>
      <w:r w:rsidR="003F3D2B">
        <w:rPr>
          <w:sz w:val="18"/>
        </w:rPr>
        <w:t xml:space="preserve"> i Rad</w:t>
      </w:r>
      <w:r>
        <w:rPr>
          <w:sz w:val="18"/>
        </w:rPr>
        <w:t xml:space="preserve">y (WE) </w:t>
      </w:r>
      <w:r w:rsidRPr="003F3D2B">
        <w:rPr>
          <w:sz w:val="18"/>
        </w:rPr>
        <w:t>nr</w:t>
      </w:r>
      <w:r w:rsidR="003F3D2B" w:rsidRPr="003F3D2B">
        <w:rPr>
          <w:sz w:val="18"/>
        </w:rPr>
        <w:t> </w:t>
      </w:r>
      <w:r w:rsidRPr="003F3D2B">
        <w:rPr>
          <w:sz w:val="18"/>
        </w:rPr>
        <w:t>6</w:t>
      </w:r>
      <w:r>
        <w:rPr>
          <w:sz w:val="18"/>
        </w:rPr>
        <w:t>6/2010</w:t>
      </w:r>
      <w:r w:rsidR="003F3D2B">
        <w:rPr>
          <w:sz w:val="18"/>
        </w:rPr>
        <w:t xml:space="preserve"> z dni</w:t>
      </w:r>
      <w:r>
        <w:rPr>
          <w:sz w:val="18"/>
        </w:rPr>
        <w:t>a 25 listopada 20</w:t>
      </w:r>
      <w:r w:rsidRPr="003F3D2B">
        <w:rPr>
          <w:sz w:val="18"/>
        </w:rPr>
        <w:t>09</w:t>
      </w:r>
      <w:r w:rsidR="003F3D2B" w:rsidRPr="003F3D2B">
        <w:rPr>
          <w:sz w:val="18"/>
        </w:rPr>
        <w:t> </w:t>
      </w:r>
      <w:r w:rsidRPr="003F3D2B">
        <w:rPr>
          <w:sz w:val="18"/>
        </w:rPr>
        <w:t>r.</w:t>
      </w:r>
      <w:r w:rsidR="003F3D2B">
        <w:rPr>
          <w:sz w:val="18"/>
        </w:rPr>
        <w:t xml:space="preserve"> w spr</w:t>
      </w:r>
      <w:r>
        <w:rPr>
          <w:sz w:val="18"/>
        </w:rPr>
        <w:t>awie oznakowania ekologicznego UE (Dz.U. L 27</w:t>
      </w:r>
      <w:r w:rsidR="003F3D2B">
        <w:rPr>
          <w:sz w:val="18"/>
        </w:rPr>
        <w:t xml:space="preserve"> z 3</w:t>
      </w:r>
      <w:r>
        <w:rPr>
          <w:sz w:val="18"/>
        </w:rPr>
        <w:t>0.1.2010, s. 1).</w:t>
      </w:r>
    </w:p>
  </w:footnote>
  <w:footnote w:id="35">
    <w:p w14:paraId="779A4279" w14:textId="55424B56" w:rsidR="00406A17" w:rsidRPr="008D4F82" w:rsidRDefault="00406A17" w:rsidP="00D96629">
      <w:pPr>
        <w:pStyle w:val="FootnoteText"/>
      </w:pPr>
      <w:r>
        <w:rPr>
          <w:rStyle w:val="FootnoteReference"/>
        </w:rPr>
        <w:footnoteRef/>
      </w:r>
      <w:r>
        <w:tab/>
      </w:r>
      <w:r>
        <w:rPr>
          <w:sz w:val="18"/>
        </w:rPr>
        <w:t>Rozporządzenie Parlamentu Europejskiego</w:t>
      </w:r>
      <w:r w:rsidR="003F3D2B">
        <w:rPr>
          <w:sz w:val="18"/>
        </w:rPr>
        <w:t xml:space="preserve"> i Rad</w:t>
      </w:r>
      <w:r>
        <w:rPr>
          <w:sz w:val="18"/>
        </w:rPr>
        <w:t xml:space="preserve">y (WE) </w:t>
      </w:r>
      <w:r w:rsidRPr="003F3D2B">
        <w:rPr>
          <w:sz w:val="18"/>
        </w:rPr>
        <w:t>nr</w:t>
      </w:r>
      <w:r w:rsidR="003F3D2B" w:rsidRPr="003F3D2B">
        <w:rPr>
          <w:sz w:val="18"/>
        </w:rPr>
        <w:t> </w:t>
      </w:r>
      <w:r w:rsidRPr="003F3D2B">
        <w:rPr>
          <w:sz w:val="18"/>
        </w:rPr>
        <w:t>1</w:t>
      </w:r>
      <w:r>
        <w:rPr>
          <w:sz w:val="18"/>
        </w:rPr>
        <w:t>221/2009</w:t>
      </w:r>
      <w:r w:rsidR="003F3D2B">
        <w:rPr>
          <w:sz w:val="18"/>
        </w:rPr>
        <w:t xml:space="preserve"> z dni</w:t>
      </w:r>
      <w:r>
        <w:rPr>
          <w:sz w:val="18"/>
        </w:rPr>
        <w:t>a 25 listopada 20</w:t>
      </w:r>
      <w:r w:rsidRPr="003F3D2B">
        <w:rPr>
          <w:sz w:val="18"/>
        </w:rPr>
        <w:t>09</w:t>
      </w:r>
      <w:r w:rsidR="003F3D2B" w:rsidRPr="003F3D2B">
        <w:rPr>
          <w:sz w:val="18"/>
        </w:rPr>
        <w:t> </w:t>
      </w:r>
      <w:r w:rsidRPr="003F3D2B">
        <w:rPr>
          <w:sz w:val="18"/>
        </w:rPr>
        <w:t>r.</w:t>
      </w:r>
      <w:r w:rsidR="003F3D2B">
        <w:rPr>
          <w:sz w:val="18"/>
        </w:rPr>
        <w:t xml:space="preserve"> w spr</w:t>
      </w:r>
      <w:r>
        <w:rPr>
          <w:sz w:val="18"/>
        </w:rPr>
        <w:t>awie dobrowolnego udziału organizacji</w:t>
      </w:r>
      <w:r w:rsidR="003F3D2B">
        <w:rPr>
          <w:sz w:val="18"/>
        </w:rPr>
        <w:t xml:space="preserve"> w sys</w:t>
      </w:r>
      <w:r>
        <w:rPr>
          <w:sz w:val="18"/>
        </w:rPr>
        <w:t>temie ekozarządzania</w:t>
      </w:r>
      <w:r w:rsidR="003F3D2B">
        <w:rPr>
          <w:sz w:val="18"/>
        </w:rPr>
        <w:t xml:space="preserve"> i aud</w:t>
      </w:r>
      <w:r>
        <w:rPr>
          <w:sz w:val="18"/>
        </w:rPr>
        <w:t xml:space="preserve">ytu we Wspólnocie (EMAS), uchylające rozporządzenie (WE) </w:t>
      </w:r>
      <w:r w:rsidRPr="003F3D2B">
        <w:rPr>
          <w:sz w:val="18"/>
        </w:rPr>
        <w:t>nr</w:t>
      </w:r>
      <w:r w:rsidR="003F3D2B" w:rsidRPr="003F3D2B">
        <w:rPr>
          <w:sz w:val="18"/>
        </w:rPr>
        <w:t> </w:t>
      </w:r>
      <w:r w:rsidRPr="003F3D2B">
        <w:rPr>
          <w:sz w:val="18"/>
        </w:rPr>
        <w:t>7</w:t>
      </w:r>
      <w:r>
        <w:rPr>
          <w:sz w:val="18"/>
        </w:rPr>
        <w:t>61/2001 oraz decyzje Komisji 2001/681/WE</w:t>
      </w:r>
      <w:r w:rsidR="003F3D2B">
        <w:rPr>
          <w:sz w:val="18"/>
        </w:rPr>
        <w:t xml:space="preserve"> i 2</w:t>
      </w:r>
      <w:r>
        <w:rPr>
          <w:sz w:val="18"/>
        </w:rPr>
        <w:t>006/193/WE (Dz.U. L 342</w:t>
      </w:r>
      <w:r w:rsidR="003F3D2B">
        <w:rPr>
          <w:sz w:val="18"/>
        </w:rPr>
        <w:t xml:space="preserve"> z 2</w:t>
      </w:r>
      <w:r>
        <w:rPr>
          <w:sz w:val="18"/>
        </w:rPr>
        <w:t>2.12.2009, s. 1).</w:t>
      </w:r>
    </w:p>
  </w:footnote>
  <w:footnote w:id="36">
    <w:p w14:paraId="73F51EB4" w14:textId="1258ECAC" w:rsidR="00406A17" w:rsidRPr="00E254FD" w:rsidRDefault="00406A17" w:rsidP="00D96629">
      <w:pPr>
        <w:pStyle w:val="FootnoteText"/>
        <w:rPr>
          <w:sz w:val="18"/>
          <w:szCs w:val="18"/>
        </w:rPr>
      </w:pPr>
      <w:r>
        <w:rPr>
          <w:rStyle w:val="FootnoteReference"/>
        </w:rPr>
        <w:footnoteRef/>
      </w:r>
      <w:r>
        <w:tab/>
      </w:r>
      <w:r>
        <w:rPr>
          <w:sz w:val="18"/>
        </w:rPr>
        <w:t>Rozporządzenie Parlamentu Europejskiego</w:t>
      </w:r>
      <w:r w:rsidR="003F3D2B">
        <w:rPr>
          <w:sz w:val="18"/>
        </w:rPr>
        <w:t xml:space="preserve"> i Rad</w:t>
      </w:r>
      <w:r>
        <w:rPr>
          <w:sz w:val="18"/>
        </w:rPr>
        <w:t>y (UE) 2018/848</w:t>
      </w:r>
      <w:r w:rsidR="003F3D2B">
        <w:rPr>
          <w:sz w:val="18"/>
        </w:rPr>
        <w:t xml:space="preserve"> z dni</w:t>
      </w:r>
      <w:r>
        <w:rPr>
          <w:sz w:val="18"/>
        </w:rPr>
        <w:t>a 30 maja 20</w:t>
      </w:r>
      <w:r w:rsidRPr="003F3D2B">
        <w:rPr>
          <w:sz w:val="18"/>
        </w:rPr>
        <w:t>18</w:t>
      </w:r>
      <w:r w:rsidR="003F3D2B" w:rsidRPr="003F3D2B">
        <w:rPr>
          <w:sz w:val="18"/>
        </w:rPr>
        <w:t> </w:t>
      </w:r>
      <w:r w:rsidRPr="003F3D2B">
        <w:rPr>
          <w:sz w:val="18"/>
        </w:rPr>
        <w:t>r.</w:t>
      </w:r>
      <w:r w:rsidR="003F3D2B">
        <w:rPr>
          <w:sz w:val="18"/>
        </w:rPr>
        <w:t xml:space="preserve"> w spr</w:t>
      </w:r>
      <w:r>
        <w:rPr>
          <w:sz w:val="18"/>
        </w:rPr>
        <w:t>awie produkcji ekologicznej</w:t>
      </w:r>
      <w:r w:rsidR="003F3D2B">
        <w:rPr>
          <w:sz w:val="18"/>
        </w:rPr>
        <w:t xml:space="preserve"> i zna</w:t>
      </w:r>
      <w:r>
        <w:rPr>
          <w:sz w:val="18"/>
        </w:rPr>
        <w:t>kowania produktów ekologicznych</w:t>
      </w:r>
      <w:r w:rsidR="003F3D2B">
        <w:rPr>
          <w:sz w:val="18"/>
        </w:rPr>
        <w:t xml:space="preserve"> i uch</w:t>
      </w:r>
      <w:r>
        <w:rPr>
          <w:sz w:val="18"/>
        </w:rPr>
        <w:t xml:space="preserve">ylające rozporządzenie Rady (WE) </w:t>
      </w:r>
      <w:r w:rsidRPr="003F3D2B">
        <w:rPr>
          <w:sz w:val="18"/>
        </w:rPr>
        <w:t>nr</w:t>
      </w:r>
      <w:r w:rsidR="003F3D2B" w:rsidRPr="003F3D2B">
        <w:rPr>
          <w:sz w:val="18"/>
        </w:rPr>
        <w:t> </w:t>
      </w:r>
      <w:r w:rsidRPr="003F3D2B">
        <w:rPr>
          <w:sz w:val="18"/>
        </w:rPr>
        <w:t>8</w:t>
      </w:r>
      <w:r>
        <w:rPr>
          <w:sz w:val="18"/>
        </w:rPr>
        <w:t>34/2007 (Dz.U. L 150</w:t>
      </w:r>
      <w:r w:rsidR="003F3D2B">
        <w:rPr>
          <w:sz w:val="18"/>
        </w:rPr>
        <w:t xml:space="preserve"> z 1</w:t>
      </w:r>
      <w:r>
        <w:rPr>
          <w:sz w:val="18"/>
        </w:rPr>
        <w:t>4.6.2018, s. 1).</w:t>
      </w:r>
    </w:p>
  </w:footnote>
  <w:footnote w:id="37">
    <w:p w14:paraId="1DA7DE3F" w14:textId="5D377600" w:rsidR="00406A17" w:rsidRPr="00E254FD" w:rsidRDefault="00406A17" w:rsidP="00D96629">
      <w:pPr>
        <w:pStyle w:val="FootnoteText"/>
        <w:rPr>
          <w:sz w:val="18"/>
          <w:szCs w:val="18"/>
        </w:rPr>
      </w:pPr>
      <w:r>
        <w:rPr>
          <w:rStyle w:val="FootnoteReference"/>
        </w:rPr>
        <w:footnoteRef/>
      </w:r>
      <w:r>
        <w:tab/>
      </w:r>
      <w:r>
        <w:rPr>
          <w:sz w:val="18"/>
        </w:rPr>
        <w:t>Rozporządzenie Parlamentu Europejskiego</w:t>
      </w:r>
      <w:r w:rsidR="003F3D2B">
        <w:rPr>
          <w:sz w:val="18"/>
        </w:rPr>
        <w:t xml:space="preserve"> i Rad</w:t>
      </w:r>
      <w:r>
        <w:rPr>
          <w:sz w:val="18"/>
        </w:rPr>
        <w:t>y (UE) 2017/1369</w:t>
      </w:r>
      <w:r w:rsidR="003F3D2B">
        <w:rPr>
          <w:sz w:val="18"/>
        </w:rPr>
        <w:t xml:space="preserve"> z dni</w:t>
      </w:r>
      <w:r>
        <w:rPr>
          <w:sz w:val="18"/>
        </w:rPr>
        <w:t>a 4 lipca 20</w:t>
      </w:r>
      <w:r w:rsidRPr="003F3D2B">
        <w:rPr>
          <w:sz w:val="18"/>
        </w:rPr>
        <w:t>17</w:t>
      </w:r>
      <w:r w:rsidR="003F3D2B" w:rsidRPr="003F3D2B">
        <w:rPr>
          <w:sz w:val="18"/>
        </w:rPr>
        <w:t> </w:t>
      </w:r>
      <w:r w:rsidRPr="003F3D2B">
        <w:rPr>
          <w:sz w:val="18"/>
        </w:rPr>
        <w:t>r.</w:t>
      </w:r>
      <w:r>
        <w:rPr>
          <w:sz w:val="18"/>
        </w:rPr>
        <w:t xml:space="preserve"> ustanawiające ramy etykietowania energetycznego</w:t>
      </w:r>
      <w:r w:rsidR="003F3D2B">
        <w:rPr>
          <w:sz w:val="18"/>
        </w:rPr>
        <w:t xml:space="preserve"> i uch</w:t>
      </w:r>
      <w:r>
        <w:rPr>
          <w:sz w:val="18"/>
        </w:rPr>
        <w:t>ylające dyrektywę 2010/30/UE (Dz.U. L 198</w:t>
      </w:r>
      <w:r w:rsidR="003F3D2B">
        <w:rPr>
          <w:sz w:val="18"/>
        </w:rPr>
        <w:t xml:space="preserve"> z 2</w:t>
      </w:r>
      <w:r>
        <w:rPr>
          <w:sz w:val="18"/>
        </w:rPr>
        <w:t>8.7.2017, s. 1).</w:t>
      </w:r>
    </w:p>
  </w:footnote>
  <w:footnote w:id="38">
    <w:p w14:paraId="4C05DE4B" w14:textId="7C3BB880" w:rsidR="00406A17" w:rsidRPr="00E254FD" w:rsidRDefault="00406A17" w:rsidP="00D96629">
      <w:pPr>
        <w:pStyle w:val="FootnoteText"/>
        <w:rPr>
          <w:sz w:val="18"/>
          <w:szCs w:val="18"/>
        </w:rPr>
      </w:pPr>
      <w:r>
        <w:rPr>
          <w:rStyle w:val="FootnoteReference"/>
        </w:rPr>
        <w:footnoteRef/>
      </w:r>
      <w:r>
        <w:tab/>
      </w:r>
      <w:r>
        <w:rPr>
          <w:sz w:val="18"/>
        </w:rPr>
        <w:t>Dyrektywa Parlamentu Europejskiego</w:t>
      </w:r>
      <w:r w:rsidR="003F3D2B">
        <w:rPr>
          <w:sz w:val="18"/>
        </w:rPr>
        <w:t xml:space="preserve"> i Rad</w:t>
      </w:r>
      <w:r>
        <w:rPr>
          <w:sz w:val="18"/>
        </w:rPr>
        <w:t>y 2009/125/WE</w:t>
      </w:r>
      <w:r w:rsidR="003F3D2B">
        <w:rPr>
          <w:sz w:val="18"/>
        </w:rPr>
        <w:t xml:space="preserve"> z dni</w:t>
      </w:r>
      <w:r>
        <w:rPr>
          <w:sz w:val="18"/>
        </w:rPr>
        <w:t>a 21 października 20</w:t>
      </w:r>
      <w:r w:rsidRPr="003F3D2B">
        <w:rPr>
          <w:sz w:val="18"/>
        </w:rPr>
        <w:t>09</w:t>
      </w:r>
      <w:r w:rsidR="003F3D2B" w:rsidRPr="003F3D2B">
        <w:rPr>
          <w:sz w:val="18"/>
        </w:rPr>
        <w:t> </w:t>
      </w:r>
      <w:r w:rsidRPr="003F3D2B">
        <w:rPr>
          <w:sz w:val="18"/>
        </w:rPr>
        <w:t>r.</w:t>
      </w:r>
      <w:r>
        <w:rPr>
          <w:sz w:val="18"/>
        </w:rPr>
        <w:t xml:space="preserve"> ustanawiająca ogólne zasady ustalania wymogów dotyczących ekoprojektu dla produktów związanych</w:t>
      </w:r>
      <w:r w:rsidR="003F3D2B">
        <w:rPr>
          <w:sz w:val="18"/>
        </w:rPr>
        <w:t xml:space="preserve"> z ene</w:t>
      </w:r>
      <w:r>
        <w:rPr>
          <w:sz w:val="18"/>
        </w:rPr>
        <w:t>rgią (wersja przekształcona) (Dz.U. L 285</w:t>
      </w:r>
      <w:r w:rsidR="003F3D2B">
        <w:rPr>
          <w:sz w:val="18"/>
        </w:rPr>
        <w:t xml:space="preserve"> z 3</w:t>
      </w:r>
      <w:r>
        <w:rPr>
          <w:sz w:val="18"/>
        </w:rPr>
        <w:t>1.10.2009, s. 10).</w:t>
      </w:r>
    </w:p>
  </w:footnote>
  <w:footnote w:id="39">
    <w:p w14:paraId="182DC10F" w14:textId="77777777" w:rsidR="00406A17" w:rsidRPr="006577C0" w:rsidRDefault="00406A17" w:rsidP="00D96629">
      <w:pPr>
        <w:pStyle w:val="FootnoteText"/>
        <w:rPr>
          <w:sz w:val="18"/>
          <w:szCs w:val="18"/>
        </w:rPr>
      </w:pPr>
      <w:r>
        <w:rPr>
          <w:rStyle w:val="FootnoteReference"/>
        </w:rPr>
        <w:footnoteRef/>
      </w:r>
      <w:r>
        <w:tab/>
      </w:r>
      <w:hyperlink r:id="rId11" w:history="1">
        <w:r>
          <w:rPr>
            <w:rStyle w:val="Hyperlink"/>
            <w:sz w:val="18"/>
          </w:rPr>
          <w:t>https://ec.europa.eu/environment/strategy/zero-pollution-action-plan_en</w:t>
        </w:r>
      </w:hyperlink>
      <w:r>
        <w:rPr>
          <w:sz w:val="18"/>
        </w:rPr>
        <w:t xml:space="preserve"> </w:t>
      </w:r>
    </w:p>
  </w:footnote>
  <w:footnote w:id="40">
    <w:p w14:paraId="2E541FD0" w14:textId="77777777" w:rsidR="00406A17" w:rsidRPr="00624565" w:rsidRDefault="00406A17" w:rsidP="00D96629">
      <w:pPr>
        <w:pStyle w:val="FootnoteText"/>
        <w:rPr>
          <w:lang w:val="en-IE"/>
        </w:rPr>
      </w:pPr>
      <w:r>
        <w:rPr>
          <w:rStyle w:val="FootnoteReference"/>
        </w:rPr>
        <w:footnoteRef/>
      </w:r>
      <w:r w:rsidRPr="00624565">
        <w:rPr>
          <w:lang w:val="en-IE"/>
        </w:rPr>
        <w:tab/>
      </w:r>
      <w:r w:rsidRPr="00624565">
        <w:rPr>
          <w:sz w:val="18"/>
          <w:lang w:val="en-IE"/>
        </w:rPr>
        <w:t>COM(2020) 380 final.</w:t>
      </w:r>
    </w:p>
  </w:footnote>
  <w:footnote w:id="41">
    <w:p w14:paraId="6C552D5A" w14:textId="77777777" w:rsidR="00406A17" w:rsidRPr="00624565" w:rsidRDefault="00406A17" w:rsidP="00D96629">
      <w:pPr>
        <w:pStyle w:val="FootnoteText"/>
        <w:rPr>
          <w:lang w:val="en-IE"/>
        </w:rPr>
      </w:pPr>
      <w:r>
        <w:rPr>
          <w:rStyle w:val="FootnoteReference"/>
        </w:rPr>
        <w:footnoteRef/>
      </w:r>
      <w:r w:rsidRPr="00624565">
        <w:rPr>
          <w:lang w:val="en-IE"/>
        </w:rPr>
        <w:tab/>
      </w:r>
      <w:hyperlink r:id="rId12" w:history="1">
        <w:r w:rsidRPr="00624565">
          <w:rPr>
            <w:rStyle w:val="Hyperlink"/>
            <w:sz w:val="18"/>
            <w:lang w:val="en-IE"/>
          </w:rPr>
          <w:t>COM(2020) 381 final</w:t>
        </w:r>
      </w:hyperlink>
      <w:r w:rsidRPr="00624565">
        <w:rPr>
          <w:sz w:val="18"/>
          <w:lang w:val="en-IE"/>
        </w:rPr>
        <w:t>.</w:t>
      </w:r>
    </w:p>
  </w:footnote>
  <w:footnote w:id="42">
    <w:p w14:paraId="1AB9B7C7" w14:textId="77777777" w:rsidR="00406A17" w:rsidRPr="00624565" w:rsidRDefault="00406A17" w:rsidP="00D96629">
      <w:pPr>
        <w:pStyle w:val="FootnoteText"/>
        <w:rPr>
          <w:lang w:val="en-IE"/>
        </w:rPr>
      </w:pPr>
      <w:r>
        <w:rPr>
          <w:rStyle w:val="FootnoteReference"/>
        </w:rPr>
        <w:footnoteRef/>
      </w:r>
      <w:r w:rsidRPr="00624565">
        <w:rPr>
          <w:lang w:val="en-IE"/>
        </w:rPr>
        <w:tab/>
      </w:r>
      <w:r w:rsidRPr="00624565">
        <w:rPr>
          <w:sz w:val="18"/>
          <w:lang w:val="en-IE"/>
        </w:rPr>
        <w:t>COM(2021) 82</w:t>
      </w:r>
    </w:p>
  </w:footnote>
  <w:footnote w:id="43">
    <w:p w14:paraId="61CC1E4A" w14:textId="5C1A5EB5" w:rsidR="00406A17" w:rsidRPr="0063080D" w:rsidRDefault="00406A17" w:rsidP="006F075B">
      <w:pPr>
        <w:pStyle w:val="paragraph"/>
        <w:spacing w:before="0" w:beforeAutospacing="0" w:after="0" w:afterAutospacing="0"/>
        <w:ind w:left="720" w:hanging="720"/>
        <w:jc w:val="both"/>
        <w:textAlignment w:val="baseline"/>
        <w:rPr>
          <w:b/>
          <w:bCs/>
        </w:rPr>
      </w:pPr>
      <w:r>
        <w:rPr>
          <w:rStyle w:val="FootnoteReference"/>
        </w:rPr>
        <w:footnoteRef/>
      </w:r>
      <w:r>
        <w:tab/>
      </w:r>
      <w:r>
        <w:rPr>
          <w:sz w:val="18"/>
        </w:rPr>
        <w:t>Przegląd wszystkich konsultacji przeprowadzonych</w:t>
      </w:r>
      <w:r w:rsidR="003F3D2B">
        <w:rPr>
          <w:sz w:val="18"/>
        </w:rPr>
        <w:t xml:space="preserve"> w kon</w:t>
      </w:r>
      <w:r>
        <w:rPr>
          <w:sz w:val="18"/>
        </w:rPr>
        <w:t>tekście oceny skutków przedstawiono</w:t>
      </w:r>
      <w:r w:rsidR="003F3D2B">
        <w:rPr>
          <w:sz w:val="18"/>
        </w:rPr>
        <w:t xml:space="preserve"> w zał</w:t>
      </w:r>
      <w:r>
        <w:rPr>
          <w:sz w:val="18"/>
        </w:rPr>
        <w:t xml:space="preserve">ączniku 2 do dokumentu COM(2022) 85 final. </w:t>
      </w:r>
    </w:p>
  </w:footnote>
  <w:footnote w:id="44">
    <w:p w14:paraId="6EB2E448" w14:textId="77777777" w:rsidR="00406A17" w:rsidRPr="0001307F" w:rsidRDefault="00406A17" w:rsidP="006F075B">
      <w:pPr>
        <w:pStyle w:val="FootnoteText"/>
        <w:rPr>
          <w:sz w:val="18"/>
          <w:szCs w:val="18"/>
        </w:rPr>
      </w:pPr>
      <w:r>
        <w:rPr>
          <w:rStyle w:val="FootnoteReference"/>
        </w:rPr>
        <w:footnoteRef/>
      </w:r>
      <w:r>
        <w:tab/>
      </w:r>
      <w:hyperlink r:id="rId13" w:history="1">
        <w:r>
          <w:rPr>
            <w:rStyle w:val="Hyperlink"/>
            <w:sz w:val="18"/>
          </w:rPr>
          <w:t>https://ec.europa.eu/info/law/better-regulation/have-your-say/initiatives/1740-Towards-an-EU-Product-Policy-Framework-contributing-to-the-Circular-Economy_pl</w:t>
        </w:r>
      </w:hyperlink>
      <w:r>
        <w:rPr>
          <w:rStyle w:val="normaltextrun"/>
          <w:color w:val="000000"/>
          <w:sz w:val="18"/>
          <w:shd w:val="clear" w:color="auto" w:fill="FFFFFF"/>
        </w:rPr>
        <w:t xml:space="preserve"> </w:t>
      </w:r>
    </w:p>
  </w:footnote>
  <w:footnote w:id="45">
    <w:p w14:paraId="5FEC9178" w14:textId="77777777" w:rsidR="00406A17" w:rsidRPr="0001307F" w:rsidRDefault="00406A17" w:rsidP="006F075B">
      <w:pPr>
        <w:pStyle w:val="FootnoteText"/>
        <w:rPr>
          <w:sz w:val="18"/>
          <w:szCs w:val="18"/>
        </w:rPr>
      </w:pPr>
      <w:r>
        <w:rPr>
          <w:rStyle w:val="FootnoteReference"/>
        </w:rPr>
        <w:footnoteRef/>
      </w:r>
      <w:r>
        <w:tab/>
      </w:r>
      <w:hyperlink r:id="rId14" w:history="1">
        <w:r>
          <w:rPr>
            <w:rStyle w:val="Hyperlink"/>
            <w:sz w:val="18"/>
          </w:rPr>
          <w:t>https://ec.europa.eu/environment/eussd/smgp/pdf/EF_stakeholdercons19.pdf</w:t>
        </w:r>
      </w:hyperlink>
      <w:r>
        <w:rPr>
          <w:rStyle w:val="normaltextrun"/>
          <w:color w:val="000000"/>
          <w:sz w:val="18"/>
          <w:shd w:val="clear" w:color="auto" w:fill="FFFFFF"/>
        </w:rPr>
        <w:t xml:space="preserve"> </w:t>
      </w:r>
    </w:p>
  </w:footnote>
  <w:footnote w:id="46">
    <w:p w14:paraId="1195976A" w14:textId="77777777" w:rsidR="00406A17" w:rsidRPr="0001307F" w:rsidRDefault="00406A17" w:rsidP="006F075B">
      <w:pPr>
        <w:pStyle w:val="paragraph"/>
        <w:spacing w:before="0" w:beforeAutospacing="0" w:after="0" w:afterAutospacing="0"/>
        <w:ind w:left="720" w:hanging="720"/>
        <w:jc w:val="both"/>
        <w:textAlignment w:val="baseline"/>
        <w:rPr>
          <w:sz w:val="18"/>
          <w:szCs w:val="18"/>
        </w:rPr>
      </w:pPr>
      <w:r>
        <w:rPr>
          <w:rStyle w:val="FootnoteReference"/>
        </w:rPr>
        <w:footnoteRef/>
      </w:r>
      <w:r>
        <w:tab/>
      </w:r>
      <w:r>
        <w:rPr>
          <w:sz w:val="18"/>
        </w:rPr>
        <w:t>Więcej informacji można znaleźć pod adresem: </w:t>
      </w:r>
      <w:hyperlink r:id="rId15" w:history="1">
        <w:r>
          <w:rPr>
            <w:rStyle w:val="Hyperlink"/>
            <w:sz w:val="18"/>
          </w:rPr>
          <w:t>https://ec.europa.eu/environment/eussd/smgp/initiative_on_green_claims.htm</w:t>
        </w:r>
      </w:hyperlink>
    </w:p>
  </w:footnote>
  <w:footnote w:id="47">
    <w:p w14:paraId="32DE89C9" w14:textId="77777777" w:rsidR="00406A17" w:rsidRPr="00AD74A0" w:rsidRDefault="00406A17" w:rsidP="00406A17">
      <w:pPr>
        <w:pStyle w:val="FootnoteText"/>
      </w:pPr>
      <w:r>
        <w:rPr>
          <w:rStyle w:val="FootnoteReference"/>
        </w:rPr>
        <w:footnoteRef/>
      </w:r>
      <w:r>
        <w:tab/>
        <w:t>SWD(2022) 85 final.</w:t>
      </w:r>
    </w:p>
  </w:footnote>
  <w:footnote w:id="48">
    <w:p w14:paraId="1E58BA6A" w14:textId="77777777" w:rsidR="00406A17" w:rsidRPr="00A336BE" w:rsidRDefault="00406A17" w:rsidP="006F075B">
      <w:pPr>
        <w:pStyle w:val="FootnoteText"/>
      </w:pPr>
      <w:r>
        <w:rPr>
          <w:rStyle w:val="FootnoteReference"/>
        </w:rPr>
        <w:footnoteRef/>
      </w:r>
      <w:r>
        <w:tab/>
      </w:r>
      <w:r>
        <w:rPr>
          <w:sz w:val="18"/>
        </w:rPr>
        <w:t>SEC(2022) 165.</w:t>
      </w:r>
    </w:p>
  </w:footnote>
  <w:footnote w:id="49">
    <w:p w14:paraId="4CF4388B" w14:textId="75DD64D1" w:rsidR="00406A17" w:rsidRPr="00B857DA" w:rsidRDefault="00406A17" w:rsidP="006F075B">
      <w:pPr>
        <w:pStyle w:val="FootnoteText"/>
      </w:pPr>
      <w:r>
        <w:rPr>
          <w:rStyle w:val="FootnoteReference"/>
        </w:rPr>
        <w:footnoteRef/>
      </w:r>
      <w:r>
        <w:tab/>
      </w:r>
      <w:r>
        <w:rPr>
          <w:sz w:val="18"/>
        </w:rPr>
        <w:t>Niniejszy wniosek nie koncentruje się na cyfrowych narzędziach informacyjnych,</w:t>
      </w:r>
      <w:r w:rsidR="003F3D2B">
        <w:rPr>
          <w:sz w:val="18"/>
        </w:rPr>
        <w:t xml:space="preserve"> o któ</w:t>
      </w:r>
      <w:r>
        <w:rPr>
          <w:sz w:val="18"/>
        </w:rPr>
        <w:t>rych mowa we wniosku</w:t>
      </w:r>
      <w:r w:rsidR="003F3D2B">
        <w:rPr>
          <w:sz w:val="18"/>
        </w:rPr>
        <w:t xml:space="preserve"> w spr</w:t>
      </w:r>
      <w:r>
        <w:rPr>
          <w:sz w:val="18"/>
        </w:rPr>
        <w:t>awie wzmocnienia pozycji konsumentów</w:t>
      </w:r>
      <w:r w:rsidR="003F3D2B">
        <w:rPr>
          <w:sz w:val="18"/>
        </w:rPr>
        <w:t xml:space="preserve"> w pro</w:t>
      </w:r>
      <w:r>
        <w:rPr>
          <w:sz w:val="18"/>
        </w:rPr>
        <w:t xml:space="preserve">cesie transformacji ekologicznej. </w:t>
      </w:r>
    </w:p>
  </w:footnote>
  <w:footnote w:id="50">
    <w:p w14:paraId="502A03A3" w14:textId="77777777" w:rsidR="00406A17" w:rsidRPr="00F315BE" w:rsidRDefault="00406A17" w:rsidP="006F075B">
      <w:pPr>
        <w:pStyle w:val="FootnoteText"/>
      </w:pPr>
      <w:r>
        <w:rPr>
          <w:rStyle w:val="FootnoteReference"/>
        </w:rPr>
        <w:footnoteRef/>
      </w:r>
      <w:r>
        <w:tab/>
      </w:r>
      <w:r>
        <w:rPr>
          <w:sz w:val="18"/>
        </w:rPr>
        <w:t>SWD(2022) 85 final, sekcja 7: Preferowane warianty strategiczne, s. 59.</w:t>
      </w:r>
    </w:p>
  </w:footnote>
  <w:footnote w:id="51">
    <w:p w14:paraId="76DA6791" w14:textId="77777777" w:rsidR="00406A17" w:rsidRPr="00624565" w:rsidRDefault="00406A17" w:rsidP="006F075B">
      <w:pPr>
        <w:pStyle w:val="FootnoteText"/>
        <w:jc w:val="left"/>
        <w:rPr>
          <w:sz w:val="18"/>
          <w:szCs w:val="18"/>
          <w:lang w:val="en-IE"/>
        </w:rPr>
      </w:pPr>
      <w:r>
        <w:rPr>
          <w:rStyle w:val="FootnoteReference"/>
        </w:rPr>
        <w:footnoteRef/>
      </w:r>
      <w:r w:rsidRPr="00624565">
        <w:rPr>
          <w:lang w:val="en-IE"/>
        </w:rPr>
        <w:tab/>
      </w:r>
      <w:r w:rsidRPr="00624565">
        <w:rPr>
          <w:sz w:val="18"/>
          <w:lang w:val="en-IE"/>
        </w:rPr>
        <w:t>SWD(2022) 85 final, s. 29–30</w:t>
      </w:r>
    </w:p>
  </w:footnote>
  <w:footnote w:id="52">
    <w:p w14:paraId="33C42056" w14:textId="77777777" w:rsidR="00406A17" w:rsidRPr="00624565" w:rsidRDefault="00406A17" w:rsidP="006F075B">
      <w:pPr>
        <w:pStyle w:val="FootnoteText"/>
        <w:rPr>
          <w:sz w:val="18"/>
          <w:szCs w:val="18"/>
          <w:lang w:val="en-IE"/>
        </w:rPr>
      </w:pPr>
      <w:r>
        <w:rPr>
          <w:rStyle w:val="FootnoteReference"/>
        </w:rPr>
        <w:footnoteRef/>
      </w:r>
      <w:r w:rsidRPr="00624565">
        <w:rPr>
          <w:lang w:val="en-IE"/>
        </w:rPr>
        <w:tab/>
      </w:r>
      <w:r w:rsidRPr="00624565">
        <w:rPr>
          <w:sz w:val="18"/>
          <w:lang w:val="en-IE"/>
        </w:rPr>
        <w:t>SWD(2022) 85 final, s. 31–32</w:t>
      </w:r>
    </w:p>
  </w:footnote>
  <w:footnote w:id="53">
    <w:p w14:paraId="0619440F" w14:textId="488326C5" w:rsidR="00406A17" w:rsidRPr="009D661A" w:rsidRDefault="00406A17" w:rsidP="006F075B">
      <w:pPr>
        <w:pStyle w:val="FootnoteText"/>
        <w:rPr>
          <w:sz w:val="18"/>
          <w:szCs w:val="18"/>
        </w:rPr>
      </w:pPr>
      <w:r>
        <w:rPr>
          <w:rStyle w:val="FootnoteReference"/>
        </w:rPr>
        <w:footnoteRef/>
      </w:r>
      <w:r>
        <w:tab/>
      </w:r>
      <w:r>
        <w:rPr>
          <w:sz w:val="18"/>
        </w:rPr>
        <w:t>Więcej informacji na temat przedmiotowych metod</w:t>
      </w:r>
      <w:r w:rsidR="003F3D2B">
        <w:rPr>
          <w:sz w:val="18"/>
        </w:rPr>
        <w:t xml:space="preserve"> i eta</w:t>
      </w:r>
      <w:r>
        <w:rPr>
          <w:sz w:val="18"/>
        </w:rPr>
        <w:t xml:space="preserve">pu pilotażowego, podczas którego były one testowane, można znaleźć pod adresem: </w:t>
      </w:r>
      <w:hyperlink r:id="rId16" w:history="1">
        <w:r>
          <w:rPr>
            <w:rStyle w:val="Hyperlink"/>
            <w:sz w:val="18"/>
          </w:rPr>
          <w:t>https://ec.europa.eu/environment/eussd/smgp/</w:t>
        </w:r>
      </w:hyperlink>
      <w:r>
        <w:rPr>
          <w:sz w:val="18"/>
        </w:rPr>
        <w:t xml:space="preserve"> </w:t>
      </w:r>
    </w:p>
  </w:footnote>
  <w:footnote w:id="54">
    <w:p w14:paraId="1254AB80" w14:textId="5A4DD227" w:rsidR="00406A17" w:rsidRPr="003A2015" w:rsidRDefault="00406A17" w:rsidP="006F075B">
      <w:pPr>
        <w:pStyle w:val="FootnoteText"/>
        <w:rPr>
          <w:sz w:val="18"/>
          <w:szCs w:val="18"/>
        </w:rPr>
      </w:pPr>
      <w:r>
        <w:rPr>
          <w:rStyle w:val="FootnoteReference"/>
        </w:rPr>
        <w:footnoteRef/>
      </w:r>
      <w:r>
        <w:tab/>
      </w:r>
      <w:r>
        <w:rPr>
          <w:sz w:val="18"/>
        </w:rPr>
        <w:t>Zmiana klimatu, zubożenie warstwy ozonowej, działanie toksyczne dla ludzi – działanie rakotwórcze, działanie toksyczne dla ludzi – działanie inne niż rakotwórcze, pył zawieszony, promieniowanie jonizujące – zdrowie człowieka, fotochemiczne powstawanie ozonu – zdrowie człowieka, zakwaszenie, eutrofizacja lądowa, eutrofizacja wód słodkich, eutrofizacja wód morskich, ekotoksyczność wody słodkiej, użytkowanie gruntów, zużycie wody, wykorzystywanie zasobów – minerały</w:t>
      </w:r>
      <w:r w:rsidR="003F3D2B">
        <w:rPr>
          <w:sz w:val="18"/>
        </w:rPr>
        <w:t xml:space="preserve"> i met</w:t>
      </w:r>
      <w:r>
        <w:rPr>
          <w:sz w:val="18"/>
        </w:rPr>
        <w:t>ale, wykorzystywanie zasobów – surowce kopalne.</w:t>
      </w:r>
    </w:p>
  </w:footnote>
  <w:footnote w:id="55">
    <w:p w14:paraId="5543FBE1" w14:textId="02612A56" w:rsidR="00406A17" w:rsidRPr="001B10A3" w:rsidRDefault="00406A17" w:rsidP="006F075B">
      <w:pPr>
        <w:pStyle w:val="FootnoteText"/>
      </w:pPr>
      <w:r>
        <w:rPr>
          <w:rStyle w:val="FootnoteReference"/>
        </w:rPr>
        <w:footnoteRef/>
      </w:r>
      <w:r>
        <w:tab/>
      </w:r>
      <w:r>
        <w:rPr>
          <w:sz w:val="18"/>
        </w:rPr>
        <w:t>Zalecenie Komisji 2003/361/WE</w:t>
      </w:r>
      <w:r w:rsidR="003F3D2B">
        <w:rPr>
          <w:sz w:val="18"/>
        </w:rPr>
        <w:t xml:space="preserve"> z dni</w:t>
      </w:r>
      <w:r>
        <w:rPr>
          <w:sz w:val="18"/>
        </w:rPr>
        <w:t>a 6 maja 2003 r.</w:t>
      </w:r>
      <w:r w:rsidR="003F3D2B">
        <w:rPr>
          <w:sz w:val="18"/>
        </w:rPr>
        <w:t xml:space="preserve"> w spr</w:t>
      </w:r>
      <w:r>
        <w:rPr>
          <w:sz w:val="18"/>
        </w:rPr>
        <w:t>awie definicji mikroprzedsiębiorstw oraz małych</w:t>
      </w:r>
      <w:r w:rsidR="003F3D2B">
        <w:rPr>
          <w:sz w:val="18"/>
        </w:rPr>
        <w:t xml:space="preserve"> i śre</w:t>
      </w:r>
      <w:r>
        <w:rPr>
          <w:sz w:val="18"/>
        </w:rPr>
        <w:t>dnich przedsiębiorstw (</w:t>
      </w:r>
      <w:hyperlink r:id="rId17" w:history="1">
        <w:r>
          <w:rPr>
            <w:rStyle w:val="Hyperlink"/>
            <w:sz w:val="18"/>
          </w:rPr>
          <w:t>Dz.U. L 124</w:t>
        </w:r>
        <w:r w:rsidR="003F3D2B">
          <w:rPr>
            <w:rStyle w:val="Hyperlink"/>
            <w:sz w:val="18"/>
          </w:rPr>
          <w:t xml:space="preserve"> z 2</w:t>
        </w:r>
        <w:r>
          <w:rPr>
            <w:rStyle w:val="Hyperlink"/>
            <w:sz w:val="18"/>
          </w:rPr>
          <w:t>0.5.2003, s. 36</w:t>
        </w:r>
      </w:hyperlink>
      <w:r>
        <w:rPr>
          <w:sz w:val="18"/>
        </w:rPr>
        <w:t>).</w:t>
      </w:r>
    </w:p>
  </w:footnote>
  <w:footnote w:id="56">
    <w:p w14:paraId="2C22D14A" w14:textId="30FBF70E" w:rsidR="00406A17" w:rsidRPr="00804ED5" w:rsidRDefault="00406A17" w:rsidP="006F075B">
      <w:pPr>
        <w:pStyle w:val="FootnoteText"/>
        <w:rPr>
          <w:sz w:val="18"/>
          <w:szCs w:val="18"/>
        </w:rPr>
      </w:pPr>
      <w:r>
        <w:rPr>
          <w:rStyle w:val="FootnoteReference"/>
        </w:rPr>
        <w:footnoteRef/>
      </w:r>
      <w:r>
        <w:tab/>
      </w:r>
      <w:r>
        <w:rPr>
          <w:sz w:val="18"/>
        </w:rPr>
        <w:t>W przypadku bardzo niewielkiej liczby produktów znajdujących się</w:t>
      </w:r>
      <w:r w:rsidR="003F3D2B">
        <w:rPr>
          <w:sz w:val="18"/>
        </w:rPr>
        <w:t xml:space="preserve"> w mag</w:t>
      </w:r>
      <w:r>
        <w:rPr>
          <w:sz w:val="18"/>
        </w:rPr>
        <w:t>azynie zakłada się, że przed zatwierdzeniem wariantu sprzedawca usunie oświadczenia (na przykład zasłaniając je nalepką)</w:t>
      </w:r>
      <w:r w:rsidR="003F3D2B">
        <w:rPr>
          <w:sz w:val="18"/>
        </w:rPr>
        <w:t>. W cią</w:t>
      </w:r>
      <w:r>
        <w:rPr>
          <w:sz w:val="18"/>
        </w:rPr>
        <w:t>gu pierwszych dwóch lat wdrażania wariantu będzie to wiązać się</w:t>
      </w:r>
      <w:r w:rsidR="003F3D2B">
        <w:rPr>
          <w:sz w:val="18"/>
        </w:rPr>
        <w:t xml:space="preserve"> z pew</w:t>
      </w:r>
      <w:r>
        <w:rPr>
          <w:sz w:val="18"/>
        </w:rPr>
        <w:t>nymi kosztami</w:t>
      </w:r>
      <w:r w:rsidR="003F3D2B">
        <w:rPr>
          <w:sz w:val="18"/>
        </w:rPr>
        <w:t xml:space="preserve"> w odn</w:t>
      </w:r>
      <w:r>
        <w:rPr>
          <w:sz w:val="18"/>
        </w:rPr>
        <w:t>iesieniu do niewielkiej liczby produktów znajdujących się</w:t>
      </w:r>
      <w:r w:rsidR="003F3D2B">
        <w:rPr>
          <w:sz w:val="18"/>
        </w:rPr>
        <w:t xml:space="preserve"> w mag</w:t>
      </w:r>
      <w:r>
        <w:rPr>
          <w:sz w:val="18"/>
        </w:rPr>
        <w:t>azynie</w:t>
      </w:r>
      <w:r w:rsidR="003F3D2B">
        <w:rPr>
          <w:sz w:val="18"/>
        </w:rPr>
        <w:t xml:space="preserve"> i zak</w:t>
      </w:r>
      <w:r>
        <w:rPr>
          <w:sz w:val="18"/>
        </w:rPr>
        <w:t>ładamy, że po upływie tego czasu wszystkie te produkty zostały sprzedane.</w:t>
      </w:r>
    </w:p>
  </w:footnote>
  <w:footnote w:id="57">
    <w:p w14:paraId="4EC3C299" w14:textId="496F88C8" w:rsidR="00406A17" w:rsidRPr="00813770" w:rsidRDefault="00406A17" w:rsidP="006F075B">
      <w:pPr>
        <w:pStyle w:val="FootnoteText"/>
        <w:rPr>
          <w:sz w:val="18"/>
          <w:szCs w:val="18"/>
        </w:rPr>
      </w:pPr>
      <w:r>
        <w:rPr>
          <w:rStyle w:val="FootnoteReference"/>
        </w:rPr>
        <w:footnoteRef/>
      </w:r>
      <w:r>
        <w:tab/>
      </w:r>
      <w:r>
        <w:rPr>
          <w:sz w:val="18"/>
        </w:rPr>
        <w:t>Są to szacunki wewnętrzne odnoszące się do konkretnego oświadczenia dotyczącego indywidualnego wpływu (np. procentowa zawartość materiałów pochodzenia biologicznego (lub pochodzących</w:t>
      </w:r>
      <w:r w:rsidR="003F3D2B">
        <w:rPr>
          <w:sz w:val="18"/>
        </w:rPr>
        <w:t xml:space="preserve"> z rec</w:t>
      </w:r>
      <w:r>
        <w:rPr>
          <w:sz w:val="18"/>
        </w:rPr>
        <w:t>yklingu)</w:t>
      </w:r>
      <w:r w:rsidR="003F3D2B">
        <w:rPr>
          <w:sz w:val="18"/>
        </w:rPr>
        <w:t xml:space="preserve"> w pro</w:t>
      </w:r>
      <w:r>
        <w:rPr>
          <w:sz w:val="18"/>
        </w:rPr>
        <w:t>dukcie), który można łatwo udowodnić, tj. oświadczenia, które można uzasadnić na podstawie łatwo dostępnych informacji/dokumentów dotyczących materiałów wykorzystywanych</w:t>
      </w:r>
      <w:r w:rsidR="003F3D2B">
        <w:rPr>
          <w:sz w:val="18"/>
        </w:rPr>
        <w:t xml:space="preserve"> w pro</w:t>
      </w:r>
      <w:r>
        <w:rPr>
          <w:sz w:val="18"/>
        </w:rPr>
        <w:t>dukcji.</w:t>
      </w:r>
    </w:p>
  </w:footnote>
  <w:footnote w:id="58">
    <w:p w14:paraId="470D42B2" w14:textId="3383A283" w:rsidR="00406A17" w:rsidRDefault="00406A17" w:rsidP="006F075B">
      <w:pPr>
        <w:pStyle w:val="FootnoteText"/>
      </w:pPr>
      <w:r>
        <w:rPr>
          <w:rStyle w:val="FootnoteReference"/>
        </w:rPr>
        <w:footnoteRef/>
      </w:r>
      <w:r>
        <w:tab/>
      </w:r>
      <w:r>
        <w:rPr>
          <w:sz w:val="18"/>
        </w:rPr>
        <w:t>Są to szacunki wewnętrzne, które odnoszą się do zatwierdzenia oświadczenia dotyczącego śladu środowiskowego całej organizacji. Średnie wartości opierają się na dodatkowym, ukierunkowanym badaniu przeprowadzonym przez DG ENV,</w:t>
      </w:r>
      <w:r w:rsidR="003F3D2B">
        <w:rPr>
          <w:sz w:val="18"/>
        </w:rPr>
        <w:t xml:space="preserve"> w któ</w:t>
      </w:r>
      <w:r>
        <w:rPr>
          <w:sz w:val="18"/>
        </w:rPr>
        <w:t>rym uwzględnione zostały informacje dostarczone przez siedmiu głównych konsultantów, którzy pomagali</w:t>
      </w:r>
      <w:r w:rsidR="003F3D2B">
        <w:rPr>
          <w:sz w:val="18"/>
        </w:rPr>
        <w:t xml:space="preserve"> w opr</w:t>
      </w:r>
      <w:r>
        <w:rPr>
          <w:sz w:val="18"/>
        </w:rPr>
        <w:t>acowywaniu PEFCR/OEFSR,</w:t>
      </w:r>
      <w:r w:rsidR="003F3D2B">
        <w:rPr>
          <w:sz w:val="18"/>
        </w:rPr>
        <w:t xml:space="preserve"> i zwe</w:t>
      </w:r>
      <w:r>
        <w:rPr>
          <w:sz w:val="18"/>
        </w:rPr>
        <w:t>ryfikowane przez porównanie</w:t>
      </w:r>
      <w:r w:rsidR="003F3D2B">
        <w:rPr>
          <w:sz w:val="18"/>
        </w:rPr>
        <w:t xml:space="preserve"> z inn</w:t>
      </w:r>
      <w:r>
        <w:rPr>
          <w:sz w:val="18"/>
        </w:rPr>
        <w:t>ymi informacjami zaczerpniętymi</w:t>
      </w:r>
      <w:r w:rsidR="003F3D2B">
        <w:rPr>
          <w:sz w:val="18"/>
        </w:rPr>
        <w:t xml:space="preserve"> z lit</w:t>
      </w:r>
      <w:r>
        <w:rPr>
          <w:sz w:val="18"/>
        </w:rPr>
        <w:t>eratury.</w:t>
      </w:r>
    </w:p>
  </w:footnote>
  <w:footnote w:id="59">
    <w:p w14:paraId="62C47BB5" w14:textId="77777777" w:rsidR="00406A17" w:rsidRPr="007C37AF" w:rsidRDefault="00406A17" w:rsidP="006F075B">
      <w:pPr>
        <w:pStyle w:val="FootnoteText"/>
      </w:pPr>
      <w:r>
        <w:rPr>
          <w:rStyle w:val="FootnoteReference"/>
        </w:rPr>
        <w:footnoteRef/>
      </w:r>
      <w:r>
        <w:tab/>
      </w:r>
      <w:r>
        <w:rPr>
          <w:sz w:val="18"/>
        </w:rPr>
        <w:t>Szczegółowe informacje na temat podziału kosztów administracyjnych można znaleźć w SWD(2022) 85 final, s. 200.</w:t>
      </w:r>
    </w:p>
  </w:footnote>
  <w:footnote w:id="60">
    <w:p w14:paraId="26CAAED0" w14:textId="77777777" w:rsidR="00406A17" w:rsidRPr="00036E61" w:rsidRDefault="00406A17" w:rsidP="006F075B">
      <w:pPr>
        <w:pStyle w:val="FootnoteText"/>
      </w:pPr>
      <w:r>
        <w:rPr>
          <w:rStyle w:val="FootnoteReference"/>
        </w:rPr>
        <w:footnoteRef/>
      </w:r>
      <w:r>
        <w:tab/>
      </w:r>
      <w:r>
        <w:rPr>
          <w:sz w:val="18"/>
        </w:rPr>
        <w:t>SWD(2022) 85 final.</w:t>
      </w:r>
    </w:p>
  </w:footnote>
  <w:footnote w:id="61">
    <w:p w14:paraId="48A13628" w14:textId="4DF485BE" w:rsidR="00406A17" w:rsidRPr="001B10A3" w:rsidRDefault="00406A17" w:rsidP="00BC1E44">
      <w:pPr>
        <w:pStyle w:val="FootnoteText"/>
      </w:pPr>
      <w:r>
        <w:rPr>
          <w:rStyle w:val="FootnoteReference"/>
        </w:rPr>
        <w:footnoteRef/>
      </w:r>
      <w:r>
        <w:tab/>
      </w:r>
      <w:hyperlink r:id="rId18" w:history="1">
        <w:r>
          <w:rPr>
            <w:rStyle w:val="Hyperlink"/>
            <w:sz w:val="18"/>
          </w:rPr>
          <w:t>Dz.U. L 124</w:t>
        </w:r>
        <w:r w:rsidR="003F3D2B">
          <w:rPr>
            <w:rStyle w:val="Hyperlink"/>
            <w:sz w:val="18"/>
          </w:rPr>
          <w:t xml:space="preserve"> z 2</w:t>
        </w:r>
        <w:r>
          <w:rPr>
            <w:rStyle w:val="Hyperlink"/>
            <w:sz w:val="18"/>
          </w:rPr>
          <w:t>0.5.2003, s. 36</w:t>
        </w:r>
      </w:hyperlink>
    </w:p>
  </w:footnote>
  <w:footnote w:id="62">
    <w:p w14:paraId="6BA77924" w14:textId="2254A174" w:rsidR="00406A17" w:rsidRPr="008C4AED" w:rsidRDefault="00406A17" w:rsidP="00BC1E44">
      <w:pPr>
        <w:pStyle w:val="FootnoteText"/>
        <w:rPr>
          <w:sz w:val="18"/>
          <w:szCs w:val="18"/>
        </w:rPr>
      </w:pPr>
      <w:r>
        <w:rPr>
          <w:rStyle w:val="FootnoteReference"/>
        </w:rPr>
        <w:footnoteRef/>
      </w:r>
      <w:r>
        <w:tab/>
      </w:r>
      <w:r>
        <w:rPr>
          <w:sz w:val="18"/>
        </w:rPr>
        <w:t>SWD(2022) 85 final, s. 50: „W odniesieniu do problemu cząstkowego 1.1 (brak wiarygodnych informacji dotyczących charakterystyki środowiskowej produktu</w:t>
      </w:r>
      <w:r w:rsidR="003F3D2B">
        <w:rPr>
          <w:sz w:val="18"/>
        </w:rPr>
        <w:t xml:space="preserve"> w pun</w:t>
      </w:r>
      <w:r>
        <w:rPr>
          <w:sz w:val="18"/>
        </w:rPr>
        <w:t>kcie sprzedaży) wszystkie warianty zostały odrzucone na wczesnym etapie, ponieważ nie udało się wykazać ich wartości dodanej,</w:t>
      </w:r>
      <w:r w:rsidR="003F3D2B">
        <w:rPr>
          <w:sz w:val="18"/>
        </w:rPr>
        <w:t xml:space="preserve"> i ocz</w:t>
      </w:r>
      <w:r>
        <w:rPr>
          <w:sz w:val="18"/>
        </w:rPr>
        <w:t>ekuje się, że działania podejmowane</w:t>
      </w:r>
      <w:r w:rsidR="003F3D2B">
        <w:rPr>
          <w:sz w:val="18"/>
        </w:rPr>
        <w:t xml:space="preserve"> w ram</w:t>
      </w:r>
      <w:r>
        <w:rPr>
          <w:sz w:val="18"/>
        </w:rPr>
        <w:t>ach inicjatywy na rzecz oświadczeń środowiskowych oraz inicjatywy dotyczącej zrównoważonych produktów znacząco ograniczą ten problem cząstkowy.”</w:t>
      </w:r>
    </w:p>
  </w:footnote>
  <w:footnote w:id="63">
    <w:p w14:paraId="12DF4767" w14:textId="0E21D143" w:rsidR="00406A17" w:rsidRDefault="00406A17" w:rsidP="00BC1E44">
      <w:pPr>
        <w:pStyle w:val="FootnoteText"/>
      </w:pPr>
      <w:r>
        <w:rPr>
          <w:rStyle w:val="FootnoteReference"/>
        </w:rPr>
        <w:footnoteRef/>
      </w:r>
      <w:r>
        <w:tab/>
      </w:r>
      <w:r>
        <w:rPr>
          <w:sz w:val="18"/>
        </w:rPr>
        <w:t>Zawiadomienie Komisji – Wytyczne dotyczące wykładni</w:t>
      </w:r>
      <w:r w:rsidR="003F3D2B">
        <w:rPr>
          <w:sz w:val="18"/>
        </w:rPr>
        <w:t xml:space="preserve"> i sto</w:t>
      </w:r>
      <w:r>
        <w:rPr>
          <w:sz w:val="18"/>
        </w:rPr>
        <w:t>sowania dyrektywy 2005/29/WE Parlamentu Europejskiego</w:t>
      </w:r>
      <w:r w:rsidR="003F3D2B">
        <w:rPr>
          <w:sz w:val="18"/>
        </w:rPr>
        <w:t xml:space="preserve"> i Rad</w:t>
      </w:r>
      <w:r>
        <w:rPr>
          <w:sz w:val="18"/>
        </w:rPr>
        <w:t>y dotyczącej nieuczciwych praktyk handlowych stosowanych przez przedsiębiorstwa wobec konsumentów na rynku wewnętrznym (Dz.U. C 526</w:t>
      </w:r>
      <w:r w:rsidR="003F3D2B">
        <w:rPr>
          <w:sz w:val="18"/>
        </w:rPr>
        <w:t xml:space="preserve"> z 2</w:t>
      </w:r>
      <w:r>
        <w:rPr>
          <w:sz w:val="18"/>
        </w:rPr>
        <w:t>9.12.2021, s. 1).</w:t>
      </w:r>
    </w:p>
  </w:footnote>
  <w:footnote w:id="64">
    <w:p w14:paraId="1AC2EE7F" w14:textId="61203153" w:rsidR="00406A17" w:rsidRPr="00DE5E99" w:rsidRDefault="00406A17" w:rsidP="00BC1E44">
      <w:pPr>
        <w:pStyle w:val="FootnoteText"/>
      </w:pPr>
      <w:r>
        <w:rPr>
          <w:rStyle w:val="FootnoteReference"/>
        </w:rPr>
        <w:footnoteRef/>
      </w:r>
      <w:r>
        <w:tab/>
      </w:r>
      <w:r>
        <w:rPr>
          <w:sz w:val="18"/>
        </w:rPr>
        <w:t>COM(2022) 143 final, załącznik do wniosku dotyczącego dyrektywy Parlamentu Europejskiego</w:t>
      </w:r>
      <w:r w:rsidR="003F3D2B">
        <w:rPr>
          <w:sz w:val="18"/>
        </w:rPr>
        <w:t xml:space="preserve"> i Rad</w:t>
      </w:r>
      <w:r>
        <w:rPr>
          <w:sz w:val="18"/>
        </w:rPr>
        <w:t>y zmieniającej dyrektywy 2005/29/WE</w:t>
      </w:r>
      <w:r w:rsidR="003F3D2B">
        <w:rPr>
          <w:sz w:val="18"/>
        </w:rPr>
        <w:t xml:space="preserve"> i 2</w:t>
      </w:r>
      <w:r>
        <w:rPr>
          <w:sz w:val="18"/>
        </w:rPr>
        <w:t>011/83/UE</w:t>
      </w:r>
      <w:r w:rsidR="003F3D2B">
        <w:rPr>
          <w:sz w:val="18"/>
        </w:rPr>
        <w:t xml:space="preserve"> w odn</w:t>
      </w:r>
      <w:r>
        <w:rPr>
          <w:sz w:val="18"/>
        </w:rPr>
        <w:t>iesieniu do wzmocnienia pozycji konsumentów</w:t>
      </w:r>
      <w:r w:rsidR="003F3D2B">
        <w:rPr>
          <w:sz w:val="18"/>
        </w:rPr>
        <w:t xml:space="preserve"> w pro</w:t>
      </w:r>
      <w:r>
        <w:rPr>
          <w:sz w:val="18"/>
        </w:rPr>
        <w:t>cesie transformacji ekologicznej poprzez lepsze informowanie</w:t>
      </w:r>
      <w:r w:rsidR="003F3D2B">
        <w:rPr>
          <w:sz w:val="18"/>
        </w:rPr>
        <w:t xml:space="preserve"> i lep</w:t>
      </w:r>
      <w:r>
        <w:rPr>
          <w:sz w:val="18"/>
        </w:rPr>
        <w:t xml:space="preserve">szą ochronę przed nieuczciwymi praktykami. </w:t>
      </w:r>
    </w:p>
  </w:footnote>
  <w:footnote w:id="65">
    <w:p w14:paraId="43443AD4" w14:textId="77777777" w:rsidR="00406A17" w:rsidRPr="004074C8" w:rsidRDefault="00406A17" w:rsidP="00BC1E44">
      <w:pPr>
        <w:pStyle w:val="FootnoteText"/>
        <w:rPr>
          <w:sz w:val="18"/>
          <w:szCs w:val="18"/>
        </w:rPr>
      </w:pPr>
      <w:r>
        <w:rPr>
          <w:rStyle w:val="FootnoteReference"/>
        </w:rPr>
        <w:footnoteRef/>
      </w:r>
      <w:r>
        <w:tab/>
      </w:r>
      <w:r>
        <w:rPr>
          <w:sz w:val="18"/>
        </w:rPr>
        <w:t>Tj. oznakowań, których podstawą nie jest system certyfikacji lub które nie zostały ustanowione przez organy publiczne.</w:t>
      </w:r>
    </w:p>
  </w:footnote>
  <w:footnote w:id="66">
    <w:p w14:paraId="0FF84AB3" w14:textId="615097A6" w:rsidR="00406A17" w:rsidRDefault="00406A17" w:rsidP="00BC1E44">
      <w:pPr>
        <w:pStyle w:val="FootnoteText"/>
        <w:rPr>
          <w:sz w:val="18"/>
          <w:szCs w:val="18"/>
        </w:rPr>
      </w:pPr>
      <w:r>
        <w:rPr>
          <w:rStyle w:val="FootnoteReference"/>
        </w:rPr>
        <w:footnoteRef/>
      </w:r>
      <w:r>
        <w:tab/>
      </w:r>
      <w:r>
        <w:rPr>
          <w:sz w:val="18"/>
        </w:rPr>
        <w:t>Ustanowionego na podstawie rozporządzenia Parlamentu Europejskiego</w:t>
      </w:r>
      <w:r w:rsidR="003F3D2B">
        <w:rPr>
          <w:sz w:val="18"/>
        </w:rPr>
        <w:t xml:space="preserve"> i Rad</w:t>
      </w:r>
      <w:r>
        <w:rPr>
          <w:sz w:val="18"/>
        </w:rPr>
        <w:t xml:space="preserve">y (UE) </w:t>
      </w:r>
      <w:r w:rsidRPr="003F3D2B">
        <w:rPr>
          <w:sz w:val="18"/>
        </w:rPr>
        <w:t>nr</w:t>
      </w:r>
      <w:r w:rsidR="003F3D2B" w:rsidRPr="003F3D2B">
        <w:rPr>
          <w:sz w:val="18"/>
        </w:rPr>
        <w:t> </w:t>
      </w:r>
      <w:r w:rsidRPr="003F3D2B">
        <w:rPr>
          <w:sz w:val="18"/>
        </w:rPr>
        <w:t>1</w:t>
      </w:r>
      <w:r>
        <w:rPr>
          <w:sz w:val="18"/>
        </w:rPr>
        <w:t>024/2012</w:t>
      </w:r>
      <w:r w:rsidR="003F3D2B">
        <w:rPr>
          <w:sz w:val="18"/>
        </w:rPr>
        <w:t xml:space="preserve"> z dni</w:t>
      </w:r>
      <w:r>
        <w:rPr>
          <w:sz w:val="18"/>
        </w:rPr>
        <w:t>a 25 października 20</w:t>
      </w:r>
      <w:r w:rsidRPr="003F3D2B">
        <w:rPr>
          <w:sz w:val="18"/>
        </w:rPr>
        <w:t>12</w:t>
      </w:r>
      <w:r w:rsidR="003F3D2B" w:rsidRPr="003F3D2B">
        <w:rPr>
          <w:sz w:val="18"/>
        </w:rPr>
        <w:t> </w:t>
      </w:r>
      <w:r w:rsidRPr="003F3D2B">
        <w:rPr>
          <w:sz w:val="18"/>
        </w:rPr>
        <w:t>r.</w:t>
      </w:r>
      <w:r w:rsidR="003F3D2B">
        <w:rPr>
          <w:sz w:val="18"/>
        </w:rPr>
        <w:t xml:space="preserve"> w spr</w:t>
      </w:r>
      <w:r>
        <w:rPr>
          <w:sz w:val="18"/>
        </w:rPr>
        <w:t>awie współpracy administracyjnej za pośrednictwem systemu wymiany informacji na rynku wewnętrznym</w:t>
      </w:r>
      <w:r w:rsidR="003F3D2B">
        <w:rPr>
          <w:sz w:val="18"/>
        </w:rPr>
        <w:t xml:space="preserve"> i uch</w:t>
      </w:r>
      <w:r>
        <w:rPr>
          <w:sz w:val="18"/>
        </w:rPr>
        <w:t>ylającego decyzję Komisji 2008/49/WE (Dz.U. L 316</w:t>
      </w:r>
      <w:r w:rsidR="003F3D2B">
        <w:rPr>
          <w:sz w:val="18"/>
        </w:rPr>
        <w:t xml:space="preserve"> z 1</w:t>
      </w:r>
      <w:r>
        <w:rPr>
          <w:sz w:val="18"/>
        </w:rPr>
        <w:t>4.11.2012, s. 1).</w:t>
      </w:r>
    </w:p>
  </w:footnote>
  <w:footnote w:id="67">
    <w:p w14:paraId="4356649B" w14:textId="66603147" w:rsidR="00406A17" w:rsidRPr="00F315BE" w:rsidRDefault="00406A17" w:rsidP="00BC1E44">
      <w:pPr>
        <w:pStyle w:val="FootnoteText"/>
        <w:rPr>
          <w:sz w:val="18"/>
          <w:szCs w:val="18"/>
        </w:rPr>
      </w:pPr>
      <w:r>
        <w:rPr>
          <w:rStyle w:val="FootnoteReference"/>
        </w:rPr>
        <w:footnoteRef/>
      </w:r>
      <w:r>
        <w:tab/>
      </w:r>
      <w:r>
        <w:rPr>
          <w:sz w:val="18"/>
        </w:rPr>
        <w:t>Zgodnie</w:t>
      </w:r>
      <w:r w:rsidR="003F3D2B">
        <w:rPr>
          <w:sz w:val="18"/>
        </w:rPr>
        <w:t xml:space="preserve"> z roz</w:t>
      </w:r>
      <w:r>
        <w:rPr>
          <w:sz w:val="18"/>
        </w:rPr>
        <w:t>porządzeniem Parlamentu Europejskiego</w:t>
      </w:r>
      <w:r w:rsidR="003F3D2B">
        <w:rPr>
          <w:sz w:val="18"/>
        </w:rPr>
        <w:t xml:space="preserve"> i Rad</w:t>
      </w:r>
      <w:r>
        <w:rPr>
          <w:sz w:val="18"/>
        </w:rPr>
        <w:t xml:space="preserve">y (WE) </w:t>
      </w:r>
      <w:r w:rsidRPr="003F3D2B">
        <w:rPr>
          <w:sz w:val="18"/>
        </w:rPr>
        <w:t>nr</w:t>
      </w:r>
      <w:r w:rsidR="003F3D2B" w:rsidRPr="003F3D2B">
        <w:rPr>
          <w:sz w:val="18"/>
        </w:rPr>
        <w:t> </w:t>
      </w:r>
      <w:r w:rsidRPr="003F3D2B">
        <w:rPr>
          <w:sz w:val="18"/>
        </w:rPr>
        <w:t>7</w:t>
      </w:r>
      <w:r>
        <w:rPr>
          <w:sz w:val="18"/>
        </w:rPr>
        <w:t>65/2008</w:t>
      </w:r>
      <w:r w:rsidR="003F3D2B">
        <w:rPr>
          <w:sz w:val="18"/>
        </w:rPr>
        <w:t xml:space="preserve"> z dni</w:t>
      </w:r>
      <w:r>
        <w:rPr>
          <w:sz w:val="18"/>
        </w:rPr>
        <w:t>a 9 lipca 20</w:t>
      </w:r>
      <w:r w:rsidRPr="003F3D2B">
        <w:rPr>
          <w:sz w:val="18"/>
        </w:rPr>
        <w:t>08</w:t>
      </w:r>
      <w:r w:rsidR="003F3D2B" w:rsidRPr="003F3D2B">
        <w:rPr>
          <w:sz w:val="18"/>
        </w:rPr>
        <w:t> </w:t>
      </w:r>
      <w:r w:rsidRPr="003F3D2B">
        <w:rPr>
          <w:sz w:val="18"/>
        </w:rPr>
        <w:t>r.</w:t>
      </w:r>
      <w:r>
        <w:rPr>
          <w:sz w:val="18"/>
        </w:rPr>
        <w:t xml:space="preserve"> ustanawiającym wymagania</w:t>
      </w:r>
      <w:r w:rsidR="003F3D2B">
        <w:rPr>
          <w:sz w:val="18"/>
        </w:rPr>
        <w:t xml:space="preserve"> w zak</w:t>
      </w:r>
      <w:r>
        <w:rPr>
          <w:sz w:val="18"/>
        </w:rPr>
        <w:t>resie akredytacji</w:t>
      </w:r>
      <w:r w:rsidR="003F3D2B">
        <w:rPr>
          <w:sz w:val="18"/>
        </w:rPr>
        <w:t xml:space="preserve"> i nad</w:t>
      </w:r>
      <w:r>
        <w:rPr>
          <w:sz w:val="18"/>
        </w:rPr>
        <w:t>zoru rynku odnoszące się do warunków wprowadzania produktów do obrotu</w:t>
      </w:r>
      <w:r w:rsidR="003F3D2B">
        <w:rPr>
          <w:sz w:val="18"/>
        </w:rPr>
        <w:t xml:space="preserve"> i uch</w:t>
      </w:r>
      <w:r>
        <w:rPr>
          <w:sz w:val="18"/>
        </w:rPr>
        <w:t xml:space="preserve">ylającym rozporządzenie (EWG) </w:t>
      </w:r>
      <w:r w:rsidRPr="003F3D2B">
        <w:rPr>
          <w:sz w:val="18"/>
        </w:rPr>
        <w:t>nr</w:t>
      </w:r>
      <w:r w:rsidR="003F3D2B" w:rsidRPr="003F3D2B">
        <w:rPr>
          <w:sz w:val="18"/>
        </w:rPr>
        <w:t> </w:t>
      </w:r>
      <w:r w:rsidRPr="003F3D2B">
        <w:rPr>
          <w:sz w:val="18"/>
        </w:rPr>
        <w:t>3</w:t>
      </w:r>
      <w:r>
        <w:rPr>
          <w:sz w:val="18"/>
        </w:rPr>
        <w:t>39/93 (Dz.U. L 218</w:t>
      </w:r>
      <w:r w:rsidR="003F3D2B">
        <w:rPr>
          <w:sz w:val="18"/>
        </w:rPr>
        <w:t xml:space="preserve"> z 1</w:t>
      </w:r>
      <w:r>
        <w:rPr>
          <w:sz w:val="18"/>
        </w:rPr>
        <w:t>3.8.2008, s. 30).</w:t>
      </w:r>
    </w:p>
  </w:footnote>
  <w:footnote w:id="68">
    <w:p w14:paraId="645E7542" w14:textId="77777777" w:rsidR="00406A17" w:rsidRPr="0012165D" w:rsidRDefault="00406A17" w:rsidP="00C01BC7">
      <w:pPr>
        <w:pStyle w:val="FootnoteText"/>
        <w:ind w:left="0" w:firstLine="0"/>
      </w:pPr>
      <w:r>
        <w:rPr>
          <w:rStyle w:val="FootnoteReference"/>
        </w:rPr>
        <w:footnoteRef/>
      </w:r>
      <w:r>
        <w:tab/>
        <w:t>Dz.U. C […] z […], s. […].</w:t>
      </w:r>
    </w:p>
  </w:footnote>
  <w:footnote w:id="69">
    <w:p w14:paraId="16C554D9" w14:textId="7AF7012D" w:rsidR="00406A17" w:rsidRPr="008B04A2" w:rsidRDefault="00406A17" w:rsidP="000464F8">
      <w:pPr>
        <w:pStyle w:val="FootnoteText"/>
      </w:pPr>
      <w:r>
        <w:rPr>
          <w:rStyle w:val="FootnoteReference"/>
        </w:rPr>
        <w:footnoteRef/>
      </w:r>
      <w:r>
        <w:tab/>
        <w:t>Komunikat Komisji do Parlamentu Europejskiego, Rady, Europejskiego Komitetu Ekonomiczno-Społecznego</w:t>
      </w:r>
      <w:r w:rsidR="003F3D2B">
        <w:t xml:space="preserve"> i Kom</w:t>
      </w:r>
      <w:r>
        <w:t>itetu Regionów: Nowy plan działania UE dotyczący gospodarki</w:t>
      </w:r>
      <w:r w:rsidR="003F3D2B">
        <w:t xml:space="preserve"> o obi</w:t>
      </w:r>
      <w:r>
        <w:t>egu zamkniętym na rzecz czystszej</w:t>
      </w:r>
      <w:r w:rsidR="003F3D2B">
        <w:t xml:space="preserve"> i bar</w:t>
      </w:r>
      <w:r>
        <w:t>dziej konkurencyjnej Europy, COM(2020) 98 final.</w:t>
      </w:r>
    </w:p>
  </w:footnote>
  <w:footnote w:id="70">
    <w:p w14:paraId="2B54C394" w14:textId="72A6F256" w:rsidR="00406A17" w:rsidRPr="00094CE8" w:rsidRDefault="00406A17" w:rsidP="000464F8">
      <w:pPr>
        <w:pStyle w:val="FootnoteText"/>
      </w:pPr>
      <w:r>
        <w:rPr>
          <w:rStyle w:val="FootnoteReference"/>
        </w:rPr>
        <w:footnoteRef/>
      </w:r>
      <w:r>
        <w:tab/>
        <w:t>Komunikat Komisji do Parlamentu Europejskiego, Rady, Europejskiego Komitetu Ekonomiczno-Społecznego</w:t>
      </w:r>
      <w:r w:rsidR="003F3D2B">
        <w:t xml:space="preserve"> i Kom</w:t>
      </w:r>
      <w:r>
        <w:t>itetu Regionów: Europejski Zielony Ład,</w:t>
      </w:r>
      <w:r>
        <w:rPr>
          <w:b/>
        </w:rPr>
        <w:t xml:space="preserve"> </w:t>
      </w:r>
      <w:r>
        <w:t>COM(2019) 640 final.</w:t>
      </w:r>
    </w:p>
  </w:footnote>
  <w:footnote w:id="71">
    <w:p w14:paraId="6DDFC7D3" w14:textId="0A307EB5" w:rsidR="00406A17" w:rsidRPr="004E4F7E" w:rsidRDefault="00406A17" w:rsidP="000464F8">
      <w:pPr>
        <w:pStyle w:val="FootnoteText"/>
      </w:pPr>
      <w:r>
        <w:rPr>
          <w:rStyle w:val="FootnoteReference"/>
        </w:rPr>
        <w:footnoteRef/>
      </w:r>
      <w:r>
        <w:tab/>
        <w:t>Wniosek dotyczący dyrektywy Parlamentu Europejskiego</w:t>
      </w:r>
      <w:r w:rsidR="003F3D2B">
        <w:t xml:space="preserve"> i Rad</w:t>
      </w:r>
      <w:r>
        <w:t>y zmieniającej dyrektywy 2005/29/WE</w:t>
      </w:r>
      <w:r w:rsidR="003F3D2B">
        <w:t xml:space="preserve"> i 2</w:t>
      </w:r>
      <w:r>
        <w:t>011/83/UE</w:t>
      </w:r>
      <w:r w:rsidR="003F3D2B">
        <w:t xml:space="preserve"> w odn</w:t>
      </w:r>
      <w:r>
        <w:t>iesieniu do wzmocnienia pozycji konsumentów</w:t>
      </w:r>
      <w:r w:rsidR="003F3D2B">
        <w:t xml:space="preserve"> w pro</w:t>
      </w:r>
      <w:r>
        <w:t>cesie transformacji ekologicznej poprzez lepsze informowanie</w:t>
      </w:r>
      <w:r w:rsidR="003F3D2B">
        <w:t xml:space="preserve"> i lep</w:t>
      </w:r>
      <w:r>
        <w:t>szą ochronę przed nieuczciwymi praktykami, COM(2022) 143 final.</w:t>
      </w:r>
    </w:p>
  </w:footnote>
  <w:footnote w:id="72">
    <w:p w14:paraId="3D01D94C" w14:textId="142BC6E2" w:rsidR="00406A17" w:rsidRPr="00AC1E01" w:rsidRDefault="00406A17" w:rsidP="00762EBC">
      <w:pPr>
        <w:pStyle w:val="FootnoteText"/>
      </w:pPr>
      <w:r>
        <w:rPr>
          <w:rStyle w:val="FootnoteReference"/>
        </w:rPr>
        <w:footnoteRef/>
      </w:r>
      <w:r>
        <w:tab/>
        <w:t>Dyrektywa 2005/29/WE Parlamentu Europejskiego</w:t>
      </w:r>
      <w:r w:rsidR="003F3D2B">
        <w:t xml:space="preserve"> i Rad</w:t>
      </w:r>
      <w:r>
        <w:t>y</w:t>
      </w:r>
      <w:r w:rsidR="003F3D2B">
        <w:t xml:space="preserve"> z dni</w:t>
      </w:r>
      <w:r>
        <w:t>a 11 maja 20</w:t>
      </w:r>
      <w:r w:rsidRPr="003F3D2B">
        <w:t>05</w:t>
      </w:r>
      <w:r w:rsidR="003F3D2B" w:rsidRPr="003F3D2B">
        <w:t> </w:t>
      </w:r>
      <w:r w:rsidRPr="003F3D2B">
        <w:t>r.</w:t>
      </w:r>
      <w:r>
        <w:t xml:space="preserve"> dotycząca nieuczciwych praktyk handlowych stosowanych przez przedsiębiorstwa wobec konsumentów na rynku wewnętrznym oraz zmieniająca dyrektywę Rady 84/450/EWG, dyrektywy 97/7/WE, 98/27/WE</w:t>
      </w:r>
      <w:r w:rsidR="003F3D2B">
        <w:t xml:space="preserve"> i 2</w:t>
      </w:r>
      <w:r>
        <w:t>002/65/WE Parlamentu Europejskiego</w:t>
      </w:r>
      <w:r w:rsidR="003F3D2B">
        <w:t xml:space="preserve"> i Rad</w:t>
      </w:r>
      <w:r>
        <w:t xml:space="preserve">y oraz rozporządzenie (WE) </w:t>
      </w:r>
      <w:r w:rsidRPr="003F3D2B">
        <w:t>nr</w:t>
      </w:r>
      <w:r w:rsidR="003F3D2B" w:rsidRPr="003F3D2B">
        <w:t> </w:t>
      </w:r>
      <w:r w:rsidRPr="003F3D2B">
        <w:t>2</w:t>
      </w:r>
      <w:r>
        <w:t>006/2004 Parlamentu Europejskiego</w:t>
      </w:r>
      <w:r w:rsidR="003F3D2B">
        <w:t xml:space="preserve"> i Rad</w:t>
      </w:r>
      <w:r>
        <w:t>y („Dyrektywa</w:t>
      </w:r>
      <w:r w:rsidR="003F3D2B">
        <w:t xml:space="preserve"> o nie</w:t>
      </w:r>
      <w:r>
        <w:t>uczciwych praktykach handlowych”) (Dz.U. L 149</w:t>
      </w:r>
      <w:r w:rsidR="003F3D2B">
        <w:t xml:space="preserve"> z 1</w:t>
      </w:r>
      <w:r>
        <w:t>1.6.2005, s. 22).</w:t>
      </w:r>
    </w:p>
  </w:footnote>
  <w:footnote w:id="73">
    <w:p w14:paraId="0AFA04F7" w14:textId="61FEEF9B" w:rsidR="00406A17" w:rsidRPr="004E4F7E" w:rsidRDefault="00406A17" w:rsidP="000464F8">
      <w:pPr>
        <w:pStyle w:val="FootnoteText"/>
      </w:pPr>
      <w:r>
        <w:rPr>
          <w:rStyle w:val="FootnoteReference"/>
        </w:rPr>
        <w:footnoteRef/>
      </w:r>
      <w:r>
        <w:tab/>
        <w:t>Wniosek</w:t>
      </w:r>
      <w:r w:rsidR="003F3D2B">
        <w:t xml:space="preserve"> w spr</w:t>
      </w:r>
      <w:r>
        <w:t>awie rozporządzenia Parlamentu Europejskiego</w:t>
      </w:r>
      <w:r w:rsidR="003F3D2B">
        <w:t xml:space="preserve"> i Rad</w:t>
      </w:r>
      <w:r>
        <w:t>y ustanawiającego ramy ustalania wymogów dotyczących ekoprojektu</w:t>
      </w:r>
      <w:r w:rsidR="003F3D2B">
        <w:t xml:space="preserve"> w odn</w:t>
      </w:r>
      <w:r>
        <w:t>iesieniu do zrównoważonych produktów</w:t>
      </w:r>
      <w:r w:rsidR="003F3D2B">
        <w:t xml:space="preserve"> i uch</w:t>
      </w:r>
      <w:r>
        <w:t>ylającego dyrektywę 2009/125/WE, COM(2022) 132 final.</w:t>
      </w:r>
    </w:p>
  </w:footnote>
  <w:footnote w:id="74">
    <w:p w14:paraId="349D2EBB" w14:textId="1527A76B" w:rsidR="00406A17" w:rsidRPr="00F01AF6" w:rsidRDefault="00406A17" w:rsidP="000464F8">
      <w:pPr>
        <w:pStyle w:val="FootnoteText"/>
      </w:pPr>
      <w:r>
        <w:rPr>
          <w:rStyle w:val="FootnoteReference"/>
        </w:rPr>
        <w:footnoteRef/>
      </w:r>
      <w:r>
        <w:tab/>
        <w:t>Rozporządzenie Parlamentu Europejskiego</w:t>
      </w:r>
      <w:r w:rsidR="003F3D2B">
        <w:t xml:space="preserve"> i Rad</w:t>
      </w:r>
      <w:r>
        <w:t>y (UE) 2018/848</w:t>
      </w:r>
      <w:r w:rsidR="003F3D2B">
        <w:t xml:space="preserve"> z dni</w:t>
      </w:r>
      <w:r>
        <w:t>a 30 maja 20</w:t>
      </w:r>
      <w:r w:rsidRPr="003F3D2B">
        <w:t>18</w:t>
      </w:r>
      <w:r w:rsidR="003F3D2B" w:rsidRPr="003F3D2B">
        <w:t> </w:t>
      </w:r>
      <w:r w:rsidRPr="003F3D2B">
        <w:t>r.</w:t>
      </w:r>
      <w:r w:rsidR="003F3D2B">
        <w:t xml:space="preserve"> w spr</w:t>
      </w:r>
      <w:r>
        <w:t>awie produkcji ekologicznej</w:t>
      </w:r>
      <w:r w:rsidR="003F3D2B">
        <w:t xml:space="preserve"> i zna</w:t>
      </w:r>
      <w:r>
        <w:t>kowania produktów ekologicznych</w:t>
      </w:r>
      <w:r w:rsidR="003F3D2B">
        <w:t xml:space="preserve"> i uch</w:t>
      </w:r>
      <w:r>
        <w:t xml:space="preserve">ylające rozporządzenie Rady (WE) </w:t>
      </w:r>
      <w:r w:rsidRPr="003F3D2B">
        <w:t>nr</w:t>
      </w:r>
      <w:r w:rsidR="003F3D2B" w:rsidRPr="003F3D2B">
        <w:t> </w:t>
      </w:r>
      <w:r w:rsidRPr="003F3D2B">
        <w:t>8</w:t>
      </w:r>
      <w:r>
        <w:t>34/2007 (Dz.U. L 150</w:t>
      </w:r>
      <w:r w:rsidR="003F3D2B">
        <w:t xml:space="preserve"> z 1</w:t>
      </w:r>
      <w:r>
        <w:t>4.6.2018, s. 1).</w:t>
      </w:r>
    </w:p>
  </w:footnote>
  <w:footnote w:id="75">
    <w:p w14:paraId="0D167BDA" w14:textId="77777777" w:rsidR="00406A17" w:rsidRDefault="00406A17" w:rsidP="00AA5AC8">
      <w:pPr>
        <w:pStyle w:val="FootnoteText"/>
        <w:rPr>
          <w:rFonts w:eastAsia="Times New Roman"/>
          <w:szCs w:val="24"/>
        </w:rPr>
      </w:pPr>
      <w:r>
        <w:rPr>
          <w:rStyle w:val="FootnoteReference"/>
        </w:rPr>
        <w:footnoteRef/>
      </w:r>
      <w:r>
        <w:tab/>
      </w:r>
      <w:hyperlink r:id="rId19" w:history="1">
        <w:r>
          <w:rPr>
            <w:rStyle w:val="Hyperlink"/>
          </w:rPr>
          <w:t>https://agriculture.ec.europa.eu/system/files/2023-01/agri-market-brief-20-organic-farming-eu_en_1.pdf</w:t>
        </w:r>
      </w:hyperlink>
    </w:p>
  </w:footnote>
  <w:footnote w:id="76">
    <w:p w14:paraId="645D0557" w14:textId="20C44464" w:rsidR="00406A17" w:rsidRPr="002A7CD4" w:rsidRDefault="00406A17">
      <w:pPr>
        <w:pStyle w:val="FootnoteText"/>
      </w:pPr>
      <w:r>
        <w:rPr>
          <w:rStyle w:val="FootnoteReference"/>
        </w:rPr>
        <w:footnoteRef/>
      </w:r>
      <w:r>
        <w:tab/>
        <w:t>Dyrektywa Parlamentu Europejskiego</w:t>
      </w:r>
      <w:r w:rsidR="003F3D2B">
        <w:t xml:space="preserve"> i Rad</w:t>
      </w:r>
      <w:r>
        <w:t>y 2013/36/UE</w:t>
      </w:r>
      <w:r w:rsidR="003F3D2B">
        <w:t xml:space="preserve"> z dni</w:t>
      </w:r>
      <w:r>
        <w:t>a 26 czerwca 20</w:t>
      </w:r>
      <w:r w:rsidRPr="003F3D2B">
        <w:t>13</w:t>
      </w:r>
      <w:r w:rsidR="003F3D2B" w:rsidRPr="003F3D2B">
        <w:t> </w:t>
      </w:r>
      <w:r w:rsidRPr="003F3D2B">
        <w:t>r.</w:t>
      </w:r>
      <w:r w:rsidR="003F3D2B">
        <w:t xml:space="preserve"> w spr</w:t>
      </w:r>
      <w:r>
        <w:t>awie warunków dopuszczenia instytucji kredytowych do działalności oraz nadzoru ostrożnościowego nad instytucjami kredytowymi</w:t>
      </w:r>
      <w:r w:rsidR="003F3D2B">
        <w:t xml:space="preserve"> i fir</w:t>
      </w:r>
      <w:r>
        <w:t>mami inwestycyjnymi, zmieniająca dyrektywę 2002/87/WE</w:t>
      </w:r>
      <w:r w:rsidR="003F3D2B">
        <w:t xml:space="preserve"> i uch</w:t>
      </w:r>
      <w:r>
        <w:t>ylająca dyrektywy 2006/48/WE oraz 2006/49/WE (Dz.U. L 176</w:t>
      </w:r>
      <w:r w:rsidR="003F3D2B">
        <w:t xml:space="preserve"> z 2</w:t>
      </w:r>
      <w:r>
        <w:t>7.6.2013, s. 338).</w:t>
      </w:r>
    </w:p>
  </w:footnote>
  <w:footnote w:id="77">
    <w:p w14:paraId="329A0B59" w14:textId="180E0274" w:rsidR="00406A17" w:rsidRPr="00F7684E" w:rsidRDefault="00406A17" w:rsidP="000464F8">
      <w:pPr>
        <w:pStyle w:val="FootnoteText"/>
      </w:pPr>
      <w:r>
        <w:rPr>
          <w:rStyle w:val="FootnoteReference"/>
        </w:rPr>
        <w:footnoteRef/>
      </w:r>
      <w:r>
        <w:tab/>
        <w:t>Dyrektywa Parlamentu Europejskiego</w:t>
      </w:r>
      <w:r w:rsidR="003F3D2B">
        <w:t xml:space="preserve"> i Rad</w:t>
      </w:r>
      <w:r>
        <w:t>y 2013/34/UE</w:t>
      </w:r>
      <w:r w:rsidR="003F3D2B">
        <w:t xml:space="preserve"> z dni</w:t>
      </w:r>
      <w:r>
        <w:t>a 26 czerwca 20</w:t>
      </w:r>
      <w:r w:rsidRPr="003F3D2B">
        <w:t>13</w:t>
      </w:r>
      <w:r w:rsidR="003F3D2B" w:rsidRPr="003F3D2B">
        <w:t> </w:t>
      </w:r>
      <w:r w:rsidRPr="003F3D2B">
        <w:t>r.</w:t>
      </w:r>
      <w:r w:rsidR="003F3D2B">
        <w:t xml:space="preserve"> w spr</w:t>
      </w:r>
      <w:r>
        <w:t>awie rocznych sprawozdań finansowych, skonsolidowanych sprawozdań finansowych</w:t>
      </w:r>
      <w:r w:rsidR="003F3D2B">
        <w:t xml:space="preserve"> i pow</w:t>
      </w:r>
      <w:r>
        <w:t>iązanych sprawozdań niektórych rodzajów jednostek, zmieniająca dyrektywę Parlamentu Europejskiego</w:t>
      </w:r>
      <w:r w:rsidR="003F3D2B">
        <w:t xml:space="preserve"> i Rad</w:t>
      </w:r>
      <w:r>
        <w:t>y 2006/43/WE oraz uchylająca dyrektywy Rady 78/660/EWG</w:t>
      </w:r>
      <w:r w:rsidR="003F3D2B">
        <w:t xml:space="preserve"> i 8</w:t>
      </w:r>
      <w:r>
        <w:t>3/349/EWG (Dz.U. L 182</w:t>
      </w:r>
      <w:r w:rsidR="003F3D2B">
        <w:t xml:space="preserve"> z 2</w:t>
      </w:r>
      <w:r>
        <w:t>9.6.2013, s. 19).</w:t>
      </w:r>
    </w:p>
  </w:footnote>
  <w:footnote w:id="78">
    <w:p w14:paraId="2F7551FF" w14:textId="6C9699ED" w:rsidR="00406A17" w:rsidRPr="002A7CD4" w:rsidRDefault="00406A17">
      <w:pPr>
        <w:pStyle w:val="FootnoteText"/>
      </w:pPr>
      <w:r>
        <w:rPr>
          <w:rStyle w:val="FootnoteReference"/>
        </w:rPr>
        <w:footnoteRef/>
      </w:r>
      <w:r>
        <w:tab/>
        <w:t>COM(2022) 132 final</w:t>
      </w:r>
    </w:p>
  </w:footnote>
  <w:footnote w:id="79">
    <w:p w14:paraId="2C9B28B3" w14:textId="42320EF7" w:rsidR="00406A17" w:rsidRPr="006C6693" w:rsidRDefault="00406A17" w:rsidP="006C6693">
      <w:pPr>
        <w:pStyle w:val="FootnoteText"/>
      </w:pPr>
      <w:r>
        <w:rPr>
          <w:rStyle w:val="FootnoteReference"/>
        </w:rPr>
        <w:footnoteRef/>
      </w:r>
      <w:r>
        <w:tab/>
        <w:t>Rozporządzenie Parlamentu Europejskiego</w:t>
      </w:r>
      <w:r w:rsidR="003F3D2B">
        <w:t xml:space="preserve"> i Rad</w:t>
      </w:r>
      <w:r>
        <w:t xml:space="preserve">y (UE) </w:t>
      </w:r>
      <w:r w:rsidRPr="003F3D2B">
        <w:t>nr</w:t>
      </w:r>
      <w:r w:rsidR="003F3D2B" w:rsidRPr="003F3D2B">
        <w:t> </w:t>
      </w:r>
      <w:r w:rsidRPr="003F3D2B">
        <w:t>1</w:t>
      </w:r>
      <w:r>
        <w:t>007/2011</w:t>
      </w:r>
      <w:r w:rsidR="003F3D2B">
        <w:t xml:space="preserve"> z dni</w:t>
      </w:r>
      <w:r>
        <w:t>a 27 września 20</w:t>
      </w:r>
      <w:r w:rsidRPr="003F3D2B">
        <w:t>11</w:t>
      </w:r>
      <w:r w:rsidR="003F3D2B" w:rsidRPr="003F3D2B">
        <w:t> </w:t>
      </w:r>
      <w:r w:rsidRPr="003F3D2B">
        <w:t>r.</w:t>
      </w:r>
      <w:r w:rsidR="003F3D2B">
        <w:t xml:space="preserve"> w spr</w:t>
      </w:r>
      <w:r>
        <w:t>awie nazewnictwa włókien tekstylnych oraz etykietowania</w:t>
      </w:r>
      <w:r w:rsidR="003F3D2B">
        <w:t xml:space="preserve"> i ozn</w:t>
      </w:r>
      <w:r>
        <w:t>akowywania składu surowcowego wyrobów włókienniczych,</w:t>
      </w:r>
      <w:r w:rsidR="003F3D2B">
        <w:t xml:space="preserve"> a tak</w:t>
      </w:r>
      <w:r>
        <w:t>że uchylenia dyrektywy Rady 73/44/EWG oraz dyrektyw Parlamentu Europejskiego</w:t>
      </w:r>
      <w:r w:rsidR="003F3D2B">
        <w:t xml:space="preserve"> i Rad</w:t>
      </w:r>
      <w:r>
        <w:t>y 96/73/WE</w:t>
      </w:r>
      <w:r w:rsidR="003F3D2B">
        <w:t xml:space="preserve"> i 2</w:t>
      </w:r>
      <w:r>
        <w:t>008/121/WE (Dz.U. L 272</w:t>
      </w:r>
      <w:r w:rsidR="003F3D2B">
        <w:t xml:space="preserve"> z 1</w:t>
      </w:r>
      <w:r>
        <w:t>8.10.2011, s. 1).</w:t>
      </w:r>
    </w:p>
  </w:footnote>
  <w:footnote w:id="80">
    <w:p w14:paraId="5AB2352A" w14:textId="7371079B" w:rsidR="00406A17" w:rsidRPr="00762EBC" w:rsidRDefault="00406A17" w:rsidP="000464F8">
      <w:pPr>
        <w:pStyle w:val="FootnoteText"/>
      </w:pPr>
      <w:r>
        <w:rPr>
          <w:rStyle w:val="FootnoteReference"/>
        </w:rPr>
        <w:footnoteRef/>
      </w:r>
      <w:r>
        <w:tab/>
        <w:t>Zalecenie Komisji (UE) 2021/2279</w:t>
      </w:r>
      <w:r w:rsidR="003F3D2B">
        <w:t xml:space="preserve"> z dni</w:t>
      </w:r>
      <w:r>
        <w:t>a 15 grudnia 20</w:t>
      </w:r>
      <w:r w:rsidRPr="003F3D2B">
        <w:t>21</w:t>
      </w:r>
      <w:r w:rsidR="003F3D2B" w:rsidRPr="003F3D2B">
        <w:t> </w:t>
      </w:r>
      <w:r w:rsidRPr="003F3D2B">
        <w:t>r.</w:t>
      </w:r>
      <w:r w:rsidR="003F3D2B">
        <w:t xml:space="preserve"> w spr</w:t>
      </w:r>
      <w:r>
        <w:t>awie stosowania metod oznaczania śladu środowiskowego do pomiaru efektywności środowiskowej</w:t>
      </w:r>
      <w:r w:rsidR="003F3D2B">
        <w:t xml:space="preserve"> w cyk</w:t>
      </w:r>
      <w:r>
        <w:t>lu życia produktów</w:t>
      </w:r>
      <w:r w:rsidR="003F3D2B">
        <w:t xml:space="preserve"> i org</w:t>
      </w:r>
      <w:r>
        <w:t>anizacji oraz informowania</w:t>
      </w:r>
      <w:r w:rsidR="003F3D2B">
        <w:t xml:space="preserve"> o nie</w:t>
      </w:r>
      <w:r>
        <w:t>j, Dz.U. L 471</w:t>
      </w:r>
      <w:r w:rsidR="003F3D2B">
        <w:t xml:space="preserve"> z 3</w:t>
      </w:r>
      <w:r>
        <w:t>0.12.2021, s. 1.</w:t>
      </w:r>
    </w:p>
  </w:footnote>
  <w:footnote w:id="81">
    <w:p w14:paraId="01AE7250" w14:textId="47F2153F" w:rsidR="00406A17" w:rsidRPr="004B5BA5" w:rsidRDefault="00406A17" w:rsidP="000464F8">
      <w:pPr>
        <w:pStyle w:val="FootnoteText"/>
      </w:pPr>
      <w:r>
        <w:rPr>
          <w:rStyle w:val="FootnoteReference"/>
        </w:rPr>
        <w:footnoteRef/>
      </w:r>
      <w:r>
        <w:tab/>
        <w:t>Rozporządzenie Parlamentu Europejskiego</w:t>
      </w:r>
      <w:r w:rsidR="003F3D2B">
        <w:t xml:space="preserve"> i Rad</w:t>
      </w:r>
      <w:r>
        <w:t>y (UE) 2020/852</w:t>
      </w:r>
      <w:r w:rsidR="003F3D2B">
        <w:t xml:space="preserve"> z dni</w:t>
      </w:r>
      <w:r>
        <w:t>a 18 czerwca 20</w:t>
      </w:r>
      <w:r w:rsidRPr="003F3D2B">
        <w:t>20</w:t>
      </w:r>
      <w:r w:rsidR="003F3D2B" w:rsidRPr="003F3D2B">
        <w:t> </w:t>
      </w:r>
      <w:r w:rsidRPr="003F3D2B">
        <w:t>r.</w:t>
      </w:r>
      <w:r w:rsidR="003F3D2B">
        <w:t xml:space="preserve"> w spr</w:t>
      </w:r>
      <w:r>
        <w:t>awie ustanowienia ram ułatwiających zrównoważone inwestycje, zmieniające rozporządzenie (UE) 2019/2088 (Dz.U. L 198</w:t>
      </w:r>
      <w:r w:rsidR="003F3D2B">
        <w:t xml:space="preserve"> z 2</w:t>
      </w:r>
      <w:r>
        <w:t>2.6.2020, s. 13).</w:t>
      </w:r>
    </w:p>
  </w:footnote>
  <w:footnote w:id="82">
    <w:p w14:paraId="1C6429AD" w14:textId="77777777" w:rsidR="00406A17" w:rsidRPr="004B5BA5" w:rsidRDefault="00406A17" w:rsidP="000464F8">
      <w:pPr>
        <w:pStyle w:val="FootnoteText"/>
      </w:pPr>
      <w:r>
        <w:rPr>
          <w:rStyle w:val="FootnoteReference"/>
        </w:rPr>
        <w:footnoteRef/>
      </w:r>
      <w:r>
        <w:tab/>
        <w:t>[…]</w:t>
      </w:r>
    </w:p>
  </w:footnote>
  <w:footnote w:id="83">
    <w:p w14:paraId="499F97AF" w14:textId="32FDB3CC" w:rsidR="00406A17" w:rsidRPr="00CF12D5" w:rsidRDefault="00406A17" w:rsidP="000464F8">
      <w:pPr>
        <w:pStyle w:val="FootnoteText"/>
      </w:pPr>
      <w:r>
        <w:rPr>
          <w:rStyle w:val="FootnoteReference"/>
        </w:rPr>
        <w:footnoteRef/>
      </w:r>
      <w:r>
        <w:tab/>
        <w:t>Rozporządzenie Parlamentu Europejskiego</w:t>
      </w:r>
      <w:r w:rsidR="003F3D2B">
        <w:t xml:space="preserve"> i Rad</w:t>
      </w:r>
      <w:r>
        <w:t>y (UE) nr 1379/2013</w:t>
      </w:r>
      <w:r w:rsidR="003F3D2B">
        <w:t xml:space="preserve"> z dni</w:t>
      </w:r>
      <w:r>
        <w:t>a 11 grudnia 2013 r.</w:t>
      </w:r>
      <w:r w:rsidR="003F3D2B">
        <w:t xml:space="preserve"> w spr</w:t>
      </w:r>
      <w:r>
        <w:t>awie wspólnej organizacji rynków produktów rybołówstwa</w:t>
      </w:r>
      <w:r w:rsidR="003F3D2B">
        <w:t xml:space="preserve"> i akw</w:t>
      </w:r>
      <w:r>
        <w:t>akultury, zmieniające rozporządzenia Rady (WE) nr 1184/2006 i (WE) nr 1224/2009 oraz uchylające rozporządzenie Rady (WE) nr 104/2000 (Dz.U. L 354</w:t>
      </w:r>
      <w:r w:rsidR="003F3D2B">
        <w:t xml:space="preserve"> z 2</w:t>
      </w:r>
      <w:r>
        <w:t>8.12.2013, s. 1).</w:t>
      </w:r>
    </w:p>
  </w:footnote>
  <w:footnote w:id="84">
    <w:p w14:paraId="0A8AEA25" w14:textId="6C0896FD" w:rsidR="00406A17" w:rsidRPr="00DC3427" w:rsidRDefault="00406A17" w:rsidP="001F6770">
      <w:pPr>
        <w:pStyle w:val="FootnoteText"/>
      </w:pPr>
      <w:r>
        <w:rPr>
          <w:rStyle w:val="FootnoteReference"/>
        </w:rPr>
        <w:footnoteRef/>
      </w:r>
      <w:r>
        <w:tab/>
        <w:t>Dyrektywa 2006/114/WE Parlamentu Europejskiego</w:t>
      </w:r>
      <w:r w:rsidR="003F3D2B">
        <w:t xml:space="preserve"> i Rad</w:t>
      </w:r>
      <w:r>
        <w:t>y</w:t>
      </w:r>
      <w:r w:rsidR="003F3D2B">
        <w:t xml:space="preserve"> z dni</w:t>
      </w:r>
      <w:r>
        <w:t>a 12 grudnia 20</w:t>
      </w:r>
      <w:r w:rsidRPr="003F3D2B">
        <w:t>06</w:t>
      </w:r>
      <w:r w:rsidR="003F3D2B" w:rsidRPr="003F3D2B">
        <w:t> </w:t>
      </w:r>
      <w:r w:rsidRPr="003F3D2B">
        <w:t>r.</w:t>
      </w:r>
      <w:r>
        <w:t xml:space="preserve"> dotycząca reklamy wprowadzającej</w:t>
      </w:r>
      <w:r w:rsidR="003F3D2B">
        <w:t xml:space="preserve"> w błą</w:t>
      </w:r>
      <w:r>
        <w:t>d</w:t>
      </w:r>
      <w:r w:rsidR="003F3D2B">
        <w:t xml:space="preserve"> i rek</w:t>
      </w:r>
      <w:r>
        <w:t>lamy porównawczej (Dz.U. L 376</w:t>
      </w:r>
      <w:r w:rsidR="003F3D2B">
        <w:t xml:space="preserve"> z 2</w:t>
      </w:r>
      <w:r>
        <w:t>7.12.2006, s. 21).</w:t>
      </w:r>
    </w:p>
  </w:footnote>
  <w:footnote w:id="85">
    <w:p w14:paraId="0E45518E" w14:textId="1A22FE1F" w:rsidR="00406A17" w:rsidRPr="00AC1E01" w:rsidRDefault="00406A17" w:rsidP="000464F8">
      <w:pPr>
        <w:pStyle w:val="FootnoteText"/>
      </w:pPr>
      <w:r>
        <w:rPr>
          <w:rStyle w:val="FootnoteReference"/>
        </w:rPr>
        <w:footnoteRef/>
      </w:r>
      <w:r>
        <w:tab/>
        <w:t>Dyrektywa 2005/29/WE Parlamentu Europejskiego</w:t>
      </w:r>
      <w:r w:rsidR="003F3D2B">
        <w:t xml:space="preserve"> i Rad</w:t>
      </w:r>
      <w:r>
        <w:t>y</w:t>
      </w:r>
      <w:r w:rsidR="003F3D2B">
        <w:t xml:space="preserve"> z dni</w:t>
      </w:r>
      <w:r>
        <w:t>a 11 maja 20</w:t>
      </w:r>
      <w:r w:rsidRPr="003F3D2B">
        <w:t>05</w:t>
      </w:r>
      <w:r w:rsidR="003F3D2B" w:rsidRPr="003F3D2B">
        <w:t> </w:t>
      </w:r>
      <w:r w:rsidRPr="003F3D2B">
        <w:t>r.</w:t>
      </w:r>
      <w:r>
        <w:t xml:space="preserve"> dotycząca nieuczciwych praktyk handlowych stosowanych przez przedsiębiorstwa wobec konsumentów na rynku wewnętrznym oraz zmieniająca dyrektywę Rady 84/450/EWG, dyrektywy 97/7/WE, 98/27/WE</w:t>
      </w:r>
      <w:r w:rsidR="003F3D2B">
        <w:t xml:space="preserve"> i 2</w:t>
      </w:r>
      <w:r>
        <w:t>002/65/WE Parlamentu Europejskiego</w:t>
      </w:r>
      <w:r w:rsidR="003F3D2B">
        <w:t xml:space="preserve"> i Rad</w:t>
      </w:r>
      <w:r>
        <w:t xml:space="preserve">y oraz rozporządzenie (WE) </w:t>
      </w:r>
      <w:r w:rsidRPr="003F3D2B">
        <w:t>nr</w:t>
      </w:r>
      <w:r w:rsidR="003F3D2B" w:rsidRPr="003F3D2B">
        <w:t> </w:t>
      </w:r>
      <w:r w:rsidRPr="003F3D2B">
        <w:t>2</w:t>
      </w:r>
      <w:r>
        <w:t>006/2004 Parlamentu Europejskiego</w:t>
      </w:r>
      <w:r w:rsidR="003F3D2B">
        <w:t xml:space="preserve"> i Rad</w:t>
      </w:r>
      <w:r>
        <w:t>y („Dyrektywa</w:t>
      </w:r>
      <w:r w:rsidR="003F3D2B">
        <w:t xml:space="preserve"> o nie</w:t>
      </w:r>
      <w:r>
        <w:t>uczciwych praktykach handlowych”) (Dz.U. L 149</w:t>
      </w:r>
      <w:r w:rsidR="003F3D2B">
        <w:t xml:space="preserve"> z 1</w:t>
      </w:r>
      <w:r>
        <w:t>1.6.2005, s. 22).</w:t>
      </w:r>
    </w:p>
  </w:footnote>
  <w:footnote w:id="86">
    <w:p w14:paraId="14566C56" w14:textId="1D6FEF2D" w:rsidR="00406A17" w:rsidRPr="00323319" w:rsidRDefault="00406A17" w:rsidP="000464F8">
      <w:pPr>
        <w:pStyle w:val="FootnoteText"/>
      </w:pPr>
      <w:r>
        <w:rPr>
          <w:rStyle w:val="FootnoteReference"/>
        </w:rPr>
        <w:footnoteRef/>
      </w:r>
      <w:r>
        <w:tab/>
        <w:t>Rozporządzenie Parlamentu Europejskiego</w:t>
      </w:r>
      <w:r w:rsidR="003F3D2B">
        <w:t xml:space="preserve"> i Rad</w:t>
      </w:r>
      <w:r>
        <w:t xml:space="preserve">y (UE) </w:t>
      </w:r>
      <w:r w:rsidRPr="003F3D2B">
        <w:t>nr</w:t>
      </w:r>
      <w:r w:rsidR="003F3D2B" w:rsidRPr="003F3D2B">
        <w:t> </w:t>
      </w:r>
      <w:r w:rsidRPr="003F3D2B">
        <w:t>1</w:t>
      </w:r>
      <w:r>
        <w:t>82/2011</w:t>
      </w:r>
      <w:r w:rsidR="003F3D2B">
        <w:t xml:space="preserve"> z dni</w:t>
      </w:r>
      <w:r>
        <w:t>a 16 lutego 20</w:t>
      </w:r>
      <w:r w:rsidRPr="003F3D2B">
        <w:t>11</w:t>
      </w:r>
      <w:r w:rsidR="003F3D2B" w:rsidRPr="003F3D2B">
        <w:t> </w:t>
      </w:r>
      <w:r w:rsidRPr="003F3D2B">
        <w:t>r.</w:t>
      </w:r>
      <w:r>
        <w:t xml:space="preserve"> ustanawiające przepisy</w:t>
      </w:r>
      <w:r w:rsidR="003F3D2B">
        <w:t xml:space="preserve"> i zas</w:t>
      </w:r>
      <w:r>
        <w:t>ady ogólne dotyczące trybu kontroli przez państwa członkowskie wykonywania uprawnień wykonawczych przez Komisję (Dz.U. L 55</w:t>
      </w:r>
      <w:r w:rsidR="003F3D2B">
        <w:t xml:space="preserve"> z 2</w:t>
      </w:r>
      <w:r>
        <w:t>8.2.2011, s. 13).</w:t>
      </w:r>
    </w:p>
  </w:footnote>
  <w:footnote w:id="87">
    <w:p w14:paraId="5286D81D" w14:textId="7A9625C3" w:rsidR="00406A17" w:rsidRPr="00323319" w:rsidRDefault="00406A17" w:rsidP="000464F8">
      <w:pPr>
        <w:pStyle w:val="FootnoteText"/>
      </w:pPr>
      <w:r>
        <w:rPr>
          <w:rStyle w:val="FootnoteReference"/>
        </w:rPr>
        <w:footnoteRef/>
      </w:r>
      <w:r>
        <w:tab/>
        <w:t>Rozporządzenie Parlamentu Europejskiego</w:t>
      </w:r>
      <w:r w:rsidR="003F3D2B">
        <w:t xml:space="preserve"> i Rad</w:t>
      </w:r>
      <w:r>
        <w:t xml:space="preserve">y (UE) </w:t>
      </w:r>
      <w:r w:rsidRPr="003F3D2B">
        <w:t>nr</w:t>
      </w:r>
      <w:r w:rsidR="003F3D2B" w:rsidRPr="003F3D2B">
        <w:t> </w:t>
      </w:r>
      <w:r w:rsidRPr="003F3D2B">
        <w:t>1</w:t>
      </w:r>
      <w:r>
        <w:t>82/2011</w:t>
      </w:r>
      <w:r w:rsidR="003F3D2B">
        <w:t xml:space="preserve"> z dni</w:t>
      </w:r>
      <w:r>
        <w:t>a 16 lutego 20</w:t>
      </w:r>
      <w:r w:rsidRPr="003F3D2B">
        <w:t>11</w:t>
      </w:r>
      <w:r w:rsidR="003F3D2B" w:rsidRPr="003F3D2B">
        <w:t> </w:t>
      </w:r>
      <w:r w:rsidRPr="003F3D2B">
        <w:t>r.</w:t>
      </w:r>
      <w:r>
        <w:t xml:space="preserve"> ustanawiające przepisy</w:t>
      </w:r>
      <w:r w:rsidR="003F3D2B">
        <w:t xml:space="preserve"> i zas</w:t>
      </w:r>
      <w:r>
        <w:t>ady ogólne dotyczące trybu kontroli przez państwa członkowskie wykonywania uprawnień wykonawczych przez Komisję (Dz.U. L 55</w:t>
      </w:r>
      <w:r w:rsidR="003F3D2B">
        <w:t xml:space="preserve"> z 2</w:t>
      </w:r>
      <w:r>
        <w:t>8.2.2011, s. 13).</w:t>
      </w:r>
    </w:p>
  </w:footnote>
  <w:footnote w:id="88">
    <w:p w14:paraId="1A1DA535" w14:textId="39B9DDD8" w:rsidR="00406A17" w:rsidRPr="002B70FE" w:rsidRDefault="00406A17" w:rsidP="000464F8">
      <w:pPr>
        <w:pStyle w:val="FootnoteText"/>
      </w:pPr>
      <w:r>
        <w:rPr>
          <w:rStyle w:val="FootnoteReference"/>
        </w:rPr>
        <w:footnoteRef/>
      </w:r>
      <w:r>
        <w:tab/>
        <w:t>Rozporządzenie Parlamentu Europejskiego</w:t>
      </w:r>
      <w:r w:rsidR="003F3D2B">
        <w:t xml:space="preserve"> i Rad</w:t>
      </w:r>
      <w:r>
        <w:t>y (UE) 2017/2394</w:t>
      </w:r>
      <w:r w:rsidR="003F3D2B">
        <w:t xml:space="preserve"> z dni</w:t>
      </w:r>
      <w:r>
        <w:t>a 12 grudnia 20</w:t>
      </w:r>
      <w:r w:rsidRPr="003F3D2B">
        <w:t>17</w:t>
      </w:r>
      <w:r w:rsidR="003F3D2B" w:rsidRPr="003F3D2B">
        <w:t> </w:t>
      </w:r>
      <w:r w:rsidRPr="003F3D2B">
        <w:t>r.</w:t>
      </w:r>
      <w:r w:rsidR="003F3D2B">
        <w:t xml:space="preserve"> w spr</w:t>
      </w:r>
      <w:r>
        <w:t>awie współpracy między organami krajowymi odpowiedzialnymi za egzekwowanie przepisów prawa</w:t>
      </w:r>
      <w:r w:rsidR="003F3D2B">
        <w:t xml:space="preserve"> w zak</w:t>
      </w:r>
      <w:r>
        <w:t>resie ochrony konsumentów</w:t>
      </w:r>
      <w:r w:rsidR="003F3D2B">
        <w:t xml:space="preserve"> i uch</w:t>
      </w:r>
      <w:r>
        <w:t xml:space="preserve">ylające rozporządzenie (WE) </w:t>
      </w:r>
      <w:r w:rsidRPr="003F3D2B">
        <w:t>nr</w:t>
      </w:r>
      <w:r w:rsidR="003F3D2B" w:rsidRPr="003F3D2B">
        <w:t> </w:t>
      </w:r>
      <w:r w:rsidRPr="003F3D2B">
        <w:t>2</w:t>
      </w:r>
      <w:r>
        <w:t>006/2004 (Dz.U. L 345</w:t>
      </w:r>
      <w:r w:rsidR="003F3D2B">
        <w:t xml:space="preserve"> z 2</w:t>
      </w:r>
      <w:r>
        <w:t>7.12.2017, s. 1).</w:t>
      </w:r>
    </w:p>
    <w:p w14:paraId="7E579F78" w14:textId="77777777" w:rsidR="00406A17" w:rsidRPr="00624565" w:rsidRDefault="00406A17" w:rsidP="000464F8">
      <w:pPr>
        <w:pStyle w:val="FootnoteText"/>
      </w:pPr>
    </w:p>
  </w:footnote>
  <w:footnote w:id="89">
    <w:p w14:paraId="72B04275" w14:textId="45F99ABD" w:rsidR="00406A17" w:rsidRPr="00A601B4" w:rsidRDefault="00406A17">
      <w:pPr>
        <w:pStyle w:val="FootnoteText"/>
      </w:pPr>
      <w:r>
        <w:rPr>
          <w:rStyle w:val="FootnoteReference"/>
        </w:rPr>
        <w:footnoteRef/>
      </w:r>
      <w:r>
        <w:tab/>
        <w:t>Rozporządzenie Parlamentu Europejskiego</w:t>
      </w:r>
      <w:r w:rsidR="003F3D2B">
        <w:t xml:space="preserve"> i Rad</w:t>
      </w:r>
      <w:r>
        <w:t>y (UE) 2017/2394</w:t>
      </w:r>
      <w:r w:rsidR="003F3D2B">
        <w:t xml:space="preserve"> z dni</w:t>
      </w:r>
      <w:r>
        <w:t>a 12 grudnia 20</w:t>
      </w:r>
      <w:r w:rsidRPr="003F3D2B">
        <w:t>17</w:t>
      </w:r>
      <w:r w:rsidR="003F3D2B" w:rsidRPr="003F3D2B">
        <w:t> </w:t>
      </w:r>
      <w:r w:rsidRPr="003F3D2B">
        <w:t>r.</w:t>
      </w:r>
      <w:r w:rsidR="003F3D2B">
        <w:t xml:space="preserve"> w spr</w:t>
      </w:r>
      <w:r>
        <w:t>awie współpracy między organami krajowymi odpowiedzialnymi za egzekwowanie przepisów prawa</w:t>
      </w:r>
      <w:r w:rsidR="003F3D2B">
        <w:t xml:space="preserve"> w zak</w:t>
      </w:r>
      <w:r>
        <w:t>resie ochrony konsumentów</w:t>
      </w:r>
      <w:r w:rsidR="003F3D2B">
        <w:t xml:space="preserve"> i uch</w:t>
      </w:r>
      <w:r>
        <w:t xml:space="preserve">ylające rozporządzenie (WE) </w:t>
      </w:r>
      <w:r w:rsidRPr="003F3D2B">
        <w:t>nr</w:t>
      </w:r>
      <w:r w:rsidR="003F3D2B" w:rsidRPr="003F3D2B">
        <w:t> </w:t>
      </w:r>
      <w:r w:rsidRPr="003F3D2B">
        <w:t>2</w:t>
      </w:r>
      <w:r>
        <w:t>006/2004 (Dz.U. L 345</w:t>
      </w:r>
      <w:r w:rsidR="003F3D2B">
        <w:t xml:space="preserve"> z 2</w:t>
      </w:r>
      <w:r>
        <w:t>7.12.2017, s. 1).</w:t>
      </w:r>
    </w:p>
  </w:footnote>
  <w:footnote w:id="90">
    <w:p w14:paraId="028DA7CC" w14:textId="797AF486" w:rsidR="00406A17" w:rsidRPr="00323319" w:rsidRDefault="00406A17" w:rsidP="000464F8">
      <w:pPr>
        <w:pStyle w:val="FootnoteText"/>
      </w:pPr>
      <w:r>
        <w:rPr>
          <w:rStyle w:val="FootnoteReference"/>
        </w:rPr>
        <w:footnoteRef/>
      </w:r>
      <w:r>
        <w:tab/>
        <w:t>Dz.U. L 123</w:t>
      </w:r>
      <w:r w:rsidR="003F3D2B">
        <w:t xml:space="preserve"> z 1</w:t>
      </w:r>
      <w:r>
        <w:t>2.5.2016, s. 1.</w:t>
      </w:r>
    </w:p>
  </w:footnote>
  <w:footnote w:id="91">
    <w:p w14:paraId="0F6AF17D" w14:textId="40CD1925" w:rsidR="00406A17" w:rsidRPr="00B83F01" w:rsidRDefault="00406A17" w:rsidP="000464F8">
      <w:pPr>
        <w:pStyle w:val="FootnoteText"/>
      </w:pPr>
      <w:r>
        <w:rPr>
          <w:rStyle w:val="FootnoteReference"/>
        </w:rPr>
        <w:footnoteRef/>
      </w:r>
      <w:r>
        <w:tab/>
        <w:t>Rozporządzenie Parlamentu Europejskiego</w:t>
      </w:r>
      <w:r w:rsidR="003F3D2B">
        <w:t xml:space="preserve"> i Rad</w:t>
      </w:r>
      <w:r>
        <w:t xml:space="preserve">y (WE) </w:t>
      </w:r>
      <w:r w:rsidRPr="003F3D2B">
        <w:t>nr</w:t>
      </w:r>
      <w:r w:rsidR="003F3D2B" w:rsidRPr="003F3D2B">
        <w:t> </w:t>
      </w:r>
      <w:r w:rsidRPr="003F3D2B">
        <w:t>1</w:t>
      </w:r>
      <w:r>
        <w:t>272/2008</w:t>
      </w:r>
      <w:r w:rsidR="003F3D2B">
        <w:t xml:space="preserve"> z dni</w:t>
      </w:r>
      <w:r>
        <w:t>a 16 grudnia 20</w:t>
      </w:r>
      <w:r w:rsidRPr="003F3D2B">
        <w:t>08</w:t>
      </w:r>
      <w:r w:rsidR="003F3D2B" w:rsidRPr="003F3D2B">
        <w:t> </w:t>
      </w:r>
      <w:r w:rsidRPr="003F3D2B">
        <w:t>r.</w:t>
      </w:r>
      <w:r w:rsidR="003F3D2B">
        <w:t xml:space="preserve"> w spr</w:t>
      </w:r>
      <w:r>
        <w:t>awie klasyfikacji, oznakowania</w:t>
      </w:r>
      <w:r w:rsidR="003F3D2B">
        <w:t xml:space="preserve"> i pak</w:t>
      </w:r>
      <w:r>
        <w:t>owania substancji</w:t>
      </w:r>
      <w:r w:rsidR="003F3D2B">
        <w:t xml:space="preserve"> i mie</w:t>
      </w:r>
      <w:r>
        <w:t>szanin, zmieniające</w:t>
      </w:r>
      <w:r w:rsidR="003F3D2B">
        <w:t xml:space="preserve"> i uch</w:t>
      </w:r>
      <w:r>
        <w:t>ylające dyrektywy 67/548/EWG</w:t>
      </w:r>
      <w:r w:rsidR="003F3D2B">
        <w:t xml:space="preserve"> i 1</w:t>
      </w:r>
      <w:r>
        <w:t xml:space="preserve">999/45/WE oraz zmieniające rozporządzenie (WE) </w:t>
      </w:r>
      <w:r w:rsidRPr="003F3D2B">
        <w:t>nr</w:t>
      </w:r>
      <w:r w:rsidR="003F3D2B" w:rsidRPr="003F3D2B">
        <w:t> </w:t>
      </w:r>
      <w:r w:rsidRPr="003F3D2B">
        <w:t>1</w:t>
      </w:r>
      <w:r>
        <w:t>907/2006 (Dz.U. L 353</w:t>
      </w:r>
      <w:r w:rsidR="003F3D2B">
        <w:t xml:space="preserve"> z 3</w:t>
      </w:r>
      <w:r>
        <w:t>1.12.2008, s. 1).</w:t>
      </w:r>
    </w:p>
  </w:footnote>
  <w:footnote w:id="92">
    <w:p w14:paraId="14BEFA9E" w14:textId="7C03B80B" w:rsidR="00406A17" w:rsidRPr="0012165D" w:rsidRDefault="00406A17" w:rsidP="000464F8">
      <w:pPr>
        <w:pStyle w:val="FootnoteText"/>
      </w:pPr>
      <w:r>
        <w:rPr>
          <w:rStyle w:val="FootnoteReference"/>
        </w:rPr>
        <w:footnoteRef/>
      </w:r>
      <w:r>
        <w:tab/>
        <w:t>Dz.U. C 369</w:t>
      </w:r>
      <w:r w:rsidR="003F3D2B">
        <w:t xml:space="preserve"> z 1</w:t>
      </w:r>
      <w:r>
        <w:t>7.12.2011, s. 14.</w:t>
      </w:r>
    </w:p>
  </w:footnote>
  <w:footnote w:id="93">
    <w:p w14:paraId="7DA13E56" w14:textId="40BEB676" w:rsidR="00406A17" w:rsidRPr="00D7782B" w:rsidRDefault="00406A17" w:rsidP="000464F8">
      <w:pPr>
        <w:pStyle w:val="FootnoteText"/>
      </w:pPr>
      <w:r>
        <w:rPr>
          <w:rStyle w:val="FootnoteReference"/>
        </w:rPr>
        <w:footnoteRef/>
      </w:r>
      <w:r>
        <w:tab/>
        <w:t>Rozporządzenie Parlamentu Europejskiego</w:t>
      </w:r>
      <w:r w:rsidR="003F3D2B">
        <w:t xml:space="preserve"> i Rad</w:t>
      </w:r>
      <w:r>
        <w:t xml:space="preserve">y (UE) </w:t>
      </w:r>
      <w:r w:rsidRPr="003F3D2B">
        <w:t>nr</w:t>
      </w:r>
      <w:r w:rsidR="003F3D2B" w:rsidRPr="003F3D2B">
        <w:t> </w:t>
      </w:r>
      <w:r w:rsidRPr="003F3D2B">
        <w:t>1</w:t>
      </w:r>
      <w:r>
        <w:t>024/2012</w:t>
      </w:r>
      <w:r w:rsidR="003F3D2B">
        <w:t xml:space="preserve"> z dni</w:t>
      </w:r>
      <w:r>
        <w:t>a 25 października 20</w:t>
      </w:r>
      <w:r w:rsidRPr="003F3D2B">
        <w:t>12</w:t>
      </w:r>
      <w:r w:rsidR="003F3D2B" w:rsidRPr="003F3D2B">
        <w:t> </w:t>
      </w:r>
      <w:r w:rsidRPr="003F3D2B">
        <w:t>r.</w:t>
      </w:r>
      <w:r w:rsidR="003F3D2B">
        <w:t xml:space="preserve"> w spr</w:t>
      </w:r>
      <w:r>
        <w:t>awie współpracy administracyjnej za pośrednictwem systemu wymiany informacji na rynku wewnętrznym</w:t>
      </w:r>
      <w:r w:rsidR="003F3D2B">
        <w:t xml:space="preserve"> i uch</w:t>
      </w:r>
      <w:r>
        <w:t>ylające decyzję Komisji 2008/49/WE („rozporządzenie</w:t>
      </w:r>
      <w:r w:rsidR="003F3D2B">
        <w:t xml:space="preserve"> w spr</w:t>
      </w:r>
      <w:r>
        <w:t>awie IMI”) (Dz.U. L 316</w:t>
      </w:r>
      <w:r w:rsidR="003F3D2B">
        <w:t xml:space="preserve"> z 1</w:t>
      </w:r>
      <w:r>
        <w:t>4.11.2012, s. 1).</w:t>
      </w:r>
    </w:p>
  </w:footnote>
  <w:footnote w:id="94">
    <w:p w14:paraId="2DE15943" w14:textId="39E0EF01" w:rsidR="00406A17" w:rsidRPr="000A117A" w:rsidRDefault="00406A17" w:rsidP="000464F8">
      <w:pPr>
        <w:pStyle w:val="FootnoteText"/>
      </w:pPr>
      <w:r>
        <w:rPr>
          <w:rStyle w:val="FootnoteReference"/>
        </w:rPr>
        <w:footnoteRef/>
      </w:r>
      <w:r>
        <w:tab/>
        <w:t>Dz.U. L 345</w:t>
      </w:r>
      <w:r w:rsidR="003F3D2B">
        <w:t xml:space="preserve"> z 2</w:t>
      </w:r>
      <w:r>
        <w:t>7.12.2017, s. 1.</w:t>
      </w:r>
    </w:p>
  </w:footnote>
  <w:footnote w:id="95">
    <w:p w14:paraId="392A2819" w14:textId="46F0F244" w:rsidR="00406A17" w:rsidRPr="0012742F" w:rsidRDefault="00406A17" w:rsidP="000464F8">
      <w:pPr>
        <w:pStyle w:val="FootnoteText"/>
      </w:pPr>
      <w:r>
        <w:rPr>
          <w:rStyle w:val="FootnoteReference"/>
        </w:rPr>
        <w:footnoteRef/>
      </w:r>
      <w:r>
        <w:tab/>
        <w:t>Dyrektywa Parlamentu Europejskiego</w:t>
      </w:r>
      <w:r w:rsidR="003F3D2B">
        <w:t xml:space="preserve"> i Rad</w:t>
      </w:r>
      <w:r>
        <w:t>y (UE) 2020/1828</w:t>
      </w:r>
      <w:r w:rsidR="003F3D2B">
        <w:t xml:space="preserve"> z dni</w:t>
      </w:r>
      <w:r>
        <w:t>a 25 listopada 20</w:t>
      </w:r>
      <w:r w:rsidRPr="003F3D2B">
        <w:t>20</w:t>
      </w:r>
      <w:r w:rsidR="003F3D2B" w:rsidRPr="003F3D2B">
        <w:t> </w:t>
      </w:r>
      <w:r w:rsidRPr="003F3D2B">
        <w:t>r.</w:t>
      </w:r>
      <w:r w:rsidR="003F3D2B">
        <w:t xml:space="preserve"> w spr</w:t>
      </w:r>
      <w:r>
        <w:t>awie powództw przedstawicielskich wytaczanych</w:t>
      </w:r>
      <w:r w:rsidR="003F3D2B">
        <w:t xml:space="preserve"> w cel</w:t>
      </w:r>
      <w:r>
        <w:t>u ochrony zbiorowych interesów konsumentów</w:t>
      </w:r>
      <w:r w:rsidR="003F3D2B">
        <w:t xml:space="preserve"> i uch</w:t>
      </w:r>
      <w:r>
        <w:t>ylająca dyrektywę 2009/22/WE (Dz.U. L 409</w:t>
      </w:r>
      <w:r w:rsidR="003F3D2B">
        <w:t xml:space="preserve"> z 4</w:t>
      </w:r>
      <w:r>
        <w:t>.12.2020, s. 1).</w:t>
      </w:r>
    </w:p>
  </w:footnote>
  <w:footnote w:id="96">
    <w:p w14:paraId="215108DF" w14:textId="3A7A9486" w:rsidR="00406A17" w:rsidRPr="008F7ADC" w:rsidRDefault="00406A17" w:rsidP="00F44115">
      <w:pPr>
        <w:pStyle w:val="FootnoteText"/>
      </w:pPr>
      <w:r>
        <w:rPr>
          <w:rStyle w:val="FootnoteReference"/>
        </w:rPr>
        <w:footnoteRef/>
      </w:r>
      <w:r>
        <w:tab/>
        <w:t>Rozporządzenie Parlamentu Europejskiego</w:t>
      </w:r>
      <w:r w:rsidR="003F3D2B">
        <w:t xml:space="preserve"> i Rad</w:t>
      </w:r>
      <w:r>
        <w:t xml:space="preserve">y (WE) </w:t>
      </w:r>
      <w:r w:rsidRPr="003F3D2B">
        <w:t>nr</w:t>
      </w:r>
      <w:r w:rsidR="003F3D2B" w:rsidRPr="003F3D2B">
        <w:t> </w:t>
      </w:r>
      <w:r w:rsidRPr="003F3D2B">
        <w:t>6</w:t>
      </w:r>
      <w:r>
        <w:t>6/2010</w:t>
      </w:r>
      <w:r w:rsidR="003F3D2B">
        <w:t xml:space="preserve"> z dni</w:t>
      </w:r>
      <w:r>
        <w:t>a 25 listopada 20</w:t>
      </w:r>
      <w:r w:rsidRPr="003F3D2B">
        <w:t>09</w:t>
      </w:r>
      <w:r w:rsidR="003F3D2B" w:rsidRPr="003F3D2B">
        <w:t> </w:t>
      </w:r>
      <w:r w:rsidRPr="003F3D2B">
        <w:t>r.</w:t>
      </w:r>
      <w:r w:rsidR="003F3D2B">
        <w:t xml:space="preserve"> w spr</w:t>
      </w:r>
      <w:r>
        <w:t>awie oznakowania ekologicznego UE (Dz.U. L 27</w:t>
      </w:r>
      <w:r w:rsidR="003F3D2B">
        <w:t xml:space="preserve"> z 3</w:t>
      </w:r>
      <w:r>
        <w:t>0.1.2010, s. 1).</w:t>
      </w:r>
    </w:p>
  </w:footnote>
  <w:footnote w:id="97">
    <w:p w14:paraId="3CCE18EC" w14:textId="10F7BB2E" w:rsidR="00406A17" w:rsidRPr="008F7ADC" w:rsidRDefault="00406A17" w:rsidP="00F44115">
      <w:pPr>
        <w:pStyle w:val="FootnoteText"/>
      </w:pPr>
      <w:r>
        <w:rPr>
          <w:rStyle w:val="FootnoteReference"/>
        </w:rPr>
        <w:footnoteRef/>
      </w:r>
      <w:r>
        <w:tab/>
        <w:t>Rozporządzenie Parlamentu Europejskiego</w:t>
      </w:r>
      <w:r w:rsidR="003F3D2B">
        <w:t xml:space="preserve"> i Rad</w:t>
      </w:r>
      <w:r>
        <w:t>y (UE) 2018/848</w:t>
      </w:r>
      <w:r w:rsidR="003F3D2B">
        <w:t xml:space="preserve"> z dni</w:t>
      </w:r>
      <w:r>
        <w:t>a 30 maja 20</w:t>
      </w:r>
      <w:r w:rsidRPr="003F3D2B">
        <w:t>18</w:t>
      </w:r>
      <w:r w:rsidR="003F3D2B" w:rsidRPr="003F3D2B">
        <w:t> </w:t>
      </w:r>
      <w:r w:rsidRPr="003F3D2B">
        <w:t>r.</w:t>
      </w:r>
      <w:r w:rsidR="003F3D2B">
        <w:t xml:space="preserve"> w spr</w:t>
      </w:r>
      <w:r>
        <w:t>awie produkcji ekologicznej</w:t>
      </w:r>
      <w:r w:rsidR="003F3D2B">
        <w:t xml:space="preserve"> i zna</w:t>
      </w:r>
      <w:r>
        <w:t>kowania produktów ekologicznych</w:t>
      </w:r>
      <w:r w:rsidR="003F3D2B">
        <w:t xml:space="preserve"> i uch</w:t>
      </w:r>
      <w:r>
        <w:t xml:space="preserve">ylające rozporządzenie Rady (WE) </w:t>
      </w:r>
      <w:r w:rsidRPr="003F3D2B">
        <w:t>nr</w:t>
      </w:r>
      <w:r w:rsidR="003F3D2B" w:rsidRPr="003F3D2B">
        <w:t> </w:t>
      </w:r>
      <w:r w:rsidRPr="003F3D2B">
        <w:t>8</w:t>
      </w:r>
      <w:r>
        <w:t>34/2007 (Dz.U. L 150</w:t>
      </w:r>
      <w:r w:rsidR="003F3D2B">
        <w:t xml:space="preserve"> z 1</w:t>
      </w:r>
      <w:r>
        <w:t>4.6.2018, s. 1).</w:t>
      </w:r>
    </w:p>
  </w:footnote>
  <w:footnote w:id="98">
    <w:p w14:paraId="499EDB44" w14:textId="73D74D08" w:rsidR="00406A17" w:rsidRPr="00A64B0C" w:rsidRDefault="00406A17" w:rsidP="00F44115">
      <w:pPr>
        <w:pStyle w:val="FootnoteText"/>
      </w:pPr>
      <w:r>
        <w:rPr>
          <w:rStyle w:val="FootnoteReference"/>
        </w:rPr>
        <w:footnoteRef/>
      </w:r>
      <w:r>
        <w:tab/>
        <w:t>Rozporządzenie Parlamentu Europejskiego</w:t>
      </w:r>
      <w:r w:rsidR="003F3D2B">
        <w:t xml:space="preserve"> i Rad</w:t>
      </w:r>
      <w:r>
        <w:t>y (UE) 2017/1369</w:t>
      </w:r>
      <w:r w:rsidR="003F3D2B">
        <w:t xml:space="preserve"> z dni</w:t>
      </w:r>
      <w:r>
        <w:t>a 4 lipca 20</w:t>
      </w:r>
      <w:r w:rsidRPr="003F3D2B">
        <w:t>17</w:t>
      </w:r>
      <w:r w:rsidR="003F3D2B" w:rsidRPr="003F3D2B">
        <w:t> </w:t>
      </w:r>
      <w:r w:rsidRPr="003F3D2B">
        <w:t>r.</w:t>
      </w:r>
      <w:r>
        <w:t xml:space="preserve"> ustanawiające ramy etykietowania energetycznego</w:t>
      </w:r>
      <w:r w:rsidR="003F3D2B">
        <w:t xml:space="preserve"> i uch</w:t>
      </w:r>
      <w:r>
        <w:t>ylające dyrektywę 2010/30/UE (Dz.U. L 198</w:t>
      </w:r>
      <w:r w:rsidR="003F3D2B">
        <w:t xml:space="preserve"> z 2</w:t>
      </w:r>
      <w:r>
        <w:t>8.7.2017, s. 1).</w:t>
      </w:r>
    </w:p>
  </w:footnote>
  <w:footnote w:id="99">
    <w:p w14:paraId="6E4EAF1E" w14:textId="1FB31824" w:rsidR="00406A17" w:rsidRPr="00A64B0C" w:rsidRDefault="00406A17" w:rsidP="00F44115">
      <w:pPr>
        <w:pStyle w:val="FootnoteText"/>
      </w:pPr>
      <w:r>
        <w:rPr>
          <w:rStyle w:val="FootnoteReference"/>
        </w:rPr>
        <w:footnoteRef/>
      </w:r>
      <w:r>
        <w:tab/>
        <w:t>Dyrektywa Parlamentu Europejskiego</w:t>
      </w:r>
      <w:r w:rsidR="003F3D2B">
        <w:t xml:space="preserve"> i Rad</w:t>
      </w:r>
      <w:r>
        <w:t>y 2009/125/WE</w:t>
      </w:r>
      <w:r w:rsidR="003F3D2B">
        <w:t xml:space="preserve"> z dni</w:t>
      </w:r>
      <w:r>
        <w:t>a 21 października 20</w:t>
      </w:r>
      <w:r w:rsidRPr="003F3D2B">
        <w:t>09</w:t>
      </w:r>
      <w:r w:rsidR="003F3D2B" w:rsidRPr="003F3D2B">
        <w:t> </w:t>
      </w:r>
      <w:r w:rsidRPr="003F3D2B">
        <w:t>r.</w:t>
      </w:r>
      <w:r>
        <w:t xml:space="preserve"> ustanawiająca ogólne zasady ustalania wymogów dotyczących ekoprojektu dla produktów związanych</w:t>
      </w:r>
      <w:r w:rsidR="003F3D2B">
        <w:t xml:space="preserve"> z ene</w:t>
      </w:r>
      <w:r>
        <w:t>rgią (wersja przekształcona) (Dz.U. L 285</w:t>
      </w:r>
      <w:r w:rsidR="003F3D2B">
        <w:t xml:space="preserve"> z 3</w:t>
      </w:r>
      <w:r>
        <w:t>1.10.2009, s. 10).</w:t>
      </w:r>
    </w:p>
  </w:footnote>
  <w:footnote w:id="100">
    <w:p w14:paraId="5BA115EC" w14:textId="79218CF9" w:rsidR="00406A17" w:rsidRPr="00596DC3" w:rsidRDefault="00406A17" w:rsidP="00F44115">
      <w:pPr>
        <w:pStyle w:val="FootnoteText"/>
      </w:pPr>
      <w:r>
        <w:rPr>
          <w:rStyle w:val="FootnoteReference"/>
        </w:rPr>
        <w:footnoteRef/>
      </w:r>
      <w:r>
        <w:tab/>
        <w:t>Rozporządzenie Parlamentu Europejskiego</w:t>
      </w:r>
      <w:r w:rsidR="003F3D2B">
        <w:t xml:space="preserve"> i Rad</w:t>
      </w:r>
      <w:r>
        <w:t xml:space="preserve">y (UE) </w:t>
      </w:r>
      <w:r w:rsidRPr="003F3D2B">
        <w:t>nr</w:t>
      </w:r>
      <w:r w:rsidR="003F3D2B" w:rsidRPr="003F3D2B">
        <w:t> </w:t>
      </w:r>
      <w:r w:rsidRPr="003F3D2B">
        <w:t>3</w:t>
      </w:r>
      <w:r>
        <w:t>05/2011</w:t>
      </w:r>
      <w:r w:rsidR="003F3D2B">
        <w:t xml:space="preserve"> z dni</w:t>
      </w:r>
      <w:r>
        <w:t>a 9 marca 20</w:t>
      </w:r>
      <w:r w:rsidRPr="003F3D2B">
        <w:t>11</w:t>
      </w:r>
      <w:r w:rsidR="003F3D2B" w:rsidRPr="003F3D2B">
        <w:t> </w:t>
      </w:r>
      <w:r w:rsidRPr="003F3D2B">
        <w:t>r.</w:t>
      </w:r>
      <w:r>
        <w:t xml:space="preserve"> ustanawiające zharmonizowane warunki wprowadzania do obrotu wyrobów budowlanych</w:t>
      </w:r>
      <w:r w:rsidR="003F3D2B">
        <w:t xml:space="preserve"> i uch</w:t>
      </w:r>
      <w:r>
        <w:t>ylające dyrektywę Rady 89/106/EWG (Dz.U. L 88</w:t>
      </w:r>
      <w:r w:rsidR="003F3D2B">
        <w:t xml:space="preserve"> z 4</w:t>
      </w:r>
      <w:r>
        <w:t>.4.2011, s. 5).</w:t>
      </w:r>
    </w:p>
  </w:footnote>
  <w:footnote w:id="101">
    <w:p w14:paraId="4DD2DAAC" w14:textId="3AE6F25B" w:rsidR="00406A17" w:rsidRPr="002753FB" w:rsidRDefault="00406A17" w:rsidP="00F44115">
      <w:pPr>
        <w:pStyle w:val="FootnoteText"/>
      </w:pPr>
      <w:r>
        <w:rPr>
          <w:rStyle w:val="FootnoteReference"/>
        </w:rPr>
        <w:footnoteRef/>
      </w:r>
      <w:r>
        <w:tab/>
        <w:t>Rozporządzenie Parlamentu Europejskiego</w:t>
      </w:r>
      <w:r w:rsidR="003F3D2B">
        <w:t xml:space="preserve"> i Rad</w:t>
      </w:r>
      <w:r>
        <w:t xml:space="preserve">y (WE) </w:t>
      </w:r>
      <w:r w:rsidRPr="003F3D2B">
        <w:t>nr</w:t>
      </w:r>
      <w:r w:rsidR="003F3D2B" w:rsidRPr="003F3D2B">
        <w:t> </w:t>
      </w:r>
      <w:r w:rsidRPr="003F3D2B">
        <w:t>7</w:t>
      </w:r>
      <w:r>
        <w:t>65/2008</w:t>
      </w:r>
      <w:r w:rsidR="003F3D2B">
        <w:t xml:space="preserve"> z dni</w:t>
      </w:r>
      <w:r>
        <w:t>a 9 lipca 20</w:t>
      </w:r>
      <w:r w:rsidRPr="003F3D2B">
        <w:t>08</w:t>
      </w:r>
      <w:r w:rsidR="003F3D2B" w:rsidRPr="003F3D2B">
        <w:t> </w:t>
      </w:r>
      <w:r w:rsidRPr="003F3D2B">
        <w:t>r.</w:t>
      </w:r>
      <w:r>
        <w:t xml:space="preserve"> ustanawiające wymagania</w:t>
      </w:r>
      <w:r w:rsidR="003F3D2B">
        <w:t xml:space="preserve"> w zak</w:t>
      </w:r>
      <w:r>
        <w:t>resie akredytacji</w:t>
      </w:r>
      <w:r w:rsidR="003F3D2B">
        <w:t xml:space="preserve"> i nad</w:t>
      </w:r>
      <w:r>
        <w:t>zoru rynku odnoszące się do warunków wprowadzania produktów do obrotu</w:t>
      </w:r>
      <w:r w:rsidR="003F3D2B">
        <w:t xml:space="preserve"> i uch</w:t>
      </w:r>
      <w:r>
        <w:t xml:space="preserve">ylające rozporządzenie (EWG) </w:t>
      </w:r>
      <w:r w:rsidRPr="003F3D2B">
        <w:t>nr</w:t>
      </w:r>
      <w:r w:rsidR="003F3D2B" w:rsidRPr="003F3D2B">
        <w:t> </w:t>
      </w:r>
      <w:r w:rsidRPr="003F3D2B">
        <w:t>3</w:t>
      </w:r>
      <w:r>
        <w:t>39/93 (Dz.U. L 218</w:t>
      </w:r>
      <w:r w:rsidR="003F3D2B">
        <w:t xml:space="preserve"> z 1</w:t>
      </w:r>
      <w:r>
        <w:t>3.8.2008, s. 30).</w:t>
      </w:r>
    </w:p>
  </w:footnote>
  <w:footnote w:id="102">
    <w:p w14:paraId="2D1BCD74" w14:textId="72609D0A" w:rsidR="00406A17" w:rsidRPr="008E0FFC" w:rsidRDefault="00406A17" w:rsidP="00F44115">
      <w:pPr>
        <w:pStyle w:val="FootnoteText"/>
      </w:pPr>
      <w:r>
        <w:rPr>
          <w:rStyle w:val="FootnoteReference"/>
        </w:rPr>
        <w:footnoteRef/>
      </w:r>
      <w:r>
        <w:tab/>
        <w:t>Rozporządzenie Parlamentu Europejskiego</w:t>
      </w:r>
      <w:r w:rsidR="003F3D2B">
        <w:t xml:space="preserve"> i Rad</w:t>
      </w:r>
      <w:r>
        <w:t xml:space="preserve">y (WE) </w:t>
      </w:r>
      <w:r w:rsidRPr="003F3D2B">
        <w:t>nr</w:t>
      </w:r>
      <w:r w:rsidR="003F3D2B" w:rsidRPr="003F3D2B">
        <w:t> </w:t>
      </w:r>
      <w:r w:rsidRPr="003F3D2B">
        <w:t>1</w:t>
      </w:r>
      <w:r>
        <w:t>221/2009</w:t>
      </w:r>
      <w:r w:rsidR="003F3D2B">
        <w:t xml:space="preserve"> z dni</w:t>
      </w:r>
      <w:r>
        <w:t>a 25 listopada 20</w:t>
      </w:r>
      <w:r w:rsidRPr="003F3D2B">
        <w:t>09</w:t>
      </w:r>
      <w:r w:rsidR="003F3D2B" w:rsidRPr="003F3D2B">
        <w:t> </w:t>
      </w:r>
      <w:r w:rsidRPr="003F3D2B">
        <w:t>r.</w:t>
      </w:r>
      <w:r w:rsidR="003F3D2B">
        <w:t xml:space="preserve"> w spr</w:t>
      </w:r>
      <w:r>
        <w:t>awie dobrowolnego udziału organizacji</w:t>
      </w:r>
      <w:r w:rsidR="003F3D2B">
        <w:t xml:space="preserve"> w sys</w:t>
      </w:r>
      <w:r>
        <w:t>temie ekozarządzania</w:t>
      </w:r>
      <w:r w:rsidR="003F3D2B">
        <w:t xml:space="preserve"> i aud</w:t>
      </w:r>
      <w:r>
        <w:t xml:space="preserve">ytu we Wspólnocie (EMAS), uchylające rozporządzenie (WE) </w:t>
      </w:r>
      <w:r w:rsidRPr="003F3D2B">
        <w:t>nr</w:t>
      </w:r>
      <w:r w:rsidR="003F3D2B" w:rsidRPr="003F3D2B">
        <w:t> </w:t>
      </w:r>
      <w:r w:rsidRPr="003F3D2B">
        <w:t>7</w:t>
      </w:r>
      <w:r>
        <w:t>61/2001 oraz decyzje Komisji 2001/681/WE</w:t>
      </w:r>
      <w:r w:rsidR="003F3D2B">
        <w:t xml:space="preserve"> i 2</w:t>
      </w:r>
      <w:r>
        <w:t>006/193/WE (Dz.U. L 342</w:t>
      </w:r>
      <w:r w:rsidR="003F3D2B">
        <w:t xml:space="preserve"> z 2</w:t>
      </w:r>
      <w:r>
        <w:t>2.12.2009, s. 1).</w:t>
      </w:r>
    </w:p>
  </w:footnote>
  <w:footnote w:id="103">
    <w:p w14:paraId="1EA5B43C" w14:textId="5BB10745" w:rsidR="00406A17" w:rsidRPr="00A64B0C" w:rsidRDefault="00406A17" w:rsidP="00F44115">
      <w:pPr>
        <w:pStyle w:val="FootnoteText"/>
      </w:pPr>
      <w:r>
        <w:rPr>
          <w:rStyle w:val="FootnoteReference"/>
        </w:rPr>
        <w:footnoteRef/>
      </w:r>
      <w:r>
        <w:tab/>
        <w:t>Dyrektywa 1999/94/WE Parlamentu Europejskiego</w:t>
      </w:r>
      <w:r w:rsidR="003F3D2B">
        <w:t xml:space="preserve"> i Rad</w:t>
      </w:r>
      <w:r>
        <w:t>y</w:t>
      </w:r>
      <w:r w:rsidR="003F3D2B">
        <w:t xml:space="preserve"> z dni</w:t>
      </w:r>
      <w:r>
        <w:t>a 13 grudnia 19</w:t>
      </w:r>
      <w:r w:rsidRPr="003F3D2B">
        <w:t>99</w:t>
      </w:r>
      <w:r w:rsidR="003F3D2B" w:rsidRPr="003F3D2B">
        <w:t> </w:t>
      </w:r>
      <w:r w:rsidRPr="003F3D2B">
        <w:t>r.</w:t>
      </w:r>
      <w:r>
        <w:t xml:space="preserve"> odnosząca się do dostępności dla konsumentów informacji</w:t>
      </w:r>
      <w:r w:rsidR="003F3D2B">
        <w:t xml:space="preserve"> o zuż</w:t>
      </w:r>
      <w:r>
        <w:t>yciu paliwa</w:t>
      </w:r>
      <w:r w:rsidR="003F3D2B">
        <w:t xml:space="preserve"> i emi</w:t>
      </w:r>
      <w:r>
        <w:t>sjach CO2</w:t>
      </w:r>
      <w:r w:rsidR="003F3D2B">
        <w:t xml:space="preserve"> w odn</w:t>
      </w:r>
      <w:r>
        <w:t>iesieniu do obrotu nowymi samochodami osobowymi (Dz.U. L 12</w:t>
      </w:r>
      <w:r w:rsidR="003F3D2B">
        <w:t xml:space="preserve"> z 1</w:t>
      </w:r>
      <w:r>
        <w:t>8.1.2000, s. 16).</w:t>
      </w:r>
    </w:p>
  </w:footnote>
  <w:footnote w:id="104">
    <w:p w14:paraId="56001426" w14:textId="542E0F7D" w:rsidR="00406A17" w:rsidRPr="00596DC3" w:rsidRDefault="00406A17" w:rsidP="00F44115">
      <w:pPr>
        <w:pStyle w:val="FootnoteText"/>
      </w:pPr>
      <w:r>
        <w:rPr>
          <w:rStyle w:val="FootnoteReference"/>
        </w:rPr>
        <w:footnoteRef/>
      </w:r>
      <w:r>
        <w:tab/>
        <w:t>Rozporządzenie Parlamentu Europejskiego</w:t>
      </w:r>
      <w:r w:rsidR="003F3D2B">
        <w:t xml:space="preserve"> i Rad</w:t>
      </w:r>
      <w:r>
        <w:t xml:space="preserve">y (UE) </w:t>
      </w:r>
      <w:r w:rsidRPr="003F3D2B">
        <w:t>nr</w:t>
      </w:r>
      <w:r w:rsidR="003F3D2B" w:rsidRPr="003F3D2B">
        <w:t> </w:t>
      </w:r>
      <w:r w:rsidRPr="003F3D2B">
        <w:t>3</w:t>
      </w:r>
      <w:r>
        <w:t>05/2011</w:t>
      </w:r>
      <w:r w:rsidR="003F3D2B">
        <w:t xml:space="preserve"> z dni</w:t>
      </w:r>
      <w:r>
        <w:t>a 9 marca 20</w:t>
      </w:r>
      <w:r w:rsidRPr="003F3D2B">
        <w:t>11</w:t>
      </w:r>
      <w:r w:rsidR="003F3D2B" w:rsidRPr="003F3D2B">
        <w:t> </w:t>
      </w:r>
      <w:r w:rsidRPr="003F3D2B">
        <w:t>r.</w:t>
      </w:r>
      <w:r>
        <w:t xml:space="preserve"> ustanawiające zharmonizowane warunki wprowadzania do obrotu wyrobów budowlanych</w:t>
      </w:r>
      <w:r w:rsidR="003F3D2B">
        <w:t xml:space="preserve"> i uch</w:t>
      </w:r>
      <w:r>
        <w:t>ylające dyrektywę Rady 89/106/EWG (Dz.U. L 88</w:t>
      </w:r>
      <w:r w:rsidR="003F3D2B">
        <w:t xml:space="preserve"> z 4</w:t>
      </w:r>
      <w:r>
        <w:t>.4.2011, s. 5).</w:t>
      </w:r>
    </w:p>
  </w:footnote>
  <w:footnote w:id="105">
    <w:p w14:paraId="5C11D20A" w14:textId="58128706" w:rsidR="00406A17" w:rsidRPr="008E38BD" w:rsidRDefault="00406A17" w:rsidP="00F44115">
      <w:pPr>
        <w:pStyle w:val="FootnoteText"/>
      </w:pPr>
      <w:r>
        <w:rPr>
          <w:rStyle w:val="FootnoteReference"/>
        </w:rPr>
        <w:footnoteRef/>
      </w:r>
      <w:r>
        <w:tab/>
        <w:t>Dyrektywa 2006/66/WE Parlamentu Europejskiego</w:t>
      </w:r>
      <w:r w:rsidR="003F3D2B">
        <w:t xml:space="preserve"> i Rad</w:t>
      </w:r>
      <w:r>
        <w:t>y</w:t>
      </w:r>
      <w:r w:rsidR="003F3D2B">
        <w:t xml:space="preserve"> z dni</w:t>
      </w:r>
      <w:r>
        <w:t>a 6 września 20</w:t>
      </w:r>
      <w:r w:rsidRPr="003F3D2B">
        <w:t>06</w:t>
      </w:r>
      <w:r w:rsidR="003F3D2B" w:rsidRPr="003F3D2B">
        <w:t> </w:t>
      </w:r>
      <w:r w:rsidRPr="003F3D2B">
        <w:t>r.</w:t>
      </w:r>
      <w:r w:rsidR="003F3D2B">
        <w:t xml:space="preserve"> w spr</w:t>
      </w:r>
      <w:r>
        <w:t>awie baterii</w:t>
      </w:r>
      <w:r w:rsidR="003F3D2B">
        <w:t xml:space="preserve"> i aku</w:t>
      </w:r>
      <w:r>
        <w:t>mulatorów oraz zużytych baterii</w:t>
      </w:r>
      <w:r w:rsidR="003F3D2B">
        <w:t xml:space="preserve"> i aku</w:t>
      </w:r>
      <w:r>
        <w:t>mulatorów oraz uchylająca dyrektywę 91/157/EWG (Dz.U. L 266</w:t>
      </w:r>
      <w:r w:rsidR="003F3D2B">
        <w:t xml:space="preserve"> z 2</w:t>
      </w:r>
      <w:r>
        <w:t>6.9.2006, s. 1).</w:t>
      </w:r>
    </w:p>
  </w:footnote>
  <w:footnote w:id="106">
    <w:p w14:paraId="32B3BA7A" w14:textId="5EDD9CB6" w:rsidR="00406A17" w:rsidRPr="008E38BD" w:rsidRDefault="00406A17" w:rsidP="00F44115">
      <w:pPr>
        <w:pStyle w:val="FootnoteText"/>
      </w:pPr>
      <w:r>
        <w:rPr>
          <w:rStyle w:val="FootnoteReference"/>
        </w:rPr>
        <w:footnoteRef/>
      </w:r>
      <w:r>
        <w:tab/>
        <w:t>Dyrektywa 94/62/WE Parlamentu Europejskiego</w:t>
      </w:r>
      <w:r w:rsidR="003F3D2B">
        <w:t xml:space="preserve"> i Rad</w:t>
      </w:r>
      <w:r>
        <w:t>y</w:t>
      </w:r>
      <w:r w:rsidR="003F3D2B">
        <w:t xml:space="preserve"> z dni</w:t>
      </w:r>
      <w:r>
        <w:t>a 20 grudnia 19</w:t>
      </w:r>
      <w:r w:rsidRPr="003F3D2B">
        <w:t>94</w:t>
      </w:r>
      <w:r w:rsidR="003F3D2B" w:rsidRPr="003F3D2B">
        <w:t> </w:t>
      </w:r>
      <w:r w:rsidRPr="003F3D2B">
        <w:t>r.</w:t>
      </w:r>
      <w:r w:rsidR="003F3D2B">
        <w:t xml:space="preserve"> w spr</w:t>
      </w:r>
      <w:r>
        <w:t>awie opakowań</w:t>
      </w:r>
      <w:r w:rsidR="003F3D2B">
        <w:t xml:space="preserve"> i odp</w:t>
      </w:r>
      <w:r>
        <w:t>adów opakowaniowych (Dz.U. L 365</w:t>
      </w:r>
      <w:r w:rsidR="003F3D2B">
        <w:t xml:space="preserve"> z 3</w:t>
      </w:r>
      <w:r>
        <w:t>1.12.1994, s. 10).</w:t>
      </w:r>
    </w:p>
  </w:footnote>
  <w:footnote w:id="107">
    <w:p w14:paraId="3405A2ED" w14:textId="49D8301E" w:rsidR="00406A17" w:rsidRPr="00B83F01" w:rsidRDefault="00406A17" w:rsidP="00F44115">
      <w:pPr>
        <w:pStyle w:val="FootnoteText"/>
      </w:pPr>
      <w:r>
        <w:rPr>
          <w:rStyle w:val="FootnoteReference"/>
        </w:rPr>
        <w:footnoteRef/>
      </w:r>
      <w:r>
        <w:tab/>
        <w:t>Rozporządzenie Parlamentu Europejskiego</w:t>
      </w:r>
      <w:r w:rsidR="003F3D2B">
        <w:t xml:space="preserve"> i Rad</w:t>
      </w:r>
      <w:r>
        <w:t>y (UE) 2020/852</w:t>
      </w:r>
      <w:r w:rsidR="003F3D2B">
        <w:t xml:space="preserve"> z dni</w:t>
      </w:r>
      <w:r>
        <w:t>a 18 czerwca 20</w:t>
      </w:r>
      <w:r w:rsidRPr="003F3D2B">
        <w:t>20</w:t>
      </w:r>
      <w:r w:rsidR="003F3D2B" w:rsidRPr="003F3D2B">
        <w:t> </w:t>
      </w:r>
      <w:r w:rsidRPr="003F3D2B">
        <w:t>r.</w:t>
      </w:r>
      <w:r w:rsidR="003F3D2B">
        <w:t xml:space="preserve"> w spr</w:t>
      </w:r>
      <w:r>
        <w:t>awie ustanowienia ram ułatwiających zrównoważone inwestycje, zmieniające rozporządzenie (UE) 2019/2088 (Dz.U. L 198</w:t>
      </w:r>
      <w:r w:rsidR="003F3D2B">
        <w:t xml:space="preserve"> z 2</w:t>
      </w:r>
      <w:r>
        <w:t>2.6.2020, s. 13).</w:t>
      </w:r>
    </w:p>
  </w:footnote>
  <w:footnote w:id="108">
    <w:p w14:paraId="5748384F" w14:textId="59F4D6E7" w:rsidR="00406A17" w:rsidRPr="00B83F01" w:rsidRDefault="00406A17" w:rsidP="00F44115">
      <w:pPr>
        <w:pStyle w:val="FootnoteText"/>
      </w:pPr>
      <w:r>
        <w:rPr>
          <w:rStyle w:val="FootnoteReference"/>
        </w:rPr>
        <w:footnoteRef/>
      </w:r>
      <w:r>
        <w:tab/>
        <w:t>Rozporządzenie Parlamentu Europejskiego</w:t>
      </w:r>
      <w:r w:rsidR="003F3D2B">
        <w:t xml:space="preserve"> i Rad</w:t>
      </w:r>
      <w:r>
        <w:t>y (UE) .../... ustanawiające unijne ramy certyfikacji usuwania dwutlenku węgla (Dz.U. L z ...).</w:t>
      </w:r>
    </w:p>
  </w:footnote>
  <w:footnote w:id="109">
    <w:p w14:paraId="08A52337" w14:textId="07B51396" w:rsidR="00406A17" w:rsidRPr="00697BDF" w:rsidRDefault="00406A17" w:rsidP="00F44115">
      <w:pPr>
        <w:pStyle w:val="FootnoteText"/>
      </w:pPr>
      <w:r>
        <w:rPr>
          <w:rStyle w:val="FootnoteReference"/>
        </w:rPr>
        <w:footnoteRef/>
      </w:r>
      <w:r>
        <w:tab/>
        <w:t>Dyrektywa Parlamentu Europejskiego</w:t>
      </w:r>
      <w:r w:rsidR="003F3D2B">
        <w:t xml:space="preserve"> i Rad</w:t>
      </w:r>
      <w:r>
        <w:t>y 2012/27/UE</w:t>
      </w:r>
      <w:r w:rsidR="003F3D2B">
        <w:t xml:space="preserve"> z dni</w:t>
      </w:r>
      <w:r>
        <w:t>a 25 października 20</w:t>
      </w:r>
      <w:r w:rsidRPr="003F3D2B">
        <w:t>12</w:t>
      </w:r>
      <w:r w:rsidR="003F3D2B" w:rsidRPr="003F3D2B">
        <w:t> </w:t>
      </w:r>
      <w:r w:rsidRPr="003F3D2B">
        <w:t>r.</w:t>
      </w:r>
      <w:r w:rsidR="003F3D2B">
        <w:t xml:space="preserve"> w spr</w:t>
      </w:r>
      <w:r>
        <w:t>awie efektywności energetycznej, zmiany dyrektyw 2009/125/WE</w:t>
      </w:r>
      <w:r w:rsidR="003F3D2B">
        <w:t xml:space="preserve"> i 2</w:t>
      </w:r>
      <w:r>
        <w:t>010/30/UE oraz uchylenia dyrektyw 2004/8/WE</w:t>
      </w:r>
      <w:r w:rsidR="003F3D2B">
        <w:t xml:space="preserve"> i 2</w:t>
      </w:r>
      <w:r>
        <w:t>006/32/WE (Dz.U. L 315</w:t>
      </w:r>
      <w:r w:rsidR="003F3D2B">
        <w:t xml:space="preserve"> z 1</w:t>
      </w:r>
      <w:r>
        <w:t>4.11.2012, s. 1).</w:t>
      </w:r>
    </w:p>
  </w:footnote>
  <w:footnote w:id="110">
    <w:p w14:paraId="4244B9C4" w14:textId="784345CA" w:rsidR="00406A17" w:rsidRPr="00582D5B" w:rsidRDefault="00406A17" w:rsidP="00F44115">
      <w:pPr>
        <w:pStyle w:val="FootnoteText"/>
      </w:pPr>
      <w:r>
        <w:rPr>
          <w:rStyle w:val="FootnoteReference"/>
        </w:rPr>
        <w:footnoteRef/>
      </w:r>
      <w:r>
        <w:tab/>
        <w:t>Dyrektywa Parlamentu Europejskiego</w:t>
      </w:r>
      <w:r w:rsidR="003F3D2B">
        <w:t xml:space="preserve"> i Rad</w:t>
      </w:r>
      <w:r>
        <w:t>y 2013/34/UE</w:t>
      </w:r>
      <w:r w:rsidR="003F3D2B">
        <w:t xml:space="preserve"> z dni</w:t>
      </w:r>
      <w:r>
        <w:t>a 26 czerwca 20</w:t>
      </w:r>
      <w:r w:rsidRPr="003F3D2B">
        <w:t>13</w:t>
      </w:r>
      <w:r w:rsidR="003F3D2B" w:rsidRPr="003F3D2B">
        <w:t> </w:t>
      </w:r>
      <w:r w:rsidRPr="003F3D2B">
        <w:t>r.</w:t>
      </w:r>
      <w:r w:rsidR="003F3D2B">
        <w:t xml:space="preserve"> w spr</w:t>
      </w:r>
      <w:r>
        <w:t>awie rocznych sprawozdań finansowych, skonsolidowanych sprawozdań finansowych</w:t>
      </w:r>
      <w:r w:rsidR="003F3D2B">
        <w:t xml:space="preserve"> i pow</w:t>
      </w:r>
      <w:r>
        <w:t>iązanych sprawozdań niektórych rodzajów jednostek, zmieniająca dyrektywę Parlamentu Europejskiego</w:t>
      </w:r>
      <w:r w:rsidR="003F3D2B">
        <w:t xml:space="preserve"> i Rad</w:t>
      </w:r>
      <w:r>
        <w:t>y 2006/43/WE oraz uchylająca dyrektywy Rady 78/660/EWG</w:t>
      </w:r>
      <w:r w:rsidR="003F3D2B">
        <w:t xml:space="preserve"> i 8</w:t>
      </w:r>
      <w:r>
        <w:t>3/349/EWG (Dz.U. L 182</w:t>
      </w:r>
      <w:r w:rsidR="003F3D2B">
        <w:t xml:space="preserve"> z 2</w:t>
      </w:r>
      <w:r>
        <w:t>9.6.2013, s. 19).</w:t>
      </w:r>
    </w:p>
  </w:footnote>
  <w:footnote w:id="111">
    <w:p w14:paraId="6197644D" w14:textId="77EF83DB" w:rsidR="00406A17" w:rsidRPr="00B83F01" w:rsidRDefault="00406A17" w:rsidP="00F44115">
      <w:pPr>
        <w:pStyle w:val="FootnoteText"/>
      </w:pPr>
      <w:r>
        <w:rPr>
          <w:rStyle w:val="FootnoteReference"/>
        </w:rPr>
        <w:footnoteRef/>
      </w:r>
      <w:r>
        <w:tab/>
        <w:t>Zalecenie Komisji 2003/361/WE</w:t>
      </w:r>
      <w:r w:rsidR="003F3D2B">
        <w:t xml:space="preserve"> z dni</w:t>
      </w:r>
      <w:r>
        <w:t>a 6 maja 2003 r.</w:t>
      </w:r>
      <w:r w:rsidR="003F3D2B">
        <w:t xml:space="preserve"> w spr</w:t>
      </w:r>
      <w:r>
        <w:t xml:space="preserve">awie definicji mikroprzedsiębiorstw </w:t>
      </w:r>
      <w:r>
        <w:br/>
        <w:t>oraz małych</w:t>
      </w:r>
      <w:r w:rsidR="003F3D2B">
        <w:t xml:space="preserve"> i śre</w:t>
      </w:r>
      <w:r>
        <w:t xml:space="preserve">dnich przedsiębiorstw </w:t>
      </w:r>
      <w:r>
        <w:rPr>
          <w:color w:val="333333"/>
          <w:sz w:val="19"/>
          <w:shd w:val="clear" w:color="auto" w:fill="FFFFFF"/>
        </w:rPr>
        <w:t>(</w:t>
      </w:r>
      <w:hyperlink r:id="rId20" w:history="1">
        <w:r>
          <w:rPr>
            <w:rStyle w:val="Hyperlink"/>
            <w:color w:val="23527C"/>
            <w:sz w:val="19"/>
            <w:shd w:val="clear" w:color="auto" w:fill="FFFFFF"/>
          </w:rPr>
          <w:t xml:space="preserve"> (Dz.U. L 124</w:t>
        </w:r>
        <w:r w:rsidR="003F3D2B">
          <w:rPr>
            <w:rStyle w:val="Hyperlink"/>
            <w:color w:val="23527C"/>
            <w:sz w:val="19"/>
            <w:shd w:val="clear" w:color="auto" w:fill="FFFFFF"/>
          </w:rPr>
          <w:t xml:space="preserve"> z 2</w:t>
        </w:r>
        <w:r>
          <w:rPr>
            <w:rStyle w:val="Hyperlink"/>
            <w:color w:val="23527C"/>
            <w:sz w:val="19"/>
            <w:shd w:val="clear" w:color="auto" w:fill="FFFFFF"/>
          </w:rPr>
          <w:t>0.5.2003, s. 36)</w:t>
        </w:r>
      </w:hyperlink>
      <w:r>
        <w:rPr>
          <w:color w:val="333333"/>
          <w:sz w:val="19"/>
          <w:shd w:val="clear" w:color="auto" w:fill="FFFFFF"/>
        </w:rPr>
        <w:t>).</w:t>
      </w:r>
    </w:p>
  </w:footnote>
  <w:footnote w:id="112">
    <w:p w14:paraId="07EFBE7C" w14:textId="69E3157F" w:rsidR="00406A17" w:rsidRPr="00B83F01" w:rsidRDefault="00406A17" w:rsidP="00AA5AC8">
      <w:pPr>
        <w:pStyle w:val="FootnoteText"/>
      </w:pPr>
      <w:r>
        <w:rPr>
          <w:rStyle w:val="FootnoteReference"/>
        </w:rPr>
        <w:footnoteRef/>
      </w:r>
      <w:r>
        <w:tab/>
        <w:t>Zalecenie Komisji 2003/361/WE</w:t>
      </w:r>
      <w:r w:rsidR="003F3D2B">
        <w:t xml:space="preserve"> z dni</w:t>
      </w:r>
      <w:r>
        <w:t>a 6 maja 2003 r.</w:t>
      </w:r>
      <w:r w:rsidR="003F3D2B">
        <w:t xml:space="preserve"> w spr</w:t>
      </w:r>
      <w:r>
        <w:t xml:space="preserve">awie definicji mikroprzedsiębiorstw </w:t>
      </w:r>
      <w:r>
        <w:br/>
        <w:t>oraz małych</w:t>
      </w:r>
      <w:r w:rsidR="003F3D2B">
        <w:t xml:space="preserve"> i śre</w:t>
      </w:r>
      <w:r>
        <w:t xml:space="preserve">dnich przedsiębiorstw </w:t>
      </w:r>
      <w:r>
        <w:rPr>
          <w:color w:val="333333"/>
          <w:sz w:val="19"/>
          <w:shd w:val="clear" w:color="auto" w:fill="FFFFFF"/>
        </w:rPr>
        <w:t>(</w:t>
      </w:r>
      <w:hyperlink r:id="rId21" w:history="1">
        <w:r>
          <w:rPr>
            <w:rStyle w:val="Hyperlink"/>
            <w:color w:val="23527C"/>
            <w:sz w:val="19"/>
            <w:shd w:val="clear" w:color="auto" w:fill="FFFFFF"/>
          </w:rPr>
          <w:t xml:space="preserve"> (Dz.U. L 124</w:t>
        </w:r>
        <w:r w:rsidR="003F3D2B">
          <w:rPr>
            <w:rStyle w:val="Hyperlink"/>
            <w:color w:val="23527C"/>
            <w:sz w:val="19"/>
            <w:shd w:val="clear" w:color="auto" w:fill="FFFFFF"/>
          </w:rPr>
          <w:t xml:space="preserve"> z 2</w:t>
        </w:r>
        <w:r>
          <w:rPr>
            <w:rStyle w:val="Hyperlink"/>
            <w:color w:val="23527C"/>
            <w:sz w:val="19"/>
            <w:shd w:val="clear" w:color="auto" w:fill="FFFFFF"/>
          </w:rPr>
          <w:t>0.5.2003, s. 36)</w:t>
        </w:r>
      </w:hyperlink>
      <w:r>
        <w:rPr>
          <w:color w:val="333333"/>
          <w:sz w:val="19"/>
          <w:shd w:val="clear" w:color="auto" w:fill="FFFFFF"/>
        </w:rPr>
        <w:t>).</w:t>
      </w:r>
    </w:p>
  </w:footnote>
  <w:footnote w:id="113">
    <w:p w14:paraId="136B4CBA" w14:textId="2143DF4F" w:rsidR="00406A17" w:rsidRPr="00561480" w:rsidRDefault="00406A17" w:rsidP="00137ED6">
      <w:pPr>
        <w:pStyle w:val="FootnoteText"/>
      </w:pPr>
      <w:r>
        <w:rPr>
          <w:rStyle w:val="FootnoteReference"/>
        </w:rPr>
        <w:footnoteRef/>
      </w:r>
      <w:r>
        <w:tab/>
        <w:t>Dyrektywa Parlamentu Europejskiego</w:t>
      </w:r>
      <w:r w:rsidR="003F3D2B">
        <w:t xml:space="preserve"> i Rad</w:t>
      </w:r>
      <w:r>
        <w:t>y (UE) 2016/943</w:t>
      </w:r>
      <w:r w:rsidR="003F3D2B">
        <w:t xml:space="preserve"> z dni</w:t>
      </w:r>
      <w:r>
        <w:t>a 8 czerwca 20</w:t>
      </w:r>
      <w:r w:rsidRPr="003F3D2B">
        <w:t>16</w:t>
      </w:r>
      <w:r w:rsidR="003F3D2B" w:rsidRPr="003F3D2B">
        <w:t> </w:t>
      </w:r>
      <w:r w:rsidRPr="003F3D2B">
        <w:t>r.</w:t>
      </w:r>
      <w:r w:rsidR="003F3D2B">
        <w:t xml:space="preserve"> w spr</w:t>
      </w:r>
      <w:r>
        <w:t>awie ochrony niejawnego know-how</w:t>
      </w:r>
      <w:r w:rsidR="003F3D2B">
        <w:t xml:space="preserve"> i nie</w:t>
      </w:r>
      <w:r>
        <w:t>jawnych informacji handlowych (tajemnic przedsiębiorstwa) przed ich bezprawnym pozyskiwaniem, wykorzystywaniem</w:t>
      </w:r>
      <w:r w:rsidR="003F3D2B">
        <w:t xml:space="preserve"> i uja</w:t>
      </w:r>
      <w:r>
        <w:t>wnianiem (Dz.U. L 157</w:t>
      </w:r>
      <w:r w:rsidR="003F3D2B">
        <w:t xml:space="preserve"> z 1</w:t>
      </w:r>
      <w:r>
        <w:t>5.6.2016, s. 1).</w:t>
      </w:r>
    </w:p>
  </w:footnote>
  <w:footnote w:id="114">
    <w:p w14:paraId="166B3F75" w14:textId="3CB0F930" w:rsidR="00406A17" w:rsidRPr="000A117A" w:rsidRDefault="00406A17" w:rsidP="001F21F9">
      <w:pPr>
        <w:pStyle w:val="FootnoteText"/>
      </w:pPr>
      <w:r>
        <w:rPr>
          <w:rStyle w:val="FootnoteReference"/>
        </w:rPr>
        <w:footnoteRef/>
      </w:r>
      <w:r>
        <w:tab/>
        <w:t>Rozporządzenie Parlamentu Europejskiego</w:t>
      </w:r>
      <w:r w:rsidR="003F3D2B">
        <w:t xml:space="preserve"> i Rad</w:t>
      </w:r>
      <w:r>
        <w:t xml:space="preserve">y (WE) </w:t>
      </w:r>
      <w:r w:rsidRPr="003F3D2B">
        <w:t>nr</w:t>
      </w:r>
      <w:r w:rsidR="003F3D2B" w:rsidRPr="003F3D2B">
        <w:t> </w:t>
      </w:r>
      <w:r w:rsidRPr="003F3D2B">
        <w:t>7</w:t>
      </w:r>
      <w:r>
        <w:t>65/2008</w:t>
      </w:r>
      <w:r w:rsidR="003F3D2B">
        <w:t xml:space="preserve"> z dni</w:t>
      </w:r>
      <w:r>
        <w:t>a 9 lipca 20</w:t>
      </w:r>
      <w:r w:rsidRPr="003F3D2B">
        <w:t>08</w:t>
      </w:r>
      <w:r w:rsidR="003F3D2B" w:rsidRPr="003F3D2B">
        <w:t> </w:t>
      </w:r>
      <w:r w:rsidRPr="003F3D2B">
        <w:t>r.</w:t>
      </w:r>
      <w:r>
        <w:t xml:space="preserve"> ustanawiające wymagania</w:t>
      </w:r>
      <w:r w:rsidR="003F3D2B">
        <w:t xml:space="preserve"> w zak</w:t>
      </w:r>
      <w:r>
        <w:t>resie akredytacji</w:t>
      </w:r>
      <w:r w:rsidR="003F3D2B">
        <w:t xml:space="preserve"> i nad</w:t>
      </w:r>
      <w:r>
        <w:t>zoru rynku odnoszące się do warunków wprowadzania produktów do obrotu</w:t>
      </w:r>
      <w:r w:rsidR="003F3D2B">
        <w:t xml:space="preserve"> i uch</w:t>
      </w:r>
      <w:r>
        <w:t xml:space="preserve">ylające rozporządzenie (EWG) </w:t>
      </w:r>
      <w:r w:rsidRPr="003F3D2B">
        <w:t>nr</w:t>
      </w:r>
      <w:r w:rsidR="003F3D2B" w:rsidRPr="003F3D2B">
        <w:t> </w:t>
      </w:r>
      <w:r w:rsidRPr="003F3D2B">
        <w:t>3</w:t>
      </w:r>
      <w:r>
        <w:t>39/93 (Dz.U. L 218</w:t>
      </w:r>
      <w:r w:rsidR="003F3D2B">
        <w:t xml:space="preserve"> z 1</w:t>
      </w:r>
      <w:r>
        <w:t>3.8.2008, s. 30).</w:t>
      </w:r>
    </w:p>
  </w:footnote>
  <w:footnote w:id="115">
    <w:p w14:paraId="2B6E34B6" w14:textId="0438BF49" w:rsidR="00406A17" w:rsidRPr="008337A2" w:rsidRDefault="00406A17" w:rsidP="00103250">
      <w:pPr>
        <w:pStyle w:val="FootnoteText"/>
      </w:pPr>
      <w:r>
        <w:rPr>
          <w:rStyle w:val="FootnoteReference"/>
        </w:rPr>
        <w:footnoteRef/>
      </w:r>
      <w:r>
        <w:tab/>
        <w:t>Dyrektywa Parlamentu Europejskiego</w:t>
      </w:r>
      <w:r w:rsidR="003F3D2B">
        <w:t xml:space="preserve"> i Rad</w:t>
      </w:r>
      <w:r>
        <w:t>y 2008/99/WE</w:t>
      </w:r>
      <w:r w:rsidR="003F3D2B">
        <w:t xml:space="preserve"> z dni</w:t>
      </w:r>
      <w:r>
        <w:t>a 19 listopada 20</w:t>
      </w:r>
      <w:r w:rsidRPr="003F3D2B">
        <w:t>08</w:t>
      </w:r>
      <w:r w:rsidR="003F3D2B" w:rsidRPr="003F3D2B">
        <w:t> </w:t>
      </w:r>
      <w:r w:rsidRPr="003F3D2B">
        <w:t>r.</w:t>
      </w:r>
      <w:r w:rsidR="003F3D2B">
        <w:t xml:space="preserve"> w spr</w:t>
      </w:r>
      <w:r>
        <w:t>awie ochrony środowiska poprzez prawo karne (Dz.U. L 328</w:t>
      </w:r>
      <w:r w:rsidR="003F3D2B">
        <w:t xml:space="preserve"> z 6</w:t>
      </w:r>
      <w:r>
        <w:t>.12.2008, s. 28).</w:t>
      </w:r>
    </w:p>
  </w:footnote>
  <w:footnote w:id="116">
    <w:p w14:paraId="10A928E7" w14:textId="26DE0DF0" w:rsidR="00406A17" w:rsidRPr="009F412B" w:rsidRDefault="00406A17">
      <w:pPr>
        <w:pStyle w:val="FootnoteText"/>
      </w:pPr>
      <w:r>
        <w:rPr>
          <w:rStyle w:val="FootnoteReference"/>
        </w:rPr>
        <w:footnoteRef/>
      </w:r>
      <w:r>
        <w:tab/>
        <w:t>Dz.U. L 345</w:t>
      </w:r>
      <w:r w:rsidR="003F3D2B">
        <w:t xml:space="preserve"> z 2</w:t>
      </w:r>
      <w:r>
        <w:t>7.12.2017, s. 1.</w:t>
      </w:r>
    </w:p>
  </w:footnote>
  <w:footnote w:id="117">
    <w:p w14:paraId="2C33233E" w14:textId="3DBC5636" w:rsidR="00406A17" w:rsidRDefault="00406A17" w:rsidP="00605145">
      <w:pPr>
        <w:pStyle w:val="FootnoteText"/>
      </w:pPr>
      <w:r>
        <w:rPr>
          <w:rStyle w:val="FootnoteReference"/>
        </w:rPr>
        <w:footnoteRef/>
      </w:r>
      <w:r>
        <w:tab/>
        <w:t>W przypadku oświadczeń środowiskowych podstawą prawną inicjatywy jest jednolity rynek, ale środki budżetowe pochodzą</w:t>
      </w:r>
      <w:r w:rsidR="003F3D2B">
        <w:t xml:space="preserve"> z 0</w:t>
      </w:r>
      <w:r>
        <w:t>9 – Środowisko</w:t>
      </w:r>
      <w:r w:rsidR="003F3D2B">
        <w:t xml:space="preserve"> i dzi</w:t>
      </w:r>
      <w:r>
        <w:t>ałania</w:t>
      </w:r>
      <w:r w:rsidR="003F3D2B">
        <w:t xml:space="preserve"> w dzi</w:t>
      </w:r>
      <w:r>
        <w:t>edzinie klimatu.</w:t>
      </w:r>
    </w:p>
  </w:footnote>
  <w:footnote w:id="118">
    <w:p w14:paraId="40DBC94E" w14:textId="138C797D" w:rsidR="00406A17" w:rsidRDefault="00406A17" w:rsidP="009769E5">
      <w:pPr>
        <w:pStyle w:val="FootnoteText"/>
        <w:rPr>
          <w:szCs w:val="24"/>
        </w:rPr>
      </w:pPr>
      <w:r>
        <w:rPr>
          <w:rStyle w:val="FootnoteReference"/>
        </w:rPr>
        <w:footnoteRef/>
      </w:r>
      <w:r>
        <w:tab/>
        <w:t>O którym mowa</w:t>
      </w:r>
      <w:r w:rsidR="003F3D2B">
        <w:t xml:space="preserve"> w </w:t>
      </w:r>
      <w:r w:rsidR="003F3D2B" w:rsidRPr="003F3D2B">
        <w:t>art</w:t>
      </w:r>
      <w:r w:rsidRPr="003F3D2B">
        <w:t>.</w:t>
      </w:r>
      <w:r w:rsidR="003F3D2B" w:rsidRPr="003F3D2B">
        <w:t> </w:t>
      </w:r>
      <w:r w:rsidRPr="003F3D2B">
        <w:t>5</w:t>
      </w:r>
      <w:r>
        <w:t xml:space="preserve">8 </w:t>
      </w:r>
      <w:r w:rsidRPr="003F3D2B">
        <w:t>ust.</w:t>
      </w:r>
      <w:r w:rsidR="003F3D2B" w:rsidRPr="003F3D2B">
        <w:t> </w:t>
      </w:r>
      <w:r w:rsidRPr="003F3D2B">
        <w:t>2</w:t>
      </w:r>
      <w:r>
        <w:t xml:space="preserve"> </w:t>
      </w:r>
      <w:r w:rsidRPr="003F3D2B">
        <w:t>lit.</w:t>
      </w:r>
      <w:r w:rsidR="003F3D2B" w:rsidRPr="003F3D2B">
        <w:t> </w:t>
      </w:r>
      <w:r w:rsidRPr="003F3D2B">
        <w:t>a)</w:t>
      </w:r>
      <w:r>
        <w:t xml:space="preserve"> lub b) rozporządzenia finansowego.</w:t>
      </w:r>
    </w:p>
  </w:footnote>
  <w:footnote w:id="119">
    <w:p w14:paraId="4AC68FA0" w14:textId="77777777" w:rsidR="00406A17" w:rsidRDefault="00406A17" w:rsidP="009769E5">
      <w:pPr>
        <w:pStyle w:val="FootnoteText"/>
        <w:jc w:val="left"/>
        <w:rPr>
          <w:szCs w:val="24"/>
        </w:rPr>
      </w:pPr>
      <w:r>
        <w:rPr>
          <w:rStyle w:val="FootnoteReference"/>
        </w:rPr>
        <w:footnoteRef/>
      </w:r>
      <w:r>
        <w:tab/>
        <w:t xml:space="preserve">Szczegóły dotyczące metod wykonania budżetu oraz odniesienia do rozporządzenia finansowego znajdują się na stronie BUDGpedia: </w:t>
      </w:r>
      <w:hyperlink r:id="rId22" w:history="1">
        <w:r>
          <w:rPr>
            <w:rStyle w:val="Hyperlink"/>
          </w:rPr>
          <w:t>https://myintracomm.ec.europa.eu/corp/budget/financial-rules/budget-implementation/Pages/implementation-methods.aspx</w:t>
        </w:r>
      </w:hyperlink>
    </w:p>
  </w:footnote>
  <w:footnote w:id="120">
    <w:p w14:paraId="3E80C23E" w14:textId="77777777" w:rsidR="00406A17" w:rsidRDefault="00406A17" w:rsidP="009769E5">
      <w:pPr>
        <w:pStyle w:val="FootnoteText"/>
        <w:rPr>
          <w:szCs w:val="24"/>
        </w:rPr>
      </w:pPr>
      <w:r>
        <w:rPr>
          <w:rStyle w:val="FootnoteReference"/>
        </w:rPr>
        <w:footnoteRef/>
      </w:r>
      <w:r>
        <w:tab/>
        <w:t>Środki zróżnicowane/środki niezróżnicowane</w:t>
      </w:r>
    </w:p>
  </w:footnote>
  <w:footnote w:id="121">
    <w:p w14:paraId="6CA8AB8C" w14:textId="77777777" w:rsidR="00406A17" w:rsidRDefault="00406A17" w:rsidP="009769E5">
      <w:pPr>
        <w:pStyle w:val="FootnoteText"/>
        <w:rPr>
          <w:szCs w:val="24"/>
        </w:rPr>
      </w:pPr>
      <w:r>
        <w:rPr>
          <w:rStyle w:val="FootnoteReference"/>
        </w:rPr>
        <w:footnoteRef/>
      </w:r>
      <w:r>
        <w:tab/>
        <w:t xml:space="preserve">EFTA: Europejskie Stowarzyszenie Wolnego Handlu </w:t>
      </w:r>
    </w:p>
  </w:footnote>
  <w:footnote w:id="122">
    <w:p w14:paraId="1DCA10B3" w14:textId="18B5BF8D" w:rsidR="00406A17" w:rsidRDefault="00406A17" w:rsidP="009769E5">
      <w:pPr>
        <w:pStyle w:val="FootnoteText"/>
        <w:rPr>
          <w:szCs w:val="24"/>
        </w:rPr>
      </w:pPr>
      <w:r>
        <w:rPr>
          <w:rStyle w:val="FootnoteReference"/>
        </w:rPr>
        <w:footnoteRef/>
      </w:r>
      <w:r>
        <w:tab/>
        <w:t>Kraje kandydujące oraz</w:t>
      </w:r>
      <w:r w:rsidR="003F3D2B">
        <w:t xml:space="preserve"> w sto</w:t>
      </w:r>
      <w:r>
        <w:t>sownych przypadkach potencjalne kraje kandydujące Bałkanów Zachodnich.</w:t>
      </w:r>
    </w:p>
  </w:footnote>
  <w:footnote w:id="123">
    <w:p w14:paraId="6BEF59CC" w14:textId="77777777" w:rsidR="00406A17" w:rsidRDefault="00406A17" w:rsidP="009168C9">
      <w:pPr>
        <w:pStyle w:val="FootnoteText"/>
      </w:pPr>
      <w:r>
        <w:rPr>
          <w:rStyle w:val="FootnoteReference"/>
        </w:rPr>
        <w:footnoteRef/>
      </w:r>
      <w:r>
        <w:tab/>
        <w:t xml:space="preserve">Dostępne pod adresem: </w:t>
      </w:r>
      <w:hyperlink r:id="rId23">
        <w:r>
          <w:rPr>
            <w:rStyle w:val="Hyperlink"/>
          </w:rPr>
          <w:t>https://environment.ec.europa.eu/publications/proposal-ecodesign-sustainable-products-regulation_en</w:t>
        </w:r>
      </w:hyperlink>
      <w:r>
        <w:t xml:space="preserve"> </w:t>
      </w:r>
    </w:p>
  </w:footnote>
  <w:footnote w:id="124">
    <w:p w14:paraId="5854DED8" w14:textId="0FA6225F" w:rsidR="00406A17" w:rsidRDefault="00406A17" w:rsidP="009769E5">
      <w:pPr>
        <w:pStyle w:val="FootnoteText"/>
        <w:rPr>
          <w:szCs w:val="24"/>
        </w:rPr>
      </w:pPr>
      <w:r>
        <w:rPr>
          <w:rStyle w:val="FootnoteReference"/>
        </w:rPr>
        <w:footnoteRef/>
      </w:r>
      <w:r>
        <w:tab/>
        <w:t>Produkty odnoszą się do produktów</w:t>
      </w:r>
      <w:r w:rsidR="003F3D2B">
        <w:t xml:space="preserve"> i usł</w:t>
      </w:r>
      <w:r>
        <w:t>ug, które mają zostać zapewnione (np. liczba sfinansowanych wymian studentów, liczba kilometrów zbudowanych dróg itp.).</w:t>
      </w:r>
    </w:p>
  </w:footnote>
  <w:footnote w:id="125">
    <w:p w14:paraId="4AF5E87F" w14:textId="3C389D70" w:rsidR="00406A17" w:rsidRDefault="00406A17" w:rsidP="009769E5">
      <w:pPr>
        <w:pStyle w:val="FootnoteText"/>
        <w:rPr>
          <w:szCs w:val="24"/>
        </w:rPr>
      </w:pPr>
      <w:r>
        <w:rPr>
          <w:rStyle w:val="FootnoteReference"/>
        </w:rPr>
        <w:footnoteRef/>
      </w:r>
      <w:r>
        <w:tab/>
        <w:t>Zgodnie</w:t>
      </w:r>
      <w:r w:rsidR="003F3D2B">
        <w:t xml:space="preserve"> z opi</w:t>
      </w:r>
      <w:r>
        <w:t>sem</w:t>
      </w:r>
      <w:r w:rsidR="003F3D2B">
        <w:t xml:space="preserve"> w </w:t>
      </w:r>
      <w:r w:rsidR="003F3D2B" w:rsidRPr="003F3D2B">
        <w:t>pkt </w:t>
      </w:r>
      <w:r w:rsidRPr="003F3D2B">
        <w:t>1</w:t>
      </w:r>
      <w:r>
        <w:t xml:space="preserve">.4.2. „Cel(e) szczegółowy(e) …”. </w:t>
      </w:r>
    </w:p>
  </w:footnote>
  <w:footnote w:id="126">
    <w:p w14:paraId="56E53CC8" w14:textId="77777777" w:rsidR="00406A17" w:rsidRDefault="00406A17" w:rsidP="00DF0307">
      <w:pPr>
        <w:pStyle w:val="FootnoteText"/>
        <w:rPr>
          <w:szCs w:val="24"/>
        </w:rPr>
      </w:pPr>
      <w:r>
        <w:rPr>
          <w:rStyle w:val="FootnoteReference"/>
        </w:rPr>
        <w:footnoteRef/>
      </w:r>
      <w:r>
        <w:tab/>
        <w:t>Wsparcie techniczne lub administracyjne oraz wydatki na wsparcie realizacji programów lub działań UE (dawne linie „BA”), pośrednie badania naukowe, bezpośrednie badania naukowe.</w:t>
      </w:r>
    </w:p>
  </w:footnote>
  <w:footnote w:id="127">
    <w:p w14:paraId="3359AD08" w14:textId="77777777" w:rsidR="00406A17" w:rsidRDefault="00406A17" w:rsidP="00DF0307">
      <w:pPr>
        <w:pStyle w:val="FootnoteText"/>
        <w:rPr>
          <w:szCs w:val="24"/>
        </w:rPr>
      </w:pPr>
      <w:r>
        <w:rPr>
          <w:rStyle w:val="FootnoteReference"/>
        </w:rPr>
        <w:footnoteRef/>
      </w:r>
      <w:r>
        <w:tab/>
        <w:t>W ramach podpułapu na personel zewnętrzny ze środków operacyjnych (dawne linie „BA”).</w:t>
      </w:r>
    </w:p>
  </w:footnote>
  <w:footnote w:id="128">
    <w:p w14:paraId="124FE6B9" w14:textId="03BF376E" w:rsidR="00406A17" w:rsidRDefault="00406A17" w:rsidP="009769E5">
      <w:pPr>
        <w:pStyle w:val="FootnoteText"/>
      </w:pPr>
      <w:r>
        <w:rPr>
          <w:rStyle w:val="FootnoteReference"/>
        </w:rPr>
        <w:footnoteRef/>
      </w:r>
      <w:r>
        <w:tab/>
        <w:t>Rok N jest rokiem,</w:t>
      </w:r>
      <w:r w:rsidR="003F3D2B">
        <w:t xml:space="preserve"> w któ</w:t>
      </w:r>
      <w:r>
        <w:t>rym rozpoczyna się wprowadzanie</w:t>
      </w:r>
      <w:r w:rsidR="003F3D2B">
        <w:t xml:space="preserve"> w życ</w:t>
      </w:r>
      <w:r>
        <w:t>ie wniosku/inicjatywy. „N” należy zastąpić oczekiwanym pierwszym rokiem realizacji (np.: 2021). Tak samo należy postąpić dla kolejnych lat.</w:t>
      </w:r>
    </w:p>
  </w:footnote>
  <w:footnote w:id="129">
    <w:p w14:paraId="1E530061" w14:textId="77777777" w:rsidR="00406A17" w:rsidRDefault="00406A17" w:rsidP="009769E5">
      <w:pPr>
        <w:pStyle w:val="FootnoteText"/>
        <w:rPr>
          <w:szCs w:val="24"/>
        </w:rPr>
      </w:pPr>
      <w:r>
        <w:rPr>
          <w:rStyle w:val="FootnoteReference"/>
        </w:rPr>
        <w:footnoteRef/>
      </w:r>
      <w:r>
        <w:tab/>
        <w:t>W przypadku tradycyjnych zasobów własnych (opłaty celne, opłaty wyrównawcze od cukru) należy wskazać kwoty netto, tzn. kwoty brutto po odliczeniu 20 % na poczet kosztów poboru.</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956F67" w14:textId="77777777" w:rsidR="006A11C7" w:rsidRPr="006A11C7" w:rsidRDefault="006A11C7" w:rsidP="006A11C7">
    <w:pPr>
      <w:pStyle w:val="HeaderLandscap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6A27E8" w14:textId="77777777" w:rsidR="006A11C7" w:rsidRPr="006A11C7" w:rsidRDefault="006A11C7" w:rsidP="006A11C7">
    <w:pPr>
      <w:pStyle w:val="HeaderLandscap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5251DE" w14:textId="77777777" w:rsidR="00406A17" w:rsidRPr="00026984" w:rsidRDefault="00406A17" w:rsidP="006A11C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1AE42D" w14:textId="77777777" w:rsidR="006A11C7" w:rsidRPr="006A11C7" w:rsidRDefault="006A11C7" w:rsidP="006A11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C6A95"/>
    <w:multiLevelType w:val="singleLevel"/>
    <w:tmpl w:val="02BAFA82"/>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1" w15:restartNumberingAfterBreak="0">
    <w:nsid w:val="128364B0"/>
    <w:multiLevelType w:val="singleLevel"/>
    <w:tmpl w:val="D084FB54"/>
    <w:lvl w:ilvl="0">
      <w:start w:val="1"/>
      <w:numFmt w:val="bullet"/>
      <w:pStyle w:val="ListDash3"/>
      <w:lvlText w:val="–"/>
      <w:lvlJc w:val="left"/>
      <w:pPr>
        <w:tabs>
          <w:tab w:val="num" w:pos="1134"/>
        </w:tabs>
        <w:ind w:left="1134" w:hanging="283"/>
      </w:pPr>
      <w:rPr>
        <w:rFonts w:ascii="Times New Roman" w:hAnsi="Times New Roman"/>
      </w:rPr>
    </w:lvl>
  </w:abstractNum>
  <w:abstractNum w:abstractNumId="2" w15:restartNumberingAfterBreak="0">
    <w:nsid w:val="13E4330B"/>
    <w:multiLevelType w:val="multilevel"/>
    <w:tmpl w:val="875C4416"/>
    <w:name w:val="List Dash 3"/>
    <w:lvl w:ilvl="0">
      <w:start w:val="1"/>
      <w:numFmt w:val="decimal"/>
      <w:pStyle w:val="ListNumber1"/>
      <w:lvlText w:val="(%1)"/>
      <w:lvlJc w:val="left"/>
      <w:pPr>
        <w:tabs>
          <w:tab w:val="num" w:pos="1560"/>
        </w:tabs>
        <w:ind w:left="1560" w:hanging="709"/>
      </w:pPr>
      <w:rPr>
        <w:rFonts w:cs="Times New Roman"/>
      </w:rPr>
    </w:lvl>
    <w:lvl w:ilvl="1">
      <w:start w:val="1"/>
      <w:numFmt w:val="lowerLetter"/>
      <w:pStyle w:val="ListNumber1"/>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4"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6"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7" w15:restartNumberingAfterBreak="0">
    <w:nsid w:val="2D820C1F"/>
    <w:multiLevelType w:val="singleLevel"/>
    <w:tmpl w:val="7896AADE"/>
    <w:name w:val="List Dash"/>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8" w15:restartNumberingAfterBreak="0">
    <w:nsid w:val="2F191641"/>
    <w:multiLevelType w:val="multilevel"/>
    <w:tmpl w:val="B67C4E92"/>
    <w:lvl w:ilvl="0">
      <w:start w:val="1"/>
      <w:numFmt w:val="decimal"/>
      <w:pStyle w:val="ListNumber3"/>
      <w:lvlText w:val="(%1)"/>
      <w:lvlJc w:val="left"/>
      <w:pPr>
        <w:tabs>
          <w:tab w:val="num" w:pos="1560"/>
        </w:tabs>
        <w:ind w:left="1560" w:hanging="709"/>
      </w:pPr>
      <w:rPr>
        <w:rFonts w:cs="Times New Roman"/>
      </w:rPr>
    </w:lvl>
    <w:lvl w:ilvl="1">
      <w:start w:val="1"/>
      <w:numFmt w:val="lowerLetter"/>
      <w:pStyle w:val="ListNumber3Level2"/>
      <w:lvlText w:val="(%2)"/>
      <w:lvlJc w:val="left"/>
      <w:pPr>
        <w:tabs>
          <w:tab w:val="num" w:pos="2268"/>
        </w:tabs>
        <w:ind w:left="2268" w:hanging="708"/>
      </w:pPr>
      <w:rPr>
        <w:rFonts w:cs="Times New Roman"/>
      </w:r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9" w15:restartNumberingAfterBreak="0">
    <w:nsid w:val="31CD398A"/>
    <w:multiLevelType w:val="singleLevel"/>
    <w:tmpl w:val="0276BF00"/>
    <w:lvl w:ilvl="0">
      <w:start w:val="1"/>
      <w:numFmt w:val="bullet"/>
      <w:pStyle w:val="ListDash4"/>
      <w:lvlText w:val="–"/>
      <w:lvlJc w:val="left"/>
      <w:pPr>
        <w:tabs>
          <w:tab w:val="num" w:pos="1134"/>
        </w:tabs>
        <w:ind w:left="1134" w:hanging="283"/>
      </w:pPr>
      <w:rPr>
        <w:rFonts w:ascii="Times New Roman" w:hAnsi="Times New Roman"/>
      </w:rPr>
    </w:lvl>
  </w:abstractNum>
  <w:abstractNum w:abstractNumId="10" w15:restartNumberingAfterBreak="0">
    <w:nsid w:val="398C015E"/>
    <w:multiLevelType w:val="multilevel"/>
    <w:tmpl w:val="027A66BA"/>
    <w:name w:val="List Dash 4"/>
    <w:lvl w:ilvl="0">
      <w:start w:val="1"/>
      <w:numFmt w:val="decimal"/>
      <w:pStyle w:val="ListNumber2"/>
      <w:lvlText w:val="(%1)"/>
      <w:lvlJc w:val="left"/>
      <w:pPr>
        <w:tabs>
          <w:tab w:val="num" w:pos="1560"/>
        </w:tabs>
        <w:ind w:left="1560" w:hanging="709"/>
      </w:pPr>
      <w:rPr>
        <w:rFonts w:cs="Times New Roman"/>
      </w:rPr>
    </w:lvl>
    <w:lvl w:ilvl="1">
      <w:start w:val="1"/>
      <w:numFmt w:val="lowerLetter"/>
      <w:pStyle w:val="ListNumber2Level2"/>
      <w:lvlText w:val="(%2)"/>
      <w:lvlJc w:val="left"/>
      <w:pPr>
        <w:tabs>
          <w:tab w:val="num" w:pos="2268"/>
        </w:tabs>
        <w:ind w:left="2268" w:hanging="708"/>
      </w:pPr>
      <w:rPr>
        <w:rFonts w:cs="Times New Roman"/>
      </w:rPr>
    </w:lvl>
    <w:lvl w:ilvl="2">
      <w:start w:val="1"/>
      <w:numFmt w:val="bullet"/>
      <w:pStyle w:val="ListNumber2Level3"/>
      <w:lvlText w:val="–"/>
      <w:lvlJc w:val="left"/>
      <w:pPr>
        <w:tabs>
          <w:tab w:val="num" w:pos="2977"/>
        </w:tabs>
        <w:ind w:left="2977" w:hanging="709"/>
      </w:pPr>
      <w:rPr>
        <w:rFonts w:ascii="Times New Roman" w:hAnsi="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2"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3"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4"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15:restartNumberingAfterBreak="0">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16" w15:restartNumberingAfterBreak="0">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17" w15:restartNumberingAfterBreak="0">
    <w:nsid w:val="542A1204"/>
    <w:multiLevelType w:val="multilevel"/>
    <w:tmpl w:val="BC1E8404"/>
    <w:lvl w:ilvl="0">
      <w:start w:val="1"/>
      <w:numFmt w:val="decimal"/>
      <w:pStyle w:val="ListNumber4"/>
      <w:lvlText w:val="(%1)"/>
      <w:lvlJc w:val="left"/>
      <w:pPr>
        <w:tabs>
          <w:tab w:val="num" w:pos="1560"/>
        </w:tabs>
        <w:ind w:left="1560" w:hanging="709"/>
      </w:pPr>
      <w:rPr>
        <w:rFonts w:cs="Times New Roman"/>
      </w:rPr>
    </w:lvl>
    <w:lvl w:ilvl="1">
      <w:start w:val="1"/>
      <w:numFmt w:val="lowerLetter"/>
      <w:pStyle w:val="ListNumber4Level2"/>
      <w:lvlText w:val="(%2)"/>
      <w:lvlJc w:val="left"/>
      <w:pPr>
        <w:tabs>
          <w:tab w:val="num" w:pos="2268"/>
        </w:tabs>
        <w:ind w:left="2268" w:hanging="708"/>
      </w:pPr>
      <w:rPr>
        <w:rFonts w:cs="Times New Roman"/>
      </w:rPr>
    </w:lvl>
    <w:lvl w:ilvl="2">
      <w:start w:val="1"/>
      <w:numFmt w:val="bullet"/>
      <w:pStyle w:val="ListNumber4Level3"/>
      <w:lvlText w:val="–"/>
      <w:lvlJc w:val="left"/>
      <w:pPr>
        <w:tabs>
          <w:tab w:val="num" w:pos="2977"/>
        </w:tabs>
        <w:ind w:left="2977" w:hanging="709"/>
      </w:pPr>
      <w:rPr>
        <w:rFonts w:ascii="Times New Roman" w:hAnsi="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8"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9" w15:restartNumberingAfterBreak="0">
    <w:nsid w:val="5B0B0635"/>
    <w:multiLevelType w:val="singleLevel"/>
    <w:tmpl w:val="017E7CEE"/>
    <w:lvl w:ilvl="0">
      <w:start w:val="1"/>
      <w:numFmt w:val="bullet"/>
      <w:lvlRestart w:val="0"/>
      <w:pStyle w:val="ListBullet4"/>
      <w:lvlText w:val=""/>
      <w:lvlJc w:val="left"/>
      <w:pPr>
        <w:tabs>
          <w:tab w:val="num" w:pos="1134"/>
        </w:tabs>
        <w:ind w:left="1134" w:hanging="283"/>
      </w:pPr>
      <w:rPr>
        <w:rFonts w:ascii="Symbol" w:hAnsi="Symbol" w:hint="default"/>
      </w:rPr>
    </w:lvl>
  </w:abstractNum>
  <w:abstractNum w:abstractNumId="20"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1"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2"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3" w15:restartNumberingAfterBreak="0">
    <w:nsid w:val="5DF84969"/>
    <w:multiLevelType w:val="singleLevel"/>
    <w:tmpl w:val="1E12021A"/>
    <w:lvl w:ilvl="0">
      <w:start w:val="1"/>
      <w:numFmt w:val="bullet"/>
      <w:pStyle w:val="ListBullet"/>
      <w:lvlText w:val=""/>
      <w:lvlJc w:val="left"/>
      <w:pPr>
        <w:tabs>
          <w:tab w:val="num" w:pos="283"/>
        </w:tabs>
        <w:ind w:left="283" w:hanging="283"/>
      </w:pPr>
      <w:rPr>
        <w:rFonts w:ascii="Symbol" w:hAnsi="Symbol" w:hint="default"/>
      </w:rPr>
    </w:lvl>
  </w:abstractNum>
  <w:abstractNum w:abstractNumId="24"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6" w15:restartNumberingAfterBreak="0">
    <w:nsid w:val="71F06166"/>
    <w:multiLevelType w:val="multilevel"/>
    <w:tmpl w:val="8B0CE494"/>
    <w:name w:val="0.6719891"/>
    <w:lvl w:ilvl="0">
      <w:start w:val="1"/>
      <w:numFmt w:val="decimal"/>
      <w:lvlRestart w:val="0"/>
      <w:pStyle w:val="ListNumber"/>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pStyle w:val="ListNumberLevel2"/>
      <w:lvlText w:val="–"/>
      <w:lvlJc w:val="left"/>
      <w:pPr>
        <w:tabs>
          <w:tab w:val="num" w:pos="2126"/>
        </w:tabs>
        <w:ind w:left="2126" w:hanging="709"/>
      </w:pPr>
      <w:rPr>
        <w:rFonts w:ascii="Times New Roman" w:hAnsi="Times New Roman" w:cs="Times New Roman"/>
      </w:rPr>
    </w:lvl>
    <w:lvl w:ilvl="3">
      <w:start w:val="1"/>
      <w:numFmt w:val="bullet"/>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73D73F7A"/>
    <w:multiLevelType w:val="singleLevel"/>
    <w:tmpl w:val="26365734"/>
    <w:lvl w:ilvl="0">
      <w:start w:val="1"/>
      <w:numFmt w:val="bullet"/>
      <w:pStyle w:val="ListBullet2"/>
      <w:lvlText w:val=""/>
      <w:lvlJc w:val="left"/>
      <w:pPr>
        <w:tabs>
          <w:tab w:val="num" w:pos="1134"/>
        </w:tabs>
        <w:ind w:left="1134" w:hanging="283"/>
      </w:pPr>
      <w:rPr>
        <w:rFonts w:ascii="Symbol" w:hAnsi="Symbol" w:hint="default"/>
      </w:rPr>
    </w:lvl>
  </w:abstractNum>
  <w:abstractNum w:abstractNumId="28" w15:restartNumberingAfterBreak="0">
    <w:nsid w:val="76BC5C11"/>
    <w:multiLevelType w:val="singleLevel"/>
    <w:tmpl w:val="E44CE82E"/>
    <w:lvl w:ilvl="0">
      <w:start w:val="1"/>
      <w:numFmt w:val="bullet"/>
      <w:pStyle w:val="ListBullet3"/>
      <w:lvlText w:val=""/>
      <w:lvlJc w:val="left"/>
      <w:pPr>
        <w:tabs>
          <w:tab w:val="num" w:pos="1134"/>
        </w:tabs>
        <w:ind w:left="1134" w:hanging="283"/>
      </w:pPr>
      <w:rPr>
        <w:rFonts w:ascii="Symbol" w:hAnsi="Symbol" w:hint="default"/>
      </w:rPr>
    </w:lvl>
  </w:abstractNum>
  <w:abstractNum w:abstractNumId="29"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0"/>
  </w:num>
  <w:num w:numId="2">
    <w:abstractNumId w:val="19"/>
  </w:num>
  <w:num w:numId="3">
    <w:abstractNumId w:val="7"/>
  </w:num>
  <w:num w:numId="4">
    <w:abstractNumId w:val="16"/>
  </w:num>
  <w:num w:numId="5">
    <w:abstractNumId w:val="15"/>
  </w:num>
  <w:num w:numId="6">
    <w:abstractNumId w:val="26"/>
  </w:num>
  <w:num w:numId="7">
    <w:abstractNumId w:val="23"/>
  </w:num>
  <w:num w:numId="8">
    <w:abstractNumId w:val="27"/>
  </w:num>
  <w:num w:numId="9">
    <w:abstractNumId w:val="28"/>
  </w:num>
  <w:num w:numId="10">
    <w:abstractNumId w:val="1"/>
  </w:num>
  <w:num w:numId="11">
    <w:abstractNumId w:val="9"/>
  </w:num>
  <w:num w:numId="12">
    <w:abstractNumId w:val="2"/>
  </w:num>
  <w:num w:numId="13">
    <w:abstractNumId w:val="10"/>
  </w:num>
  <w:num w:numId="14">
    <w:abstractNumId w:val="8"/>
  </w:num>
  <w:num w:numId="15">
    <w:abstractNumId w:val="17"/>
  </w:num>
  <w:num w:numId="16">
    <w:abstractNumId w:val="22"/>
    <w:lvlOverride w:ilvl="0">
      <w:startOverride w:val="1"/>
    </w:lvlOverride>
  </w:num>
  <w:num w:numId="17">
    <w:abstractNumId w:val="14"/>
    <w:lvlOverride w:ilvl="0">
      <w:startOverride w:val="1"/>
    </w:lvlOverride>
  </w:num>
  <w:num w:numId="18">
    <w:abstractNumId w:val="14"/>
    <w:lvlOverride w:ilvl="0">
      <w:startOverride w:val="1"/>
    </w:lvlOverride>
  </w:num>
  <w:num w:numId="19">
    <w:abstractNumId w:val="22"/>
    <w:lvlOverride w:ilvl="0">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startOverride w:val="1"/>
    </w:lvlOverride>
  </w:num>
  <w:num w:numId="23">
    <w:abstractNumId w:val="22"/>
    <w:lvlOverride w:ilvl="0">
      <w:startOverride w:val="1"/>
    </w:lvlOverride>
  </w:num>
  <w:num w:numId="24">
    <w:abstractNumId w:val="20"/>
    <w:lvlOverride w:ilvl="0">
      <w:startOverride w:val="1"/>
    </w:lvlOverride>
  </w:num>
  <w:num w:numId="25">
    <w:abstractNumId w:val="20"/>
    <w:lvlOverride w:ilvl="0">
      <w:startOverride w:val="1"/>
    </w:lvlOverride>
  </w:num>
  <w:num w:numId="26">
    <w:abstractNumId w:val="11"/>
    <w:lvlOverride w:ilvl="0">
      <w:startOverride w:val="1"/>
    </w:lvlOverride>
  </w:num>
  <w:num w:numId="2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num>
  <w:num w:numId="29">
    <w:abstractNumId w:val="11"/>
  </w:num>
  <w:num w:numId="30">
    <w:abstractNumId w:val="25"/>
  </w:num>
  <w:num w:numId="31">
    <w:abstractNumId w:val="6"/>
  </w:num>
  <w:num w:numId="32">
    <w:abstractNumId w:val="12"/>
  </w:num>
  <w:num w:numId="33">
    <w:abstractNumId w:val="13"/>
  </w:num>
  <w:num w:numId="34">
    <w:abstractNumId w:val="4"/>
  </w:num>
  <w:num w:numId="35">
    <w:abstractNumId w:val="24"/>
  </w:num>
  <w:num w:numId="36">
    <w:abstractNumId w:val="3"/>
  </w:num>
  <w:num w:numId="37">
    <w:abstractNumId w:val="14"/>
  </w:num>
  <w:num w:numId="38">
    <w:abstractNumId w:val="20"/>
  </w:num>
  <w:num w:numId="39">
    <w:abstractNumId w:val="21"/>
  </w:num>
  <w:num w:numId="40">
    <w:abstractNumId w:val="5"/>
  </w:num>
  <w:num w:numId="41">
    <w:abstractNumId w:val="18"/>
  </w:num>
  <w:num w:numId="42">
    <w:abstractNumId w:val="29"/>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ctiveWritingStyle w:appName="MSWord" w:lang="fr-FR" w:vendorID="64" w:dllVersion="6" w:nlCheck="1" w:checkStyle="0"/>
  <w:activeWritingStyle w:appName="MSWord" w:lang="en-GB" w:vendorID="64" w:dllVersion="6" w:nlCheck="1" w:checkStyle="1"/>
  <w:activeWritingStyle w:appName="MSWord" w:lang="en-IE" w:vendorID="64" w:dllVersion="6" w:nlCheck="1" w:checkStyle="1"/>
  <w:activeWritingStyle w:appName="MSWord" w:lang="en-US" w:vendorID="64" w:dllVersion="6" w:nlCheck="1" w:checkStyle="1"/>
  <w:activeWritingStyle w:appName="MSWord" w:lang="fr-BE" w:vendorID="64" w:dllVersion="6" w:nlCheck="1" w:checkStyle="0"/>
  <w:activeWritingStyle w:appName="MSWord" w:lang="en-GB" w:vendorID="64" w:dllVersion="0" w:nlCheck="1" w:checkStyle="0"/>
  <w:activeWritingStyle w:appName="MSWord" w:lang="en-US" w:vendorID="64" w:dllVersion="0" w:nlCheck="1" w:checkStyle="0"/>
  <w:activeWritingStyle w:appName="MSWord" w:lang="en-IE" w:vendorID="64" w:dllVersion="0" w:nlCheck="1" w:checkStyle="0"/>
  <w:activeWritingStyle w:appName="MSWord" w:lang="fr-BE" w:vendorID="64" w:dllVersion="0" w:nlCheck="1" w:checkStyle="0"/>
  <w:activeWritingStyle w:appName="MSWord" w:lang="pl-PL" w:vendorID="64" w:dllVersion="0" w:nlCheck="1" w:checkStyle="0"/>
  <w:attachedTemplate r:id="rId1"/>
  <w:revisionView w:markup="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R_RefLast" w:val="0"/>
    <w:docVar w:name="DQCDateTime" w:val="2023-05-26 10:13:54"/>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5279D93C-C9EF-4D1E-93A8-D1D9A811D9CA"/>
    <w:docVar w:name="LW_COVERPAGE_TYPE" w:val="1"/>
    <w:docVar w:name="LW_CROSSREFERENCE" w:val="&lt;UNUSED&gt;"/>
    <w:docVar w:name="LW_DocType" w:val="COM"/>
    <w:docVar w:name="LW_EMISSION" w:val="22.3.2023"/>
    <w:docVar w:name="LW_EMISSION_ISODATE" w:val="2023-03-22"/>
    <w:docVar w:name="LW_EMISSION_LOCATION" w:val="BRX"/>
    <w:docVar w:name="LW_EMISSION_PREFIX" w:val="Bruksela, dnia "/>
    <w:docVar w:name="LW_EMISSION_SUFFIX" w:val=" r."/>
    <w:docVar w:name="LW_ID_DOCMODEL" w:val="SJ-024"/>
    <w:docVar w:name="LW_ID_DOCSIGNATURE" w:val="SJ-024"/>
    <w:docVar w:name="LW_ID_DOCSTRUCTURE" w:val="COM/PL/ORG"/>
    <w:docVar w:name="LW_ID_DOCTYPE" w:val="SJ-024"/>
    <w:docVar w:name="LW_ID_STATUT" w:val="SJ-024"/>
    <w:docVar w:name="LW_INSERT_EXP.MOTIFS.NEW" w:val="1"/>
    <w:docVar w:name="LW_INTERETEEE.CP" w:val="&lt;UNUSED&gt;"/>
    <w:docVar w:name="LW_LANGUE" w:val="PL"/>
    <w:docVar w:name="LW_LEVEL_OF_SENSITIVITY" w:val="Standard treatment"/>
    <w:docVar w:name="LW_NOM.INST" w:val="KOMISJA EUROPEJSKA"/>
    <w:docVar w:name="LW_NOM.INST_JOINTDOC" w:val="&lt;EMPTY&gt;"/>
    <w:docVar w:name="LW_PART_NBR" w:val="1"/>
    <w:docVar w:name="LW_PART_NBR_TOTAL" w:val="1"/>
    <w:docVar w:name="LW_REF.II.NEW.CP" w:val="COD"/>
    <w:docVar w:name="LW_REF.II.NEW.CP_NUMBER" w:val="0085"/>
    <w:docVar w:name="LW_REF.II.NEW.CP_YEAR" w:val="2023"/>
    <w:docVar w:name="LW_REF.INST.NEW" w:val="COM"/>
    <w:docVar w:name="LW_REF.INST.NEW_ADOPTED" w:val="final"/>
    <w:docVar w:name="LW_REF.INST.NEW_TEXT" w:val="(2023) 166"/>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Wniosek"/>
    <w:docVar w:name="LW_SUPERTITRE" w:val="&lt;UNUSED&gt;"/>
    <w:docVar w:name="LW_TITRE.OBJ.CP" w:val="w sprawie uzasadniania wyraźnych oświadczeń środowiskowych i informowania o nich (dyrektywa w sprawie oświadczeń środowiskowych)"/>
    <w:docVar w:name="LW_TYPE.DOC.CP" w:val="DYREKTYWA PARLAMENTU EUROPEJSKIEGO I RADY"/>
    <w:docVar w:name="LwApiVersions" w:val="LW4CoDe 1.23.2.0; LW 8.0, Build 20211117"/>
  </w:docVars>
  <w:rsids>
    <w:rsidRoot w:val="009769E5"/>
    <w:rsid w:val="00004434"/>
    <w:rsid w:val="00017197"/>
    <w:rsid w:val="000230EC"/>
    <w:rsid w:val="00026732"/>
    <w:rsid w:val="00026984"/>
    <w:rsid w:val="00027AB9"/>
    <w:rsid w:val="00032494"/>
    <w:rsid w:val="00042086"/>
    <w:rsid w:val="0004289E"/>
    <w:rsid w:val="000464F8"/>
    <w:rsid w:val="00050118"/>
    <w:rsid w:val="0006709B"/>
    <w:rsid w:val="00071938"/>
    <w:rsid w:val="00071D32"/>
    <w:rsid w:val="000803A6"/>
    <w:rsid w:val="00091CB8"/>
    <w:rsid w:val="000A28CF"/>
    <w:rsid w:val="000A75AB"/>
    <w:rsid w:val="000B428F"/>
    <w:rsid w:val="000B73D3"/>
    <w:rsid w:val="000C676A"/>
    <w:rsid w:val="000D45F0"/>
    <w:rsid w:val="000E2F22"/>
    <w:rsid w:val="000E48E2"/>
    <w:rsid w:val="000F0E0B"/>
    <w:rsid w:val="000F73A9"/>
    <w:rsid w:val="00103250"/>
    <w:rsid w:val="001065F5"/>
    <w:rsid w:val="001114D5"/>
    <w:rsid w:val="001238EF"/>
    <w:rsid w:val="00125CCF"/>
    <w:rsid w:val="00131335"/>
    <w:rsid w:val="00132892"/>
    <w:rsid w:val="00135779"/>
    <w:rsid w:val="0013691E"/>
    <w:rsid w:val="001378F6"/>
    <w:rsid w:val="00137ED6"/>
    <w:rsid w:val="001427BE"/>
    <w:rsid w:val="00144108"/>
    <w:rsid w:val="00147A91"/>
    <w:rsid w:val="00147CB5"/>
    <w:rsid w:val="00157D8E"/>
    <w:rsid w:val="0016051A"/>
    <w:rsid w:val="00197613"/>
    <w:rsid w:val="001A4E02"/>
    <w:rsid w:val="001A5C1D"/>
    <w:rsid w:val="001B5FC8"/>
    <w:rsid w:val="001B7EE0"/>
    <w:rsid w:val="001D308F"/>
    <w:rsid w:val="001E4C2B"/>
    <w:rsid w:val="001F074B"/>
    <w:rsid w:val="001F21F9"/>
    <w:rsid w:val="001F6770"/>
    <w:rsid w:val="001F6AA4"/>
    <w:rsid w:val="0020025A"/>
    <w:rsid w:val="0020139D"/>
    <w:rsid w:val="00211D13"/>
    <w:rsid w:val="0021642D"/>
    <w:rsid w:val="0021738E"/>
    <w:rsid w:val="002210B8"/>
    <w:rsid w:val="00230FB3"/>
    <w:rsid w:val="00231D49"/>
    <w:rsid w:val="00233DC7"/>
    <w:rsid w:val="00247779"/>
    <w:rsid w:val="00255001"/>
    <w:rsid w:val="00263607"/>
    <w:rsid w:val="00264CDF"/>
    <w:rsid w:val="00266C67"/>
    <w:rsid w:val="00270BDB"/>
    <w:rsid w:val="00272B58"/>
    <w:rsid w:val="00273B53"/>
    <w:rsid w:val="00275167"/>
    <w:rsid w:val="0027586E"/>
    <w:rsid w:val="00285BEE"/>
    <w:rsid w:val="0029533F"/>
    <w:rsid w:val="002A4E22"/>
    <w:rsid w:val="002A7CD4"/>
    <w:rsid w:val="002B30AF"/>
    <w:rsid w:val="002B4AB3"/>
    <w:rsid w:val="002B588B"/>
    <w:rsid w:val="002C6C5B"/>
    <w:rsid w:val="002E0B0D"/>
    <w:rsid w:val="002F3E4F"/>
    <w:rsid w:val="002F4F96"/>
    <w:rsid w:val="00300208"/>
    <w:rsid w:val="0031329D"/>
    <w:rsid w:val="003137B9"/>
    <w:rsid w:val="0031755F"/>
    <w:rsid w:val="003216AC"/>
    <w:rsid w:val="00321839"/>
    <w:rsid w:val="00324C9B"/>
    <w:rsid w:val="00326CA4"/>
    <w:rsid w:val="0033344A"/>
    <w:rsid w:val="003359CF"/>
    <w:rsid w:val="003367CA"/>
    <w:rsid w:val="00343BB9"/>
    <w:rsid w:val="00345477"/>
    <w:rsid w:val="00354E8A"/>
    <w:rsid w:val="00355A2D"/>
    <w:rsid w:val="00356FF9"/>
    <w:rsid w:val="0036496C"/>
    <w:rsid w:val="00391402"/>
    <w:rsid w:val="003A3ED5"/>
    <w:rsid w:val="003D1B02"/>
    <w:rsid w:val="003E23E9"/>
    <w:rsid w:val="003E2526"/>
    <w:rsid w:val="003E3439"/>
    <w:rsid w:val="003E6D7F"/>
    <w:rsid w:val="003F3D2B"/>
    <w:rsid w:val="0040356F"/>
    <w:rsid w:val="004037A4"/>
    <w:rsid w:val="004048FB"/>
    <w:rsid w:val="00406A17"/>
    <w:rsid w:val="00420699"/>
    <w:rsid w:val="00420B72"/>
    <w:rsid w:val="0042166A"/>
    <w:rsid w:val="004235A2"/>
    <w:rsid w:val="00424AD1"/>
    <w:rsid w:val="0042648E"/>
    <w:rsid w:val="00434B37"/>
    <w:rsid w:val="0043503A"/>
    <w:rsid w:val="00441C34"/>
    <w:rsid w:val="00443524"/>
    <w:rsid w:val="0044429C"/>
    <w:rsid w:val="00450C29"/>
    <w:rsid w:val="004614EB"/>
    <w:rsid w:val="00463B26"/>
    <w:rsid w:val="00463E97"/>
    <w:rsid w:val="0046636A"/>
    <w:rsid w:val="004724CE"/>
    <w:rsid w:val="004936D2"/>
    <w:rsid w:val="00494634"/>
    <w:rsid w:val="0049694F"/>
    <w:rsid w:val="004969CC"/>
    <w:rsid w:val="004978D8"/>
    <w:rsid w:val="004A4CEF"/>
    <w:rsid w:val="004B0754"/>
    <w:rsid w:val="004B3293"/>
    <w:rsid w:val="004D06CB"/>
    <w:rsid w:val="004D161E"/>
    <w:rsid w:val="004E1E97"/>
    <w:rsid w:val="004F5D6D"/>
    <w:rsid w:val="00500606"/>
    <w:rsid w:val="00501107"/>
    <w:rsid w:val="00502570"/>
    <w:rsid w:val="00504111"/>
    <w:rsid w:val="0050689B"/>
    <w:rsid w:val="00511215"/>
    <w:rsid w:val="00520D0A"/>
    <w:rsid w:val="005269A9"/>
    <w:rsid w:val="00533F48"/>
    <w:rsid w:val="00540819"/>
    <w:rsid w:val="00554038"/>
    <w:rsid w:val="0055717F"/>
    <w:rsid w:val="00557E81"/>
    <w:rsid w:val="005660CD"/>
    <w:rsid w:val="00566A57"/>
    <w:rsid w:val="005853B8"/>
    <w:rsid w:val="00594716"/>
    <w:rsid w:val="00594BF2"/>
    <w:rsid w:val="00596634"/>
    <w:rsid w:val="00597C04"/>
    <w:rsid w:val="005A40DD"/>
    <w:rsid w:val="005B1EB6"/>
    <w:rsid w:val="005B2EEF"/>
    <w:rsid w:val="005B3F57"/>
    <w:rsid w:val="005B5F17"/>
    <w:rsid w:val="005C05E8"/>
    <w:rsid w:val="005C1991"/>
    <w:rsid w:val="005C25D3"/>
    <w:rsid w:val="005E0A20"/>
    <w:rsid w:val="005E30E4"/>
    <w:rsid w:val="005F63D3"/>
    <w:rsid w:val="00605145"/>
    <w:rsid w:val="00607789"/>
    <w:rsid w:val="00613F99"/>
    <w:rsid w:val="006142C3"/>
    <w:rsid w:val="00614403"/>
    <w:rsid w:val="00622850"/>
    <w:rsid w:val="00624565"/>
    <w:rsid w:val="006251D1"/>
    <w:rsid w:val="006262F9"/>
    <w:rsid w:val="00626644"/>
    <w:rsid w:val="006268BE"/>
    <w:rsid w:val="006310CA"/>
    <w:rsid w:val="006333CA"/>
    <w:rsid w:val="0064794B"/>
    <w:rsid w:val="006521ED"/>
    <w:rsid w:val="00664D8A"/>
    <w:rsid w:val="00670E2B"/>
    <w:rsid w:val="00672ED1"/>
    <w:rsid w:val="00677FBD"/>
    <w:rsid w:val="00680CBF"/>
    <w:rsid w:val="0068245C"/>
    <w:rsid w:val="006A11C7"/>
    <w:rsid w:val="006B5968"/>
    <w:rsid w:val="006C05C8"/>
    <w:rsid w:val="006C169A"/>
    <w:rsid w:val="006C3C75"/>
    <w:rsid w:val="006C6693"/>
    <w:rsid w:val="006D5286"/>
    <w:rsid w:val="006D61B7"/>
    <w:rsid w:val="006E3743"/>
    <w:rsid w:val="006E59A6"/>
    <w:rsid w:val="006E7258"/>
    <w:rsid w:val="006F075B"/>
    <w:rsid w:val="00702C51"/>
    <w:rsid w:val="00704550"/>
    <w:rsid w:val="00713C5E"/>
    <w:rsid w:val="00716CA9"/>
    <w:rsid w:val="00727ABA"/>
    <w:rsid w:val="00730438"/>
    <w:rsid w:val="007313B4"/>
    <w:rsid w:val="00743846"/>
    <w:rsid w:val="00743A82"/>
    <w:rsid w:val="00746AED"/>
    <w:rsid w:val="00753C22"/>
    <w:rsid w:val="00762EBC"/>
    <w:rsid w:val="0076422A"/>
    <w:rsid w:val="00765C31"/>
    <w:rsid w:val="00770739"/>
    <w:rsid w:val="00773331"/>
    <w:rsid w:val="00774E22"/>
    <w:rsid w:val="00792284"/>
    <w:rsid w:val="007932EF"/>
    <w:rsid w:val="00794508"/>
    <w:rsid w:val="00794A75"/>
    <w:rsid w:val="007B182B"/>
    <w:rsid w:val="007B3A8C"/>
    <w:rsid w:val="007C474E"/>
    <w:rsid w:val="007C6E77"/>
    <w:rsid w:val="007D0311"/>
    <w:rsid w:val="007D666E"/>
    <w:rsid w:val="007E05B0"/>
    <w:rsid w:val="007E515E"/>
    <w:rsid w:val="007F19D9"/>
    <w:rsid w:val="007F44A1"/>
    <w:rsid w:val="007F4D33"/>
    <w:rsid w:val="00805104"/>
    <w:rsid w:val="00814BE8"/>
    <w:rsid w:val="008277DC"/>
    <w:rsid w:val="008306B5"/>
    <w:rsid w:val="00832A72"/>
    <w:rsid w:val="00836E1F"/>
    <w:rsid w:val="008439BA"/>
    <w:rsid w:val="00844145"/>
    <w:rsid w:val="00855E43"/>
    <w:rsid w:val="00856025"/>
    <w:rsid w:val="00856301"/>
    <w:rsid w:val="008718DE"/>
    <w:rsid w:val="00874D22"/>
    <w:rsid w:val="008817D9"/>
    <w:rsid w:val="00882A4A"/>
    <w:rsid w:val="00883197"/>
    <w:rsid w:val="0088345F"/>
    <w:rsid w:val="0088446B"/>
    <w:rsid w:val="00891524"/>
    <w:rsid w:val="008929C1"/>
    <w:rsid w:val="00894F07"/>
    <w:rsid w:val="0089593B"/>
    <w:rsid w:val="008A2914"/>
    <w:rsid w:val="008A5F59"/>
    <w:rsid w:val="008B0093"/>
    <w:rsid w:val="008C16FF"/>
    <w:rsid w:val="008C3EAD"/>
    <w:rsid w:val="008C550F"/>
    <w:rsid w:val="008C57BB"/>
    <w:rsid w:val="008D1B49"/>
    <w:rsid w:val="008D4F04"/>
    <w:rsid w:val="008D61D3"/>
    <w:rsid w:val="008E3ECC"/>
    <w:rsid w:val="008E4D8E"/>
    <w:rsid w:val="008E5D4B"/>
    <w:rsid w:val="0090132F"/>
    <w:rsid w:val="009048E3"/>
    <w:rsid w:val="00905021"/>
    <w:rsid w:val="00910086"/>
    <w:rsid w:val="00910EA4"/>
    <w:rsid w:val="009126AD"/>
    <w:rsid w:val="009168C9"/>
    <w:rsid w:val="0092088F"/>
    <w:rsid w:val="00924787"/>
    <w:rsid w:val="00927E8F"/>
    <w:rsid w:val="00947462"/>
    <w:rsid w:val="009655BE"/>
    <w:rsid w:val="0097082A"/>
    <w:rsid w:val="009769E5"/>
    <w:rsid w:val="00976EF6"/>
    <w:rsid w:val="00980B9A"/>
    <w:rsid w:val="0098190F"/>
    <w:rsid w:val="00987FF7"/>
    <w:rsid w:val="0099002B"/>
    <w:rsid w:val="009937F7"/>
    <w:rsid w:val="00996F3F"/>
    <w:rsid w:val="00997F9A"/>
    <w:rsid w:val="009A1D9E"/>
    <w:rsid w:val="009B02CC"/>
    <w:rsid w:val="009B5B03"/>
    <w:rsid w:val="009C41CD"/>
    <w:rsid w:val="009C7E8C"/>
    <w:rsid w:val="009D1BD1"/>
    <w:rsid w:val="009D5065"/>
    <w:rsid w:val="009E13F5"/>
    <w:rsid w:val="009E186E"/>
    <w:rsid w:val="009F412B"/>
    <w:rsid w:val="009F6708"/>
    <w:rsid w:val="009F6BBD"/>
    <w:rsid w:val="00A03BB1"/>
    <w:rsid w:val="00A051AF"/>
    <w:rsid w:val="00A06A8E"/>
    <w:rsid w:val="00A10767"/>
    <w:rsid w:val="00A25E9C"/>
    <w:rsid w:val="00A26456"/>
    <w:rsid w:val="00A277F7"/>
    <w:rsid w:val="00A32FC6"/>
    <w:rsid w:val="00A41D8C"/>
    <w:rsid w:val="00A45A55"/>
    <w:rsid w:val="00A51BA3"/>
    <w:rsid w:val="00A527F6"/>
    <w:rsid w:val="00A56C69"/>
    <w:rsid w:val="00A601B4"/>
    <w:rsid w:val="00A70637"/>
    <w:rsid w:val="00A767F9"/>
    <w:rsid w:val="00A854D3"/>
    <w:rsid w:val="00A9682F"/>
    <w:rsid w:val="00AA3C33"/>
    <w:rsid w:val="00AA5380"/>
    <w:rsid w:val="00AA5AC8"/>
    <w:rsid w:val="00AB09C4"/>
    <w:rsid w:val="00AB1088"/>
    <w:rsid w:val="00AB4912"/>
    <w:rsid w:val="00AB6AB6"/>
    <w:rsid w:val="00AC5440"/>
    <w:rsid w:val="00AC7CAC"/>
    <w:rsid w:val="00AD3EAD"/>
    <w:rsid w:val="00AE5A33"/>
    <w:rsid w:val="00AF0834"/>
    <w:rsid w:val="00AF4F58"/>
    <w:rsid w:val="00B00C2F"/>
    <w:rsid w:val="00B025AB"/>
    <w:rsid w:val="00B03953"/>
    <w:rsid w:val="00B061B5"/>
    <w:rsid w:val="00B07329"/>
    <w:rsid w:val="00B20DFF"/>
    <w:rsid w:val="00B2289A"/>
    <w:rsid w:val="00B32F54"/>
    <w:rsid w:val="00B34699"/>
    <w:rsid w:val="00B51A5E"/>
    <w:rsid w:val="00B57145"/>
    <w:rsid w:val="00B60466"/>
    <w:rsid w:val="00B77759"/>
    <w:rsid w:val="00B836B1"/>
    <w:rsid w:val="00B83CC7"/>
    <w:rsid w:val="00B86B4E"/>
    <w:rsid w:val="00B90074"/>
    <w:rsid w:val="00B90454"/>
    <w:rsid w:val="00B906DE"/>
    <w:rsid w:val="00B92138"/>
    <w:rsid w:val="00BA1206"/>
    <w:rsid w:val="00BA749B"/>
    <w:rsid w:val="00BB2629"/>
    <w:rsid w:val="00BB2C2E"/>
    <w:rsid w:val="00BC1E44"/>
    <w:rsid w:val="00BC1FC4"/>
    <w:rsid w:val="00BC3D0F"/>
    <w:rsid w:val="00BE1937"/>
    <w:rsid w:val="00BE30F1"/>
    <w:rsid w:val="00BE46EF"/>
    <w:rsid w:val="00BE7821"/>
    <w:rsid w:val="00BF123E"/>
    <w:rsid w:val="00BF1628"/>
    <w:rsid w:val="00BF33F7"/>
    <w:rsid w:val="00C01BC7"/>
    <w:rsid w:val="00C05A34"/>
    <w:rsid w:val="00C12301"/>
    <w:rsid w:val="00C3774D"/>
    <w:rsid w:val="00C41F72"/>
    <w:rsid w:val="00C56D38"/>
    <w:rsid w:val="00C60691"/>
    <w:rsid w:val="00C6355C"/>
    <w:rsid w:val="00C815C7"/>
    <w:rsid w:val="00C837F6"/>
    <w:rsid w:val="00C86E1E"/>
    <w:rsid w:val="00C87F7B"/>
    <w:rsid w:val="00C90842"/>
    <w:rsid w:val="00CA3DF7"/>
    <w:rsid w:val="00CC3EC2"/>
    <w:rsid w:val="00CD10F5"/>
    <w:rsid w:val="00CE0074"/>
    <w:rsid w:val="00CE7727"/>
    <w:rsid w:val="00D02A1B"/>
    <w:rsid w:val="00D030A8"/>
    <w:rsid w:val="00D03B86"/>
    <w:rsid w:val="00D0410B"/>
    <w:rsid w:val="00D057F1"/>
    <w:rsid w:val="00D13555"/>
    <w:rsid w:val="00D1617B"/>
    <w:rsid w:val="00D20381"/>
    <w:rsid w:val="00D21DC7"/>
    <w:rsid w:val="00D27F57"/>
    <w:rsid w:val="00D31E7C"/>
    <w:rsid w:val="00D37BE8"/>
    <w:rsid w:val="00D41ABC"/>
    <w:rsid w:val="00D51B9B"/>
    <w:rsid w:val="00D51BE9"/>
    <w:rsid w:val="00D531A0"/>
    <w:rsid w:val="00D53D06"/>
    <w:rsid w:val="00D5518C"/>
    <w:rsid w:val="00D60A9D"/>
    <w:rsid w:val="00D65865"/>
    <w:rsid w:val="00D70F74"/>
    <w:rsid w:val="00D76D4F"/>
    <w:rsid w:val="00D82ED0"/>
    <w:rsid w:val="00D85E74"/>
    <w:rsid w:val="00D96629"/>
    <w:rsid w:val="00DA299E"/>
    <w:rsid w:val="00DA59BC"/>
    <w:rsid w:val="00DA7721"/>
    <w:rsid w:val="00DB28F1"/>
    <w:rsid w:val="00DC35DE"/>
    <w:rsid w:val="00DC7D3D"/>
    <w:rsid w:val="00DD0F6F"/>
    <w:rsid w:val="00DD3F35"/>
    <w:rsid w:val="00DD65C0"/>
    <w:rsid w:val="00DE155D"/>
    <w:rsid w:val="00DE379E"/>
    <w:rsid w:val="00DF0307"/>
    <w:rsid w:val="00DF0619"/>
    <w:rsid w:val="00E12C27"/>
    <w:rsid w:val="00E31F35"/>
    <w:rsid w:val="00E441E7"/>
    <w:rsid w:val="00E464C6"/>
    <w:rsid w:val="00E47D0E"/>
    <w:rsid w:val="00E54BAD"/>
    <w:rsid w:val="00E7313B"/>
    <w:rsid w:val="00E7411D"/>
    <w:rsid w:val="00E7710F"/>
    <w:rsid w:val="00E91AC7"/>
    <w:rsid w:val="00E92A30"/>
    <w:rsid w:val="00E94068"/>
    <w:rsid w:val="00EA0FB0"/>
    <w:rsid w:val="00EA1F0A"/>
    <w:rsid w:val="00EB1431"/>
    <w:rsid w:val="00EB2AC8"/>
    <w:rsid w:val="00EC706A"/>
    <w:rsid w:val="00EC77D3"/>
    <w:rsid w:val="00EE26B8"/>
    <w:rsid w:val="00EE4289"/>
    <w:rsid w:val="00EE5148"/>
    <w:rsid w:val="00EE7B56"/>
    <w:rsid w:val="00EE7CFF"/>
    <w:rsid w:val="00EF405E"/>
    <w:rsid w:val="00EF7716"/>
    <w:rsid w:val="00F0480F"/>
    <w:rsid w:val="00F04CFF"/>
    <w:rsid w:val="00F060F0"/>
    <w:rsid w:val="00F12E55"/>
    <w:rsid w:val="00F201AE"/>
    <w:rsid w:val="00F252B3"/>
    <w:rsid w:val="00F32198"/>
    <w:rsid w:val="00F35F30"/>
    <w:rsid w:val="00F41E17"/>
    <w:rsid w:val="00F44115"/>
    <w:rsid w:val="00F5277A"/>
    <w:rsid w:val="00F5718F"/>
    <w:rsid w:val="00F62E36"/>
    <w:rsid w:val="00F632F7"/>
    <w:rsid w:val="00F65E5A"/>
    <w:rsid w:val="00F70417"/>
    <w:rsid w:val="00F71E8B"/>
    <w:rsid w:val="00F728E1"/>
    <w:rsid w:val="00F75705"/>
    <w:rsid w:val="00F80166"/>
    <w:rsid w:val="00F87313"/>
    <w:rsid w:val="00F917E8"/>
    <w:rsid w:val="00FA4429"/>
    <w:rsid w:val="00FA7AA1"/>
    <w:rsid w:val="00FC38F8"/>
    <w:rsid w:val="00FC3C84"/>
    <w:rsid w:val="00FD1725"/>
    <w:rsid w:val="00FD55B9"/>
    <w:rsid w:val="010D4C88"/>
    <w:rsid w:val="0351BF12"/>
    <w:rsid w:val="03C38225"/>
    <w:rsid w:val="03D3AC22"/>
    <w:rsid w:val="043904C5"/>
    <w:rsid w:val="04C89705"/>
    <w:rsid w:val="08069C4E"/>
    <w:rsid w:val="08CFFC0D"/>
    <w:rsid w:val="0BFCBF09"/>
    <w:rsid w:val="0CE23F09"/>
    <w:rsid w:val="10B92766"/>
    <w:rsid w:val="11945637"/>
    <w:rsid w:val="1AB1BEF6"/>
    <w:rsid w:val="1BB75C85"/>
    <w:rsid w:val="1C3EE019"/>
    <w:rsid w:val="1F6037AB"/>
    <w:rsid w:val="1F67BD4C"/>
    <w:rsid w:val="1FDDB654"/>
    <w:rsid w:val="200B65CC"/>
    <w:rsid w:val="20352B0D"/>
    <w:rsid w:val="20FC080C"/>
    <w:rsid w:val="21AD4720"/>
    <w:rsid w:val="258ED1E3"/>
    <w:rsid w:val="262E1924"/>
    <w:rsid w:val="272D0B7C"/>
    <w:rsid w:val="2884894D"/>
    <w:rsid w:val="288EB328"/>
    <w:rsid w:val="2AD72F88"/>
    <w:rsid w:val="2B6173C1"/>
    <w:rsid w:val="2C1D4CB7"/>
    <w:rsid w:val="2C3E31E2"/>
    <w:rsid w:val="2C43C90C"/>
    <w:rsid w:val="2C9969EA"/>
    <w:rsid w:val="2CC24F9D"/>
    <w:rsid w:val="2EB23CE0"/>
    <w:rsid w:val="339FE8A6"/>
    <w:rsid w:val="35EB86A1"/>
    <w:rsid w:val="361F6CB0"/>
    <w:rsid w:val="36FF876E"/>
    <w:rsid w:val="3AD4D1C9"/>
    <w:rsid w:val="3B88D262"/>
    <w:rsid w:val="3C6B5A7E"/>
    <w:rsid w:val="3FB1BB51"/>
    <w:rsid w:val="41DD58ED"/>
    <w:rsid w:val="4265DE8F"/>
    <w:rsid w:val="43A06971"/>
    <w:rsid w:val="43A3C8F0"/>
    <w:rsid w:val="44922F0E"/>
    <w:rsid w:val="45CAED22"/>
    <w:rsid w:val="464D7A45"/>
    <w:rsid w:val="4740C7E6"/>
    <w:rsid w:val="47E94AA6"/>
    <w:rsid w:val="480CC7DC"/>
    <w:rsid w:val="48A356D3"/>
    <w:rsid w:val="4C84DC64"/>
    <w:rsid w:val="4D73EF92"/>
    <w:rsid w:val="4E1FE8F7"/>
    <w:rsid w:val="4F015580"/>
    <w:rsid w:val="4FB6658B"/>
    <w:rsid w:val="50B26DBC"/>
    <w:rsid w:val="50CBDE64"/>
    <w:rsid w:val="52BD2E24"/>
    <w:rsid w:val="560F3831"/>
    <w:rsid w:val="56B3C55D"/>
    <w:rsid w:val="57AB0892"/>
    <w:rsid w:val="57B037AE"/>
    <w:rsid w:val="57B2F618"/>
    <w:rsid w:val="57D01DA6"/>
    <w:rsid w:val="584AAEA3"/>
    <w:rsid w:val="584F95BE"/>
    <w:rsid w:val="58694E1D"/>
    <w:rsid w:val="58F5670A"/>
    <w:rsid w:val="59C43B61"/>
    <w:rsid w:val="59FFE2B2"/>
    <w:rsid w:val="5A3A9BE6"/>
    <w:rsid w:val="5AEA96DA"/>
    <w:rsid w:val="5AFBD1B1"/>
    <w:rsid w:val="5DCE1ABA"/>
    <w:rsid w:val="5E5107B4"/>
    <w:rsid w:val="608B2A7F"/>
    <w:rsid w:val="63391DB9"/>
    <w:rsid w:val="662F4354"/>
    <w:rsid w:val="664FE614"/>
    <w:rsid w:val="6826F751"/>
    <w:rsid w:val="689525FD"/>
    <w:rsid w:val="6ADC247F"/>
    <w:rsid w:val="6BCE0ADF"/>
    <w:rsid w:val="6CADC5DC"/>
    <w:rsid w:val="6CDCFD22"/>
    <w:rsid w:val="6DFE2B12"/>
    <w:rsid w:val="730BCC89"/>
    <w:rsid w:val="76FCB590"/>
    <w:rsid w:val="77ACF941"/>
    <w:rsid w:val="78B9D842"/>
    <w:rsid w:val="79A9ECD0"/>
    <w:rsid w:val="79D3332C"/>
    <w:rsid w:val="7ABEC016"/>
    <w:rsid w:val="7B1ED591"/>
    <w:rsid w:val="7D4A0BB2"/>
    <w:rsid w:val="7D96A644"/>
    <w:rsid w:val="7E595580"/>
    <w:rsid w:val="7E6F9EB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1FE2EC4A"/>
  <w15:docId w15:val="{4AEA205F-DB98-411E-81AC-B7FBA9D45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pl-PL"/>
    </w:rPr>
  </w:style>
  <w:style w:type="paragraph" w:styleId="Heading1">
    <w:name w:val="heading 1"/>
    <w:basedOn w:val="Normal"/>
    <w:next w:val="Text1"/>
    <w:link w:val="Heading1Char"/>
    <w:uiPriority w:val="9"/>
    <w:qFormat/>
    <w:pPr>
      <w:keepNext/>
      <w:numPr>
        <w:numId w:val="35"/>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5"/>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5"/>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5"/>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35"/>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35"/>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35"/>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OCHeadingChar">
    <w:name w:val="TOC Heading Char"/>
    <w:uiPriority w:val="39"/>
    <w:rsid w:val="009769E5"/>
    <w:rPr>
      <w:rFonts w:ascii="Times New Roman" w:hAnsi="Times New Roman" w:cs="Times New Roman"/>
      <w:b/>
      <w:sz w:val="28"/>
      <w:lang w:val="pl-PL"/>
    </w:rPr>
  </w:style>
  <w:style w:type="character" w:styleId="Hyperlink">
    <w:name w:val="Hyperlink"/>
    <w:uiPriority w:val="99"/>
    <w:rsid w:val="009769E5"/>
    <w:rPr>
      <w:color w:val="0000FF"/>
      <w:u w:val="single"/>
      <w:shd w:val="clear" w:color="auto" w:fill="auto"/>
    </w:rPr>
  </w:style>
  <w:style w:type="paragraph" w:styleId="ListBullet4">
    <w:name w:val="List Bullet 4"/>
    <w:basedOn w:val="Normal"/>
    <w:rsid w:val="009769E5"/>
    <w:pPr>
      <w:numPr>
        <w:numId w:val="2"/>
      </w:numPr>
    </w:pPr>
    <w:rPr>
      <w:rFonts w:eastAsia="Times New Roman"/>
      <w:lang w:eastAsia="de-DE"/>
    </w:rPr>
  </w:style>
  <w:style w:type="paragraph" w:styleId="ListNumber">
    <w:name w:val="List Number"/>
    <w:basedOn w:val="Normal"/>
    <w:rsid w:val="009769E5"/>
    <w:pPr>
      <w:numPr>
        <w:numId w:val="6"/>
      </w:numPr>
    </w:pPr>
    <w:rPr>
      <w:rFonts w:eastAsia="Times New Roman"/>
      <w:lang w:eastAsia="de-DE"/>
    </w:rPr>
  </w:style>
  <w:style w:type="paragraph" w:customStyle="1" w:styleId="ListBullet1">
    <w:name w:val="List Bullet 1"/>
    <w:basedOn w:val="Normal"/>
    <w:rsid w:val="009769E5"/>
    <w:pPr>
      <w:numPr>
        <w:numId w:val="1"/>
      </w:numPr>
    </w:pPr>
    <w:rPr>
      <w:rFonts w:eastAsia="Times New Roman"/>
      <w:lang w:eastAsia="de-DE"/>
    </w:rPr>
  </w:style>
  <w:style w:type="paragraph" w:customStyle="1" w:styleId="ListDash">
    <w:name w:val="List Dash"/>
    <w:basedOn w:val="Normal"/>
    <w:rsid w:val="009769E5"/>
    <w:pPr>
      <w:numPr>
        <w:numId w:val="3"/>
      </w:numPr>
    </w:pPr>
    <w:rPr>
      <w:rFonts w:eastAsia="Times New Roman"/>
      <w:lang w:eastAsia="de-DE"/>
    </w:rPr>
  </w:style>
  <w:style w:type="paragraph" w:customStyle="1" w:styleId="ListDash1">
    <w:name w:val="List Dash 1"/>
    <w:basedOn w:val="Normal"/>
    <w:rsid w:val="009769E5"/>
    <w:pPr>
      <w:numPr>
        <w:numId w:val="4"/>
      </w:numPr>
    </w:pPr>
    <w:rPr>
      <w:rFonts w:eastAsia="Times New Roman"/>
      <w:lang w:eastAsia="de-DE"/>
    </w:rPr>
  </w:style>
  <w:style w:type="paragraph" w:customStyle="1" w:styleId="ListDash2">
    <w:name w:val="List Dash 2"/>
    <w:basedOn w:val="Normal"/>
    <w:rsid w:val="009769E5"/>
    <w:pPr>
      <w:numPr>
        <w:numId w:val="5"/>
      </w:numPr>
    </w:pPr>
    <w:rPr>
      <w:rFonts w:eastAsia="Times New Roman"/>
      <w:lang w:eastAsia="de-DE"/>
    </w:rPr>
  </w:style>
  <w:style w:type="paragraph" w:customStyle="1" w:styleId="ListNumberLevel2">
    <w:name w:val="List Number (Level 2)"/>
    <w:basedOn w:val="Normal"/>
    <w:rsid w:val="009769E5"/>
    <w:pPr>
      <w:numPr>
        <w:ilvl w:val="2"/>
        <w:numId w:val="6"/>
      </w:numPr>
    </w:pPr>
    <w:rPr>
      <w:rFonts w:eastAsia="Times New Roman"/>
      <w:lang w:eastAsia="de-DE"/>
    </w:rPr>
  </w:style>
  <w:style w:type="paragraph" w:customStyle="1" w:styleId="ListNumberLevel3">
    <w:name w:val="List Number (Level 3)"/>
    <w:basedOn w:val="Normal"/>
    <w:rsid w:val="009769E5"/>
    <w:pPr>
      <w:tabs>
        <w:tab w:val="num" w:pos="2126"/>
      </w:tabs>
      <w:ind w:left="2126" w:hanging="709"/>
    </w:pPr>
    <w:rPr>
      <w:rFonts w:eastAsia="Times New Roman"/>
      <w:lang w:eastAsia="de-DE"/>
    </w:rPr>
  </w:style>
  <w:style w:type="paragraph" w:customStyle="1" w:styleId="ListNumberLevel4">
    <w:name w:val="List Number (Level 4)"/>
    <w:basedOn w:val="Normal"/>
    <w:rsid w:val="009769E5"/>
    <w:pPr>
      <w:tabs>
        <w:tab w:val="num" w:pos="2835"/>
      </w:tabs>
      <w:ind w:left="2835" w:hanging="709"/>
    </w:pPr>
    <w:rPr>
      <w:rFonts w:eastAsia="Times New Roman"/>
      <w:lang w:eastAsia="de-DE"/>
    </w:rPr>
  </w:style>
  <w:style w:type="table" w:styleId="TableGrid">
    <w:name w:val="Table Grid"/>
    <w:basedOn w:val="TableNormal"/>
    <w:rsid w:val="009769E5"/>
    <w:pPr>
      <w:spacing w:before="120" w:after="120" w:line="240" w:lineRule="auto"/>
      <w:jc w:val="both"/>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rsid w:val="009769E5"/>
    <w:pPr>
      <w:numPr>
        <w:numId w:val="7"/>
      </w:numPr>
    </w:pPr>
    <w:rPr>
      <w:rFonts w:eastAsia="Times New Roman"/>
      <w:lang w:eastAsia="en-GB"/>
    </w:rPr>
  </w:style>
  <w:style w:type="paragraph" w:styleId="ListBullet2">
    <w:name w:val="List Bullet 2"/>
    <w:basedOn w:val="Normal"/>
    <w:rsid w:val="009769E5"/>
    <w:pPr>
      <w:numPr>
        <w:numId w:val="8"/>
      </w:numPr>
    </w:pPr>
    <w:rPr>
      <w:rFonts w:eastAsia="Times New Roman"/>
      <w:lang w:eastAsia="en-GB"/>
    </w:rPr>
  </w:style>
  <w:style w:type="paragraph" w:styleId="ListBullet3">
    <w:name w:val="List Bullet 3"/>
    <w:basedOn w:val="Normal"/>
    <w:rsid w:val="009769E5"/>
    <w:pPr>
      <w:numPr>
        <w:numId w:val="9"/>
      </w:numPr>
    </w:pPr>
    <w:rPr>
      <w:rFonts w:eastAsia="Times New Roman"/>
      <w:lang w:eastAsia="en-GB"/>
    </w:rPr>
  </w:style>
  <w:style w:type="paragraph" w:styleId="ListNumber2">
    <w:name w:val="List Number 2"/>
    <w:basedOn w:val="Normal"/>
    <w:rsid w:val="009769E5"/>
    <w:pPr>
      <w:numPr>
        <w:numId w:val="13"/>
      </w:numPr>
    </w:pPr>
    <w:rPr>
      <w:rFonts w:eastAsia="Times New Roman"/>
      <w:lang w:eastAsia="en-GB"/>
    </w:rPr>
  </w:style>
  <w:style w:type="paragraph" w:styleId="ListNumber3">
    <w:name w:val="List Number 3"/>
    <w:basedOn w:val="Normal"/>
    <w:rsid w:val="009769E5"/>
    <w:pPr>
      <w:numPr>
        <w:numId w:val="14"/>
      </w:numPr>
    </w:pPr>
    <w:rPr>
      <w:rFonts w:eastAsia="Times New Roman"/>
      <w:lang w:eastAsia="en-GB"/>
    </w:rPr>
  </w:style>
  <w:style w:type="paragraph" w:styleId="ListNumber4">
    <w:name w:val="List Number 4"/>
    <w:basedOn w:val="Normal"/>
    <w:rsid w:val="009769E5"/>
    <w:pPr>
      <w:numPr>
        <w:numId w:val="15"/>
      </w:numPr>
    </w:pPr>
    <w:rPr>
      <w:rFonts w:eastAsia="Times New Roman"/>
      <w:lang w:eastAsia="en-GB"/>
    </w:rPr>
  </w:style>
  <w:style w:type="paragraph" w:customStyle="1" w:styleId="ListDash3">
    <w:name w:val="List Dash 3"/>
    <w:basedOn w:val="Normal"/>
    <w:rsid w:val="009769E5"/>
    <w:pPr>
      <w:numPr>
        <w:numId w:val="10"/>
      </w:numPr>
    </w:pPr>
    <w:rPr>
      <w:rFonts w:eastAsia="Times New Roman"/>
      <w:lang w:eastAsia="en-GB"/>
    </w:rPr>
  </w:style>
  <w:style w:type="paragraph" w:customStyle="1" w:styleId="ListDash4">
    <w:name w:val="List Dash 4"/>
    <w:basedOn w:val="Normal"/>
    <w:rsid w:val="009769E5"/>
    <w:pPr>
      <w:numPr>
        <w:numId w:val="11"/>
      </w:numPr>
    </w:pPr>
    <w:rPr>
      <w:rFonts w:eastAsia="Times New Roman"/>
      <w:lang w:eastAsia="en-GB"/>
    </w:rPr>
  </w:style>
  <w:style w:type="paragraph" w:customStyle="1" w:styleId="ListNumber1">
    <w:name w:val="List Number 1"/>
    <w:basedOn w:val="Text1"/>
    <w:rsid w:val="009769E5"/>
    <w:pPr>
      <w:numPr>
        <w:numId w:val="12"/>
      </w:numPr>
    </w:pPr>
    <w:rPr>
      <w:rFonts w:eastAsia="Times New Roman"/>
      <w:lang w:eastAsia="en-GB"/>
    </w:rPr>
  </w:style>
  <w:style w:type="paragraph" w:customStyle="1" w:styleId="ListNumber1Level2">
    <w:name w:val="List Number 1 (Level 2)"/>
    <w:basedOn w:val="Text1"/>
    <w:rsid w:val="009769E5"/>
    <w:pPr>
      <w:tabs>
        <w:tab w:val="num" w:pos="2268"/>
      </w:tabs>
      <w:ind w:left="2268" w:hanging="708"/>
    </w:pPr>
    <w:rPr>
      <w:rFonts w:eastAsia="Times New Roman"/>
      <w:lang w:eastAsia="en-GB"/>
    </w:rPr>
  </w:style>
  <w:style w:type="paragraph" w:customStyle="1" w:styleId="ListNumber2Level2">
    <w:name w:val="List Number 2 (Level 2)"/>
    <w:basedOn w:val="Text2"/>
    <w:rsid w:val="009769E5"/>
    <w:pPr>
      <w:numPr>
        <w:ilvl w:val="1"/>
        <w:numId w:val="13"/>
      </w:numPr>
    </w:pPr>
    <w:rPr>
      <w:rFonts w:eastAsia="Times New Roman"/>
      <w:lang w:eastAsia="en-GB"/>
    </w:rPr>
  </w:style>
  <w:style w:type="paragraph" w:customStyle="1" w:styleId="ListNumber3Level2">
    <w:name w:val="List Number 3 (Level 2)"/>
    <w:basedOn w:val="Text3"/>
    <w:rsid w:val="009769E5"/>
    <w:pPr>
      <w:numPr>
        <w:ilvl w:val="1"/>
        <w:numId w:val="14"/>
      </w:numPr>
    </w:pPr>
    <w:rPr>
      <w:rFonts w:eastAsia="Times New Roman"/>
      <w:lang w:eastAsia="en-GB"/>
    </w:rPr>
  </w:style>
  <w:style w:type="paragraph" w:customStyle="1" w:styleId="ListNumber4Level2">
    <w:name w:val="List Number 4 (Level 2)"/>
    <w:basedOn w:val="Text4"/>
    <w:rsid w:val="009769E5"/>
    <w:pPr>
      <w:numPr>
        <w:ilvl w:val="1"/>
        <w:numId w:val="15"/>
      </w:numPr>
    </w:pPr>
    <w:rPr>
      <w:rFonts w:eastAsia="Times New Roman"/>
      <w:lang w:eastAsia="en-GB"/>
    </w:rPr>
  </w:style>
  <w:style w:type="paragraph" w:customStyle="1" w:styleId="ListNumber1Level3">
    <w:name w:val="List Number 1 (Level 3)"/>
    <w:basedOn w:val="Text1"/>
    <w:rsid w:val="009769E5"/>
    <w:pPr>
      <w:numPr>
        <w:ilvl w:val="2"/>
        <w:numId w:val="12"/>
      </w:numPr>
    </w:pPr>
    <w:rPr>
      <w:rFonts w:eastAsia="Times New Roman"/>
      <w:lang w:eastAsia="en-GB"/>
    </w:rPr>
  </w:style>
  <w:style w:type="paragraph" w:customStyle="1" w:styleId="ListNumber2Level3">
    <w:name w:val="List Number 2 (Level 3)"/>
    <w:basedOn w:val="Text2"/>
    <w:rsid w:val="009769E5"/>
    <w:pPr>
      <w:numPr>
        <w:ilvl w:val="2"/>
        <w:numId w:val="13"/>
      </w:numPr>
    </w:pPr>
    <w:rPr>
      <w:rFonts w:eastAsia="Times New Roman"/>
      <w:lang w:eastAsia="en-GB"/>
    </w:rPr>
  </w:style>
  <w:style w:type="paragraph" w:customStyle="1" w:styleId="ListNumber3Level3">
    <w:name w:val="List Number 3 (Level 3)"/>
    <w:basedOn w:val="Text3"/>
    <w:rsid w:val="009769E5"/>
    <w:pPr>
      <w:numPr>
        <w:ilvl w:val="2"/>
        <w:numId w:val="14"/>
      </w:numPr>
    </w:pPr>
    <w:rPr>
      <w:rFonts w:eastAsia="Times New Roman"/>
      <w:lang w:eastAsia="en-GB"/>
    </w:rPr>
  </w:style>
  <w:style w:type="paragraph" w:customStyle="1" w:styleId="ListNumber4Level3">
    <w:name w:val="List Number 4 (Level 3)"/>
    <w:basedOn w:val="Text4"/>
    <w:rsid w:val="009769E5"/>
    <w:pPr>
      <w:numPr>
        <w:ilvl w:val="2"/>
        <w:numId w:val="15"/>
      </w:numPr>
    </w:pPr>
    <w:rPr>
      <w:rFonts w:eastAsia="Times New Roman"/>
      <w:lang w:eastAsia="en-GB"/>
    </w:rPr>
  </w:style>
  <w:style w:type="paragraph" w:customStyle="1" w:styleId="ListNumber1Level4">
    <w:name w:val="List Number 1 (Level 4)"/>
    <w:basedOn w:val="Text1"/>
    <w:rsid w:val="009769E5"/>
    <w:pPr>
      <w:numPr>
        <w:ilvl w:val="3"/>
        <w:numId w:val="12"/>
      </w:numPr>
    </w:pPr>
    <w:rPr>
      <w:rFonts w:eastAsia="Times New Roman"/>
      <w:lang w:eastAsia="en-GB"/>
    </w:rPr>
  </w:style>
  <w:style w:type="paragraph" w:customStyle="1" w:styleId="ListNumber2Level4">
    <w:name w:val="List Number 2 (Level 4)"/>
    <w:basedOn w:val="Text2"/>
    <w:rsid w:val="009769E5"/>
    <w:pPr>
      <w:numPr>
        <w:ilvl w:val="3"/>
        <w:numId w:val="13"/>
      </w:numPr>
    </w:pPr>
    <w:rPr>
      <w:rFonts w:eastAsia="Times New Roman"/>
      <w:lang w:eastAsia="en-GB"/>
    </w:rPr>
  </w:style>
  <w:style w:type="paragraph" w:customStyle="1" w:styleId="ListNumber3Level4">
    <w:name w:val="List Number 3 (Level 4)"/>
    <w:basedOn w:val="Text3"/>
    <w:rsid w:val="009769E5"/>
    <w:pPr>
      <w:numPr>
        <w:ilvl w:val="3"/>
        <w:numId w:val="14"/>
      </w:numPr>
    </w:pPr>
    <w:rPr>
      <w:rFonts w:eastAsia="Times New Roman"/>
      <w:lang w:eastAsia="en-GB"/>
    </w:rPr>
  </w:style>
  <w:style w:type="paragraph" w:customStyle="1" w:styleId="ListNumber4Level4">
    <w:name w:val="List Number 4 (Level 4)"/>
    <w:basedOn w:val="Text4"/>
    <w:rsid w:val="009769E5"/>
    <w:pPr>
      <w:numPr>
        <w:ilvl w:val="3"/>
        <w:numId w:val="15"/>
      </w:numPr>
    </w:pPr>
    <w:rPr>
      <w:rFonts w:eastAsia="Times New Roman"/>
      <w:lang w:eastAsia="en-GB"/>
    </w:rPr>
  </w:style>
  <w:style w:type="paragraph" w:customStyle="1" w:styleId="Annexetitreacte">
    <w:name w:val="Annexe titre (acte)"/>
    <w:basedOn w:val="Normal"/>
    <w:next w:val="Normal"/>
    <w:rsid w:val="009769E5"/>
    <w:pPr>
      <w:jc w:val="center"/>
    </w:pPr>
    <w:rPr>
      <w:rFonts w:eastAsia="Times New Roman"/>
      <w:b/>
      <w:u w:val="single"/>
      <w:lang w:eastAsia="en-GB"/>
    </w:rPr>
  </w:style>
  <w:style w:type="paragraph" w:customStyle="1" w:styleId="Annexetitreexposglobal">
    <w:name w:val="Annexe titre (exposé global)"/>
    <w:basedOn w:val="Normal"/>
    <w:next w:val="Normal"/>
    <w:rsid w:val="009769E5"/>
    <w:pPr>
      <w:jc w:val="center"/>
    </w:pPr>
    <w:rPr>
      <w:rFonts w:eastAsia="Times New Roman"/>
      <w:b/>
      <w:u w:val="single"/>
      <w:lang w:eastAsia="en-GB"/>
    </w:rPr>
  </w:style>
  <w:style w:type="paragraph" w:customStyle="1" w:styleId="Annexetitrefichefinacte">
    <w:name w:val="Annexe titre (fiche fin. acte)"/>
    <w:basedOn w:val="Normal"/>
    <w:next w:val="Normal"/>
    <w:rsid w:val="009769E5"/>
    <w:pPr>
      <w:jc w:val="center"/>
    </w:pPr>
    <w:rPr>
      <w:rFonts w:eastAsia="Times New Roman"/>
      <w:b/>
      <w:u w:val="single"/>
      <w:lang w:eastAsia="en-GB"/>
    </w:rPr>
  </w:style>
  <w:style w:type="paragraph" w:customStyle="1" w:styleId="Annexetitrefichefinglobale">
    <w:name w:val="Annexe titre (fiche fin. globale)"/>
    <w:basedOn w:val="Normal"/>
    <w:next w:val="Normal"/>
    <w:rsid w:val="009769E5"/>
    <w:pPr>
      <w:jc w:val="center"/>
    </w:pPr>
    <w:rPr>
      <w:rFonts w:eastAsia="Times New Roman"/>
      <w:b/>
      <w:u w:val="single"/>
      <w:lang w:eastAsia="en-GB"/>
    </w:rPr>
  </w:style>
  <w:style w:type="paragraph" w:customStyle="1" w:styleId="Annexetitreglobale">
    <w:name w:val="Annexe titre (globale)"/>
    <w:basedOn w:val="Normal"/>
    <w:next w:val="Normal"/>
    <w:rsid w:val="009769E5"/>
    <w:pPr>
      <w:jc w:val="center"/>
    </w:pPr>
    <w:rPr>
      <w:rFonts w:eastAsia="Times New Roman"/>
      <w:b/>
      <w:u w:val="single"/>
      <w:lang w:eastAsia="en-GB"/>
    </w:rPr>
  </w:style>
  <w:style w:type="paragraph" w:customStyle="1" w:styleId="Exposdesmotifstitreglobal">
    <w:name w:val="Exposé des motifs titre (global)"/>
    <w:basedOn w:val="Normal"/>
    <w:next w:val="Normal"/>
    <w:rsid w:val="009769E5"/>
    <w:pPr>
      <w:jc w:val="center"/>
    </w:pPr>
    <w:rPr>
      <w:rFonts w:eastAsia="Times New Roman"/>
      <w:b/>
      <w:u w:val="single"/>
      <w:lang w:eastAsia="en-GB"/>
    </w:rPr>
  </w:style>
  <w:style w:type="paragraph" w:customStyle="1" w:styleId="Langueoriginale">
    <w:name w:val="Langue originale"/>
    <w:basedOn w:val="Normal"/>
    <w:rsid w:val="009769E5"/>
    <w:pPr>
      <w:spacing w:before="360"/>
      <w:jc w:val="center"/>
    </w:pPr>
    <w:rPr>
      <w:rFonts w:eastAsia="Times New Roman"/>
      <w:caps/>
      <w:lang w:eastAsia="en-GB"/>
    </w:rPr>
  </w:style>
  <w:style w:type="paragraph" w:customStyle="1" w:styleId="Phrasefinale">
    <w:name w:val="Phrase finale"/>
    <w:basedOn w:val="Normal"/>
    <w:next w:val="Normal"/>
    <w:rsid w:val="009769E5"/>
    <w:pPr>
      <w:spacing w:before="360" w:after="0"/>
      <w:jc w:val="center"/>
    </w:pPr>
    <w:rPr>
      <w:rFonts w:eastAsia="Times New Roman"/>
      <w:lang w:eastAsia="en-GB"/>
    </w:rPr>
  </w:style>
  <w:style w:type="paragraph" w:customStyle="1" w:styleId="Prliminairetitre">
    <w:name w:val="Préliminaire titre"/>
    <w:basedOn w:val="Normal"/>
    <w:next w:val="Normal"/>
    <w:rsid w:val="009769E5"/>
    <w:pPr>
      <w:spacing w:before="360" w:after="360"/>
      <w:jc w:val="center"/>
    </w:pPr>
    <w:rPr>
      <w:rFonts w:eastAsia="Times New Roman"/>
      <w:b/>
      <w:lang w:eastAsia="en-GB"/>
    </w:rPr>
  </w:style>
  <w:style w:type="paragraph" w:customStyle="1" w:styleId="Prliminairetype">
    <w:name w:val="Préliminaire type"/>
    <w:basedOn w:val="Normal"/>
    <w:next w:val="Normal"/>
    <w:rsid w:val="009769E5"/>
    <w:pPr>
      <w:spacing w:before="360" w:after="0"/>
      <w:jc w:val="center"/>
    </w:pPr>
    <w:rPr>
      <w:rFonts w:eastAsia="Times New Roman"/>
      <w:b/>
      <w:lang w:eastAsia="en-GB"/>
    </w:rPr>
  </w:style>
  <w:style w:type="paragraph" w:customStyle="1" w:styleId="Rfrenceinstitutionelle">
    <w:name w:val="Référence institutionelle"/>
    <w:basedOn w:val="Normal"/>
    <w:next w:val="Statut"/>
    <w:rsid w:val="009769E5"/>
    <w:pPr>
      <w:spacing w:before="0" w:after="240"/>
      <w:ind w:left="5103"/>
      <w:jc w:val="left"/>
    </w:pPr>
    <w:rPr>
      <w:rFonts w:eastAsia="Times New Roman"/>
      <w:lang w:eastAsia="en-GB"/>
    </w:rPr>
  </w:style>
  <w:style w:type="paragraph" w:customStyle="1" w:styleId="Rfrenceinterinstitutionelle">
    <w:name w:val="Référence interinstitutionelle"/>
    <w:basedOn w:val="Normal"/>
    <w:next w:val="Statut"/>
    <w:rsid w:val="009769E5"/>
    <w:pPr>
      <w:spacing w:before="0" w:after="0"/>
      <w:ind w:left="5103"/>
      <w:jc w:val="left"/>
    </w:pPr>
    <w:rPr>
      <w:rFonts w:eastAsia="Times New Roman"/>
      <w:lang w:eastAsia="en-GB"/>
    </w:rPr>
  </w:style>
  <w:style w:type="paragraph" w:customStyle="1" w:styleId="Rfrenceinterinstitutionelleprliminaire">
    <w:name w:val="Référence interinstitutionelle (préliminaire)"/>
    <w:basedOn w:val="Normal"/>
    <w:next w:val="Normal"/>
    <w:rsid w:val="009769E5"/>
    <w:pPr>
      <w:spacing w:before="0" w:after="0"/>
      <w:ind w:left="5103"/>
      <w:jc w:val="left"/>
    </w:pPr>
    <w:rPr>
      <w:rFonts w:eastAsia="Times New Roman"/>
      <w:lang w:eastAsia="en-GB"/>
    </w:rPr>
  </w:style>
  <w:style w:type="paragraph" w:customStyle="1" w:styleId="Sous-titreobjetprliminaire">
    <w:name w:val="Sous-titre objet (préliminaire)"/>
    <w:basedOn w:val="Normal"/>
    <w:rsid w:val="009769E5"/>
    <w:pPr>
      <w:spacing w:before="0" w:after="0"/>
      <w:jc w:val="center"/>
    </w:pPr>
    <w:rPr>
      <w:rFonts w:eastAsia="Times New Roman"/>
      <w:b/>
      <w:lang w:eastAsia="en-GB"/>
    </w:rPr>
  </w:style>
  <w:style w:type="paragraph" w:customStyle="1" w:styleId="Statutprliminaire">
    <w:name w:val="Statut (préliminaire)"/>
    <w:basedOn w:val="Normal"/>
    <w:next w:val="Normal"/>
    <w:rsid w:val="009769E5"/>
    <w:pPr>
      <w:spacing w:before="360" w:after="0"/>
      <w:jc w:val="center"/>
    </w:pPr>
    <w:rPr>
      <w:rFonts w:eastAsia="Times New Roman"/>
      <w:lang w:eastAsia="en-GB"/>
    </w:rPr>
  </w:style>
  <w:style w:type="paragraph" w:customStyle="1" w:styleId="Titreobjetprliminaire">
    <w:name w:val="Titre objet (préliminaire)"/>
    <w:basedOn w:val="Normal"/>
    <w:next w:val="Normal"/>
    <w:rsid w:val="009769E5"/>
    <w:pPr>
      <w:spacing w:before="360" w:after="360"/>
      <w:jc w:val="center"/>
    </w:pPr>
    <w:rPr>
      <w:rFonts w:eastAsia="Times New Roman"/>
      <w:b/>
      <w:lang w:eastAsia="en-GB"/>
    </w:rPr>
  </w:style>
  <w:style w:type="paragraph" w:customStyle="1" w:styleId="Typedudocumentprliminaire">
    <w:name w:val="Type du document (préliminaire)"/>
    <w:basedOn w:val="Normal"/>
    <w:next w:val="Normal"/>
    <w:rsid w:val="009769E5"/>
    <w:pPr>
      <w:spacing w:before="360" w:after="0"/>
      <w:jc w:val="center"/>
    </w:pPr>
    <w:rPr>
      <w:rFonts w:eastAsia="Times New Roman"/>
      <w:b/>
      <w:lang w:eastAsia="en-GB"/>
    </w:rPr>
  </w:style>
  <w:style w:type="paragraph" w:customStyle="1" w:styleId="Fichefinancirestandardtitre">
    <w:name w:val="Fiche financière (standard) titre"/>
    <w:basedOn w:val="Normal"/>
    <w:next w:val="Normal"/>
    <w:rsid w:val="009769E5"/>
    <w:pPr>
      <w:jc w:val="center"/>
    </w:pPr>
    <w:rPr>
      <w:rFonts w:eastAsia="Times New Roman"/>
      <w:b/>
      <w:u w:val="single"/>
      <w:lang w:eastAsia="en-GB"/>
    </w:rPr>
  </w:style>
  <w:style w:type="paragraph" w:customStyle="1" w:styleId="Fichefinancirestandardtitreacte">
    <w:name w:val="Fiche financière (standard) titre (acte)"/>
    <w:basedOn w:val="Normal"/>
    <w:next w:val="Normal"/>
    <w:rsid w:val="009769E5"/>
    <w:pPr>
      <w:jc w:val="center"/>
    </w:pPr>
    <w:rPr>
      <w:rFonts w:eastAsia="Times New Roman"/>
      <w:b/>
      <w:u w:val="single"/>
      <w:lang w:eastAsia="en-GB"/>
    </w:rPr>
  </w:style>
  <w:style w:type="paragraph" w:customStyle="1" w:styleId="Fichefinanciretravailtitre">
    <w:name w:val="Fiche financière (travail) titre"/>
    <w:basedOn w:val="Normal"/>
    <w:next w:val="Normal"/>
    <w:rsid w:val="009769E5"/>
    <w:pPr>
      <w:jc w:val="center"/>
    </w:pPr>
    <w:rPr>
      <w:rFonts w:eastAsia="Times New Roman"/>
      <w:b/>
      <w:u w:val="single"/>
      <w:lang w:eastAsia="en-GB"/>
    </w:rPr>
  </w:style>
  <w:style w:type="paragraph" w:customStyle="1" w:styleId="Fichefinanciretravailtitreacte">
    <w:name w:val="Fiche financière (travail) titre (acte)"/>
    <w:basedOn w:val="Normal"/>
    <w:next w:val="Normal"/>
    <w:rsid w:val="009769E5"/>
    <w:pPr>
      <w:jc w:val="center"/>
    </w:pPr>
    <w:rPr>
      <w:rFonts w:eastAsia="Times New Roman"/>
      <w:b/>
      <w:u w:val="single"/>
      <w:lang w:eastAsia="en-GB"/>
    </w:rPr>
  </w:style>
  <w:style w:type="paragraph" w:customStyle="1" w:styleId="Fichefinancireattributiontitre">
    <w:name w:val="Fiche financière (attribution) titre"/>
    <w:basedOn w:val="Normal"/>
    <w:next w:val="Normal"/>
    <w:rsid w:val="009769E5"/>
    <w:pPr>
      <w:jc w:val="center"/>
    </w:pPr>
    <w:rPr>
      <w:rFonts w:eastAsia="Times New Roman"/>
      <w:b/>
      <w:u w:val="single"/>
      <w:lang w:eastAsia="en-GB"/>
    </w:rPr>
  </w:style>
  <w:style w:type="paragraph" w:customStyle="1" w:styleId="Fichefinancireattributiontitreacte">
    <w:name w:val="Fiche financière (attribution) titre (acte)"/>
    <w:basedOn w:val="Normal"/>
    <w:next w:val="Normal"/>
    <w:rsid w:val="009769E5"/>
    <w:pPr>
      <w:jc w:val="center"/>
    </w:pPr>
    <w:rPr>
      <w:rFonts w:eastAsia="Times New Roman"/>
      <w:b/>
      <w:u w:val="single"/>
      <w:lang w:eastAsia="en-GB"/>
    </w:rPr>
  </w:style>
  <w:style w:type="character" w:styleId="CommentReference">
    <w:name w:val="annotation reference"/>
    <w:qFormat/>
    <w:rsid w:val="009769E5"/>
    <w:rPr>
      <w:rFonts w:cs="Times New Roman"/>
      <w:sz w:val="16"/>
      <w:szCs w:val="16"/>
    </w:rPr>
  </w:style>
  <w:style w:type="paragraph" w:styleId="CommentText">
    <w:name w:val="annotation text"/>
    <w:basedOn w:val="Normal"/>
    <w:link w:val="CommentTextChar"/>
    <w:qFormat/>
    <w:rsid w:val="009769E5"/>
    <w:rPr>
      <w:rFonts w:eastAsia="Times New Roman"/>
      <w:sz w:val="20"/>
      <w:szCs w:val="20"/>
      <w:lang w:eastAsia="en-GB"/>
    </w:rPr>
  </w:style>
  <w:style w:type="character" w:customStyle="1" w:styleId="CommentTextChar">
    <w:name w:val="Comment Text Char"/>
    <w:basedOn w:val="DefaultParagraphFont"/>
    <w:link w:val="CommentText"/>
    <w:rsid w:val="009769E5"/>
    <w:rPr>
      <w:rFonts w:ascii="Times New Roman" w:eastAsia="Times New Roman" w:hAnsi="Times New Roman" w:cs="Times New Roman"/>
      <w:sz w:val="20"/>
      <w:szCs w:val="20"/>
      <w:lang w:val="pl-PL" w:eastAsia="en-GB"/>
    </w:rPr>
  </w:style>
  <w:style w:type="paragraph" w:styleId="CommentSubject">
    <w:name w:val="annotation subject"/>
    <w:basedOn w:val="CommentText"/>
    <w:next w:val="CommentText"/>
    <w:link w:val="CommentSubjectChar"/>
    <w:rsid w:val="009769E5"/>
    <w:rPr>
      <w:b/>
      <w:bCs/>
    </w:rPr>
  </w:style>
  <w:style w:type="character" w:customStyle="1" w:styleId="CommentSubjectChar">
    <w:name w:val="Comment Subject Char"/>
    <w:basedOn w:val="CommentTextChar"/>
    <w:link w:val="CommentSubject"/>
    <w:rsid w:val="009769E5"/>
    <w:rPr>
      <w:rFonts w:ascii="Times New Roman" w:eastAsia="Times New Roman" w:hAnsi="Times New Roman" w:cs="Times New Roman"/>
      <w:b/>
      <w:bCs/>
      <w:sz w:val="20"/>
      <w:szCs w:val="20"/>
      <w:lang w:val="pl-PL" w:eastAsia="en-GB"/>
    </w:rPr>
  </w:style>
  <w:style w:type="paragraph" w:styleId="BalloonText">
    <w:name w:val="Balloon Text"/>
    <w:basedOn w:val="Normal"/>
    <w:link w:val="BalloonTextChar"/>
    <w:rsid w:val="009769E5"/>
    <w:rPr>
      <w:rFonts w:ascii="Tahoma" w:eastAsia="Times New Roman" w:hAnsi="Tahoma" w:cs="Tahoma"/>
      <w:sz w:val="16"/>
      <w:szCs w:val="16"/>
      <w:lang w:eastAsia="en-GB"/>
    </w:rPr>
  </w:style>
  <w:style w:type="character" w:customStyle="1" w:styleId="BalloonTextChar">
    <w:name w:val="Balloon Text Char"/>
    <w:basedOn w:val="DefaultParagraphFont"/>
    <w:link w:val="BalloonText"/>
    <w:rsid w:val="009769E5"/>
    <w:rPr>
      <w:rFonts w:ascii="Tahoma" w:eastAsia="Times New Roman" w:hAnsi="Tahoma" w:cs="Tahoma"/>
      <w:sz w:val="16"/>
      <w:szCs w:val="16"/>
      <w:lang w:val="pl-PL" w:eastAsia="en-GB"/>
    </w:rPr>
  </w:style>
  <w:style w:type="paragraph" w:styleId="Caption">
    <w:name w:val="caption"/>
    <w:basedOn w:val="Normal"/>
    <w:next w:val="Normal"/>
    <w:qFormat/>
    <w:rsid w:val="009769E5"/>
    <w:rPr>
      <w:rFonts w:eastAsia="Times New Roman"/>
      <w:b/>
      <w:bCs/>
      <w:sz w:val="20"/>
      <w:szCs w:val="20"/>
      <w:lang w:eastAsia="en-GB"/>
    </w:rPr>
  </w:style>
  <w:style w:type="paragraph" w:styleId="TableofFigures">
    <w:name w:val="table of figures"/>
    <w:basedOn w:val="Normal"/>
    <w:next w:val="Normal"/>
    <w:rsid w:val="009769E5"/>
    <w:rPr>
      <w:rFonts w:eastAsia="Times New Roman"/>
      <w:lang w:eastAsia="en-GB"/>
    </w:rPr>
  </w:style>
  <w:style w:type="character" w:styleId="PageNumber">
    <w:name w:val="page number"/>
    <w:rsid w:val="009769E5"/>
  </w:style>
  <w:style w:type="character" w:customStyle="1" w:styleId="tw4winMark">
    <w:name w:val="tw4winMark"/>
    <w:rsid w:val="009769E5"/>
    <w:rPr>
      <w:vanish/>
      <w:color w:val="800080"/>
      <w:vertAlign w:val="subscript"/>
    </w:rPr>
  </w:style>
  <w:style w:type="character" w:styleId="FollowedHyperlink">
    <w:name w:val="FollowedHyperlink"/>
    <w:rsid w:val="009769E5"/>
    <w:rPr>
      <w:color w:val="800080"/>
      <w:u w:val="single"/>
    </w:rPr>
  </w:style>
  <w:style w:type="paragraph" w:customStyle="1" w:styleId="Sous-titreobjet">
    <w:name w:val="Sous-titre objet"/>
    <w:basedOn w:val="Normal"/>
    <w:rsid w:val="009769E5"/>
    <w:pPr>
      <w:spacing w:before="0" w:after="0"/>
      <w:jc w:val="center"/>
    </w:pPr>
    <w:rPr>
      <w:rFonts w:eastAsia="Times New Roman"/>
      <w:b/>
      <w:lang w:eastAsia="en-GB"/>
    </w:rPr>
  </w:style>
  <w:style w:type="paragraph" w:customStyle="1" w:styleId="Sous-titreobjetPagedecouverture">
    <w:name w:val="Sous-titre objet (Page de couverture)"/>
    <w:basedOn w:val="Sous-titreobjet"/>
    <w:rsid w:val="009769E5"/>
  </w:style>
  <w:style w:type="paragraph" w:customStyle="1" w:styleId="FooterCoverPage">
    <w:name w:val="Footer Cover Page"/>
    <w:basedOn w:val="Normal"/>
    <w:link w:val="FooterCoverPageChar"/>
    <w:rsid w:val="009769E5"/>
    <w:pPr>
      <w:tabs>
        <w:tab w:val="center" w:pos="4535"/>
        <w:tab w:val="right" w:pos="9071"/>
        <w:tab w:val="right" w:pos="9921"/>
      </w:tabs>
      <w:spacing w:before="360" w:after="0"/>
      <w:ind w:left="-850" w:right="-850"/>
      <w:jc w:val="left"/>
    </w:pPr>
    <w:rPr>
      <w:rFonts w:eastAsia="Calibri"/>
      <w:lang w:eastAsia="en-GB"/>
    </w:rPr>
  </w:style>
  <w:style w:type="character" w:customStyle="1" w:styleId="FooterCoverPageChar">
    <w:name w:val="Footer Cover Page Char"/>
    <w:link w:val="FooterCoverPage"/>
    <w:rsid w:val="009769E5"/>
    <w:rPr>
      <w:rFonts w:ascii="Times New Roman" w:eastAsia="Calibri" w:hAnsi="Times New Roman" w:cs="Times New Roman"/>
      <w:sz w:val="24"/>
      <w:lang w:val="pl-PL" w:eastAsia="en-GB"/>
    </w:rPr>
  </w:style>
  <w:style w:type="paragraph" w:customStyle="1" w:styleId="HeaderCoverPage">
    <w:name w:val="Header Cover Page"/>
    <w:basedOn w:val="Normal"/>
    <w:link w:val="HeaderCoverPageChar"/>
    <w:rsid w:val="009769E5"/>
    <w:pPr>
      <w:tabs>
        <w:tab w:val="center" w:pos="4535"/>
        <w:tab w:val="right" w:pos="9071"/>
      </w:tabs>
      <w:spacing w:before="0"/>
    </w:pPr>
    <w:rPr>
      <w:rFonts w:eastAsia="Calibri"/>
      <w:lang w:eastAsia="en-GB"/>
    </w:rPr>
  </w:style>
  <w:style w:type="character" w:customStyle="1" w:styleId="HeaderCoverPageChar">
    <w:name w:val="Header Cover Page Char"/>
    <w:link w:val="HeaderCoverPage"/>
    <w:rsid w:val="009769E5"/>
    <w:rPr>
      <w:rFonts w:ascii="Times New Roman" w:eastAsia="Calibri" w:hAnsi="Times New Roman" w:cs="Times New Roman"/>
      <w:sz w:val="24"/>
      <w:lang w:val="pl-PL" w:eastAsia="en-GB"/>
    </w:rPr>
  </w:style>
  <w:style w:type="character" w:customStyle="1" w:styleId="FooterSensitivityChar">
    <w:name w:val="Footer Sensitivity Char"/>
    <w:rsid w:val="009769E5"/>
    <w:rPr>
      <w:rFonts w:ascii="Times New Roman" w:hAnsi="Times New Roman" w:cs="Times New Roman"/>
      <w:b/>
      <w:sz w:val="32"/>
      <w:lang w:val="pl-PL"/>
    </w:rPr>
  </w:style>
  <w:style w:type="character" w:customStyle="1" w:styleId="HeaderSensitivityChar">
    <w:name w:val="Header Sensitivity Char"/>
    <w:rsid w:val="009769E5"/>
    <w:rPr>
      <w:rFonts w:ascii="Times New Roman" w:hAnsi="Times New Roman" w:cs="Times New Roman"/>
      <w:b/>
      <w:sz w:val="32"/>
      <w:lang w:val="pl-PL"/>
    </w:rPr>
  </w:style>
  <w:style w:type="character" w:customStyle="1" w:styleId="HeaderSensitivityRightChar">
    <w:name w:val="Header Sensitivity Right Char"/>
    <w:rsid w:val="009769E5"/>
    <w:rPr>
      <w:rFonts w:ascii="Times New Roman" w:hAnsi="Times New Roman" w:cs="Times New Roman"/>
      <w:sz w:val="28"/>
      <w:lang w:val="pl-PL"/>
    </w:rPr>
  </w:style>
  <w:style w:type="paragraph" w:styleId="ListParagraph">
    <w:name w:val="List Paragraph"/>
    <w:aliases w:val="Issue Action POC,List Paragraph1,3,POCG Table Text,Dot pt,F5 List Paragraph,List Paragraph Char Char Char,Indicator Text,Colorful List - Accent 11,Numbered Para 1,Bullet Points,List Paragraph2,MAIN CONTENT,Normal numbered,EC,No"/>
    <w:basedOn w:val="Normal"/>
    <w:link w:val="ListParagraphChar"/>
    <w:uiPriority w:val="34"/>
    <w:qFormat/>
    <w:rsid w:val="00743A82"/>
    <w:pPr>
      <w:ind w:left="720"/>
      <w:contextualSpacing/>
    </w:pPr>
  </w:style>
  <w:style w:type="character" w:customStyle="1" w:styleId="ListParagraphChar">
    <w:name w:val="List Paragraph Char"/>
    <w:aliases w:val="Issue Action POC Char,List Paragraph1 Char,3 Char,POCG Table Text Char,Dot pt Char,F5 List Paragraph Char,List Paragraph Char Char Char Char,Indicator Text Char,Colorful List - Accent 11 Char,Numbered Para 1 Char,Bullet Points Char"/>
    <w:basedOn w:val="DefaultParagraphFont"/>
    <w:link w:val="ListParagraph"/>
    <w:uiPriority w:val="34"/>
    <w:qFormat/>
    <w:locked/>
    <w:rsid w:val="00743A82"/>
    <w:rPr>
      <w:rFonts w:ascii="Times New Roman" w:hAnsi="Times New Roman" w:cs="Times New Roman"/>
      <w:sz w:val="24"/>
      <w:lang w:val="pl-PL"/>
    </w:rPr>
  </w:style>
  <w:style w:type="character" w:customStyle="1" w:styleId="tab">
    <w:name w:val="tab"/>
    <w:basedOn w:val="DefaultParagraphFont"/>
    <w:rsid w:val="00D96629"/>
  </w:style>
  <w:style w:type="paragraph" w:styleId="NormalWeb">
    <w:name w:val="Normal (Web)"/>
    <w:basedOn w:val="Normal"/>
    <w:uiPriority w:val="99"/>
    <w:unhideWhenUsed/>
    <w:rsid w:val="00D96629"/>
    <w:rPr>
      <w:szCs w:val="24"/>
    </w:rPr>
  </w:style>
  <w:style w:type="character" w:customStyle="1" w:styleId="eop">
    <w:name w:val="eop"/>
    <w:basedOn w:val="DefaultParagraphFont"/>
    <w:rsid w:val="006F075B"/>
    <w:rPr>
      <w:rFonts w:ascii="Times New Roman" w:hAnsi="Times New Roman" w:cs="Times New Roman" w:hint="default"/>
    </w:rPr>
  </w:style>
  <w:style w:type="character" w:customStyle="1" w:styleId="normaltextrun">
    <w:name w:val="normaltextrun"/>
    <w:basedOn w:val="DefaultParagraphFont"/>
    <w:rsid w:val="006F075B"/>
  </w:style>
  <w:style w:type="paragraph" w:customStyle="1" w:styleId="paragraph">
    <w:name w:val="paragraph"/>
    <w:basedOn w:val="Normal"/>
    <w:rsid w:val="006F075B"/>
    <w:pPr>
      <w:spacing w:before="100" w:beforeAutospacing="1" w:after="100" w:afterAutospacing="1"/>
      <w:jc w:val="left"/>
    </w:pPr>
    <w:rPr>
      <w:rFonts w:eastAsia="Times New Roman"/>
      <w:szCs w:val="24"/>
      <w:lang w:eastAsia="en-IE"/>
    </w:rPr>
  </w:style>
  <w:style w:type="paragraph" w:customStyle="1" w:styleId="Normal2">
    <w:name w:val="Normal2"/>
    <w:basedOn w:val="Normal"/>
    <w:rsid w:val="006F075B"/>
    <w:pPr>
      <w:spacing w:before="100" w:beforeAutospacing="1" w:after="100" w:afterAutospacing="1"/>
      <w:jc w:val="left"/>
    </w:pPr>
    <w:rPr>
      <w:rFonts w:eastAsia="Times New Roman"/>
      <w:szCs w:val="24"/>
      <w:lang w:eastAsia="en-IE"/>
    </w:rPr>
  </w:style>
  <w:style w:type="paragraph" w:styleId="Revision">
    <w:name w:val="Revision"/>
    <w:hidden/>
    <w:uiPriority w:val="99"/>
    <w:semiHidden/>
    <w:rsid w:val="000464F8"/>
    <w:pPr>
      <w:spacing w:after="0" w:line="240" w:lineRule="auto"/>
    </w:pPr>
    <w:rPr>
      <w:rFonts w:ascii="Times New Roman" w:hAnsi="Times New Roman" w:cs="Times New Roman"/>
      <w:sz w:val="24"/>
    </w:rPr>
  </w:style>
  <w:style w:type="character" w:customStyle="1" w:styleId="oj-bold">
    <w:name w:val="oj-bold"/>
    <w:basedOn w:val="DefaultParagraphFont"/>
    <w:rsid w:val="000464F8"/>
  </w:style>
  <w:style w:type="paragraph" w:customStyle="1" w:styleId="Footnote">
    <w:name w:val="Footnote"/>
    <w:basedOn w:val="Normal"/>
    <w:rsid w:val="00406A17"/>
    <w:rPr>
      <w:sz w:val="18"/>
      <w:szCs w:val="18"/>
    </w:rPr>
  </w:style>
  <w:style w:type="paragraph" w:styleId="Header">
    <w:name w:val="header"/>
    <w:basedOn w:val="Normal"/>
    <w:link w:val="HeaderChar"/>
    <w:uiPriority w:val="99"/>
    <w:unhideWhenUsed/>
    <w:rsid w:val="006A11C7"/>
    <w:pPr>
      <w:tabs>
        <w:tab w:val="center" w:pos="4535"/>
        <w:tab w:val="right" w:pos="9071"/>
      </w:tabs>
      <w:spacing w:before="0"/>
    </w:pPr>
  </w:style>
  <w:style w:type="character" w:customStyle="1" w:styleId="HeaderChar">
    <w:name w:val="Header Char"/>
    <w:basedOn w:val="DefaultParagraphFont"/>
    <w:link w:val="Header"/>
    <w:uiPriority w:val="99"/>
    <w:rsid w:val="006A11C7"/>
    <w:rPr>
      <w:rFonts w:ascii="Times New Roman" w:hAnsi="Times New Roman" w:cs="Times New Roman"/>
      <w:sz w:val="24"/>
      <w:lang w:val="pl-PL"/>
    </w:rPr>
  </w:style>
  <w:style w:type="paragraph" w:styleId="Footer">
    <w:name w:val="footer"/>
    <w:basedOn w:val="Normal"/>
    <w:link w:val="FooterChar"/>
    <w:uiPriority w:val="99"/>
    <w:unhideWhenUsed/>
    <w:rsid w:val="006A11C7"/>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6A11C7"/>
    <w:rPr>
      <w:rFonts w:ascii="Times New Roman" w:hAnsi="Times New Roman" w:cs="Times New Roman"/>
      <w:sz w:val="24"/>
      <w:lang w:val="pl-PL"/>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pl-PL"/>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pl-PL"/>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pl-PL"/>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pl-PL"/>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pl-PL"/>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pl-PL"/>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pl-PL"/>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paragraph" w:customStyle="1" w:styleId="HeaderLandscape">
    <w:name w:val="HeaderLandscape"/>
    <w:basedOn w:val="Normal"/>
    <w:rsid w:val="006A11C7"/>
    <w:pPr>
      <w:tabs>
        <w:tab w:val="center" w:pos="7285"/>
        <w:tab w:val="right" w:pos="14003"/>
      </w:tabs>
      <w:spacing w:before="0"/>
    </w:pPr>
  </w:style>
  <w:style w:type="paragraph" w:customStyle="1" w:styleId="FooterLandscape">
    <w:name w:val="FooterLandscape"/>
    <w:basedOn w:val="Normal"/>
    <w:rsid w:val="006A11C7"/>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6A11C7"/>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6A11C7"/>
    <w:pPr>
      <w:spacing w:before="0"/>
      <w:jc w:val="right"/>
    </w:pPr>
    <w:rPr>
      <w:sz w:val="28"/>
    </w:rPr>
  </w:style>
  <w:style w:type="paragraph" w:customStyle="1" w:styleId="FooterSensitivity">
    <w:name w:val="Footer Sensitivity"/>
    <w:basedOn w:val="Normal"/>
    <w:rsid w:val="006A11C7"/>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28"/>
      </w:numPr>
    </w:pPr>
  </w:style>
  <w:style w:type="paragraph" w:customStyle="1" w:styleId="Tiret1">
    <w:name w:val="Tiret 1"/>
    <w:basedOn w:val="Point1"/>
    <w:pPr>
      <w:numPr>
        <w:numId w:val="29"/>
      </w:numPr>
    </w:pPr>
  </w:style>
  <w:style w:type="paragraph" w:customStyle="1" w:styleId="Tiret2">
    <w:name w:val="Tiret 2"/>
    <w:basedOn w:val="Point2"/>
    <w:pPr>
      <w:numPr>
        <w:numId w:val="30"/>
      </w:numPr>
    </w:pPr>
  </w:style>
  <w:style w:type="paragraph" w:customStyle="1" w:styleId="Tiret3">
    <w:name w:val="Tiret 3"/>
    <w:basedOn w:val="Point3"/>
    <w:pPr>
      <w:numPr>
        <w:numId w:val="31"/>
      </w:numPr>
    </w:pPr>
  </w:style>
  <w:style w:type="paragraph" w:customStyle="1" w:styleId="Tiret4">
    <w:name w:val="Tiret 4"/>
    <w:basedOn w:val="Point4"/>
    <w:pPr>
      <w:numPr>
        <w:numId w:val="32"/>
      </w:numPr>
    </w:pPr>
  </w:style>
  <w:style w:type="paragraph" w:customStyle="1" w:styleId="Tiret5">
    <w:name w:val="Tiret 5"/>
    <w:basedOn w:val="Point5"/>
    <w:pPr>
      <w:numPr>
        <w:numId w:val="33"/>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4"/>
      </w:numPr>
    </w:pPr>
  </w:style>
  <w:style w:type="paragraph" w:customStyle="1" w:styleId="NumPar2">
    <w:name w:val="NumPar 2"/>
    <w:basedOn w:val="Normal"/>
    <w:next w:val="Text1"/>
    <w:pPr>
      <w:numPr>
        <w:ilvl w:val="1"/>
        <w:numId w:val="34"/>
      </w:numPr>
    </w:pPr>
  </w:style>
  <w:style w:type="paragraph" w:customStyle="1" w:styleId="NumPar3">
    <w:name w:val="NumPar 3"/>
    <w:basedOn w:val="Normal"/>
    <w:next w:val="Text1"/>
    <w:pPr>
      <w:numPr>
        <w:ilvl w:val="2"/>
        <w:numId w:val="34"/>
      </w:numPr>
    </w:pPr>
  </w:style>
  <w:style w:type="paragraph" w:customStyle="1" w:styleId="NumPar4">
    <w:name w:val="NumPar 4"/>
    <w:basedOn w:val="Normal"/>
    <w:next w:val="Text1"/>
    <w:pPr>
      <w:numPr>
        <w:ilvl w:val="3"/>
        <w:numId w:val="34"/>
      </w:numPr>
    </w:pPr>
  </w:style>
  <w:style w:type="paragraph" w:customStyle="1" w:styleId="NumPar5">
    <w:name w:val="NumPar 5"/>
    <w:basedOn w:val="Normal"/>
    <w:next w:val="Text2"/>
    <w:pPr>
      <w:numPr>
        <w:ilvl w:val="4"/>
        <w:numId w:val="34"/>
      </w:numPr>
    </w:pPr>
  </w:style>
  <w:style w:type="paragraph" w:customStyle="1" w:styleId="NumPar6">
    <w:name w:val="NumPar 6"/>
    <w:basedOn w:val="Normal"/>
    <w:next w:val="Text2"/>
    <w:pPr>
      <w:numPr>
        <w:ilvl w:val="5"/>
        <w:numId w:val="34"/>
      </w:numPr>
    </w:pPr>
  </w:style>
  <w:style w:type="paragraph" w:customStyle="1" w:styleId="NumPar7">
    <w:name w:val="NumPar 7"/>
    <w:basedOn w:val="Normal"/>
    <w:next w:val="Text2"/>
    <w:pPr>
      <w:numPr>
        <w:ilvl w:val="6"/>
        <w:numId w:val="34"/>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sid w:val="00832A72"/>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6"/>
      </w:numPr>
    </w:pPr>
  </w:style>
  <w:style w:type="paragraph" w:customStyle="1" w:styleId="Point1number">
    <w:name w:val="Point 1 (number)"/>
    <w:basedOn w:val="Normal"/>
    <w:pPr>
      <w:numPr>
        <w:ilvl w:val="2"/>
        <w:numId w:val="36"/>
      </w:numPr>
    </w:pPr>
  </w:style>
  <w:style w:type="paragraph" w:customStyle="1" w:styleId="Point2number">
    <w:name w:val="Point 2 (number)"/>
    <w:basedOn w:val="Normal"/>
    <w:pPr>
      <w:numPr>
        <w:ilvl w:val="4"/>
        <w:numId w:val="36"/>
      </w:numPr>
    </w:pPr>
  </w:style>
  <w:style w:type="paragraph" w:customStyle="1" w:styleId="Point3number">
    <w:name w:val="Point 3 (number)"/>
    <w:basedOn w:val="Normal"/>
    <w:pPr>
      <w:numPr>
        <w:ilvl w:val="6"/>
        <w:numId w:val="36"/>
      </w:numPr>
    </w:pPr>
  </w:style>
  <w:style w:type="paragraph" w:customStyle="1" w:styleId="Point0letter">
    <w:name w:val="Point 0 (letter)"/>
    <w:basedOn w:val="Normal"/>
    <w:pPr>
      <w:numPr>
        <w:ilvl w:val="1"/>
        <w:numId w:val="36"/>
      </w:numPr>
    </w:pPr>
  </w:style>
  <w:style w:type="paragraph" w:customStyle="1" w:styleId="Point1letter">
    <w:name w:val="Point 1 (letter)"/>
    <w:basedOn w:val="Normal"/>
    <w:pPr>
      <w:numPr>
        <w:ilvl w:val="3"/>
        <w:numId w:val="36"/>
      </w:numPr>
    </w:pPr>
  </w:style>
  <w:style w:type="paragraph" w:customStyle="1" w:styleId="Point2letter">
    <w:name w:val="Point 2 (letter)"/>
    <w:basedOn w:val="Normal"/>
    <w:pPr>
      <w:numPr>
        <w:ilvl w:val="5"/>
        <w:numId w:val="36"/>
      </w:numPr>
    </w:pPr>
  </w:style>
  <w:style w:type="paragraph" w:customStyle="1" w:styleId="Point3letter">
    <w:name w:val="Point 3 (letter)"/>
    <w:basedOn w:val="Normal"/>
    <w:pPr>
      <w:numPr>
        <w:ilvl w:val="7"/>
        <w:numId w:val="36"/>
      </w:numPr>
    </w:pPr>
  </w:style>
  <w:style w:type="paragraph" w:customStyle="1" w:styleId="Point4letter">
    <w:name w:val="Point 4 (letter)"/>
    <w:basedOn w:val="Normal"/>
    <w:pPr>
      <w:numPr>
        <w:ilvl w:val="8"/>
        <w:numId w:val="36"/>
      </w:numPr>
    </w:pPr>
  </w:style>
  <w:style w:type="paragraph" w:customStyle="1" w:styleId="Bullet0">
    <w:name w:val="Bullet 0"/>
    <w:basedOn w:val="Normal"/>
    <w:pPr>
      <w:numPr>
        <w:numId w:val="37"/>
      </w:numPr>
    </w:pPr>
  </w:style>
  <w:style w:type="paragraph" w:customStyle="1" w:styleId="Bullet1">
    <w:name w:val="Bullet 1"/>
    <w:basedOn w:val="Normal"/>
    <w:pPr>
      <w:numPr>
        <w:numId w:val="38"/>
      </w:numPr>
    </w:pPr>
  </w:style>
  <w:style w:type="paragraph" w:customStyle="1" w:styleId="Bullet2">
    <w:name w:val="Bullet 2"/>
    <w:basedOn w:val="Normal"/>
    <w:pPr>
      <w:numPr>
        <w:numId w:val="39"/>
      </w:numPr>
    </w:pPr>
  </w:style>
  <w:style w:type="paragraph" w:customStyle="1" w:styleId="Bullet3">
    <w:name w:val="Bullet 3"/>
    <w:basedOn w:val="Normal"/>
    <w:pPr>
      <w:numPr>
        <w:numId w:val="40"/>
      </w:numPr>
    </w:pPr>
  </w:style>
  <w:style w:type="paragraph" w:customStyle="1" w:styleId="Bullet4">
    <w:name w:val="Bullet 4"/>
    <w:basedOn w:val="Normal"/>
    <w:pPr>
      <w:numPr>
        <w:numId w:val="41"/>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2"/>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112302">
      <w:bodyDiv w:val="1"/>
      <w:marLeft w:val="0"/>
      <w:marRight w:val="0"/>
      <w:marTop w:val="0"/>
      <w:marBottom w:val="0"/>
      <w:divBdr>
        <w:top w:val="none" w:sz="0" w:space="0" w:color="auto"/>
        <w:left w:val="none" w:sz="0" w:space="0" w:color="auto"/>
        <w:bottom w:val="none" w:sz="0" w:space="0" w:color="auto"/>
        <w:right w:val="none" w:sz="0" w:space="0" w:color="auto"/>
      </w:divBdr>
    </w:div>
    <w:div w:id="1978877294">
      <w:bodyDiv w:val="1"/>
      <w:marLeft w:val="0"/>
      <w:marRight w:val="0"/>
      <w:marTop w:val="0"/>
      <w:marBottom w:val="0"/>
      <w:divBdr>
        <w:top w:val="none" w:sz="0" w:space="0" w:color="auto"/>
        <w:left w:val="none" w:sz="0" w:space="0" w:color="auto"/>
        <w:bottom w:val="none" w:sz="0" w:space="0" w:color="auto"/>
        <w:right w:val="none" w:sz="0" w:space="0" w:color="auto"/>
      </w:divBdr>
    </w:div>
    <w:div w:id="2018921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myintracomm.ec.europa.eu/corp/budget/financial-rules/legal-framework/internal-rules/Documents/2021-5-legislative-financial-statement-ann-en.docx" TargetMode="External"/><Relationship Id="rId26"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eplca.jrc.ec.europa.eu/sustainableConsumption.html" TargetMode="Externa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s://eur-lex.europa.eu/legal-content/PL/AUTO/?uri=OJ:L:2018:060I:TOC"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hyperlink" Target="https://eur-lex.europa.eu/legal-content/PL/AUTO/?uri=OJ:L:2018:060I:TOC" TargetMode="External"/><Relationship Id="rId23" Type="http://schemas.openxmlformats.org/officeDocument/2006/relationships/header" Target="header3.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footer" Target="footer5.xm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commission.europa.eu/live-work-travel-eu/consumer-rights-and-complaints/enforcement-consumer-protection/sweeps_en" TargetMode="External"/><Relationship Id="rId13" Type="http://schemas.openxmlformats.org/officeDocument/2006/relationships/hyperlink" Target="https://ec.europa.eu/info/law/better-regulation/have-your-say/initiatives/1740-Towards-an-EU-Product-Policy-Framework-contributing-to-the-Circular-Economy_pl" TargetMode="External"/><Relationship Id="rId18" Type="http://schemas.openxmlformats.org/officeDocument/2006/relationships/hyperlink" Target="https://eur-lex.europa.eu/legal-content/EN/AUTO/?uri=OJ:L:2003:124:TOC" TargetMode="External"/><Relationship Id="rId3" Type="http://schemas.openxmlformats.org/officeDocument/2006/relationships/hyperlink" Target="https://eur-lex.europa.eu/legal-content/PL/TXT/?uri=COM:2019:640:FIN" TargetMode="External"/><Relationship Id="rId21" Type="http://schemas.openxmlformats.org/officeDocument/2006/relationships/hyperlink" Target="https://eur-lex.europa.eu/legal-content/EN/AUTO/?uri=OJ:L:2003:124:TOC" TargetMode="External"/><Relationship Id="rId7" Type="http://schemas.openxmlformats.org/officeDocument/2006/relationships/hyperlink" Target="https://commission.europa.eu/system/files/2018-05/green-claims-report-appendix-2_en.pdf" TargetMode="External"/><Relationship Id="rId12" Type="http://schemas.openxmlformats.org/officeDocument/2006/relationships/hyperlink" Target="https://eur-lex.europa.eu/legal-content/pl/TXT/?uri=CELEX:52020DC0381" TargetMode="External"/><Relationship Id="rId17" Type="http://schemas.openxmlformats.org/officeDocument/2006/relationships/hyperlink" Target="https://eur-lex.europa.eu/legal-content/EN/AUTO/?uri=OJ:L:2003:124:TOC" TargetMode="External"/><Relationship Id="rId2" Type="http://schemas.openxmlformats.org/officeDocument/2006/relationships/hyperlink" Target="https://eur-lex.europa.eu/legal-content/PL/ALL/?uri=SWD%3A2022%3A85%3AFIN" TargetMode="External"/><Relationship Id="rId16" Type="http://schemas.openxmlformats.org/officeDocument/2006/relationships/hyperlink" Target="https://ec.europa.eu/environment/eussd/smgp/" TargetMode="External"/><Relationship Id="rId20" Type="http://schemas.openxmlformats.org/officeDocument/2006/relationships/hyperlink" Target="https://eur-lex.europa.eu/legal-content/EN/AUTO/?uri=OJ:L:2003:124:TOC" TargetMode="External"/><Relationship Id="rId1" Type="http://schemas.openxmlformats.org/officeDocument/2006/relationships/hyperlink" Target="https://eur-lex.europa.eu/legal-content/pl/TXT/HTML/?uri=CELEX:52022PC0143&amp;from=EN" TargetMode="External"/><Relationship Id="rId6" Type="http://schemas.openxmlformats.org/officeDocument/2006/relationships/hyperlink" Target="https://ec.europa.eu/info/law/better-regulation/have-your-say/initiatives/12511-Uzasadnione-twierdzenia-dotyczace-ekologicznosci-produktow-i-przedsiebiorstw_pl" TargetMode="External"/><Relationship Id="rId11" Type="http://schemas.openxmlformats.org/officeDocument/2006/relationships/hyperlink" Target="https://ec.europa.eu/environment/strategy/zero-pollution-action-plan_en" TargetMode="External"/><Relationship Id="rId5" Type="http://schemas.openxmlformats.org/officeDocument/2006/relationships/hyperlink" Target="https://ec.europa.eu/info/law/better-regulation/have-your-say/initiatives/12467-Empowering-the-consumer-for" TargetMode="External"/><Relationship Id="rId15" Type="http://schemas.openxmlformats.org/officeDocument/2006/relationships/hyperlink" Target="https://ec.europa.eu/environment/eussd/smgp/initiative_on_green_claims.htm" TargetMode="External"/><Relationship Id="rId23" Type="http://schemas.openxmlformats.org/officeDocument/2006/relationships/hyperlink" Target="https://environment.ec.europa.eu/publications/proposal-ecodesign-sustainable-products-regulation_en" TargetMode="External"/><Relationship Id="rId10" Type="http://schemas.openxmlformats.org/officeDocument/2006/relationships/hyperlink" Target="https://commission.europa.eu/publications/proposal-directive-empowering-consumers-green-transition-and-annex_en" TargetMode="External"/><Relationship Id="rId19" Type="http://schemas.openxmlformats.org/officeDocument/2006/relationships/hyperlink" Target="https://agriculture.ec.europa.eu/system/files/2023-01/agri-market-brief-20-organic-farming-eu_en_1.pdf" TargetMode="External"/><Relationship Id="rId4" Type="http://schemas.openxmlformats.org/officeDocument/2006/relationships/hyperlink" Target="https://prod-cofe-platform.s3.eu-central-1.amazonaws.com/8pl7jfzc6ae3jy2doji28fni27a3?response-content-disposition=inline%3B%20filename%3D%22CoFE_Report_with_annexes_EN.pdf%22%3B%20filename%2A%3DUTF-8%27%27CoFE_Report_with_annexes_EN.pdf&amp;response-content-type=application%2Fpdf&amp;X-Amz-Algorithm=AWS4-HMAC-SHA256&amp;X-Amz-Credential=AKIA3LJJXGZPDFYVOW5V%2F20230203%2Feu-central-1%2Fs3%2Faws4_request&amp;X-Amz-Date=20230203T181933Z&amp;X-Amz-Expires=300&amp;X-Amz-SignedHeaders=host&amp;X-Amz-Signature=d0f1c23ded6ad9a2e1b932a4d038df6bfda7fa4a5950d68b9f010a74370e4ee4" TargetMode="External"/><Relationship Id="rId9" Type="http://schemas.openxmlformats.org/officeDocument/2006/relationships/hyperlink" Target="https://ec.europa.eu/commission/presscorner/detail/pl/ip_21_269" TargetMode="External"/><Relationship Id="rId14" Type="http://schemas.openxmlformats.org/officeDocument/2006/relationships/hyperlink" Target="https://ec.europa.eu/environment/eussd/smgp/pdf/EF_stakeholdercons19.pdf" TargetMode="External"/><Relationship Id="rId22" Type="http://schemas.openxmlformats.org/officeDocument/2006/relationships/hyperlink" Target="https://myintracomm.ec.europa.eu/corp/budget/financial-rules/budget-implementation/Pages/implementation-methods.asp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B4DCC0AC9070440AC8F58F2A787C016" ma:contentTypeVersion="4" ma:contentTypeDescription="Create a new document." ma:contentTypeScope="" ma:versionID="6b6c4d6dcf57ec963e5782d0f234ebca">
  <xsd:schema xmlns:xsd="http://www.w3.org/2001/XMLSchema" xmlns:xs="http://www.w3.org/2001/XMLSchema" xmlns:p="http://schemas.microsoft.com/office/2006/metadata/properties" xmlns:ns2="a1ae7e3d-ea02-4f8b-a6ae-4ba92f54bfa6" xmlns:ns3="39579b5d-f307-4cba-adf0-92bbc0d34603" targetNamespace="http://schemas.microsoft.com/office/2006/metadata/properties" ma:root="true" ma:fieldsID="c3fc4101192be32eca7d01dca346a804" ns2:_="" ns3:_="">
    <xsd:import namespace="a1ae7e3d-ea02-4f8b-a6ae-4ba92f54bfa6"/>
    <xsd:import namespace="39579b5d-f307-4cba-adf0-92bbc0d3460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ae7e3d-ea02-4f8b-a6ae-4ba92f54bf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9579b5d-f307-4cba-adf0-92bbc0d3460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E303F3-56E3-4BAC-ABB9-A379140B27BB}">
  <ds:schemaRefs>
    <ds:schemaRef ds:uri="a1ae7e3d-ea02-4f8b-a6ae-4ba92f54bfa6"/>
    <ds:schemaRef ds:uri="39579b5d-f307-4cba-adf0-92bbc0d34603"/>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6F26F232-B9B9-4DA1-AD52-453B5DF40D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ae7e3d-ea02-4f8b-a6ae-4ba92f54bfa6"/>
    <ds:schemaRef ds:uri="39579b5d-f307-4cba-adf0-92bbc0d346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418D0A-A787-4437-A781-2D2DC69A2ECB}">
  <ds:schemaRefs>
    <ds:schemaRef ds:uri="http://schemas.microsoft.com/sharepoint/v3/contenttype/forms"/>
  </ds:schemaRefs>
</ds:datastoreItem>
</file>

<file path=customXml/itemProps4.xml><?xml version="1.0" encoding="utf-8"?>
<ds:datastoreItem xmlns:ds="http://schemas.openxmlformats.org/officeDocument/2006/customXml" ds:itemID="{E4B5C7C3-9C0A-47DE-863B-98598B4DEF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8</TotalTime>
  <Pages>89</Pages>
  <Words>28857</Words>
  <Characters>204020</Characters>
  <Application>Microsoft Office Word</Application>
  <DocSecurity>0</DocSecurity>
  <Lines>4163</Lines>
  <Paragraphs>1286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231591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52</cp:revision>
  <cp:lastPrinted>2023-03-18T06:16:00Z</cp:lastPrinted>
  <dcterms:created xsi:type="dcterms:W3CDTF">2023-03-21T08:14:00Z</dcterms:created>
  <dcterms:modified xsi:type="dcterms:W3CDTF">2023-05-26T08:13:00Z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8.0.25.0</vt:lpwstr>
  </property>
  <property fmtid="{D5CDD505-2E9C-101B-9397-08002B2CF9AE}" pid="4" name="Last edited using">
    <vt:lpwstr>LW 9.0, Build 20230317</vt:lpwstr>
  </property>
  <property fmtid="{D5CDD505-2E9C-101B-9397-08002B2CF9AE}" pid="5" name="Created using">
    <vt:lpwstr>LW 8.1, Build 20230124</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SJ-024</vt:lpwstr>
  </property>
  <property fmtid="{D5CDD505-2E9C-101B-9397-08002B2CF9AE}" pid="10" name="ContentTypeId">
    <vt:lpwstr>0x0101008B4DCC0AC9070440AC8F58F2A787C016</vt:lpwstr>
  </property>
  <property fmtid="{D5CDD505-2E9C-101B-9397-08002B2CF9AE}" pid="11" name="MSIP_Label_6bd9ddd1-4d20-43f6-abfa-fc3c07406f94_Enabled">
    <vt:lpwstr>true</vt:lpwstr>
  </property>
  <property fmtid="{D5CDD505-2E9C-101B-9397-08002B2CF9AE}" pid="12" name="MSIP_Label_6bd9ddd1-4d20-43f6-abfa-fc3c07406f94_SetDate">
    <vt:lpwstr>2023-03-13T18:07:44Z</vt:lpwstr>
  </property>
  <property fmtid="{D5CDD505-2E9C-101B-9397-08002B2CF9AE}" pid="13" name="MSIP_Label_6bd9ddd1-4d20-43f6-abfa-fc3c07406f94_Method">
    <vt:lpwstr>Standard</vt:lpwstr>
  </property>
  <property fmtid="{D5CDD505-2E9C-101B-9397-08002B2CF9AE}" pid="14" name="MSIP_Label_6bd9ddd1-4d20-43f6-abfa-fc3c07406f94_Name">
    <vt:lpwstr>Commission Use</vt:lpwstr>
  </property>
  <property fmtid="{D5CDD505-2E9C-101B-9397-08002B2CF9AE}" pid="15" name="MSIP_Label_6bd9ddd1-4d20-43f6-abfa-fc3c07406f94_SiteId">
    <vt:lpwstr>b24c8b06-522c-46fe-9080-70926f8dddb1</vt:lpwstr>
  </property>
  <property fmtid="{D5CDD505-2E9C-101B-9397-08002B2CF9AE}" pid="16" name="MSIP_Label_6bd9ddd1-4d20-43f6-abfa-fc3c07406f94_ActionId">
    <vt:lpwstr>71ae493f-e63a-402d-8ed5-cc6f2b5c91f3</vt:lpwstr>
  </property>
  <property fmtid="{D5CDD505-2E9C-101B-9397-08002B2CF9AE}" pid="17" name="MSIP_Label_6bd9ddd1-4d20-43f6-abfa-fc3c07406f94_ContentBits">
    <vt:lpwstr>0</vt:lpwstr>
  </property>
  <property fmtid="{D5CDD505-2E9C-101B-9397-08002B2CF9AE}" pid="18" name="DQCStatus">
    <vt:lpwstr>Green (DQC version 03)</vt:lpwstr>
  </property>
  <property name="OP_sanitized" fmtid="{D5CDD505-2E9C-101B-9397-08002B2CF9AE}" pid="19">
    <vt:lpwstr>True</vt:lpwstr>
  </property>
</Properties>
</file>