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EB189" w14:textId="1165F180" w:rsidR="00FA1AC8" w:rsidRPr="00D051E2" w:rsidRDefault="00B77BAE" w:rsidP="00B77BAE">
      <w:pPr>
        <w:pStyle w:val="Pagedecouverture"/>
        <w:rPr>
          <w:noProof/>
          <w:lang w:val="pl-PL"/>
        </w:rPr>
      </w:pPr>
      <w:bookmarkStart w:id="0" w:name="LW_BM_COVERPAGE"/>
      <w:r>
        <w:rPr>
          <w:noProof/>
          <w:lang w:val="pl-PL"/>
        </w:rPr>
        <w:pict w14:anchorId="3B37B9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8A7D3615-EFA6-4E15-BFD9-13EB019A66D2" style="width:455.25pt;height:351.75pt">
            <v:imagedata r:id="rId8" o:title=""/>
          </v:shape>
        </w:pict>
      </w:r>
    </w:p>
    <w:bookmarkEnd w:id="0"/>
    <w:p w14:paraId="14DDA77E" w14:textId="77777777" w:rsidR="00FA1AC8" w:rsidRPr="00D051E2" w:rsidRDefault="00FA1AC8" w:rsidP="00FA1AC8">
      <w:pPr>
        <w:rPr>
          <w:noProof/>
          <w:lang w:val="pl-PL"/>
        </w:rPr>
        <w:sectPr w:rsidR="00FA1AC8" w:rsidRPr="00D051E2" w:rsidSect="00B77BAE">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imes New Roman" w:eastAsia="Calibri" w:hAnsi="Times New Roman" w:cs="Times New Roman"/>
          <w:noProof/>
          <w:sz w:val="24"/>
          <w:lang w:val="pl-PL"/>
        </w:rPr>
        <w:id w:val="1102146392"/>
        <w:docPartObj>
          <w:docPartGallery w:val="Table of Contents"/>
          <w:docPartUnique/>
        </w:docPartObj>
      </w:sdtPr>
      <w:sdtEndPr>
        <w:rPr>
          <w:rFonts w:ascii="Calibri" w:eastAsiaTheme="minorHAnsi" w:hAnsi="Calibri" w:cstheme="minorBidi"/>
          <w:sz w:val="22"/>
        </w:rPr>
      </w:sdtEndPr>
      <w:sdtContent>
        <w:p w14:paraId="166F54A2" w14:textId="77777777" w:rsidR="00FA1AC8" w:rsidRPr="00D051E2" w:rsidRDefault="00FA1AC8" w:rsidP="00FA1AC8">
          <w:pPr>
            <w:keepNext/>
            <w:keepLines/>
            <w:spacing w:before="240" w:after="0" w:line="240" w:lineRule="auto"/>
            <w:rPr>
              <w:rFonts w:ascii="Times New Roman" w:hAnsi="Times New Roman"/>
              <w:b/>
              <w:noProof/>
              <w:sz w:val="24"/>
              <w:lang w:val="pl-PL"/>
            </w:rPr>
          </w:pPr>
          <w:r w:rsidRPr="00D051E2">
            <w:rPr>
              <w:rFonts w:ascii="Times New Roman" w:hAnsi="Times New Roman"/>
              <w:b/>
              <w:noProof/>
              <w:sz w:val="24"/>
              <w:lang w:val="pl-PL"/>
            </w:rPr>
            <w:t>SPIS TREŚCI</w:t>
          </w:r>
          <w:r w:rsidRPr="00D051E2">
            <w:rPr>
              <w:noProof/>
              <w:lang w:val="pl-PL"/>
            </w:rPr>
            <w:t xml:space="preserve"> </w:t>
          </w:r>
          <w:r w:rsidRPr="00D051E2">
            <w:rPr>
              <w:noProof/>
              <w:lang w:val="pl-PL"/>
            </w:rPr>
            <w:br/>
          </w:r>
        </w:p>
        <w:p w14:paraId="5D69A8E0" w14:textId="15B2ED98" w:rsidR="00092414" w:rsidRPr="00D051E2" w:rsidRDefault="00FA1AC8">
          <w:pPr>
            <w:pStyle w:val="TOC1"/>
            <w:tabs>
              <w:tab w:val="left" w:pos="660"/>
              <w:tab w:val="right" w:leader="dot" w:pos="9062"/>
            </w:tabs>
            <w:rPr>
              <w:rFonts w:eastAsiaTheme="minorEastAsia"/>
              <w:noProof/>
              <w:szCs w:val="22"/>
              <w:lang w:val="pl-PL"/>
            </w:rPr>
          </w:pPr>
          <w:r w:rsidRPr="00D051E2">
            <w:rPr>
              <w:rFonts w:ascii="Times New Roman" w:hAnsi="Times New Roman"/>
              <w:b/>
              <w:noProof/>
              <w:sz w:val="24"/>
              <w:lang w:val="pl-PL"/>
            </w:rPr>
            <w:fldChar w:fldCharType="begin"/>
          </w:r>
          <w:r w:rsidRPr="00D051E2">
            <w:rPr>
              <w:rFonts w:ascii="Times New Roman" w:eastAsia="Times New Roman" w:hAnsi="Times New Roman" w:cs="Times New Roman"/>
              <w:b/>
              <w:noProof/>
              <w:sz w:val="24"/>
              <w:lang w:val="pl-PL"/>
            </w:rPr>
            <w:instrText xml:space="preserve"> TOC \o "1-3" \h \z \u  \* MERGEFORMAT </w:instrText>
          </w:r>
          <w:r w:rsidRPr="00D051E2">
            <w:rPr>
              <w:rFonts w:ascii="Times New Roman" w:hAnsi="Times New Roman"/>
              <w:b/>
              <w:noProof/>
              <w:sz w:val="24"/>
              <w:lang w:val="pl-PL"/>
            </w:rPr>
            <w:fldChar w:fldCharType="separate"/>
          </w:r>
          <w:hyperlink w:anchor="_Toc130830471" w:history="1">
            <w:r w:rsidR="00092414" w:rsidRPr="00D051E2">
              <w:rPr>
                <w:rStyle w:val="Hyperlink"/>
                <w:rFonts w:ascii="Times New Roman" w:hAnsi="Times New Roman"/>
                <w:b/>
                <w:noProof/>
                <w:lang w:val="pl-PL"/>
              </w:rPr>
              <w:t xml:space="preserve">1. </w:t>
            </w:r>
            <w:r w:rsidR="00092414" w:rsidRPr="00D051E2">
              <w:rPr>
                <w:rFonts w:eastAsiaTheme="minorEastAsia"/>
                <w:noProof/>
                <w:szCs w:val="22"/>
                <w:lang w:val="pl-PL"/>
              </w:rPr>
              <w:tab/>
            </w:r>
            <w:r w:rsidR="00092414" w:rsidRPr="00D051E2">
              <w:rPr>
                <w:rStyle w:val="Hyperlink"/>
                <w:rFonts w:ascii="Times New Roman" w:hAnsi="Times New Roman"/>
                <w:b/>
                <w:noProof/>
                <w:lang w:val="pl-PL"/>
              </w:rPr>
              <w:t>WPROWADZENIE</w:t>
            </w:r>
            <w:r w:rsidR="00092414" w:rsidRPr="00D051E2">
              <w:rPr>
                <w:noProof/>
                <w:webHidden/>
                <w:lang w:val="pl-PL"/>
              </w:rPr>
              <w:tab/>
            </w:r>
            <w:r w:rsidR="00092414" w:rsidRPr="00D051E2">
              <w:rPr>
                <w:noProof/>
                <w:webHidden/>
                <w:lang w:val="pl-PL"/>
              </w:rPr>
              <w:fldChar w:fldCharType="begin"/>
            </w:r>
            <w:r w:rsidR="00092414" w:rsidRPr="00D051E2">
              <w:rPr>
                <w:noProof/>
                <w:webHidden/>
                <w:lang w:val="pl-PL"/>
              </w:rPr>
              <w:instrText xml:space="preserve"> PAGEREF _Toc130830471 \h </w:instrText>
            </w:r>
            <w:r w:rsidR="00092414" w:rsidRPr="00D051E2">
              <w:rPr>
                <w:noProof/>
                <w:webHidden/>
                <w:lang w:val="pl-PL"/>
              </w:rPr>
            </w:r>
            <w:r w:rsidR="00092414" w:rsidRPr="00D051E2">
              <w:rPr>
                <w:noProof/>
                <w:webHidden/>
                <w:lang w:val="pl-PL"/>
              </w:rPr>
              <w:fldChar w:fldCharType="separate"/>
            </w:r>
            <w:r w:rsidR="00D051E2">
              <w:rPr>
                <w:noProof/>
                <w:webHidden/>
                <w:lang w:val="pl-PL"/>
              </w:rPr>
              <w:t>2</w:t>
            </w:r>
            <w:r w:rsidR="00092414" w:rsidRPr="00D051E2">
              <w:rPr>
                <w:noProof/>
                <w:webHidden/>
                <w:lang w:val="pl-PL"/>
              </w:rPr>
              <w:fldChar w:fldCharType="end"/>
            </w:r>
          </w:hyperlink>
        </w:p>
        <w:p w14:paraId="39807B88" w14:textId="57E73B96" w:rsidR="00092414" w:rsidRPr="00D051E2" w:rsidRDefault="00B77BAE">
          <w:pPr>
            <w:pStyle w:val="TOC1"/>
            <w:tabs>
              <w:tab w:val="left" w:pos="440"/>
              <w:tab w:val="right" w:leader="dot" w:pos="9062"/>
            </w:tabs>
            <w:rPr>
              <w:rFonts w:eastAsiaTheme="minorEastAsia"/>
              <w:noProof/>
              <w:szCs w:val="22"/>
              <w:lang w:val="pl-PL"/>
            </w:rPr>
          </w:pPr>
          <w:hyperlink w:anchor="_Toc130830472" w:history="1">
            <w:r w:rsidR="00092414" w:rsidRPr="00D051E2">
              <w:rPr>
                <w:rStyle w:val="Hyperlink"/>
                <w:rFonts w:ascii="Times New Roman" w:eastAsia="Times New Roman" w:hAnsi="Times New Roman" w:cs="Times New Roman"/>
                <w:b/>
                <w:noProof/>
                <w:lang w:val="pl-PL"/>
              </w:rPr>
              <w:t>2.</w:t>
            </w:r>
            <w:r w:rsidR="00092414" w:rsidRPr="00D051E2">
              <w:rPr>
                <w:rFonts w:eastAsiaTheme="minorEastAsia"/>
                <w:noProof/>
                <w:szCs w:val="22"/>
                <w:lang w:val="pl-PL"/>
              </w:rPr>
              <w:tab/>
            </w:r>
            <w:r w:rsidR="00092414" w:rsidRPr="00D051E2">
              <w:rPr>
                <w:rStyle w:val="Hyperlink"/>
                <w:rFonts w:ascii="Times New Roman" w:hAnsi="Times New Roman"/>
                <w:b/>
                <w:noProof/>
                <w:lang w:val="pl-PL"/>
              </w:rPr>
              <w:t>PRZESTRZEGANIE PRZEZ DOSTAWCÓW USŁUG PŁATNICZYCH PRZEPISÓW ART. 4, 5 I 6</w:t>
            </w:r>
            <w:r w:rsidR="00092414" w:rsidRPr="00D051E2">
              <w:rPr>
                <w:noProof/>
                <w:webHidden/>
                <w:lang w:val="pl-PL"/>
              </w:rPr>
              <w:tab/>
            </w:r>
            <w:r w:rsidR="00092414" w:rsidRPr="00D051E2">
              <w:rPr>
                <w:noProof/>
                <w:webHidden/>
                <w:lang w:val="pl-PL"/>
              </w:rPr>
              <w:fldChar w:fldCharType="begin"/>
            </w:r>
            <w:r w:rsidR="00092414" w:rsidRPr="00D051E2">
              <w:rPr>
                <w:noProof/>
                <w:webHidden/>
                <w:lang w:val="pl-PL"/>
              </w:rPr>
              <w:instrText xml:space="preserve"> PAGEREF _Toc130830472 \h </w:instrText>
            </w:r>
            <w:r w:rsidR="00092414" w:rsidRPr="00D051E2">
              <w:rPr>
                <w:noProof/>
                <w:webHidden/>
                <w:lang w:val="pl-PL"/>
              </w:rPr>
            </w:r>
            <w:r w:rsidR="00092414" w:rsidRPr="00D051E2">
              <w:rPr>
                <w:noProof/>
                <w:webHidden/>
                <w:lang w:val="pl-PL"/>
              </w:rPr>
              <w:fldChar w:fldCharType="separate"/>
            </w:r>
            <w:r w:rsidR="00D051E2">
              <w:rPr>
                <w:noProof/>
                <w:webHidden/>
                <w:lang w:val="pl-PL"/>
              </w:rPr>
              <w:t>2</w:t>
            </w:r>
            <w:r w:rsidR="00092414" w:rsidRPr="00D051E2">
              <w:rPr>
                <w:noProof/>
                <w:webHidden/>
                <w:lang w:val="pl-PL"/>
              </w:rPr>
              <w:fldChar w:fldCharType="end"/>
            </w:r>
          </w:hyperlink>
        </w:p>
        <w:p w14:paraId="110FE84D" w14:textId="391C1455" w:rsidR="00092414" w:rsidRPr="00D051E2" w:rsidRDefault="00B77BAE">
          <w:pPr>
            <w:pStyle w:val="TOC1"/>
            <w:tabs>
              <w:tab w:val="left" w:pos="440"/>
              <w:tab w:val="right" w:leader="dot" w:pos="9062"/>
            </w:tabs>
            <w:rPr>
              <w:rFonts w:eastAsiaTheme="minorEastAsia"/>
              <w:noProof/>
              <w:szCs w:val="22"/>
              <w:lang w:val="pl-PL"/>
            </w:rPr>
          </w:pPr>
          <w:hyperlink w:anchor="_Toc130830473" w:history="1">
            <w:r w:rsidR="00092414" w:rsidRPr="00D051E2">
              <w:rPr>
                <w:rStyle w:val="Hyperlink"/>
                <w:rFonts w:ascii="Times New Roman" w:eastAsia="Times New Roman" w:hAnsi="Times New Roman" w:cs="Times New Roman"/>
                <w:b/>
                <w:noProof/>
                <w:lang w:val="pl-PL"/>
              </w:rPr>
              <w:t>3.</w:t>
            </w:r>
            <w:r w:rsidR="00092414" w:rsidRPr="00D051E2">
              <w:rPr>
                <w:rFonts w:eastAsiaTheme="minorEastAsia"/>
                <w:noProof/>
                <w:szCs w:val="22"/>
                <w:lang w:val="pl-PL"/>
              </w:rPr>
              <w:tab/>
            </w:r>
            <w:r w:rsidR="00092414" w:rsidRPr="00D051E2">
              <w:rPr>
                <w:rStyle w:val="Hyperlink"/>
                <w:rFonts w:ascii="Times New Roman" w:hAnsi="Times New Roman"/>
                <w:b/>
                <w:noProof/>
                <w:lang w:val="pl-PL"/>
              </w:rPr>
              <w:t>WYPEŁNIANIE PRZEZ PAŃSTWA CZŁONKOWSKIE WYMOGÓW DOTYCZĄCYCH ZAPEWNIENIA ISTNIENIA PORÓWNYWAREK INTERNETOWYCH ZGODNIE Z ART. 7</w:t>
            </w:r>
            <w:r w:rsidR="00092414" w:rsidRPr="00D051E2">
              <w:rPr>
                <w:noProof/>
                <w:webHidden/>
                <w:lang w:val="pl-PL"/>
              </w:rPr>
              <w:tab/>
            </w:r>
            <w:r w:rsidR="00092414" w:rsidRPr="00D051E2">
              <w:rPr>
                <w:noProof/>
                <w:webHidden/>
                <w:lang w:val="pl-PL"/>
              </w:rPr>
              <w:fldChar w:fldCharType="begin"/>
            </w:r>
            <w:r w:rsidR="00092414" w:rsidRPr="00D051E2">
              <w:rPr>
                <w:noProof/>
                <w:webHidden/>
                <w:lang w:val="pl-PL"/>
              </w:rPr>
              <w:instrText xml:space="preserve"> PAGEREF _Toc130830473 \h </w:instrText>
            </w:r>
            <w:r w:rsidR="00092414" w:rsidRPr="00D051E2">
              <w:rPr>
                <w:noProof/>
                <w:webHidden/>
                <w:lang w:val="pl-PL"/>
              </w:rPr>
            </w:r>
            <w:r w:rsidR="00092414" w:rsidRPr="00D051E2">
              <w:rPr>
                <w:noProof/>
                <w:webHidden/>
                <w:lang w:val="pl-PL"/>
              </w:rPr>
              <w:fldChar w:fldCharType="separate"/>
            </w:r>
            <w:r w:rsidR="00D051E2">
              <w:rPr>
                <w:noProof/>
                <w:webHidden/>
                <w:lang w:val="pl-PL"/>
              </w:rPr>
              <w:t>5</w:t>
            </w:r>
            <w:r w:rsidR="00092414" w:rsidRPr="00D051E2">
              <w:rPr>
                <w:noProof/>
                <w:webHidden/>
                <w:lang w:val="pl-PL"/>
              </w:rPr>
              <w:fldChar w:fldCharType="end"/>
            </w:r>
          </w:hyperlink>
        </w:p>
        <w:p w14:paraId="2A4F87EC" w14:textId="5C8C77C7" w:rsidR="00092414" w:rsidRPr="00D051E2" w:rsidRDefault="00B77BAE">
          <w:pPr>
            <w:pStyle w:val="TOC1"/>
            <w:tabs>
              <w:tab w:val="left" w:pos="440"/>
              <w:tab w:val="right" w:leader="dot" w:pos="9062"/>
            </w:tabs>
            <w:rPr>
              <w:rFonts w:eastAsiaTheme="minorEastAsia"/>
              <w:noProof/>
              <w:szCs w:val="22"/>
              <w:lang w:val="pl-PL"/>
            </w:rPr>
          </w:pPr>
          <w:hyperlink w:anchor="_Toc130830474" w:history="1">
            <w:r w:rsidR="00092414" w:rsidRPr="00D051E2">
              <w:rPr>
                <w:rStyle w:val="Hyperlink"/>
                <w:rFonts w:ascii="Times New Roman" w:eastAsia="Times New Roman" w:hAnsi="Times New Roman" w:cs="Times New Roman"/>
                <w:b/>
                <w:noProof/>
                <w:lang w:val="pl-PL"/>
              </w:rPr>
              <w:t>4.</w:t>
            </w:r>
            <w:r w:rsidR="00092414" w:rsidRPr="00D051E2">
              <w:rPr>
                <w:rFonts w:eastAsiaTheme="minorEastAsia"/>
                <w:noProof/>
                <w:szCs w:val="22"/>
                <w:lang w:val="pl-PL"/>
              </w:rPr>
              <w:tab/>
            </w:r>
            <w:r w:rsidR="00092414" w:rsidRPr="00D051E2">
              <w:rPr>
                <w:rStyle w:val="Hyperlink"/>
                <w:rFonts w:ascii="Times New Roman" w:hAnsi="Times New Roman"/>
                <w:b/>
                <w:noProof/>
                <w:lang w:val="pl-PL"/>
              </w:rPr>
              <w:t>LICZBA RACHUNKÓW PŁATNICZYCH, KTÓRE ZOSTAŁY PRZENIESIONE, ORAZ ODSETEK ODRZUCONYCH WNIOSKÓW O PRZENIESIENIE RACHUNKU</w:t>
            </w:r>
            <w:r w:rsidR="00092414" w:rsidRPr="00D051E2">
              <w:rPr>
                <w:noProof/>
                <w:webHidden/>
                <w:lang w:val="pl-PL"/>
              </w:rPr>
              <w:tab/>
            </w:r>
            <w:r w:rsidR="00092414" w:rsidRPr="00D051E2">
              <w:rPr>
                <w:noProof/>
                <w:webHidden/>
                <w:lang w:val="pl-PL"/>
              </w:rPr>
              <w:fldChar w:fldCharType="begin"/>
            </w:r>
            <w:r w:rsidR="00092414" w:rsidRPr="00D051E2">
              <w:rPr>
                <w:noProof/>
                <w:webHidden/>
                <w:lang w:val="pl-PL"/>
              </w:rPr>
              <w:instrText xml:space="preserve"> PAGEREF _Toc130830474 \h </w:instrText>
            </w:r>
            <w:r w:rsidR="00092414" w:rsidRPr="00D051E2">
              <w:rPr>
                <w:noProof/>
                <w:webHidden/>
                <w:lang w:val="pl-PL"/>
              </w:rPr>
            </w:r>
            <w:r w:rsidR="00092414" w:rsidRPr="00D051E2">
              <w:rPr>
                <w:noProof/>
                <w:webHidden/>
                <w:lang w:val="pl-PL"/>
              </w:rPr>
              <w:fldChar w:fldCharType="separate"/>
            </w:r>
            <w:r w:rsidR="00D051E2">
              <w:rPr>
                <w:noProof/>
                <w:webHidden/>
                <w:lang w:val="pl-PL"/>
              </w:rPr>
              <w:t>6</w:t>
            </w:r>
            <w:r w:rsidR="00092414" w:rsidRPr="00D051E2">
              <w:rPr>
                <w:noProof/>
                <w:webHidden/>
                <w:lang w:val="pl-PL"/>
              </w:rPr>
              <w:fldChar w:fldCharType="end"/>
            </w:r>
          </w:hyperlink>
        </w:p>
        <w:p w14:paraId="481E3A2E" w14:textId="0E3085BA" w:rsidR="00092414" w:rsidRPr="00D051E2" w:rsidRDefault="00B77BAE">
          <w:pPr>
            <w:pStyle w:val="TOC1"/>
            <w:tabs>
              <w:tab w:val="left" w:pos="440"/>
              <w:tab w:val="right" w:leader="dot" w:pos="9062"/>
            </w:tabs>
            <w:rPr>
              <w:rFonts w:eastAsiaTheme="minorEastAsia"/>
              <w:noProof/>
              <w:szCs w:val="22"/>
              <w:lang w:val="pl-PL"/>
            </w:rPr>
          </w:pPr>
          <w:hyperlink w:anchor="_Toc130830475" w:history="1">
            <w:r w:rsidR="00092414" w:rsidRPr="00D051E2">
              <w:rPr>
                <w:rStyle w:val="Hyperlink"/>
                <w:rFonts w:ascii="Times New Roman" w:eastAsia="Times New Roman" w:hAnsi="Times New Roman" w:cs="Times New Roman"/>
                <w:b/>
                <w:noProof/>
                <w:lang w:val="pl-PL"/>
              </w:rPr>
              <w:t>5.</w:t>
            </w:r>
            <w:r w:rsidR="00092414" w:rsidRPr="00D051E2">
              <w:rPr>
                <w:rFonts w:eastAsiaTheme="minorEastAsia"/>
                <w:noProof/>
                <w:szCs w:val="22"/>
                <w:lang w:val="pl-PL"/>
              </w:rPr>
              <w:tab/>
            </w:r>
            <w:r w:rsidR="00092414" w:rsidRPr="00D051E2">
              <w:rPr>
                <w:rStyle w:val="Hyperlink"/>
                <w:rFonts w:ascii="Times New Roman" w:hAnsi="Times New Roman"/>
                <w:b/>
                <w:noProof/>
                <w:lang w:val="pl-PL"/>
              </w:rPr>
              <w:t>LICZBA INSTYTUCJI KREDYTOWYCH OFERUJĄCYCH PODSTAWOWE RACHUNKI PŁATNICZE, LICZBA TAKICH RACHUNKÓW, KTÓRE ZOSTAŁY OTWARTE, ORAZ ODSETEK ODRZUCONYCH WNIOSKÓW O OTWARCIE PODSTAWOWEGO RACHUNKU PŁATNICZEGO</w:t>
            </w:r>
            <w:r w:rsidR="00092414" w:rsidRPr="00D051E2">
              <w:rPr>
                <w:noProof/>
                <w:webHidden/>
                <w:lang w:val="pl-PL"/>
              </w:rPr>
              <w:tab/>
            </w:r>
            <w:r w:rsidR="00092414" w:rsidRPr="00D051E2">
              <w:rPr>
                <w:noProof/>
                <w:webHidden/>
                <w:lang w:val="pl-PL"/>
              </w:rPr>
              <w:fldChar w:fldCharType="begin"/>
            </w:r>
            <w:r w:rsidR="00092414" w:rsidRPr="00D051E2">
              <w:rPr>
                <w:noProof/>
                <w:webHidden/>
                <w:lang w:val="pl-PL"/>
              </w:rPr>
              <w:instrText xml:space="preserve"> PAGEREF _Toc130830475 \h </w:instrText>
            </w:r>
            <w:r w:rsidR="00092414" w:rsidRPr="00D051E2">
              <w:rPr>
                <w:noProof/>
                <w:webHidden/>
                <w:lang w:val="pl-PL"/>
              </w:rPr>
            </w:r>
            <w:r w:rsidR="00092414" w:rsidRPr="00D051E2">
              <w:rPr>
                <w:noProof/>
                <w:webHidden/>
                <w:lang w:val="pl-PL"/>
              </w:rPr>
              <w:fldChar w:fldCharType="separate"/>
            </w:r>
            <w:r w:rsidR="00D051E2">
              <w:rPr>
                <w:noProof/>
                <w:webHidden/>
                <w:lang w:val="pl-PL"/>
              </w:rPr>
              <w:t>10</w:t>
            </w:r>
            <w:r w:rsidR="00092414" w:rsidRPr="00D051E2">
              <w:rPr>
                <w:noProof/>
                <w:webHidden/>
                <w:lang w:val="pl-PL"/>
              </w:rPr>
              <w:fldChar w:fldCharType="end"/>
            </w:r>
          </w:hyperlink>
        </w:p>
        <w:p w14:paraId="4AAAE18F" w14:textId="23F4CEE3" w:rsidR="00092414" w:rsidRPr="00D051E2" w:rsidRDefault="00B77BAE">
          <w:pPr>
            <w:pStyle w:val="TOC1"/>
            <w:tabs>
              <w:tab w:val="left" w:pos="440"/>
              <w:tab w:val="right" w:leader="dot" w:pos="9062"/>
            </w:tabs>
            <w:rPr>
              <w:rFonts w:eastAsiaTheme="minorEastAsia"/>
              <w:noProof/>
              <w:szCs w:val="22"/>
              <w:lang w:val="pl-PL"/>
            </w:rPr>
          </w:pPr>
          <w:hyperlink w:anchor="_Toc130830476" w:history="1">
            <w:r w:rsidR="00092414" w:rsidRPr="00D051E2">
              <w:rPr>
                <w:rStyle w:val="Hyperlink"/>
                <w:rFonts w:ascii="Times New Roman" w:eastAsia="Times New Roman" w:hAnsi="Times New Roman" w:cs="Times New Roman"/>
                <w:b/>
                <w:noProof/>
                <w:lang w:val="pl-PL"/>
              </w:rPr>
              <w:t>6.</w:t>
            </w:r>
            <w:r w:rsidR="00092414" w:rsidRPr="00D051E2">
              <w:rPr>
                <w:rFonts w:eastAsiaTheme="minorEastAsia"/>
                <w:noProof/>
                <w:szCs w:val="22"/>
                <w:lang w:val="pl-PL"/>
              </w:rPr>
              <w:tab/>
            </w:r>
            <w:r w:rsidR="00092414" w:rsidRPr="00D051E2">
              <w:rPr>
                <w:rStyle w:val="Hyperlink"/>
                <w:rFonts w:ascii="Times New Roman" w:hAnsi="Times New Roman"/>
                <w:b/>
                <w:noProof/>
                <w:lang w:val="pl-PL"/>
              </w:rPr>
              <w:t>WNIOSEK</w:t>
            </w:r>
            <w:r w:rsidR="00092414" w:rsidRPr="00D051E2">
              <w:rPr>
                <w:noProof/>
                <w:webHidden/>
                <w:lang w:val="pl-PL"/>
              </w:rPr>
              <w:tab/>
            </w:r>
            <w:r w:rsidR="00092414" w:rsidRPr="00D051E2">
              <w:rPr>
                <w:noProof/>
                <w:webHidden/>
                <w:lang w:val="pl-PL"/>
              </w:rPr>
              <w:fldChar w:fldCharType="begin"/>
            </w:r>
            <w:r w:rsidR="00092414" w:rsidRPr="00D051E2">
              <w:rPr>
                <w:noProof/>
                <w:webHidden/>
                <w:lang w:val="pl-PL"/>
              </w:rPr>
              <w:instrText xml:space="preserve"> PAGEREF _Toc130830476 \h </w:instrText>
            </w:r>
            <w:r w:rsidR="00092414" w:rsidRPr="00D051E2">
              <w:rPr>
                <w:noProof/>
                <w:webHidden/>
                <w:lang w:val="pl-PL"/>
              </w:rPr>
            </w:r>
            <w:r w:rsidR="00092414" w:rsidRPr="00D051E2">
              <w:rPr>
                <w:noProof/>
                <w:webHidden/>
                <w:lang w:val="pl-PL"/>
              </w:rPr>
              <w:fldChar w:fldCharType="separate"/>
            </w:r>
            <w:r w:rsidR="00D051E2">
              <w:rPr>
                <w:noProof/>
                <w:webHidden/>
                <w:lang w:val="pl-PL"/>
              </w:rPr>
              <w:t>15</w:t>
            </w:r>
            <w:r w:rsidR="00092414" w:rsidRPr="00D051E2">
              <w:rPr>
                <w:noProof/>
                <w:webHidden/>
                <w:lang w:val="pl-PL"/>
              </w:rPr>
              <w:fldChar w:fldCharType="end"/>
            </w:r>
          </w:hyperlink>
        </w:p>
        <w:p w14:paraId="268BEDBE" w14:textId="3B80F5FC" w:rsidR="00FA1AC8" w:rsidRPr="00D051E2" w:rsidRDefault="00FA1AC8" w:rsidP="00A03713">
          <w:pPr>
            <w:tabs>
              <w:tab w:val="left" w:pos="660"/>
              <w:tab w:val="right" w:leader="dot" w:pos="9062"/>
            </w:tabs>
            <w:rPr>
              <w:rFonts w:ascii="Calibri" w:hAnsi="Calibri"/>
              <w:noProof/>
              <w:lang w:val="pl-PL"/>
            </w:rPr>
          </w:pPr>
          <w:r w:rsidRPr="00D051E2">
            <w:rPr>
              <w:rFonts w:ascii="Calibri" w:hAnsi="Calibri"/>
              <w:noProof/>
              <w:lang w:val="pl-PL"/>
            </w:rPr>
            <w:fldChar w:fldCharType="end"/>
          </w:r>
        </w:p>
      </w:sdtContent>
    </w:sdt>
    <w:p w14:paraId="612C55AF" w14:textId="77777777" w:rsidR="00FA1AC8" w:rsidRPr="00D051E2" w:rsidRDefault="00FA1AC8" w:rsidP="00FA1AC8">
      <w:pPr>
        <w:spacing w:after="200" w:line="240" w:lineRule="auto"/>
        <w:jc w:val="both"/>
        <w:rPr>
          <w:rFonts w:ascii="Times New Roman" w:eastAsia="Times New Roman" w:hAnsi="Times New Roman" w:cs="Times New Roman"/>
          <w:noProof/>
          <w:sz w:val="24"/>
          <w:lang w:val="pl-PL"/>
        </w:rPr>
      </w:pPr>
      <w:bookmarkStart w:id="2" w:name="_Toc10474381"/>
      <w:r w:rsidRPr="00D051E2">
        <w:rPr>
          <w:noProof/>
          <w:lang w:val="pl-PL"/>
        </w:rPr>
        <w:br w:type="page"/>
      </w:r>
      <w:bookmarkEnd w:id="2"/>
    </w:p>
    <w:p w14:paraId="36CFF6C2" w14:textId="77777777" w:rsidR="00FA1AC8" w:rsidRPr="00D051E2" w:rsidRDefault="00FA1AC8" w:rsidP="00FA1AC8">
      <w:pPr>
        <w:keepNext/>
        <w:keepLines/>
        <w:spacing w:after="0" w:line="240" w:lineRule="auto"/>
        <w:jc w:val="both"/>
        <w:outlineLvl w:val="0"/>
        <w:rPr>
          <w:rFonts w:ascii="Times New Roman" w:eastAsia="Times New Roman" w:hAnsi="Times New Roman" w:cs="Times New Roman"/>
          <w:b/>
          <w:noProof/>
          <w:sz w:val="24"/>
          <w:lang w:val="pl-PL"/>
        </w:rPr>
      </w:pPr>
      <w:bookmarkStart w:id="3" w:name="_Toc878023"/>
      <w:bookmarkStart w:id="4" w:name="_Toc17730531"/>
      <w:bookmarkStart w:id="5" w:name="_Toc41385899"/>
      <w:bookmarkStart w:id="6" w:name="_Toc52294919"/>
      <w:bookmarkStart w:id="7" w:name="_Toc52302081"/>
      <w:bookmarkStart w:id="8" w:name="_Toc52901478"/>
      <w:bookmarkStart w:id="9" w:name="_Toc4058292"/>
      <w:bookmarkStart w:id="10" w:name="_Toc10474382"/>
      <w:bookmarkStart w:id="11" w:name="_Toc67511944"/>
      <w:bookmarkStart w:id="12" w:name="_Toc130830471"/>
      <w:r w:rsidRPr="00D051E2">
        <w:rPr>
          <w:rFonts w:ascii="Times New Roman" w:hAnsi="Times New Roman"/>
          <w:b/>
          <w:noProof/>
          <w:sz w:val="24"/>
          <w:lang w:val="pl-PL"/>
        </w:rPr>
        <w:t xml:space="preserve">1. </w:t>
      </w:r>
      <w:r w:rsidRPr="00D051E2">
        <w:rPr>
          <w:noProof/>
          <w:lang w:val="pl-PL"/>
        </w:rPr>
        <w:tab/>
      </w:r>
      <w:r w:rsidRPr="00D051E2">
        <w:rPr>
          <w:rFonts w:ascii="Times New Roman" w:hAnsi="Times New Roman"/>
          <w:b/>
          <w:noProof/>
          <w:sz w:val="24"/>
          <w:lang w:val="pl-PL"/>
        </w:rPr>
        <w:t>WPROWADZENIE</w:t>
      </w:r>
      <w:bookmarkEnd w:id="3"/>
      <w:bookmarkEnd w:id="4"/>
      <w:bookmarkEnd w:id="5"/>
      <w:bookmarkEnd w:id="6"/>
      <w:bookmarkEnd w:id="7"/>
      <w:bookmarkEnd w:id="8"/>
      <w:bookmarkEnd w:id="9"/>
      <w:bookmarkEnd w:id="10"/>
      <w:bookmarkEnd w:id="11"/>
      <w:bookmarkEnd w:id="12"/>
    </w:p>
    <w:p w14:paraId="67178365" w14:textId="63E6FB09" w:rsidR="005E550E" w:rsidRPr="00D051E2" w:rsidRDefault="005E550E" w:rsidP="005E550E">
      <w:pPr>
        <w:spacing w:before="240" w:after="200" w:line="240" w:lineRule="auto"/>
        <w:jc w:val="both"/>
        <w:rPr>
          <w:rFonts w:ascii="Times New Roman" w:eastAsia="Calibri" w:hAnsi="Times New Roman" w:cs="Times New Roman"/>
          <w:noProof/>
          <w:sz w:val="24"/>
          <w:lang w:val="pl-PL"/>
        </w:rPr>
      </w:pPr>
      <w:bookmarkStart w:id="13" w:name="_Toc878026"/>
      <w:bookmarkStart w:id="14" w:name="_Toc4058295"/>
      <w:bookmarkStart w:id="15" w:name="_Toc10474385"/>
      <w:bookmarkStart w:id="16" w:name="_Toc17730534"/>
      <w:bookmarkStart w:id="17" w:name="_Toc41385903"/>
      <w:bookmarkStart w:id="18" w:name="_Toc52294924"/>
      <w:bookmarkStart w:id="19" w:name="_Toc52302086"/>
      <w:bookmarkStart w:id="20" w:name="_Toc52901484"/>
      <w:r w:rsidRPr="00D051E2">
        <w:rPr>
          <w:rFonts w:ascii="Times New Roman" w:hAnsi="Times New Roman"/>
          <w:noProof/>
          <w:sz w:val="24"/>
          <w:lang w:val="pl-PL"/>
        </w:rPr>
        <w:t>Dyrektywa</w:t>
      </w:r>
      <w:r w:rsidR="00D051E2" w:rsidRPr="00D051E2">
        <w:rPr>
          <w:rFonts w:ascii="Times New Roman" w:hAnsi="Times New Roman"/>
          <w:noProof/>
          <w:sz w:val="24"/>
          <w:lang w:val="pl-PL"/>
        </w:rPr>
        <w:t xml:space="preserve"> w spr</w:t>
      </w:r>
      <w:r w:rsidRPr="00D051E2">
        <w:rPr>
          <w:rFonts w:ascii="Times New Roman" w:hAnsi="Times New Roman"/>
          <w:noProof/>
          <w:sz w:val="24"/>
          <w:lang w:val="pl-PL"/>
        </w:rPr>
        <w:t>awie rachunków płatniczych (PAD lub dyrektywa)</w:t>
      </w:r>
      <w:r w:rsidRPr="00D051E2">
        <w:rPr>
          <w:rStyle w:val="FootnoteReference"/>
          <w:rFonts w:ascii="Times New Roman" w:eastAsia="Calibri" w:hAnsi="Times New Roman" w:cs="Times New Roman"/>
          <w:noProof/>
          <w:sz w:val="24"/>
          <w:lang w:val="pl-PL"/>
        </w:rPr>
        <w:footnoteReference w:id="2"/>
      </w:r>
      <w:r w:rsidRPr="00D051E2">
        <w:rPr>
          <w:rFonts w:ascii="Times New Roman" w:hAnsi="Times New Roman"/>
          <w:noProof/>
          <w:sz w:val="24"/>
          <w:lang w:val="pl-PL"/>
        </w:rPr>
        <w:t xml:space="preserve"> weszła</w:t>
      </w:r>
      <w:r w:rsidR="00D051E2" w:rsidRPr="00D051E2">
        <w:rPr>
          <w:rFonts w:ascii="Times New Roman" w:hAnsi="Times New Roman"/>
          <w:noProof/>
          <w:sz w:val="24"/>
          <w:lang w:val="pl-PL"/>
        </w:rPr>
        <w:t xml:space="preserve"> w życ</w:t>
      </w:r>
      <w:r w:rsidRPr="00D051E2">
        <w:rPr>
          <w:rFonts w:ascii="Times New Roman" w:hAnsi="Times New Roman"/>
          <w:noProof/>
          <w:sz w:val="24"/>
          <w:lang w:val="pl-PL"/>
        </w:rPr>
        <w:t>ie we wrześniu 2014</w:t>
      </w:r>
      <w:r w:rsidR="00D051E2" w:rsidRPr="00D051E2">
        <w:rPr>
          <w:rFonts w:ascii="Times New Roman" w:hAnsi="Times New Roman"/>
          <w:noProof/>
          <w:sz w:val="24"/>
          <w:lang w:val="pl-PL"/>
        </w:rPr>
        <w:t> </w:t>
      </w:r>
      <w:r w:rsidRPr="00D051E2">
        <w:rPr>
          <w:rFonts w:ascii="Times New Roman" w:hAnsi="Times New Roman"/>
          <w:noProof/>
          <w:sz w:val="24"/>
          <w:lang w:val="pl-PL"/>
        </w:rPr>
        <w:t>r. Do 18 września 2016</w:t>
      </w:r>
      <w:r w:rsidR="00D051E2" w:rsidRPr="00D051E2">
        <w:rPr>
          <w:rFonts w:ascii="Times New Roman" w:hAnsi="Times New Roman"/>
          <w:noProof/>
          <w:sz w:val="24"/>
          <w:lang w:val="pl-PL"/>
        </w:rPr>
        <w:t> </w:t>
      </w:r>
      <w:r w:rsidRPr="00D051E2">
        <w:rPr>
          <w:rFonts w:ascii="Times New Roman" w:hAnsi="Times New Roman"/>
          <w:noProof/>
          <w:sz w:val="24"/>
          <w:lang w:val="pl-PL"/>
        </w:rPr>
        <w:t>r. państwa członkowskie miały przyjąć</w:t>
      </w:r>
      <w:r w:rsidR="00D051E2" w:rsidRPr="00D051E2">
        <w:rPr>
          <w:rFonts w:ascii="Times New Roman" w:hAnsi="Times New Roman"/>
          <w:noProof/>
          <w:sz w:val="24"/>
          <w:lang w:val="pl-PL"/>
        </w:rPr>
        <w:t xml:space="preserve"> i opu</w:t>
      </w:r>
      <w:r w:rsidRPr="00D051E2">
        <w:rPr>
          <w:rFonts w:ascii="Times New Roman" w:hAnsi="Times New Roman"/>
          <w:noProof/>
          <w:sz w:val="24"/>
          <w:lang w:val="pl-PL"/>
        </w:rPr>
        <w:t>blikować przepisy ustawowe, wykonawcze</w:t>
      </w:r>
      <w:r w:rsidR="00D051E2" w:rsidRPr="00D051E2">
        <w:rPr>
          <w:rFonts w:ascii="Times New Roman" w:hAnsi="Times New Roman"/>
          <w:noProof/>
          <w:sz w:val="24"/>
          <w:lang w:val="pl-PL"/>
        </w:rPr>
        <w:t xml:space="preserve"> i adm</w:t>
      </w:r>
      <w:r w:rsidRPr="00D051E2">
        <w:rPr>
          <w:rFonts w:ascii="Times New Roman" w:hAnsi="Times New Roman"/>
          <w:noProof/>
          <w:sz w:val="24"/>
          <w:lang w:val="pl-PL"/>
        </w:rPr>
        <w:t>inistracyjne niezbędne do wykonania tej dyrektywy. Zgodnie</w:t>
      </w:r>
      <w:r w:rsidR="00D051E2" w:rsidRPr="00D051E2">
        <w:rPr>
          <w:rFonts w:ascii="Times New Roman" w:hAnsi="Times New Roman"/>
          <w:noProof/>
          <w:sz w:val="24"/>
          <w:lang w:val="pl-PL"/>
        </w:rPr>
        <w:t xml:space="preserve"> z art</w:t>
      </w:r>
      <w:r w:rsidRPr="00D051E2">
        <w:rPr>
          <w:rFonts w:ascii="Times New Roman" w:hAnsi="Times New Roman"/>
          <w:noProof/>
          <w:sz w:val="24"/>
          <w:lang w:val="pl-PL"/>
        </w:rPr>
        <w:t>.</w:t>
      </w:r>
      <w:r w:rsidR="00D051E2" w:rsidRPr="00D051E2">
        <w:rPr>
          <w:rFonts w:ascii="Times New Roman" w:hAnsi="Times New Roman"/>
          <w:noProof/>
          <w:sz w:val="24"/>
          <w:lang w:val="pl-PL"/>
        </w:rPr>
        <w:t> </w:t>
      </w:r>
      <w:r w:rsidRPr="00D051E2">
        <w:rPr>
          <w:rFonts w:ascii="Times New Roman" w:hAnsi="Times New Roman"/>
          <w:noProof/>
          <w:sz w:val="24"/>
          <w:lang w:val="pl-PL"/>
        </w:rPr>
        <w:t>27 dyrektywy Komisja jest zobowiązana sporządzić sprawozdanie (po raz pierwszy do dnia 18 września 2018</w:t>
      </w:r>
      <w:r w:rsidR="00D051E2" w:rsidRPr="00D051E2">
        <w:rPr>
          <w:rFonts w:ascii="Times New Roman" w:hAnsi="Times New Roman"/>
          <w:noProof/>
          <w:sz w:val="24"/>
          <w:lang w:val="pl-PL"/>
        </w:rPr>
        <w:t> </w:t>
      </w:r>
      <w:r w:rsidRPr="00D051E2">
        <w:rPr>
          <w:rFonts w:ascii="Times New Roman" w:hAnsi="Times New Roman"/>
          <w:noProof/>
          <w:sz w:val="24"/>
          <w:lang w:val="pl-PL"/>
        </w:rPr>
        <w:t>r.,</w:t>
      </w:r>
      <w:r w:rsidR="00D051E2" w:rsidRPr="00D051E2">
        <w:rPr>
          <w:rFonts w:ascii="Times New Roman" w:hAnsi="Times New Roman"/>
          <w:noProof/>
          <w:sz w:val="24"/>
          <w:lang w:val="pl-PL"/>
        </w:rPr>
        <w:t xml:space="preserve"> a nas</w:t>
      </w:r>
      <w:r w:rsidRPr="00D051E2">
        <w:rPr>
          <w:rFonts w:ascii="Times New Roman" w:hAnsi="Times New Roman"/>
          <w:noProof/>
          <w:sz w:val="24"/>
          <w:lang w:val="pl-PL"/>
        </w:rPr>
        <w:t>tępnie co dwa lata) zawierające następujące informacje:</w:t>
      </w:r>
    </w:p>
    <w:p w14:paraId="0C18A91D" w14:textId="008DF082" w:rsidR="005E550E" w:rsidRPr="00D051E2" w:rsidRDefault="005E550E" w:rsidP="005E550E">
      <w:pPr>
        <w:numPr>
          <w:ilvl w:val="0"/>
          <w:numId w:val="3"/>
        </w:numPr>
        <w:spacing w:before="240" w:after="200" w:line="240" w:lineRule="auto"/>
        <w:contextualSpacing/>
        <w:jc w:val="both"/>
        <w:rPr>
          <w:rFonts w:ascii="Times New Roman" w:eastAsia="Calibri" w:hAnsi="Times New Roman" w:cs="Times New Roman"/>
          <w:noProof/>
          <w:sz w:val="24"/>
          <w:lang w:val="pl-PL"/>
        </w:rPr>
      </w:pPr>
      <w:r w:rsidRPr="00D051E2">
        <w:rPr>
          <w:rFonts w:ascii="Times New Roman" w:hAnsi="Times New Roman"/>
          <w:noProof/>
          <w:sz w:val="24"/>
          <w:lang w:val="pl-PL"/>
        </w:rPr>
        <w:t>przestrzeganie przez dostawców usług płatniczych przepisów art.</w:t>
      </w:r>
      <w:r w:rsidR="00D051E2" w:rsidRPr="00D051E2">
        <w:rPr>
          <w:rFonts w:ascii="Times New Roman" w:hAnsi="Times New Roman"/>
          <w:noProof/>
          <w:sz w:val="24"/>
          <w:lang w:val="pl-PL"/>
        </w:rPr>
        <w:t> </w:t>
      </w:r>
      <w:r w:rsidRPr="00D051E2">
        <w:rPr>
          <w:rFonts w:ascii="Times New Roman" w:hAnsi="Times New Roman"/>
          <w:noProof/>
          <w:sz w:val="24"/>
          <w:lang w:val="pl-PL"/>
        </w:rPr>
        <w:t>4, 5</w:t>
      </w:r>
      <w:r w:rsidR="00D051E2" w:rsidRPr="00D051E2">
        <w:rPr>
          <w:rFonts w:ascii="Times New Roman" w:hAnsi="Times New Roman"/>
          <w:noProof/>
          <w:sz w:val="24"/>
          <w:lang w:val="pl-PL"/>
        </w:rPr>
        <w:t xml:space="preserve"> i 6</w:t>
      </w:r>
      <w:r w:rsidRPr="00D051E2">
        <w:rPr>
          <w:rFonts w:ascii="Times New Roman" w:hAnsi="Times New Roman"/>
          <w:noProof/>
          <w:sz w:val="24"/>
          <w:lang w:val="pl-PL"/>
        </w:rPr>
        <w:t>;</w:t>
      </w:r>
    </w:p>
    <w:p w14:paraId="291C74D5" w14:textId="30D97E56" w:rsidR="005E550E" w:rsidRPr="00D051E2" w:rsidRDefault="005E550E" w:rsidP="005E550E">
      <w:pPr>
        <w:numPr>
          <w:ilvl w:val="0"/>
          <w:numId w:val="3"/>
        </w:numPr>
        <w:spacing w:before="240" w:after="200" w:line="240" w:lineRule="auto"/>
        <w:contextualSpacing/>
        <w:jc w:val="both"/>
        <w:rPr>
          <w:rFonts w:ascii="Times New Roman" w:eastAsia="Calibri" w:hAnsi="Times New Roman" w:cs="Times New Roman"/>
          <w:noProof/>
          <w:sz w:val="24"/>
          <w:lang w:val="pl-PL"/>
        </w:rPr>
      </w:pPr>
      <w:r w:rsidRPr="00D051E2">
        <w:rPr>
          <w:rFonts w:ascii="Times New Roman" w:hAnsi="Times New Roman"/>
          <w:noProof/>
          <w:sz w:val="24"/>
          <w:lang w:val="pl-PL"/>
        </w:rPr>
        <w:t>wypełnianie przez państwa członkowskie wymogów dotyczących zapewnienia istnienia porównywarek internetowych zgodnie</w:t>
      </w:r>
      <w:r w:rsidR="00D051E2" w:rsidRPr="00D051E2">
        <w:rPr>
          <w:rFonts w:ascii="Times New Roman" w:hAnsi="Times New Roman"/>
          <w:noProof/>
          <w:sz w:val="24"/>
          <w:lang w:val="pl-PL"/>
        </w:rPr>
        <w:t xml:space="preserve"> z art</w:t>
      </w:r>
      <w:r w:rsidRPr="00D051E2">
        <w:rPr>
          <w:rFonts w:ascii="Times New Roman" w:hAnsi="Times New Roman"/>
          <w:noProof/>
          <w:sz w:val="24"/>
          <w:lang w:val="pl-PL"/>
        </w:rPr>
        <w:t>.</w:t>
      </w:r>
      <w:r w:rsidR="00D051E2" w:rsidRPr="00D051E2">
        <w:rPr>
          <w:rFonts w:ascii="Times New Roman" w:hAnsi="Times New Roman"/>
          <w:noProof/>
          <w:sz w:val="24"/>
          <w:lang w:val="pl-PL"/>
        </w:rPr>
        <w:t> </w:t>
      </w:r>
      <w:r w:rsidRPr="00D051E2">
        <w:rPr>
          <w:rFonts w:ascii="Times New Roman" w:hAnsi="Times New Roman"/>
          <w:noProof/>
          <w:sz w:val="24"/>
          <w:lang w:val="pl-PL"/>
        </w:rPr>
        <w:t>7;</w:t>
      </w:r>
    </w:p>
    <w:p w14:paraId="43BAEB2B" w14:textId="5F2C9BCC" w:rsidR="005E550E" w:rsidRPr="00D051E2" w:rsidRDefault="005E550E" w:rsidP="005E550E">
      <w:pPr>
        <w:numPr>
          <w:ilvl w:val="0"/>
          <w:numId w:val="3"/>
        </w:numPr>
        <w:spacing w:before="240" w:after="200" w:line="240" w:lineRule="auto"/>
        <w:contextualSpacing/>
        <w:jc w:val="both"/>
        <w:rPr>
          <w:rFonts w:ascii="Times New Roman" w:eastAsia="Calibri" w:hAnsi="Times New Roman" w:cs="Times New Roman"/>
          <w:noProof/>
          <w:sz w:val="24"/>
          <w:lang w:val="pl-PL"/>
        </w:rPr>
      </w:pPr>
      <w:r w:rsidRPr="00D051E2">
        <w:rPr>
          <w:rFonts w:ascii="Times New Roman" w:hAnsi="Times New Roman"/>
          <w:noProof/>
          <w:sz w:val="24"/>
          <w:lang w:val="pl-PL"/>
        </w:rPr>
        <w:t>liczba rachunków płatniczych, które zostały przeniesione, oraz odsetek odrzuconych wniosków</w:t>
      </w:r>
      <w:r w:rsidR="00D051E2" w:rsidRPr="00D051E2">
        <w:rPr>
          <w:rFonts w:ascii="Times New Roman" w:hAnsi="Times New Roman"/>
          <w:noProof/>
          <w:sz w:val="24"/>
          <w:lang w:val="pl-PL"/>
        </w:rPr>
        <w:t xml:space="preserve"> o prz</w:t>
      </w:r>
      <w:r w:rsidRPr="00D051E2">
        <w:rPr>
          <w:rFonts w:ascii="Times New Roman" w:hAnsi="Times New Roman"/>
          <w:noProof/>
          <w:sz w:val="24"/>
          <w:lang w:val="pl-PL"/>
        </w:rPr>
        <w:t>eniesienie rachunku;</w:t>
      </w:r>
    </w:p>
    <w:p w14:paraId="74DC97A6" w14:textId="0345CF45" w:rsidR="005E550E" w:rsidRPr="00D051E2" w:rsidRDefault="005E550E" w:rsidP="005E550E">
      <w:pPr>
        <w:numPr>
          <w:ilvl w:val="0"/>
          <w:numId w:val="3"/>
        </w:numPr>
        <w:spacing w:before="240" w:after="0" w:line="240" w:lineRule="auto"/>
        <w:contextualSpacing/>
        <w:jc w:val="both"/>
        <w:rPr>
          <w:rFonts w:ascii="Times New Roman" w:eastAsia="Calibri" w:hAnsi="Times New Roman" w:cs="Times New Roman"/>
          <w:noProof/>
          <w:sz w:val="24"/>
          <w:lang w:val="pl-PL"/>
        </w:rPr>
      </w:pPr>
      <w:r w:rsidRPr="00D051E2">
        <w:rPr>
          <w:rFonts w:ascii="Times New Roman" w:hAnsi="Times New Roman"/>
          <w:noProof/>
          <w:sz w:val="24"/>
          <w:lang w:val="pl-PL"/>
        </w:rPr>
        <w:t>liczba instytucji kredytowych oferujących podstawowe rachunki płatnicze, liczba takich rachunków, które zostały otwarte, oraz odsetek odrzuconych wniosków</w:t>
      </w:r>
      <w:r w:rsidR="00D051E2" w:rsidRPr="00D051E2">
        <w:rPr>
          <w:rFonts w:ascii="Times New Roman" w:hAnsi="Times New Roman"/>
          <w:noProof/>
          <w:sz w:val="24"/>
          <w:lang w:val="pl-PL"/>
        </w:rPr>
        <w:t xml:space="preserve"> o otw</w:t>
      </w:r>
      <w:r w:rsidRPr="00D051E2">
        <w:rPr>
          <w:rFonts w:ascii="Times New Roman" w:hAnsi="Times New Roman"/>
          <w:noProof/>
          <w:sz w:val="24"/>
          <w:lang w:val="pl-PL"/>
        </w:rPr>
        <w:t>arcie podstawowego rachunku płatniczego.</w:t>
      </w:r>
    </w:p>
    <w:p w14:paraId="4DB2C300" w14:textId="77777777" w:rsidR="005E550E" w:rsidRPr="00D051E2" w:rsidRDefault="005E550E" w:rsidP="005E550E">
      <w:pPr>
        <w:spacing w:before="240" w:after="0" w:line="240" w:lineRule="auto"/>
        <w:ind w:left="720"/>
        <w:contextualSpacing/>
        <w:jc w:val="both"/>
        <w:rPr>
          <w:rFonts w:ascii="Times New Roman" w:eastAsia="Calibri" w:hAnsi="Times New Roman" w:cs="Times New Roman"/>
          <w:noProof/>
          <w:sz w:val="24"/>
          <w:lang w:val="pl-PL"/>
        </w:rPr>
      </w:pPr>
    </w:p>
    <w:p w14:paraId="5DEFAF0A" w14:textId="65A09EA6" w:rsidR="005E550E" w:rsidRPr="00D051E2" w:rsidRDefault="005E550E" w:rsidP="005E550E">
      <w:pPr>
        <w:spacing w:before="240" w:after="200" w:line="240" w:lineRule="auto"/>
        <w:contextualSpacing/>
        <w:jc w:val="both"/>
        <w:rPr>
          <w:rFonts w:ascii="Times New Roman" w:eastAsia="Calibri" w:hAnsi="Times New Roman" w:cs="Times New Roman"/>
          <w:noProof/>
          <w:sz w:val="24"/>
          <w:lang w:val="pl-PL"/>
        </w:rPr>
      </w:pPr>
      <w:r w:rsidRPr="00D051E2">
        <w:rPr>
          <w:rFonts w:ascii="Times New Roman" w:hAnsi="Times New Roman"/>
          <w:noProof/>
          <w:sz w:val="24"/>
          <w:lang w:val="pl-PL"/>
        </w:rPr>
        <w:t>Jak określono</w:t>
      </w:r>
      <w:r w:rsidR="00D051E2" w:rsidRPr="00D051E2">
        <w:rPr>
          <w:rFonts w:ascii="Times New Roman" w:hAnsi="Times New Roman"/>
          <w:noProof/>
          <w:sz w:val="24"/>
          <w:lang w:val="pl-PL"/>
        </w:rPr>
        <w:t xml:space="preserve"> w art</w:t>
      </w:r>
      <w:r w:rsidRPr="00D051E2">
        <w:rPr>
          <w:rFonts w:ascii="Times New Roman" w:hAnsi="Times New Roman"/>
          <w:noProof/>
          <w:sz w:val="24"/>
          <w:lang w:val="pl-PL"/>
        </w:rPr>
        <w:t>.</w:t>
      </w:r>
      <w:r w:rsidR="00D051E2" w:rsidRPr="00D051E2">
        <w:rPr>
          <w:rFonts w:ascii="Times New Roman" w:hAnsi="Times New Roman"/>
          <w:noProof/>
          <w:sz w:val="24"/>
          <w:lang w:val="pl-PL"/>
        </w:rPr>
        <w:t> </w:t>
      </w:r>
      <w:r w:rsidRPr="00D051E2">
        <w:rPr>
          <w:rFonts w:ascii="Times New Roman" w:hAnsi="Times New Roman"/>
          <w:noProof/>
          <w:sz w:val="24"/>
          <w:lang w:val="pl-PL"/>
        </w:rPr>
        <w:t>27, niniejsze sprawozdanie sporządzono na podstawie informacji przekazanych przez państwa członkowskie</w:t>
      </w:r>
      <w:r w:rsidR="00D051E2" w:rsidRPr="00D051E2">
        <w:rPr>
          <w:rFonts w:ascii="Times New Roman" w:hAnsi="Times New Roman"/>
          <w:noProof/>
          <w:sz w:val="24"/>
          <w:lang w:val="pl-PL"/>
        </w:rPr>
        <w:t>. W otr</w:t>
      </w:r>
      <w:r w:rsidRPr="00D051E2">
        <w:rPr>
          <w:rFonts w:ascii="Times New Roman" w:hAnsi="Times New Roman"/>
          <w:noProof/>
          <w:sz w:val="24"/>
          <w:lang w:val="pl-PL"/>
        </w:rPr>
        <w:t>zymanych</w:t>
      </w:r>
      <w:r w:rsidR="00D051E2" w:rsidRPr="00D051E2">
        <w:rPr>
          <w:rFonts w:ascii="Times New Roman" w:hAnsi="Times New Roman"/>
          <w:noProof/>
          <w:sz w:val="24"/>
          <w:lang w:val="pl-PL"/>
        </w:rPr>
        <w:t xml:space="preserve"> i zgł</w:t>
      </w:r>
      <w:r w:rsidRPr="00D051E2">
        <w:rPr>
          <w:rFonts w:ascii="Times New Roman" w:hAnsi="Times New Roman"/>
          <w:noProof/>
          <w:sz w:val="24"/>
          <w:lang w:val="pl-PL"/>
        </w:rPr>
        <w:t>oszonych danych występują jednak pewne luki (np. gdy</w:t>
      </w:r>
      <w:r w:rsidR="00D051E2" w:rsidRPr="00D051E2">
        <w:rPr>
          <w:rFonts w:ascii="Times New Roman" w:hAnsi="Times New Roman"/>
          <w:noProof/>
          <w:sz w:val="24"/>
          <w:lang w:val="pl-PL"/>
        </w:rPr>
        <w:t xml:space="preserve"> w dan</w:t>
      </w:r>
      <w:r w:rsidRPr="00D051E2">
        <w:rPr>
          <w:rFonts w:ascii="Times New Roman" w:hAnsi="Times New Roman"/>
          <w:noProof/>
          <w:sz w:val="24"/>
          <w:lang w:val="pl-PL"/>
        </w:rPr>
        <w:t>ym państwie członkowskim informacje były niedostępne). Ponadto metody</w:t>
      </w:r>
      <w:r w:rsidR="00D051E2" w:rsidRPr="00D051E2">
        <w:rPr>
          <w:rFonts w:ascii="Times New Roman" w:hAnsi="Times New Roman"/>
          <w:noProof/>
          <w:sz w:val="24"/>
          <w:lang w:val="pl-PL"/>
        </w:rPr>
        <w:t xml:space="preserve"> i źró</w:t>
      </w:r>
      <w:r w:rsidRPr="00D051E2">
        <w:rPr>
          <w:rFonts w:ascii="Times New Roman" w:hAnsi="Times New Roman"/>
          <w:noProof/>
          <w:sz w:val="24"/>
          <w:lang w:val="pl-PL"/>
        </w:rPr>
        <w:t>dła gromadzenia danych</w:t>
      </w:r>
      <w:r w:rsidR="00D051E2" w:rsidRPr="00D051E2">
        <w:rPr>
          <w:rFonts w:ascii="Times New Roman" w:hAnsi="Times New Roman"/>
          <w:noProof/>
          <w:sz w:val="24"/>
          <w:lang w:val="pl-PL"/>
        </w:rPr>
        <w:t xml:space="preserve"> w pos</w:t>
      </w:r>
      <w:r w:rsidRPr="00D051E2">
        <w:rPr>
          <w:rFonts w:ascii="Times New Roman" w:hAnsi="Times New Roman"/>
          <w:noProof/>
          <w:sz w:val="24"/>
          <w:lang w:val="pl-PL"/>
        </w:rPr>
        <w:t>zczególnych państwach członkowskich mogły się różnić, co może utrudniać porównywanie</w:t>
      </w:r>
      <w:r w:rsidR="00D051E2" w:rsidRPr="00D051E2">
        <w:rPr>
          <w:rFonts w:ascii="Times New Roman" w:hAnsi="Times New Roman"/>
          <w:noProof/>
          <w:sz w:val="24"/>
          <w:lang w:val="pl-PL"/>
        </w:rPr>
        <w:t xml:space="preserve"> i oce</w:t>
      </w:r>
      <w:r w:rsidRPr="00D051E2">
        <w:rPr>
          <w:rFonts w:ascii="Times New Roman" w:hAnsi="Times New Roman"/>
          <w:noProof/>
          <w:sz w:val="24"/>
          <w:lang w:val="pl-PL"/>
        </w:rPr>
        <w:t xml:space="preserve">nę danych. </w:t>
      </w:r>
    </w:p>
    <w:p w14:paraId="4F1AFCE1" w14:textId="77777777" w:rsidR="005E550E" w:rsidRPr="00D051E2" w:rsidRDefault="005E550E" w:rsidP="005E550E">
      <w:pPr>
        <w:spacing w:before="240" w:after="200" w:line="240" w:lineRule="auto"/>
        <w:contextualSpacing/>
        <w:jc w:val="both"/>
        <w:rPr>
          <w:rFonts w:ascii="Times New Roman" w:eastAsia="Calibri" w:hAnsi="Times New Roman" w:cs="Times New Roman"/>
          <w:noProof/>
          <w:sz w:val="24"/>
          <w:lang w:val="pl-PL"/>
        </w:rPr>
      </w:pPr>
    </w:p>
    <w:p w14:paraId="5964334E" w14:textId="3C64C74E" w:rsidR="005E550E" w:rsidRPr="00D051E2" w:rsidRDefault="005E550E" w:rsidP="005E550E">
      <w:pPr>
        <w:spacing w:before="240" w:after="200" w:line="240" w:lineRule="auto"/>
        <w:contextualSpacing/>
        <w:jc w:val="both"/>
        <w:rPr>
          <w:rFonts w:ascii="Times New Roman" w:eastAsia="Calibri" w:hAnsi="Times New Roman" w:cs="Times New Roman"/>
          <w:noProof/>
          <w:sz w:val="24"/>
          <w:lang w:val="pl-PL"/>
        </w:rPr>
      </w:pPr>
      <w:r w:rsidRPr="00D051E2">
        <w:rPr>
          <w:rFonts w:ascii="Times New Roman" w:hAnsi="Times New Roman"/>
          <w:noProof/>
          <w:sz w:val="24"/>
          <w:lang w:val="pl-PL"/>
        </w:rPr>
        <w:t>Jest to pierwsze sprawozdanie sporządzone na podstawie art.</w:t>
      </w:r>
      <w:r w:rsidR="00D051E2" w:rsidRPr="00D051E2">
        <w:rPr>
          <w:rFonts w:ascii="Times New Roman" w:hAnsi="Times New Roman"/>
          <w:noProof/>
          <w:sz w:val="24"/>
          <w:lang w:val="pl-PL"/>
        </w:rPr>
        <w:t> </w:t>
      </w:r>
      <w:r w:rsidRPr="00D051E2">
        <w:rPr>
          <w:rFonts w:ascii="Times New Roman" w:hAnsi="Times New Roman"/>
          <w:noProof/>
          <w:sz w:val="24"/>
          <w:lang w:val="pl-PL"/>
        </w:rPr>
        <w:t>27</w:t>
      </w:r>
      <w:r w:rsidRPr="00D051E2">
        <w:rPr>
          <w:rStyle w:val="FootnoteReference"/>
          <w:rFonts w:ascii="Times New Roman" w:eastAsia="Calibri" w:hAnsi="Times New Roman" w:cs="Times New Roman"/>
          <w:noProof/>
          <w:sz w:val="24"/>
          <w:lang w:val="pl-PL"/>
        </w:rPr>
        <w:footnoteReference w:id="3"/>
      </w:r>
      <w:r w:rsidRPr="00D051E2">
        <w:rPr>
          <w:rFonts w:ascii="Times New Roman" w:hAnsi="Times New Roman"/>
          <w:noProof/>
          <w:sz w:val="24"/>
          <w:lang w:val="pl-PL"/>
        </w:rPr>
        <w:t>, które obejmuje lata 2016–2021. Oprócz niniejszego sprawozdania Komisja przyjęła jednocześnie sprawozdanie dotyczące stosowania tej dyrektywy wymagane na podstawie art.</w:t>
      </w:r>
      <w:r w:rsidR="00D051E2" w:rsidRPr="00D051E2">
        <w:rPr>
          <w:rFonts w:ascii="Times New Roman" w:hAnsi="Times New Roman"/>
          <w:noProof/>
          <w:sz w:val="24"/>
          <w:lang w:val="pl-PL"/>
        </w:rPr>
        <w:t> </w:t>
      </w:r>
      <w:r w:rsidRPr="00D051E2">
        <w:rPr>
          <w:rFonts w:ascii="Times New Roman" w:hAnsi="Times New Roman"/>
          <w:noProof/>
          <w:sz w:val="24"/>
          <w:lang w:val="pl-PL"/>
        </w:rPr>
        <w:t>28.</w:t>
      </w:r>
    </w:p>
    <w:p w14:paraId="5600E12D" w14:textId="77777777" w:rsidR="00FA1AC8" w:rsidRPr="00D051E2" w:rsidRDefault="00FA1AC8" w:rsidP="00FA1AC8">
      <w:pPr>
        <w:spacing w:before="240" w:after="200" w:line="240" w:lineRule="auto"/>
        <w:jc w:val="both"/>
        <w:rPr>
          <w:rFonts w:ascii="Times New Roman" w:eastAsia="Calibri" w:hAnsi="Times New Roman" w:cs="Times New Roman"/>
          <w:noProof/>
          <w:sz w:val="24"/>
          <w:lang w:val="pl-PL"/>
        </w:rPr>
      </w:pPr>
    </w:p>
    <w:p w14:paraId="7ACB6FA2" w14:textId="66802B8C" w:rsidR="00FA1AC8" w:rsidRPr="00D051E2" w:rsidRDefault="00FA1AC8" w:rsidP="00FA1AC8">
      <w:pPr>
        <w:keepNext/>
        <w:keepLines/>
        <w:numPr>
          <w:ilvl w:val="0"/>
          <w:numId w:val="1"/>
        </w:numPr>
        <w:spacing w:after="0" w:line="240" w:lineRule="auto"/>
        <w:jc w:val="both"/>
        <w:outlineLvl w:val="0"/>
        <w:rPr>
          <w:rFonts w:ascii="Times New Roman" w:eastAsia="Times New Roman" w:hAnsi="Times New Roman" w:cs="Times New Roman"/>
          <w:b/>
          <w:noProof/>
          <w:sz w:val="24"/>
          <w:lang w:val="pl-PL"/>
        </w:rPr>
      </w:pPr>
      <w:bookmarkStart w:id="21" w:name="_Toc67511945"/>
      <w:bookmarkStart w:id="22" w:name="_Toc130830472"/>
      <w:r w:rsidRPr="00D051E2">
        <w:rPr>
          <w:rFonts w:ascii="Times New Roman" w:hAnsi="Times New Roman"/>
          <w:b/>
          <w:noProof/>
          <w:sz w:val="24"/>
          <w:lang w:val="pl-PL"/>
        </w:rPr>
        <w:t>PRZESTRZEGANIE PRZEZ DOSTAWCÓW USŁUG PŁATNICZYCH PRZEPISÓW ART. 4, 5 I 6</w:t>
      </w:r>
      <w:bookmarkEnd w:id="21"/>
      <w:bookmarkEnd w:id="22"/>
    </w:p>
    <w:p w14:paraId="69869675" w14:textId="1AE68FCC" w:rsidR="00FA1AC8" w:rsidRPr="00D051E2" w:rsidRDefault="00FA1AC8" w:rsidP="00FA1AC8">
      <w:pPr>
        <w:spacing w:before="240" w:line="240" w:lineRule="auto"/>
        <w:jc w:val="both"/>
        <w:rPr>
          <w:rFonts w:ascii="Times New Roman" w:eastAsia="Calibri" w:hAnsi="Times New Roman" w:cs="Times New Roman"/>
          <w:noProof/>
          <w:sz w:val="24"/>
          <w:lang w:val="pl-PL"/>
        </w:rPr>
      </w:pPr>
      <w:r w:rsidRPr="00D051E2">
        <w:rPr>
          <w:rFonts w:ascii="Times New Roman" w:hAnsi="Times New Roman"/>
          <w:noProof/>
          <w:sz w:val="24"/>
          <w:lang w:val="pl-PL"/>
        </w:rPr>
        <w:t>W rozdziale II dyrektywy ustanowiono przepisy dotyczące porównywalności opłat związanych</w:t>
      </w:r>
      <w:r w:rsidR="00D051E2" w:rsidRPr="00D051E2">
        <w:rPr>
          <w:rFonts w:ascii="Times New Roman" w:hAnsi="Times New Roman"/>
          <w:noProof/>
          <w:sz w:val="24"/>
          <w:lang w:val="pl-PL"/>
        </w:rPr>
        <w:t xml:space="preserve"> z rac</w:t>
      </w:r>
      <w:r w:rsidRPr="00D051E2">
        <w:rPr>
          <w:rFonts w:ascii="Times New Roman" w:hAnsi="Times New Roman"/>
          <w:noProof/>
          <w:sz w:val="24"/>
          <w:lang w:val="pl-PL"/>
        </w:rPr>
        <w:t>hunkami płatniczymi. Jak określono</w:t>
      </w:r>
      <w:r w:rsidR="00D051E2" w:rsidRPr="00D051E2">
        <w:rPr>
          <w:rFonts w:ascii="Times New Roman" w:hAnsi="Times New Roman"/>
          <w:noProof/>
          <w:sz w:val="24"/>
          <w:lang w:val="pl-PL"/>
        </w:rPr>
        <w:t xml:space="preserve"> w pos</w:t>
      </w:r>
      <w:r w:rsidRPr="00D051E2">
        <w:rPr>
          <w:rFonts w:ascii="Times New Roman" w:hAnsi="Times New Roman"/>
          <w:noProof/>
          <w:sz w:val="24"/>
          <w:lang w:val="pl-PL"/>
        </w:rPr>
        <w:t>zczególnych motywach, przepisy zawarte</w:t>
      </w:r>
      <w:r w:rsidR="00D051E2" w:rsidRPr="00D051E2">
        <w:rPr>
          <w:rFonts w:ascii="Times New Roman" w:hAnsi="Times New Roman"/>
          <w:noProof/>
          <w:sz w:val="24"/>
          <w:lang w:val="pl-PL"/>
        </w:rPr>
        <w:t xml:space="preserve"> w roz</w:t>
      </w:r>
      <w:r w:rsidRPr="00D051E2">
        <w:rPr>
          <w:rFonts w:ascii="Times New Roman" w:hAnsi="Times New Roman"/>
          <w:noProof/>
          <w:sz w:val="24"/>
          <w:lang w:val="pl-PL"/>
        </w:rPr>
        <w:t>dziale II mają dwa cele: usprawnienie</w:t>
      </w:r>
      <w:r w:rsidR="00D051E2" w:rsidRPr="00D051E2">
        <w:rPr>
          <w:rFonts w:ascii="Times New Roman" w:hAnsi="Times New Roman"/>
          <w:noProof/>
          <w:sz w:val="24"/>
          <w:lang w:val="pl-PL"/>
        </w:rPr>
        <w:t xml:space="preserve"> i roz</w:t>
      </w:r>
      <w:r w:rsidRPr="00D051E2">
        <w:rPr>
          <w:rFonts w:ascii="Times New Roman" w:hAnsi="Times New Roman"/>
          <w:noProof/>
          <w:sz w:val="24"/>
          <w:lang w:val="pl-PL"/>
        </w:rPr>
        <w:t>wój bankowości detalicznej na rynku wewnętrznym przy jednoczesnym zapewnieniu, aby opłaty były zrozumiałe dla konsumentów, tak aby mogli oni porównywać oferty</w:t>
      </w:r>
      <w:r w:rsidR="00D051E2" w:rsidRPr="00D051E2">
        <w:rPr>
          <w:rFonts w:ascii="Times New Roman" w:hAnsi="Times New Roman"/>
          <w:noProof/>
          <w:sz w:val="24"/>
          <w:lang w:val="pl-PL"/>
        </w:rPr>
        <w:t xml:space="preserve"> i pod</w:t>
      </w:r>
      <w:r w:rsidRPr="00D051E2">
        <w:rPr>
          <w:rFonts w:ascii="Times New Roman" w:hAnsi="Times New Roman"/>
          <w:noProof/>
          <w:sz w:val="24"/>
          <w:lang w:val="pl-PL"/>
        </w:rPr>
        <w:t>ejmować świadome decyzje.</w:t>
      </w:r>
    </w:p>
    <w:p w14:paraId="6B46E30A" w14:textId="731A10D4" w:rsidR="00FA1AC8" w:rsidRPr="00D051E2" w:rsidRDefault="00FA1AC8" w:rsidP="00FA1AC8">
      <w:pPr>
        <w:spacing w:line="240" w:lineRule="auto"/>
        <w:jc w:val="both"/>
        <w:rPr>
          <w:rFonts w:ascii="Times New Roman" w:eastAsia="Calibri" w:hAnsi="Times New Roman" w:cs="Times New Roman"/>
          <w:noProof/>
          <w:sz w:val="24"/>
          <w:lang w:val="pl-PL"/>
        </w:rPr>
      </w:pPr>
      <w:r w:rsidRPr="00D051E2">
        <w:rPr>
          <w:rFonts w:ascii="Times New Roman" w:hAnsi="Times New Roman"/>
          <w:noProof/>
          <w:sz w:val="24"/>
          <w:lang w:val="pl-PL"/>
        </w:rPr>
        <w:t>Pierwszym krokiem do osiągnięcia tych dwóch celów jest określenie ujednoliconej terminologii,</w:t>
      </w:r>
      <w:r w:rsidR="00D051E2" w:rsidRPr="00D051E2">
        <w:rPr>
          <w:rFonts w:ascii="Times New Roman" w:hAnsi="Times New Roman"/>
          <w:noProof/>
          <w:sz w:val="24"/>
          <w:lang w:val="pl-PL"/>
        </w:rPr>
        <w:t xml:space="preserve"> o któ</w:t>
      </w:r>
      <w:r w:rsidRPr="00D051E2">
        <w:rPr>
          <w:rFonts w:ascii="Times New Roman" w:hAnsi="Times New Roman"/>
          <w:noProof/>
          <w:sz w:val="24"/>
          <w:lang w:val="pl-PL"/>
        </w:rPr>
        <w:t>rej mowa</w:t>
      </w:r>
      <w:r w:rsidR="00D051E2" w:rsidRPr="00D051E2">
        <w:rPr>
          <w:rFonts w:ascii="Times New Roman" w:hAnsi="Times New Roman"/>
          <w:noProof/>
          <w:sz w:val="24"/>
          <w:lang w:val="pl-PL"/>
        </w:rPr>
        <w:t xml:space="preserve"> w art</w:t>
      </w:r>
      <w:r w:rsidRPr="00D051E2">
        <w:rPr>
          <w:rFonts w:ascii="Times New Roman" w:hAnsi="Times New Roman"/>
          <w:noProof/>
          <w:sz w:val="24"/>
          <w:lang w:val="pl-PL"/>
        </w:rPr>
        <w:t>.</w:t>
      </w:r>
      <w:r w:rsidR="00D051E2" w:rsidRPr="00D051E2">
        <w:rPr>
          <w:rFonts w:ascii="Times New Roman" w:hAnsi="Times New Roman"/>
          <w:noProof/>
          <w:sz w:val="24"/>
          <w:lang w:val="pl-PL"/>
        </w:rPr>
        <w:t> </w:t>
      </w:r>
      <w:r w:rsidRPr="00D051E2">
        <w:rPr>
          <w:rFonts w:ascii="Times New Roman" w:hAnsi="Times New Roman"/>
          <w:noProof/>
          <w:sz w:val="24"/>
          <w:lang w:val="pl-PL"/>
        </w:rPr>
        <w:t>3 dyrektywy. Dzięki zintegrowanemu</w:t>
      </w:r>
      <w:r w:rsidR="00D051E2" w:rsidRPr="00D051E2">
        <w:rPr>
          <w:rFonts w:ascii="Times New Roman" w:hAnsi="Times New Roman"/>
          <w:noProof/>
          <w:sz w:val="24"/>
          <w:lang w:val="pl-PL"/>
        </w:rPr>
        <w:t xml:space="preserve"> i sto</w:t>
      </w:r>
      <w:r w:rsidRPr="00D051E2">
        <w:rPr>
          <w:rFonts w:ascii="Times New Roman" w:hAnsi="Times New Roman"/>
          <w:noProof/>
          <w:sz w:val="24"/>
          <w:lang w:val="pl-PL"/>
        </w:rPr>
        <w:t>pniowemu podejściu państwa członkowskie dysponują obecnie wykazem najbardziej reprezentatywnych usług powiązanych</w:t>
      </w:r>
      <w:r w:rsidR="00D051E2" w:rsidRPr="00D051E2">
        <w:rPr>
          <w:rFonts w:ascii="Times New Roman" w:hAnsi="Times New Roman"/>
          <w:noProof/>
          <w:sz w:val="24"/>
          <w:lang w:val="pl-PL"/>
        </w:rPr>
        <w:t xml:space="preserve"> z rac</w:t>
      </w:r>
      <w:r w:rsidRPr="00D051E2">
        <w:rPr>
          <w:rFonts w:ascii="Times New Roman" w:hAnsi="Times New Roman"/>
          <w:noProof/>
          <w:sz w:val="24"/>
          <w:lang w:val="pl-PL"/>
        </w:rPr>
        <w:t>hunkiem płatniczym</w:t>
      </w:r>
      <w:r w:rsidR="00D051E2" w:rsidRPr="00D051E2">
        <w:rPr>
          <w:rFonts w:ascii="Times New Roman" w:hAnsi="Times New Roman"/>
          <w:noProof/>
          <w:sz w:val="24"/>
          <w:lang w:val="pl-PL"/>
        </w:rPr>
        <w:t xml:space="preserve"> i pod</w:t>
      </w:r>
      <w:r w:rsidRPr="00D051E2">
        <w:rPr>
          <w:rFonts w:ascii="Times New Roman" w:hAnsi="Times New Roman"/>
          <w:noProof/>
          <w:sz w:val="24"/>
          <w:lang w:val="pl-PL"/>
        </w:rPr>
        <w:t>legających opłacie. Te ujednolicone pojęcia służą również jako podstawa dla pozostałych artykułów rozdziału II</w:t>
      </w:r>
      <w:r w:rsidR="00D051E2" w:rsidRPr="00D051E2">
        <w:rPr>
          <w:rFonts w:ascii="Times New Roman" w:hAnsi="Times New Roman"/>
          <w:noProof/>
          <w:sz w:val="24"/>
          <w:lang w:val="pl-PL"/>
        </w:rPr>
        <w:t xml:space="preserve"> w tym</w:t>
      </w:r>
      <w:r w:rsidRPr="00D051E2">
        <w:rPr>
          <w:rFonts w:ascii="Times New Roman" w:hAnsi="Times New Roman"/>
          <w:noProof/>
          <w:sz w:val="24"/>
          <w:lang w:val="pl-PL"/>
        </w:rPr>
        <w:t xml:space="preserve"> sensie, że</w:t>
      </w:r>
      <w:r w:rsidR="00D051E2" w:rsidRPr="00D051E2">
        <w:rPr>
          <w:rFonts w:ascii="Times New Roman" w:hAnsi="Times New Roman"/>
          <w:noProof/>
          <w:sz w:val="24"/>
          <w:lang w:val="pl-PL"/>
        </w:rPr>
        <w:t xml:space="preserve"> w cel</w:t>
      </w:r>
      <w:r w:rsidRPr="00D051E2">
        <w:rPr>
          <w:rFonts w:ascii="Times New Roman" w:hAnsi="Times New Roman"/>
          <w:noProof/>
          <w:sz w:val="24"/>
          <w:lang w:val="pl-PL"/>
        </w:rPr>
        <w:t>u zapewnienia zgodności</w:t>
      </w:r>
      <w:r w:rsidR="00D051E2" w:rsidRPr="00D051E2">
        <w:rPr>
          <w:rFonts w:ascii="Times New Roman" w:hAnsi="Times New Roman"/>
          <w:noProof/>
          <w:sz w:val="24"/>
          <w:lang w:val="pl-PL"/>
        </w:rPr>
        <w:t xml:space="preserve"> z odp</w:t>
      </w:r>
      <w:r w:rsidRPr="00D051E2">
        <w:rPr>
          <w:rFonts w:ascii="Times New Roman" w:hAnsi="Times New Roman"/>
          <w:noProof/>
          <w:sz w:val="24"/>
          <w:lang w:val="pl-PL"/>
        </w:rPr>
        <w:t>owiednimi artykułami rozdziału II dostawcy usług płatniczych muszą stosować uzgodnione ujednolicone pojęcia.</w:t>
      </w:r>
    </w:p>
    <w:p w14:paraId="1980DCFD" w14:textId="4AA9521B" w:rsidR="00FA1AC8" w:rsidRPr="00D051E2" w:rsidRDefault="00FA1AC8" w:rsidP="00FA1AC8">
      <w:pPr>
        <w:spacing w:line="240" w:lineRule="auto"/>
        <w:jc w:val="both"/>
        <w:rPr>
          <w:rFonts w:ascii="Times New Roman" w:eastAsia="Calibri" w:hAnsi="Times New Roman" w:cs="Times New Roman"/>
          <w:noProof/>
          <w:sz w:val="24"/>
          <w:lang w:val="pl-PL"/>
        </w:rPr>
      </w:pPr>
      <w:r w:rsidRPr="00D051E2">
        <w:rPr>
          <w:rFonts w:ascii="Times New Roman" w:hAnsi="Times New Roman"/>
          <w:noProof/>
          <w:sz w:val="24"/>
          <w:lang w:val="pl-PL"/>
        </w:rPr>
        <w:t>Zgodnie</w:t>
      </w:r>
      <w:r w:rsidR="00D051E2" w:rsidRPr="00D051E2">
        <w:rPr>
          <w:rFonts w:ascii="Times New Roman" w:hAnsi="Times New Roman"/>
          <w:noProof/>
          <w:sz w:val="24"/>
          <w:lang w:val="pl-PL"/>
        </w:rPr>
        <w:t xml:space="preserve"> z art</w:t>
      </w:r>
      <w:r w:rsidRPr="00D051E2">
        <w:rPr>
          <w:rFonts w:ascii="Times New Roman" w:hAnsi="Times New Roman"/>
          <w:noProof/>
          <w:sz w:val="24"/>
          <w:lang w:val="pl-PL"/>
        </w:rPr>
        <w:t>.</w:t>
      </w:r>
      <w:r w:rsidR="00D051E2" w:rsidRPr="00D051E2">
        <w:rPr>
          <w:rFonts w:ascii="Times New Roman" w:hAnsi="Times New Roman"/>
          <w:noProof/>
          <w:sz w:val="24"/>
          <w:lang w:val="pl-PL"/>
        </w:rPr>
        <w:t> </w:t>
      </w:r>
      <w:r w:rsidRPr="00D051E2">
        <w:rPr>
          <w:rFonts w:ascii="Times New Roman" w:hAnsi="Times New Roman"/>
          <w:noProof/>
          <w:sz w:val="24"/>
          <w:lang w:val="pl-PL"/>
        </w:rPr>
        <w:t>27 dyrektywy państwa członkowskie przekazały następujące informacje na temat art.</w:t>
      </w:r>
      <w:r w:rsidR="00D051E2" w:rsidRPr="00D051E2">
        <w:rPr>
          <w:rFonts w:ascii="Times New Roman" w:hAnsi="Times New Roman"/>
          <w:noProof/>
          <w:sz w:val="24"/>
          <w:lang w:val="pl-PL"/>
        </w:rPr>
        <w:t> </w:t>
      </w:r>
      <w:r w:rsidRPr="00D051E2">
        <w:rPr>
          <w:rFonts w:ascii="Times New Roman" w:hAnsi="Times New Roman"/>
          <w:noProof/>
          <w:sz w:val="24"/>
          <w:lang w:val="pl-PL"/>
        </w:rPr>
        <w:t>4, 5</w:t>
      </w:r>
      <w:r w:rsidR="00D051E2" w:rsidRPr="00D051E2">
        <w:rPr>
          <w:rFonts w:ascii="Times New Roman" w:hAnsi="Times New Roman"/>
          <w:noProof/>
          <w:sz w:val="24"/>
          <w:lang w:val="pl-PL"/>
        </w:rPr>
        <w:t xml:space="preserve"> i 6</w:t>
      </w:r>
      <w:r w:rsidRPr="00D051E2">
        <w:rPr>
          <w:rFonts w:ascii="Times New Roman" w:hAnsi="Times New Roman"/>
          <w:noProof/>
          <w:sz w:val="24"/>
          <w:lang w:val="pl-PL"/>
        </w:rPr>
        <w:t xml:space="preserve"> dotyczące poziomu spełniania wymogów przez dostawców usług płatniczych.</w:t>
      </w:r>
    </w:p>
    <w:p w14:paraId="7FAA8E2E" w14:textId="12452A30" w:rsidR="00FA1AC8" w:rsidRPr="00D051E2" w:rsidRDefault="00FA1AC8" w:rsidP="00FA1AC8">
      <w:pPr>
        <w:numPr>
          <w:ilvl w:val="0"/>
          <w:numId w:val="2"/>
        </w:numPr>
        <w:spacing w:after="200" w:line="240" w:lineRule="auto"/>
        <w:contextualSpacing/>
        <w:jc w:val="both"/>
        <w:rPr>
          <w:rFonts w:ascii="Times New Roman" w:eastAsia="Calibri" w:hAnsi="Times New Roman" w:cs="Times New Roman"/>
          <w:b/>
          <w:noProof/>
          <w:sz w:val="24"/>
          <w:lang w:val="pl-PL"/>
        </w:rPr>
      </w:pPr>
      <w:r w:rsidRPr="00D051E2">
        <w:rPr>
          <w:rFonts w:ascii="Times New Roman" w:hAnsi="Times New Roman"/>
          <w:b/>
          <w:noProof/>
          <w:sz w:val="24"/>
          <w:lang w:val="pl-PL"/>
        </w:rPr>
        <w:t>Art. 4 (Dokument dotyczący opłat</w:t>
      </w:r>
      <w:r w:rsidR="00D051E2" w:rsidRPr="00D051E2">
        <w:rPr>
          <w:rFonts w:ascii="Times New Roman" w:hAnsi="Times New Roman"/>
          <w:b/>
          <w:noProof/>
          <w:sz w:val="24"/>
          <w:lang w:val="pl-PL"/>
        </w:rPr>
        <w:t xml:space="preserve"> i sło</w:t>
      </w:r>
      <w:r w:rsidRPr="00D051E2">
        <w:rPr>
          <w:rFonts w:ascii="Times New Roman" w:hAnsi="Times New Roman"/>
          <w:b/>
          <w:noProof/>
          <w:sz w:val="24"/>
          <w:lang w:val="pl-PL"/>
        </w:rPr>
        <w:t>wniczek)</w:t>
      </w:r>
    </w:p>
    <w:p w14:paraId="4D1D645C" w14:textId="6D98ACF2" w:rsidR="00FA1AC8" w:rsidRPr="00D051E2" w:rsidRDefault="00FA1AC8" w:rsidP="00FA1AC8">
      <w:pPr>
        <w:spacing w:line="240" w:lineRule="auto"/>
        <w:jc w:val="both"/>
        <w:rPr>
          <w:rFonts w:ascii="Times New Roman" w:eastAsia="Calibri" w:hAnsi="Times New Roman" w:cs="Times New Roman"/>
          <w:noProof/>
          <w:sz w:val="24"/>
          <w:lang w:val="pl-PL"/>
        </w:rPr>
      </w:pPr>
      <w:bookmarkStart w:id="23" w:name="_Hlk115684581"/>
      <w:r w:rsidRPr="00D051E2">
        <w:rPr>
          <w:rFonts w:ascii="Times New Roman" w:hAnsi="Times New Roman"/>
          <w:noProof/>
          <w:sz w:val="24"/>
          <w:lang w:val="pl-PL"/>
        </w:rPr>
        <w:t>Art. 4 dyrektywy stanowi, że „odpowiednio wcześnie przed zawarciem</w:t>
      </w:r>
      <w:r w:rsidR="00D051E2" w:rsidRPr="00D051E2">
        <w:rPr>
          <w:rFonts w:ascii="Times New Roman" w:hAnsi="Times New Roman"/>
          <w:noProof/>
          <w:sz w:val="24"/>
          <w:lang w:val="pl-PL"/>
        </w:rPr>
        <w:t xml:space="preserve"> z kon</w:t>
      </w:r>
      <w:r w:rsidRPr="00D051E2">
        <w:rPr>
          <w:rFonts w:ascii="Times New Roman" w:hAnsi="Times New Roman"/>
          <w:noProof/>
          <w:sz w:val="24"/>
          <w:lang w:val="pl-PL"/>
        </w:rPr>
        <w:t>sumentem umowy rachunku płatniczego dostawcy usług płatniczych [przekazują] konsumentowi</w:t>
      </w:r>
      <w:r w:rsidR="00D051E2" w:rsidRPr="00D051E2">
        <w:rPr>
          <w:rFonts w:ascii="Times New Roman" w:hAnsi="Times New Roman"/>
          <w:noProof/>
          <w:sz w:val="24"/>
          <w:lang w:val="pl-PL"/>
        </w:rPr>
        <w:t xml:space="preserve"> w for</w:t>
      </w:r>
      <w:r w:rsidRPr="00D051E2">
        <w:rPr>
          <w:rFonts w:ascii="Times New Roman" w:hAnsi="Times New Roman"/>
          <w:noProof/>
          <w:sz w:val="24"/>
          <w:lang w:val="pl-PL"/>
        </w:rPr>
        <w:t>mie papierowej lub na innym trwałym nośniku informacji dokument dotyczący opłat zawierający ujednolicone pojęcia” oraz „opłatę za świadczenie każdej usługi” oferowanej przez dostawcę</w:t>
      </w:r>
      <w:r w:rsidR="00D051E2" w:rsidRPr="00D051E2">
        <w:rPr>
          <w:rFonts w:ascii="Times New Roman" w:hAnsi="Times New Roman"/>
          <w:noProof/>
          <w:sz w:val="24"/>
          <w:lang w:val="pl-PL"/>
        </w:rPr>
        <w:t>. W art</w:t>
      </w:r>
      <w:r w:rsidRPr="00D051E2">
        <w:rPr>
          <w:rFonts w:ascii="Times New Roman" w:hAnsi="Times New Roman"/>
          <w:noProof/>
          <w:sz w:val="24"/>
          <w:lang w:val="pl-PL"/>
        </w:rPr>
        <w:t>.</w:t>
      </w:r>
      <w:r w:rsidR="00D051E2" w:rsidRPr="00D051E2">
        <w:rPr>
          <w:rFonts w:ascii="Times New Roman" w:hAnsi="Times New Roman"/>
          <w:noProof/>
          <w:sz w:val="24"/>
          <w:lang w:val="pl-PL"/>
        </w:rPr>
        <w:t> </w:t>
      </w:r>
      <w:r w:rsidRPr="00D051E2">
        <w:rPr>
          <w:rFonts w:ascii="Times New Roman" w:hAnsi="Times New Roman"/>
          <w:noProof/>
          <w:sz w:val="24"/>
          <w:lang w:val="pl-PL"/>
        </w:rPr>
        <w:t>4,</w:t>
      </w:r>
      <w:r w:rsidR="00D051E2" w:rsidRPr="00D051E2">
        <w:rPr>
          <w:rFonts w:ascii="Times New Roman" w:hAnsi="Times New Roman"/>
          <w:noProof/>
          <w:sz w:val="24"/>
          <w:lang w:val="pl-PL"/>
        </w:rPr>
        <w:t xml:space="preserve"> w dro</w:t>
      </w:r>
      <w:r w:rsidRPr="00D051E2">
        <w:rPr>
          <w:rFonts w:ascii="Times New Roman" w:hAnsi="Times New Roman"/>
          <w:noProof/>
          <w:sz w:val="24"/>
          <w:lang w:val="pl-PL"/>
        </w:rPr>
        <w:t>dze rozporządzenia wykonawczego</w:t>
      </w:r>
      <w:r w:rsidRPr="00D051E2">
        <w:rPr>
          <w:rStyle w:val="FootnoteReference"/>
          <w:noProof/>
          <w:lang w:val="pl-PL"/>
        </w:rPr>
        <w:footnoteReference w:id="4"/>
      </w:r>
      <w:r w:rsidRPr="00D051E2">
        <w:rPr>
          <w:rFonts w:ascii="Times New Roman" w:hAnsi="Times New Roman"/>
          <w:noProof/>
          <w:sz w:val="24"/>
          <w:lang w:val="pl-PL"/>
        </w:rPr>
        <w:t>, ustanowiono również dokładne przepisy dotyczące rzeczywistej prezentacji dokumentu dotyczącego opłat</w:t>
      </w:r>
      <w:r w:rsidR="00D051E2" w:rsidRPr="00D051E2">
        <w:rPr>
          <w:rFonts w:ascii="Times New Roman" w:hAnsi="Times New Roman"/>
          <w:noProof/>
          <w:sz w:val="24"/>
          <w:lang w:val="pl-PL"/>
        </w:rPr>
        <w:t xml:space="preserve"> i zob</w:t>
      </w:r>
      <w:r w:rsidRPr="00D051E2">
        <w:rPr>
          <w:rFonts w:ascii="Times New Roman" w:hAnsi="Times New Roman"/>
          <w:noProof/>
          <w:sz w:val="24"/>
          <w:lang w:val="pl-PL"/>
        </w:rPr>
        <w:t>owiązano dostawców usług płatniczych do udostępnienia konsumentom słowniczka zawierającego co najmniej ujednolicone pojęcia,</w:t>
      </w:r>
      <w:r w:rsidR="00D051E2" w:rsidRPr="00D051E2">
        <w:rPr>
          <w:rFonts w:ascii="Times New Roman" w:hAnsi="Times New Roman"/>
          <w:noProof/>
          <w:sz w:val="24"/>
          <w:lang w:val="pl-PL"/>
        </w:rPr>
        <w:t xml:space="preserve"> a tak</w:t>
      </w:r>
      <w:r w:rsidRPr="00D051E2">
        <w:rPr>
          <w:rFonts w:ascii="Times New Roman" w:hAnsi="Times New Roman"/>
          <w:noProof/>
          <w:sz w:val="24"/>
          <w:lang w:val="pl-PL"/>
        </w:rPr>
        <w:t>że powiązane definicje</w:t>
      </w:r>
      <w:r w:rsidR="00D051E2" w:rsidRPr="00D051E2">
        <w:rPr>
          <w:rFonts w:ascii="Times New Roman" w:hAnsi="Times New Roman"/>
          <w:noProof/>
          <w:sz w:val="24"/>
          <w:lang w:val="pl-PL"/>
        </w:rPr>
        <w:t>. W art</w:t>
      </w:r>
      <w:r w:rsidRPr="00D051E2">
        <w:rPr>
          <w:rFonts w:ascii="Times New Roman" w:hAnsi="Times New Roman"/>
          <w:noProof/>
          <w:sz w:val="24"/>
          <w:lang w:val="pl-PL"/>
        </w:rPr>
        <w:t>.</w:t>
      </w:r>
      <w:r w:rsidR="00D051E2" w:rsidRPr="00D051E2">
        <w:rPr>
          <w:rFonts w:ascii="Times New Roman" w:hAnsi="Times New Roman"/>
          <w:noProof/>
          <w:sz w:val="24"/>
          <w:lang w:val="pl-PL"/>
        </w:rPr>
        <w:t> </w:t>
      </w:r>
      <w:r w:rsidRPr="00D051E2">
        <w:rPr>
          <w:rFonts w:ascii="Times New Roman" w:hAnsi="Times New Roman"/>
          <w:noProof/>
          <w:sz w:val="24"/>
          <w:lang w:val="pl-PL"/>
        </w:rPr>
        <w:t>4 na dostawców nałożono również obowiązek zapewniania konsumentom stałego dostępu do dokumentu dotyczącego opłat oraz do słowniczka. Dostęp należy zapewnić</w:t>
      </w:r>
      <w:r w:rsidR="00D051E2" w:rsidRPr="00D051E2">
        <w:rPr>
          <w:rFonts w:ascii="Times New Roman" w:hAnsi="Times New Roman"/>
          <w:noProof/>
          <w:sz w:val="24"/>
          <w:lang w:val="pl-PL"/>
        </w:rPr>
        <w:t xml:space="preserve"> w for</w:t>
      </w:r>
      <w:r w:rsidRPr="00D051E2">
        <w:rPr>
          <w:rFonts w:ascii="Times New Roman" w:hAnsi="Times New Roman"/>
          <w:noProof/>
          <w:sz w:val="24"/>
          <w:lang w:val="pl-PL"/>
        </w:rPr>
        <w:t>mie elektronicznej na stronach internetowych dostawców oraz</w:t>
      </w:r>
      <w:r w:rsidR="00D051E2" w:rsidRPr="00D051E2">
        <w:rPr>
          <w:rFonts w:ascii="Times New Roman" w:hAnsi="Times New Roman"/>
          <w:noProof/>
          <w:sz w:val="24"/>
          <w:lang w:val="pl-PL"/>
        </w:rPr>
        <w:t xml:space="preserve"> w zaj</w:t>
      </w:r>
      <w:r w:rsidRPr="00D051E2">
        <w:rPr>
          <w:rFonts w:ascii="Times New Roman" w:hAnsi="Times New Roman"/>
          <w:noProof/>
          <w:sz w:val="24"/>
          <w:lang w:val="pl-PL"/>
        </w:rPr>
        <w:t>mowanych przez nich lokalach. Ponadto przepis ten zawiera wymóg, aby na wniosek konsumenta dostawcy przekazywali nieodpłatnie</w:t>
      </w:r>
      <w:r w:rsidR="00D051E2" w:rsidRPr="00D051E2">
        <w:rPr>
          <w:rFonts w:ascii="Times New Roman" w:hAnsi="Times New Roman"/>
          <w:noProof/>
          <w:sz w:val="24"/>
          <w:lang w:val="pl-PL"/>
        </w:rPr>
        <w:t xml:space="preserve"> w for</w:t>
      </w:r>
      <w:r w:rsidRPr="00D051E2">
        <w:rPr>
          <w:rFonts w:ascii="Times New Roman" w:hAnsi="Times New Roman"/>
          <w:noProof/>
          <w:sz w:val="24"/>
          <w:lang w:val="pl-PL"/>
        </w:rPr>
        <w:t>mie papierowej lub na innym trwałym nośniku dokument dotyczący opłat</w:t>
      </w:r>
      <w:r w:rsidR="00D051E2" w:rsidRPr="00D051E2">
        <w:rPr>
          <w:rFonts w:ascii="Times New Roman" w:hAnsi="Times New Roman"/>
          <w:noProof/>
          <w:sz w:val="24"/>
          <w:lang w:val="pl-PL"/>
        </w:rPr>
        <w:t xml:space="preserve"> i sło</w:t>
      </w:r>
      <w:r w:rsidRPr="00D051E2">
        <w:rPr>
          <w:rFonts w:ascii="Times New Roman" w:hAnsi="Times New Roman"/>
          <w:noProof/>
          <w:sz w:val="24"/>
          <w:lang w:val="pl-PL"/>
        </w:rPr>
        <w:t>wniczek.</w:t>
      </w:r>
    </w:p>
    <w:p w14:paraId="7B9FFBC1" w14:textId="4FBE411C" w:rsidR="00FA1AC8" w:rsidRPr="00D051E2" w:rsidRDefault="00FA1AC8" w:rsidP="00FA1AC8">
      <w:pPr>
        <w:spacing w:line="240" w:lineRule="auto"/>
        <w:jc w:val="both"/>
        <w:rPr>
          <w:rFonts w:ascii="Times New Roman" w:eastAsia="Calibri" w:hAnsi="Times New Roman" w:cs="Times New Roman"/>
          <w:noProof/>
          <w:sz w:val="24"/>
          <w:lang w:val="pl-PL"/>
        </w:rPr>
      </w:pPr>
      <w:bookmarkStart w:id="24" w:name="_Hlk115684680"/>
      <w:bookmarkEnd w:id="23"/>
      <w:r w:rsidRPr="00D051E2">
        <w:rPr>
          <w:rFonts w:ascii="Times New Roman" w:hAnsi="Times New Roman"/>
          <w:noProof/>
          <w:sz w:val="24"/>
          <w:lang w:val="pl-PL"/>
        </w:rPr>
        <w:t xml:space="preserve">W odniesieniu do </w:t>
      </w:r>
      <w:r w:rsidRPr="00D051E2">
        <w:rPr>
          <w:rFonts w:ascii="Times New Roman" w:hAnsi="Times New Roman"/>
          <w:b/>
          <w:noProof/>
          <w:sz w:val="24"/>
          <w:lang w:val="pl-PL"/>
        </w:rPr>
        <w:t>poziomu przestrzegania przez dostawców usług płatniczych obowiązku przekazywania konsumentom odpowiednio wcześnie dokumentu dotyczącego opłat (art.</w:t>
      </w:r>
      <w:r w:rsidR="00D051E2" w:rsidRPr="00D051E2">
        <w:rPr>
          <w:rFonts w:ascii="Times New Roman" w:hAnsi="Times New Roman"/>
          <w:b/>
          <w:noProof/>
          <w:sz w:val="24"/>
          <w:lang w:val="pl-PL"/>
        </w:rPr>
        <w:t> </w:t>
      </w:r>
      <w:r w:rsidRPr="00D051E2">
        <w:rPr>
          <w:rFonts w:ascii="Times New Roman" w:hAnsi="Times New Roman"/>
          <w:b/>
          <w:noProof/>
          <w:sz w:val="24"/>
          <w:lang w:val="pl-PL"/>
        </w:rPr>
        <w:t>4 ust.</w:t>
      </w:r>
      <w:r w:rsidR="00D051E2" w:rsidRPr="00D051E2">
        <w:rPr>
          <w:rFonts w:ascii="Times New Roman" w:hAnsi="Times New Roman"/>
          <w:b/>
          <w:noProof/>
          <w:sz w:val="24"/>
          <w:lang w:val="pl-PL"/>
        </w:rPr>
        <w:t> </w:t>
      </w:r>
      <w:r w:rsidRPr="00D051E2">
        <w:rPr>
          <w:rFonts w:ascii="Times New Roman" w:hAnsi="Times New Roman"/>
          <w:b/>
          <w:noProof/>
          <w:sz w:val="24"/>
          <w:lang w:val="pl-PL"/>
        </w:rPr>
        <w:t>1)</w:t>
      </w:r>
      <w:r w:rsidRPr="00D051E2">
        <w:rPr>
          <w:rFonts w:ascii="Times New Roman" w:hAnsi="Times New Roman"/>
          <w:noProof/>
          <w:sz w:val="24"/>
          <w:lang w:val="pl-PL"/>
        </w:rPr>
        <w:t xml:space="preserve"> </w:t>
      </w:r>
      <w:r w:rsidRPr="00D051E2">
        <w:rPr>
          <w:rFonts w:ascii="Times New Roman" w:hAnsi="Times New Roman"/>
          <w:noProof/>
          <w:sz w:val="24"/>
          <w:u w:val="single"/>
          <w:lang w:val="pl-PL"/>
        </w:rPr>
        <w:t>ogólnie można stwierdzić, że dostawcy spełniają ten wymóg</w:t>
      </w:r>
      <w:r w:rsidRPr="00D051E2">
        <w:rPr>
          <w:rFonts w:ascii="Times New Roman" w:hAnsi="Times New Roman"/>
          <w:noProof/>
          <w:sz w:val="24"/>
          <w:lang w:val="pl-PL"/>
        </w:rPr>
        <w:t>. Wynika to</w:t>
      </w:r>
      <w:r w:rsidR="00D051E2" w:rsidRPr="00D051E2">
        <w:rPr>
          <w:rFonts w:ascii="Times New Roman" w:hAnsi="Times New Roman"/>
          <w:noProof/>
          <w:sz w:val="24"/>
          <w:lang w:val="pl-PL"/>
        </w:rPr>
        <w:t xml:space="preserve"> z kon</w:t>
      </w:r>
      <w:r w:rsidRPr="00D051E2">
        <w:rPr>
          <w:rFonts w:ascii="Times New Roman" w:hAnsi="Times New Roman"/>
          <w:noProof/>
          <w:sz w:val="24"/>
          <w:lang w:val="pl-PL"/>
        </w:rPr>
        <w:t>troli lub inspekcji na miejscu (BG, FR, CY, LV, PT, SI) albo</w:t>
      </w:r>
      <w:r w:rsidR="00D051E2" w:rsidRPr="00D051E2">
        <w:rPr>
          <w:rFonts w:ascii="Times New Roman" w:hAnsi="Times New Roman"/>
          <w:noProof/>
          <w:sz w:val="24"/>
          <w:lang w:val="pl-PL"/>
        </w:rPr>
        <w:t xml:space="preserve"> z fak</w:t>
      </w:r>
      <w:r w:rsidRPr="00D051E2">
        <w:rPr>
          <w:rFonts w:ascii="Times New Roman" w:hAnsi="Times New Roman"/>
          <w:noProof/>
          <w:sz w:val="24"/>
          <w:lang w:val="pl-PL"/>
        </w:rPr>
        <w:t xml:space="preserve">tu, że nie otrzymano żadnych skarg, co sugeruje, że dostawcy zasadniczo wydają się spełniać ten wymóg (BE, CZ, DK, DE, EE, FR, HR, IT, LT, LU, HU, MT, NL, AT, PL, RO, SK, FI). </w:t>
      </w:r>
    </w:p>
    <w:bookmarkEnd w:id="24"/>
    <w:p w14:paraId="438A0F41" w14:textId="0C3EAC00" w:rsidR="00FA1AC8" w:rsidRPr="00D051E2" w:rsidRDefault="00FA1AC8" w:rsidP="00FA1AC8">
      <w:pPr>
        <w:spacing w:line="240" w:lineRule="auto"/>
        <w:jc w:val="both"/>
        <w:rPr>
          <w:rFonts w:ascii="Times New Roman" w:eastAsia="Calibri" w:hAnsi="Times New Roman" w:cs="Times New Roman"/>
          <w:noProof/>
          <w:sz w:val="24"/>
          <w:lang w:val="pl-PL"/>
        </w:rPr>
      </w:pPr>
      <w:r w:rsidRPr="00D051E2">
        <w:rPr>
          <w:rFonts w:ascii="Times New Roman" w:hAnsi="Times New Roman"/>
          <w:noProof/>
          <w:sz w:val="24"/>
          <w:lang w:val="pl-PL"/>
        </w:rPr>
        <w:t xml:space="preserve">W odniesieniu do </w:t>
      </w:r>
      <w:r w:rsidRPr="00D051E2">
        <w:rPr>
          <w:rFonts w:ascii="Times New Roman" w:hAnsi="Times New Roman"/>
          <w:b/>
          <w:noProof/>
          <w:sz w:val="24"/>
          <w:lang w:val="pl-PL"/>
        </w:rPr>
        <w:t xml:space="preserve">poziomu przestrzegania przez </w:t>
      </w:r>
      <w:bookmarkStart w:id="25" w:name="_Hlk121925504"/>
      <w:r w:rsidRPr="00D051E2">
        <w:rPr>
          <w:rFonts w:ascii="Times New Roman" w:hAnsi="Times New Roman"/>
          <w:b/>
          <w:noProof/>
          <w:sz w:val="24"/>
          <w:lang w:val="pl-PL"/>
        </w:rPr>
        <w:t xml:space="preserve">dostawców usług płatniczych </w:t>
      </w:r>
      <w:bookmarkEnd w:id="25"/>
      <w:r w:rsidRPr="00D051E2">
        <w:rPr>
          <w:rFonts w:ascii="Times New Roman" w:hAnsi="Times New Roman"/>
          <w:b/>
          <w:noProof/>
          <w:sz w:val="24"/>
          <w:lang w:val="pl-PL"/>
        </w:rPr>
        <w:t>obowiązku udostępnienia konsumentom słowniczka zawierającego co najmniej ujednolicone pojęcia (art.</w:t>
      </w:r>
      <w:r w:rsidR="00D051E2" w:rsidRPr="00D051E2">
        <w:rPr>
          <w:rFonts w:ascii="Times New Roman" w:hAnsi="Times New Roman"/>
          <w:b/>
          <w:noProof/>
          <w:sz w:val="24"/>
          <w:lang w:val="pl-PL"/>
        </w:rPr>
        <w:t> </w:t>
      </w:r>
      <w:r w:rsidRPr="00D051E2">
        <w:rPr>
          <w:rFonts w:ascii="Times New Roman" w:hAnsi="Times New Roman"/>
          <w:b/>
          <w:noProof/>
          <w:sz w:val="24"/>
          <w:lang w:val="pl-PL"/>
        </w:rPr>
        <w:t>4 ust.</w:t>
      </w:r>
      <w:r w:rsidR="00D051E2" w:rsidRPr="00D051E2">
        <w:rPr>
          <w:rFonts w:ascii="Times New Roman" w:hAnsi="Times New Roman"/>
          <w:b/>
          <w:noProof/>
          <w:sz w:val="24"/>
          <w:lang w:val="pl-PL"/>
        </w:rPr>
        <w:t> </w:t>
      </w:r>
      <w:r w:rsidRPr="00D051E2">
        <w:rPr>
          <w:rFonts w:ascii="Times New Roman" w:hAnsi="Times New Roman"/>
          <w:b/>
          <w:noProof/>
          <w:sz w:val="24"/>
          <w:lang w:val="pl-PL"/>
        </w:rPr>
        <w:t>4)</w:t>
      </w:r>
      <w:r w:rsidRPr="00D051E2">
        <w:rPr>
          <w:rFonts w:ascii="Times New Roman" w:hAnsi="Times New Roman"/>
          <w:noProof/>
          <w:sz w:val="24"/>
          <w:lang w:val="pl-PL"/>
        </w:rPr>
        <w:t xml:space="preserve"> </w:t>
      </w:r>
      <w:r w:rsidRPr="00D051E2">
        <w:rPr>
          <w:rFonts w:ascii="Times New Roman" w:hAnsi="Times New Roman"/>
          <w:noProof/>
          <w:sz w:val="24"/>
          <w:u w:val="single"/>
          <w:lang w:val="pl-PL"/>
        </w:rPr>
        <w:t>ogólnie można stwierdzić, że dostawcy spełniają ten wymóg</w:t>
      </w:r>
      <w:r w:rsidRPr="00D051E2">
        <w:rPr>
          <w:rFonts w:ascii="Times New Roman" w:hAnsi="Times New Roman"/>
          <w:noProof/>
          <w:sz w:val="24"/>
          <w:lang w:val="pl-PL"/>
        </w:rPr>
        <w:t>. Wynika to</w:t>
      </w:r>
      <w:r w:rsidR="00D051E2" w:rsidRPr="00D051E2">
        <w:rPr>
          <w:rFonts w:ascii="Times New Roman" w:hAnsi="Times New Roman"/>
          <w:noProof/>
          <w:sz w:val="24"/>
          <w:lang w:val="pl-PL"/>
        </w:rPr>
        <w:t xml:space="preserve"> z kon</w:t>
      </w:r>
      <w:r w:rsidRPr="00D051E2">
        <w:rPr>
          <w:rFonts w:ascii="Times New Roman" w:hAnsi="Times New Roman"/>
          <w:noProof/>
          <w:sz w:val="24"/>
          <w:lang w:val="pl-PL"/>
        </w:rPr>
        <w:t>troli lub inspekcji na miejscu (BG, FR, CY, LV, PT, SI) albo</w:t>
      </w:r>
      <w:r w:rsidR="00D051E2" w:rsidRPr="00D051E2">
        <w:rPr>
          <w:rFonts w:ascii="Times New Roman" w:hAnsi="Times New Roman"/>
          <w:noProof/>
          <w:sz w:val="24"/>
          <w:lang w:val="pl-PL"/>
        </w:rPr>
        <w:t xml:space="preserve"> z fak</w:t>
      </w:r>
      <w:r w:rsidRPr="00D051E2">
        <w:rPr>
          <w:rFonts w:ascii="Times New Roman" w:hAnsi="Times New Roman"/>
          <w:noProof/>
          <w:sz w:val="24"/>
          <w:lang w:val="pl-PL"/>
        </w:rPr>
        <w:t>tu, że nie otrzymano żadnych skarg, co sugeruje, że dostawcy usług płatniczych zasadniczo wydają się spełniać ten wymóg (BE, CZ, DK, DE, EE, HR, IT, LT, LU, HU, MT, NL, AT, PL, SK, FI).</w:t>
      </w:r>
    </w:p>
    <w:p w14:paraId="2277F912" w14:textId="3065970C" w:rsidR="00FA1AC8" w:rsidRPr="00D051E2" w:rsidRDefault="00FA1AC8" w:rsidP="00FA1AC8">
      <w:pPr>
        <w:spacing w:line="240" w:lineRule="auto"/>
        <w:jc w:val="both"/>
        <w:rPr>
          <w:rFonts w:ascii="Times New Roman" w:eastAsia="Calibri" w:hAnsi="Times New Roman" w:cs="Times New Roman"/>
          <w:noProof/>
          <w:sz w:val="24"/>
          <w:lang w:val="pl-PL"/>
        </w:rPr>
      </w:pPr>
      <w:bookmarkStart w:id="26" w:name="_Hlk115684756"/>
      <w:r w:rsidRPr="00D051E2">
        <w:rPr>
          <w:rFonts w:ascii="Times New Roman" w:hAnsi="Times New Roman"/>
          <w:noProof/>
          <w:sz w:val="24"/>
          <w:lang w:val="pl-PL"/>
        </w:rPr>
        <w:t xml:space="preserve">W odniesieniu do </w:t>
      </w:r>
      <w:r w:rsidRPr="00D051E2">
        <w:rPr>
          <w:rFonts w:ascii="Times New Roman" w:hAnsi="Times New Roman"/>
          <w:b/>
          <w:noProof/>
          <w:sz w:val="24"/>
          <w:lang w:val="pl-PL"/>
        </w:rPr>
        <w:t>poziomu przestrzegania przez dostawców usług płatniczych wymogu zapewniania konsumentom (i osobom niebędącym klientami) stałego dostępu do dokumentu dotyczącego opłat oraz do słowniczka na ich stronie internetowej</w:t>
      </w:r>
      <w:r w:rsidR="00D051E2" w:rsidRPr="00D051E2">
        <w:rPr>
          <w:rFonts w:ascii="Times New Roman" w:hAnsi="Times New Roman"/>
          <w:b/>
          <w:noProof/>
          <w:sz w:val="24"/>
          <w:lang w:val="pl-PL"/>
        </w:rPr>
        <w:t xml:space="preserve"> i w ich</w:t>
      </w:r>
      <w:r w:rsidRPr="00D051E2">
        <w:rPr>
          <w:rFonts w:ascii="Times New Roman" w:hAnsi="Times New Roman"/>
          <w:b/>
          <w:noProof/>
          <w:sz w:val="24"/>
          <w:lang w:val="pl-PL"/>
        </w:rPr>
        <w:t xml:space="preserve"> lokalach (art.</w:t>
      </w:r>
      <w:r w:rsidR="00D051E2" w:rsidRPr="00D051E2">
        <w:rPr>
          <w:rFonts w:ascii="Times New Roman" w:hAnsi="Times New Roman"/>
          <w:b/>
          <w:noProof/>
          <w:sz w:val="24"/>
          <w:lang w:val="pl-PL"/>
        </w:rPr>
        <w:t> </w:t>
      </w:r>
      <w:r w:rsidRPr="00D051E2">
        <w:rPr>
          <w:rFonts w:ascii="Times New Roman" w:hAnsi="Times New Roman"/>
          <w:b/>
          <w:noProof/>
          <w:sz w:val="24"/>
          <w:lang w:val="pl-PL"/>
        </w:rPr>
        <w:t>4 ust.</w:t>
      </w:r>
      <w:r w:rsidR="00D051E2" w:rsidRPr="00D051E2">
        <w:rPr>
          <w:rFonts w:ascii="Times New Roman" w:hAnsi="Times New Roman"/>
          <w:b/>
          <w:noProof/>
          <w:sz w:val="24"/>
          <w:lang w:val="pl-PL"/>
        </w:rPr>
        <w:t> </w:t>
      </w:r>
      <w:r w:rsidRPr="00D051E2">
        <w:rPr>
          <w:rFonts w:ascii="Times New Roman" w:hAnsi="Times New Roman"/>
          <w:b/>
          <w:noProof/>
          <w:sz w:val="24"/>
          <w:lang w:val="pl-PL"/>
        </w:rPr>
        <w:t>5)</w:t>
      </w:r>
      <w:r w:rsidRPr="00D051E2">
        <w:rPr>
          <w:rFonts w:ascii="Times New Roman" w:hAnsi="Times New Roman"/>
          <w:noProof/>
          <w:sz w:val="24"/>
          <w:lang w:val="pl-PL"/>
        </w:rPr>
        <w:t xml:space="preserve"> </w:t>
      </w:r>
      <w:r w:rsidRPr="00D051E2">
        <w:rPr>
          <w:rFonts w:ascii="Times New Roman" w:hAnsi="Times New Roman"/>
          <w:noProof/>
          <w:sz w:val="24"/>
          <w:u w:val="single"/>
          <w:lang w:val="pl-PL"/>
        </w:rPr>
        <w:t>ogólnie można stwierdzić, że dostawcy usług płatniczych spełniają ten wymóg</w:t>
      </w:r>
      <w:r w:rsidRPr="00D051E2">
        <w:rPr>
          <w:rFonts w:ascii="Times New Roman" w:hAnsi="Times New Roman"/>
          <w:noProof/>
          <w:sz w:val="24"/>
          <w:lang w:val="pl-PL"/>
        </w:rPr>
        <w:t>. Wynika to</w:t>
      </w:r>
      <w:r w:rsidR="00D051E2" w:rsidRPr="00D051E2">
        <w:rPr>
          <w:rFonts w:ascii="Times New Roman" w:hAnsi="Times New Roman"/>
          <w:noProof/>
          <w:sz w:val="24"/>
          <w:lang w:val="pl-PL"/>
        </w:rPr>
        <w:t xml:space="preserve"> z kon</w:t>
      </w:r>
      <w:r w:rsidRPr="00D051E2">
        <w:rPr>
          <w:rFonts w:ascii="Times New Roman" w:hAnsi="Times New Roman"/>
          <w:noProof/>
          <w:sz w:val="24"/>
          <w:lang w:val="pl-PL"/>
        </w:rPr>
        <w:t>troli lub inspekcji na miejscu (BG, FR, CY, LV, PT, SI) albo</w:t>
      </w:r>
      <w:r w:rsidR="00D051E2" w:rsidRPr="00D051E2">
        <w:rPr>
          <w:rFonts w:ascii="Times New Roman" w:hAnsi="Times New Roman"/>
          <w:noProof/>
          <w:sz w:val="24"/>
          <w:lang w:val="pl-PL"/>
        </w:rPr>
        <w:t xml:space="preserve"> z fak</w:t>
      </w:r>
      <w:r w:rsidRPr="00D051E2">
        <w:rPr>
          <w:rFonts w:ascii="Times New Roman" w:hAnsi="Times New Roman"/>
          <w:noProof/>
          <w:sz w:val="24"/>
          <w:lang w:val="pl-PL"/>
        </w:rPr>
        <w:t>tu, że nie otrzymano żadnych skarg, co sugeruje, że dostawcy usług płatniczych zasadniczo wydają się spełniać ten wymóg (BE, CZ, DK, DE, EE, HR, IT, LT, LU, HU, MT, NL, AT, PL, SK, FI).</w:t>
      </w:r>
    </w:p>
    <w:bookmarkEnd w:id="26"/>
    <w:p w14:paraId="6F9AF3D0" w14:textId="4A21D625" w:rsidR="00FA1AC8" w:rsidRPr="00D051E2" w:rsidRDefault="00FA1AC8" w:rsidP="00092414">
      <w:pPr>
        <w:keepNext/>
        <w:numPr>
          <w:ilvl w:val="0"/>
          <w:numId w:val="2"/>
        </w:numPr>
        <w:spacing w:after="200" w:line="240" w:lineRule="auto"/>
        <w:contextualSpacing/>
        <w:jc w:val="both"/>
        <w:rPr>
          <w:rFonts w:ascii="Times New Roman" w:eastAsia="Calibri" w:hAnsi="Times New Roman" w:cs="Times New Roman"/>
          <w:b/>
          <w:noProof/>
          <w:sz w:val="24"/>
          <w:lang w:val="pl-PL"/>
        </w:rPr>
      </w:pPr>
      <w:r w:rsidRPr="00D051E2">
        <w:rPr>
          <w:rFonts w:ascii="Times New Roman" w:hAnsi="Times New Roman"/>
          <w:b/>
          <w:noProof/>
          <w:sz w:val="24"/>
          <w:lang w:val="pl-PL"/>
        </w:rPr>
        <w:t>Art. 5 (Zestawienie opłat)</w:t>
      </w:r>
    </w:p>
    <w:p w14:paraId="26886F52" w14:textId="65E112C1" w:rsidR="00FA1AC8" w:rsidRPr="00D051E2" w:rsidRDefault="00FA1AC8" w:rsidP="00092414">
      <w:pPr>
        <w:keepNext/>
        <w:spacing w:after="200" w:line="240" w:lineRule="auto"/>
        <w:jc w:val="both"/>
        <w:rPr>
          <w:rFonts w:ascii="Times New Roman" w:hAnsi="Times New Roman"/>
          <w:noProof/>
          <w:sz w:val="24"/>
          <w:lang w:val="pl-PL"/>
        </w:rPr>
      </w:pPr>
      <w:r w:rsidRPr="00D051E2">
        <w:rPr>
          <w:rFonts w:ascii="Times New Roman" w:hAnsi="Times New Roman"/>
          <w:noProof/>
          <w:sz w:val="24"/>
          <w:lang w:val="pl-PL"/>
        </w:rPr>
        <w:t>W art.</w:t>
      </w:r>
      <w:r w:rsidR="00D051E2" w:rsidRPr="00D051E2">
        <w:rPr>
          <w:rFonts w:ascii="Times New Roman" w:hAnsi="Times New Roman"/>
          <w:noProof/>
          <w:sz w:val="24"/>
          <w:lang w:val="pl-PL"/>
        </w:rPr>
        <w:t> </w:t>
      </w:r>
      <w:r w:rsidRPr="00D051E2">
        <w:rPr>
          <w:rFonts w:ascii="Times New Roman" w:hAnsi="Times New Roman"/>
          <w:noProof/>
          <w:sz w:val="24"/>
          <w:lang w:val="pl-PL"/>
        </w:rPr>
        <w:t>5 dyrektywy określono obowiązek związany</w:t>
      </w:r>
      <w:r w:rsidR="00D051E2" w:rsidRPr="00D051E2">
        <w:rPr>
          <w:rFonts w:ascii="Times New Roman" w:hAnsi="Times New Roman"/>
          <w:noProof/>
          <w:sz w:val="24"/>
          <w:lang w:val="pl-PL"/>
        </w:rPr>
        <w:t xml:space="preserve"> z prz</w:t>
      </w:r>
      <w:r w:rsidRPr="00D051E2">
        <w:rPr>
          <w:rFonts w:ascii="Times New Roman" w:hAnsi="Times New Roman"/>
          <w:noProof/>
          <w:sz w:val="24"/>
          <w:lang w:val="pl-PL"/>
        </w:rPr>
        <w:t>ekazywaniem zestawienia opłat</w:t>
      </w:r>
      <w:r w:rsidR="00D051E2" w:rsidRPr="00D051E2">
        <w:rPr>
          <w:rFonts w:ascii="Times New Roman" w:hAnsi="Times New Roman"/>
          <w:noProof/>
          <w:sz w:val="24"/>
          <w:lang w:val="pl-PL"/>
        </w:rPr>
        <w:t>. W zwi</w:t>
      </w:r>
      <w:r w:rsidRPr="00D051E2">
        <w:rPr>
          <w:rFonts w:ascii="Times New Roman" w:hAnsi="Times New Roman"/>
          <w:noProof/>
          <w:sz w:val="24"/>
          <w:lang w:val="pl-PL"/>
        </w:rPr>
        <w:t>ązku</w:t>
      </w:r>
      <w:r w:rsidR="00D051E2" w:rsidRPr="00D051E2">
        <w:rPr>
          <w:rFonts w:ascii="Times New Roman" w:hAnsi="Times New Roman"/>
          <w:noProof/>
          <w:sz w:val="24"/>
          <w:lang w:val="pl-PL"/>
        </w:rPr>
        <w:t xml:space="preserve"> z tym</w:t>
      </w:r>
      <w:r w:rsidRPr="00D051E2">
        <w:rPr>
          <w:rFonts w:ascii="Times New Roman" w:hAnsi="Times New Roman"/>
          <w:noProof/>
          <w:sz w:val="24"/>
          <w:lang w:val="pl-PL"/>
        </w:rPr>
        <w:t xml:space="preserve"> Komisja przyjęła rozporządzenie wykonawcze</w:t>
      </w:r>
      <w:r w:rsidRPr="00D051E2">
        <w:rPr>
          <w:rStyle w:val="FootnoteReference"/>
          <w:noProof/>
          <w:lang w:val="pl-PL"/>
        </w:rPr>
        <w:footnoteReference w:id="5"/>
      </w:r>
      <w:r w:rsidRPr="00D051E2">
        <w:rPr>
          <w:rFonts w:ascii="Times New Roman" w:hAnsi="Times New Roman"/>
          <w:noProof/>
          <w:sz w:val="24"/>
          <w:lang w:val="pl-PL"/>
        </w:rPr>
        <w:t>,</w:t>
      </w:r>
      <w:r w:rsidR="00D051E2" w:rsidRPr="00D051E2">
        <w:rPr>
          <w:rFonts w:ascii="Times New Roman" w:hAnsi="Times New Roman"/>
          <w:noProof/>
          <w:sz w:val="24"/>
          <w:lang w:val="pl-PL"/>
        </w:rPr>
        <w:t xml:space="preserve"> w któ</w:t>
      </w:r>
      <w:r w:rsidRPr="00D051E2">
        <w:rPr>
          <w:rFonts w:ascii="Times New Roman" w:hAnsi="Times New Roman"/>
          <w:noProof/>
          <w:sz w:val="24"/>
          <w:lang w:val="pl-PL"/>
        </w:rPr>
        <w:t>rym ustanowiono ujednolicony format zestawienia opłat</w:t>
      </w:r>
      <w:r w:rsidR="00D051E2" w:rsidRPr="00D051E2">
        <w:rPr>
          <w:rFonts w:ascii="Times New Roman" w:hAnsi="Times New Roman"/>
          <w:noProof/>
          <w:sz w:val="24"/>
          <w:lang w:val="pl-PL"/>
        </w:rPr>
        <w:t xml:space="preserve"> i jeg</w:t>
      </w:r>
      <w:r w:rsidRPr="00D051E2">
        <w:rPr>
          <w:rFonts w:ascii="Times New Roman" w:hAnsi="Times New Roman"/>
          <w:noProof/>
          <w:sz w:val="24"/>
          <w:lang w:val="pl-PL"/>
        </w:rPr>
        <w:t>o wspólny symbol. Art. 5 stanowi, że dostawcy usług płatniczych przekazują konsumentom przynajmniej corocznie</w:t>
      </w:r>
      <w:r w:rsidR="00D051E2" w:rsidRPr="00D051E2">
        <w:rPr>
          <w:rFonts w:ascii="Times New Roman" w:hAnsi="Times New Roman"/>
          <w:noProof/>
          <w:sz w:val="24"/>
          <w:lang w:val="pl-PL"/>
        </w:rPr>
        <w:t xml:space="preserve"> i bez</w:t>
      </w:r>
      <w:r w:rsidRPr="00D051E2">
        <w:rPr>
          <w:rFonts w:ascii="Times New Roman" w:hAnsi="Times New Roman"/>
          <w:noProof/>
          <w:sz w:val="24"/>
          <w:lang w:val="pl-PL"/>
        </w:rPr>
        <w:t>płatnie zestawienie wszystkich pobranych opłat dotyczące usług powiązanych</w:t>
      </w:r>
      <w:r w:rsidR="00D051E2" w:rsidRPr="00D051E2">
        <w:rPr>
          <w:rFonts w:ascii="Times New Roman" w:hAnsi="Times New Roman"/>
          <w:noProof/>
          <w:sz w:val="24"/>
          <w:lang w:val="pl-PL"/>
        </w:rPr>
        <w:t xml:space="preserve"> z rac</w:t>
      </w:r>
      <w:r w:rsidRPr="00D051E2">
        <w:rPr>
          <w:rFonts w:ascii="Times New Roman" w:hAnsi="Times New Roman"/>
          <w:noProof/>
          <w:sz w:val="24"/>
          <w:lang w:val="pl-PL"/>
        </w:rPr>
        <w:t>hunkiem płatniczym.</w:t>
      </w:r>
    </w:p>
    <w:p w14:paraId="5B2360E6" w14:textId="0D3C7DAE" w:rsidR="00FA1AC8" w:rsidRPr="00D051E2" w:rsidRDefault="00FA1AC8" w:rsidP="00FA1AC8">
      <w:pPr>
        <w:spacing w:line="240" w:lineRule="auto"/>
        <w:jc w:val="both"/>
        <w:rPr>
          <w:rFonts w:ascii="Times New Roman" w:eastAsia="Calibri" w:hAnsi="Times New Roman" w:cs="Times New Roman"/>
          <w:noProof/>
          <w:sz w:val="24"/>
          <w:lang w:val="pl-PL"/>
        </w:rPr>
      </w:pPr>
      <w:r w:rsidRPr="00D051E2">
        <w:rPr>
          <w:rFonts w:ascii="Times New Roman" w:hAnsi="Times New Roman"/>
          <w:noProof/>
          <w:sz w:val="24"/>
          <w:lang w:val="pl-PL"/>
        </w:rPr>
        <w:t xml:space="preserve">W odniesieniu do </w:t>
      </w:r>
      <w:r w:rsidRPr="00D051E2">
        <w:rPr>
          <w:rFonts w:ascii="Times New Roman" w:hAnsi="Times New Roman"/>
          <w:b/>
          <w:noProof/>
          <w:sz w:val="24"/>
          <w:lang w:val="pl-PL"/>
        </w:rPr>
        <w:t>poziomu przestrzegania przez dostawców usług płatniczych obowiązku przekazywania konsumentom przynajmniej corocznie</w:t>
      </w:r>
      <w:r w:rsidR="00D051E2" w:rsidRPr="00D051E2">
        <w:rPr>
          <w:rFonts w:ascii="Times New Roman" w:hAnsi="Times New Roman"/>
          <w:b/>
          <w:noProof/>
          <w:sz w:val="24"/>
          <w:lang w:val="pl-PL"/>
        </w:rPr>
        <w:t xml:space="preserve"> i bez</w:t>
      </w:r>
      <w:r w:rsidRPr="00D051E2">
        <w:rPr>
          <w:rFonts w:ascii="Times New Roman" w:hAnsi="Times New Roman"/>
          <w:b/>
          <w:noProof/>
          <w:sz w:val="24"/>
          <w:lang w:val="pl-PL"/>
        </w:rPr>
        <w:t>płatnie zestawienia wszystkich pobranych opłat (art.</w:t>
      </w:r>
      <w:r w:rsidR="00D051E2" w:rsidRPr="00D051E2">
        <w:rPr>
          <w:rFonts w:ascii="Times New Roman" w:hAnsi="Times New Roman"/>
          <w:b/>
          <w:noProof/>
          <w:sz w:val="24"/>
          <w:lang w:val="pl-PL"/>
        </w:rPr>
        <w:t> </w:t>
      </w:r>
      <w:r w:rsidRPr="00D051E2">
        <w:rPr>
          <w:rFonts w:ascii="Times New Roman" w:hAnsi="Times New Roman"/>
          <w:b/>
          <w:noProof/>
          <w:sz w:val="24"/>
          <w:lang w:val="pl-PL"/>
        </w:rPr>
        <w:t>5 ust.</w:t>
      </w:r>
      <w:r w:rsidR="00D051E2" w:rsidRPr="00D051E2">
        <w:rPr>
          <w:rFonts w:ascii="Times New Roman" w:hAnsi="Times New Roman"/>
          <w:b/>
          <w:noProof/>
          <w:sz w:val="24"/>
          <w:lang w:val="pl-PL"/>
        </w:rPr>
        <w:t> </w:t>
      </w:r>
      <w:r w:rsidRPr="00D051E2">
        <w:rPr>
          <w:rFonts w:ascii="Times New Roman" w:hAnsi="Times New Roman"/>
          <w:b/>
          <w:noProof/>
          <w:sz w:val="24"/>
          <w:lang w:val="pl-PL"/>
        </w:rPr>
        <w:t>1)</w:t>
      </w:r>
      <w:r w:rsidRPr="00D051E2">
        <w:rPr>
          <w:rFonts w:ascii="Times New Roman" w:hAnsi="Times New Roman"/>
          <w:noProof/>
          <w:sz w:val="24"/>
          <w:lang w:val="pl-PL"/>
        </w:rPr>
        <w:t xml:space="preserve"> </w:t>
      </w:r>
      <w:r w:rsidRPr="00D051E2">
        <w:rPr>
          <w:rFonts w:ascii="Times New Roman" w:hAnsi="Times New Roman"/>
          <w:noProof/>
          <w:sz w:val="24"/>
          <w:u w:val="single"/>
          <w:lang w:val="pl-PL"/>
        </w:rPr>
        <w:t>ogólnie można stwierdzić, że dostawcy spełniają ten wymóg</w:t>
      </w:r>
      <w:r w:rsidRPr="00D051E2">
        <w:rPr>
          <w:rFonts w:ascii="Times New Roman" w:hAnsi="Times New Roman"/>
          <w:noProof/>
          <w:sz w:val="24"/>
          <w:lang w:val="pl-PL"/>
        </w:rPr>
        <w:t>. Wynika to</w:t>
      </w:r>
      <w:r w:rsidR="00D051E2" w:rsidRPr="00D051E2">
        <w:rPr>
          <w:rFonts w:ascii="Times New Roman" w:hAnsi="Times New Roman"/>
          <w:noProof/>
          <w:sz w:val="24"/>
          <w:lang w:val="pl-PL"/>
        </w:rPr>
        <w:t xml:space="preserve"> z kon</w:t>
      </w:r>
      <w:r w:rsidRPr="00D051E2">
        <w:rPr>
          <w:rFonts w:ascii="Times New Roman" w:hAnsi="Times New Roman"/>
          <w:noProof/>
          <w:sz w:val="24"/>
          <w:lang w:val="pl-PL"/>
        </w:rPr>
        <w:t>troli lub inspekcji na miejscu (AT, SI) albo</w:t>
      </w:r>
      <w:r w:rsidR="00D051E2" w:rsidRPr="00D051E2">
        <w:rPr>
          <w:rFonts w:ascii="Times New Roman" w:hAnsi="Times New Roman"/>
          <w:noProof/>
          <w:sz w:val="24"/>
          <w:lang w:val="pl-PL"/>
        </w:rPr>
        <w:t xml:space="preserve"> z fak</w:t>
      </w:r>
      <w:r w:rsidRPr="00D051E2">
        <w:rPr>
          <w:rFonts w:ascii="Times New Roman" w:hAnsi="Times New Roman"/>
          <w:noProof/>
          <w:sz w:val="24"/>
          <w:lang w:val="pl-PL"/>
        </w:rPr>
        <w:t>tu, że nie otrzymano żadnych skarg, co sugeruje, że dostawcy zasadniczo wydają się spełniać ten wymóg (BE, BG, CZ, DK, DE, EE, IE, EL, FR, HR, IT, CY, LV, LT, LU, HU, MT, NL, PL, SK, FI).</w:t>
      </w:r>
    </w:p>
    <w:p w14:paraId="774935A9" w14:textId="3B71211E" w:rsidR="00FA1AC8" w:rsidRPr="00D051E2" w:rsidRDefault="00FA1AC8" w:rsidP="00FA1AC8">
      <w:pPr>
        <w:spacing w:line="240" w:lineRule="auto"/>
        <w:jc w:val="both"/>
        <w:rPr>
          <w:rFonts w:ascii="Times New Roman" w:eastAsia="Calibri" w:hAnsi="Times New Roman" w:cs="Times New Roman"/>
          <w:noProof/>
          <w:sz w:val="24"/>
          <w:lang w:val="pl-PL"/>
        </w:rPr>
      </w:pPr>
      <w:r w:rsidRPr="00D051E2">
        <w:rPr>
          <w:rFonts w:ascii="Times New Roman" w:hAnsi="Times New Roman"/>
          <w:noProof/>
          <w:sz w:val="24"/>
          <w:lang w:val="pl-PL"/>
        </w:rPr>
        <w:t xml:space="preserve">Większość państw członkowskich poinformowała Komisję, że nie podjęto żadnych </w:t>
      </w:r>
      <w:r w:rsidRPr="00D051E2">
        <w:rPr>
          <w:rFonts w:ascii="Times New Roman" w:hAnsi="Times New Roman"/>
          <w:b/>
          <w:noProof/>
          <w:sz w:val="24"/>
          <w:lang w:val="pl-PL"/>
        </w:rPr>
        <w:t>działań</w:t>
      </w:r>
      <w:r w:rsidR="00D051E2" w:rsidRPr="00D051E2">
        <w:rPr>
          <w:rFonts w:ascii="Times New Roman" w:hAnsi="Times New Roman"/>
          <w:b/>
          <w:noProof/>
          <w:sz w:val="24"/>
          <w:lang w:val="pl-PL"/>
        </w:rPr>
        <w:t xml:space="preserve"> w zak</w:t>
      </w:r>
      <w:r w:rsidRPr="00D051E2">
        <w:rPr>
          <w:rFonts w:ascii="Times New Roman" w:hAnsi="Times New Roman"/>
          <w:b/>
          <w:noProof/>
          <w:sz w:val="24"/>
          <w:lang w:val="pl-PL"/>
        </w:rPr>
        <w:t>resie egzekwowania</w:t>
      </w:r>
      <w:r w:rsidR="00D051E2" w:rsidRPr="00D051E2">
        <w:rPr>
          <w:rFonts w:ascii="Times New Roman" w:hAnsi="Times New Roman"/>
          <w:b/>
          <w:noProof/>
          <w:sz w:val="24"/>
          <w:lang w:val="pl-PL"/>
        </w:rPr>
        <w:t xml:space="preserve"> w zwi</w:t>
      </w:r>
      <w:r w:rsidRPr="00D051E2">
        <w:rPr>
          <w:rFonts w:ascii="Times New Roman" w:hAnsi="Times New Roman"/>
          <w:b/>
          <w:noProof/>
          <w:sz w:val="24"/>
          <w:lang w:val="pl-PL"/>
        </w:rPr>
        <w:t>ązku</w:t>
      </w:r>
      <w:r w:rsidR="00D051E2" w:rsidRPr="00D051E2">
        <w:rPr>
          <w:rFonts w:ascii="Times New Roman" w:hAnsi="Times New Roman"/>
          <w:b/>
          <w:noProof/>
          <w:sz w:val="24"/>
          <w:lang w:val="pl-PL"/>
        </w:rPr>
        <w:t xml:space="preserve"> z nar</w:t>
      </w:r>
      <w:r w:rsidRPr="00D051E2">
        <w:rPr>
          <w:rFonts w:ascii="Times New Roman" w:hAnsi="Times New Roman"/>
          <w:b/>
          <w:noProof/>
          <w:sz w:val="24"/>
          <w:lang w:val="pl-PL"/>
        </w:rPr>
        <w:t>uszeniami art.</w:t>
      </w:r>
      <w:r w:rsidR="00D051E2" w:rsidRPr="00D051E2">
        <w:rPr>
          <w:rFonts w:ascii="Times New Roman" w:hAnsi="Times New Roman"/>
          <w:b/>
          <w:noProof/>
          <w:sz w:val="24"/>
          <w:lang w:val="pl-PL"/>
        </w:rPr>
        <w:t> </w:t>
      </w:r>
      <w:r w:rsidRPr="00D051E2">
        <w:rPr>
          <w:rFonts w:ascii="Times New Roman" w:hAnsi="Times New Roman"/>
          <w:b/>
          <w:noProof/>
          <w:sz w:val="24"/>
          <w:lang w:val="pl-PL"/>
        </w:rPr>
        <w:t xml:space="preserve">5. Kilka państw członkowskich </w:t>
      </w:r>
      <w:r w:rsidRPr="00D051E2">
        <w:rPr>
          <w:rFonts w:ascii="Times New Roman" w:hAnsi="Times New Roman"/>
          <w:noProof/>
          <w:sz w:val="24"/>
          <w:lang w:val="pl-PL"/>
        </w:rPr>
        <w:t>(DE, IE, FR, HU, NL) zwróciło uwagę na początkowe problemy związane</w:t>
      </w:r>
      <w:r w:rsidR="00D051E2" w:rsidRPr="00D051E2">
        <w:rPr>
          <w:rFonts w:ascii="Times New Roman" w:hAnsi="Times New Roman"/>
          <w:noProof/>
          <w:sz w:val="24"/>
          <w:lang w:val="pl-PL"/>
        </w:rPr>
        <w:t xml:space="preserve"> z ter</w:t>
      </w:r>
      <w:r w:rsidRPr="00D051E2">
        <w:rPr>
          <w:rFonts w:ascii="Times New Roman" w:hAnsi="Times New Roman"/>
          <w:noProof/>
          <w:sz w:val="24"/>
          <w:lang w:val="pl-PL"/>
        </w:rPr>
        <w:t>minem wdrożenia</w:t>
      </w:r>
      <w:r w:rsidR="00D051E2" w:rsidRPr="00D051E2">
        <w:rPr>
          <w:rFonts w:ascii="Times New Roman" w:hAnsi="Times New Roman"/>
          <w:noProof/>
          <w:sz w:val="24"/>
          <w:lang w:val="pl-PL"/>
        </w:rPr>
        <w:t>. W tyc</w:t>
      </w:r>
      <w:r w:rsidRPr="00D051E2">
        <w:rPr>
          <w:rFonts w:ascii="Times New Roman" w:hAnsi="Times New Roman"/>
          <w:noProof/>
          <w:sz w:val="24"/>
          <w:lang w:val="pl-PL"/>
        </w:rPr>
        <w:t>h przypadkach do odpowiednich dostawców usług skierowano ostrzeżenia na gruncie przepisów</w:t>
      </w:r>
      <w:r w:rsidR="00D051E2" w:rsidRPr="00D051E2">
        <w:rPr>
          <w:rFonts w:ascii="Times New Roman" w:hAnsi="Times New Roman"/>
          <w:noProof/>
          <w:sz w:val="24"/>
          <w:lang w:val="pl-PL"/>
        </w:rPr>
        <w:t xml:space="preserve"> o och</w:t>
      </w:r>
      <w:r w:rsidRPr="00D051E2">
        <w:rPr>
          <w:rFonts w:ascii="Times New Roman" w:hAnsi="Times New Roman"/>
          <w:noProof/>
          <w:sz w:val="24"/>
          <w:lang w:val="pl-PL"/>
        </w:rPr>
        <w:t>ronie konsumentów, wzywając do niezwłocznego zastosowania się do przepisów prawa. Irlandia wyjaśniła, że chociaż niektóre detaliczne instytucje kredytowe miały problemy</w:t>
      </w:r>
      <w:r w:rsidR="00D051E2" w:rsidRPr="00D051E2">
        <w:rPr>
          <w:rFonts w:ascii="Times New Roman" w:hAnsi="Times New Roman"/>
          <w:noProof/>
          <w:sz w:val="24"/>
          <w:lang w:val="pl-PL"/>
        </w:rPr>
        <w:t xml:space="preserve"> z dot</w:t>
      </w:r>
      <w:r w:rsidRPr="00D051E2">
        <w:rPr>
          <w:rFonts w:ascii="Times New Roman" w:hAnsi="Times New Roman"/>
          <w:noProof/>
          <w:sz w:val="24"/>
          <w:lang w:val="pl-PL"/>
        </w:rPr>
        <w:t>rzymaniem terminu 31 października 2019</w:t>
      </w:r>
      <w:r w:rsidR="00D051E2" w:rsidRPr="00D051E2">
        <w:rPr>
          <w:rFonts w:ascii="Times New Roman" w:hAnsi="Times New Roman"/>
          <w:noProof/>
          <w:sz w:val="24"/>
          <w:lang w:val="pl-PL"/>
        </w:rPr>
        <w:t> </w:t>
      </w:r>
      <w:r w:rsidRPr="00D051E2">
        <w:rPr>
          <w:rFonts w:ascii="Times New Roman" w:hAnsi="Times New Roman"/>
          <w:noProof/>
          <w:sz w:val="24"/>
          <w:lang w:val="pl-PL"/>
        </w:rPr>
        <w:t>r. ze względu na ograniczenia systemowe/informatyczne, wprowadzono tymczasowe rozwiązania</w:t>
      </w:r>
      <w:r w:rsidR="00D051E2" w:rsidRPr="00D051E2">
        <w:rPr>
          <w:rFonts w:ascii="Times New Roman" w:hAnsi="Times New Roman"/>
          <w:noProof/>
          <w:sz w:val="24"/>
          <w:lang w:val="pl-PL"/>
        </w:rPr>
        <w:t xml:space="preserve"> i pop</w:t>
      </w:r>
      <w:r w:rsidRPr="00D051E2">
        <w:rPr>
          <w:rFonts w:ascii="Times New Roman" w:hAnsi="Times New Roman"/>
          <w:noProof/>
          <w:sz w:val="24"/>
          <w:lang w:val="pl-PL"/>
        </w:rPr>
        <w:t>rawki systemowe,</w:t>
      </w:r>
      <w:r w:rsidR="00D051E2" w:rsidRPr="00D051E2">
        <w:rPr>
          <w:rFonts w:ascii="Times New Roman" w:hAnsi="Times New Roman"/>
          <w:noProof/>
          <w:sz w:val="24"/>
          <w:lang w:val="pl-PL"/>
        </w:rPr>
        <w:t xml:space="preserve"> w zwi</w:t>
      </w:r>
      <w:r w:rsidRPr="00D051E2">
        <w:rPr>
          <w:rFonts w:ascii="Times New Roman" w:hAnsi="Times New Roman"/>
          <w:noProof/>
          <w:sz w:val="24"/>
          <w:lang w:val="pl-PL"/>
        </w:rPr>
        <w:t>ązku</w:t>
      </w:r>
      <w:r w:rsidR="00D051E2" w:rsidRPr="00D051E2">
        <w:rPr>
          <w:rFonts w:ascii="Times New Roman" w:hAnsi="Times New Roman"/>
          <w:noProof/>
          <w:sz w:val="24"/>
          <w:lang w:val="pl-PL"/>
        </w:rPr>
        <w:t xml:space="preserve"> z czy</w:t>
      </w:r>
      <w:r w:rsidRPr="00D051E2">
        <w:rPr>
          <w:rFonts w:ascii="Times New Roman" w:hAnsi="Times New Roman"/>
          <w:noProof/>
          <w:sz w:val="24"/>
          <w:lang w:val="pl-PL"/>
        </w:rPr>
        <w:t>m do tej pory nie podjęto żadnych działań</w:t>
      </w:r>
      <w:r w:rsidR="00D051E2" w:rsidRPr="00D051E2">
        <w:rPr>
          <w:rFonts w:ascii="Times New Roman" w:hAnsi="Times New Roman"/>
          <w:noProof/>
          <w:sz w:val="24"/>
          <w:lang w:val="pl-PL"/>
        </w:rPr>
        <w:t xml:space="preserve"> w zak</w:t>
      </w:r>
      <w:r w:rsidRPr="00D051E2">
        <w:rPr>
          <w:rFonts w:ascii="Times New Roman" w:hAnsi="Times New Roman"/>
          <w:noProof/>
          <w:sz w:val="24"/>
          <w:lang w:val="pl-PL"/>
        </w:rPr>
        <w:t>resie egzekwowania. Niderlandy wyjaśniły, że postanowiły omówić problematyczne kwestie</w:t>
      </w:r>
      <w:r w:rsidR="00D051E2" w:rsidRPr="00D051E2">
        <w:rPr>
          <w:rFonts w:ascii="Times New Roman" w:hAnsi="Times New Roman"/>
          <w:noProof/>
          <w:sz w:val="24"/>
          <w:lang w:val="pl-PL"/>
        </w:rPr>
        <w:t xml:space="preserve"> z dos</w:t>
      </w:r>
      <w:r w:rsidRPr="00D051E2">
        <w:rPr>
          <w:rFonts w:ascii="Times New Roman" w:hAnsi="Times New Roman"/>
          <w:noProof/>
          <w:sz w:val="24"/>
          <w:lang w:val="pl-PL"/>
        </w:rPr>
        <w:t>tawcami usług płatniczych</w:t>
      </w:r>
      <w:r w:rsidR="00D051E2" w:rsidRPr="00D051E2">
        <w:rPr>
          <w:rFonts w:ascii="Times New Roman" w:hAnsi="Times New Roman"/>
          <w:noProof/>
          <w:sz w:val="24"/>
          <w:lang w:val="pl-PL"/>
        </w:rPr>
        <w:t xml:space="preserve"> w spo</w:t>
      </w:r>
      <w:r w:rsidRPr="00D051E2">
        <w:rPr>
          <w:rFonts w:ascii="Times New Roman" w:hAnsi="Times New Roman"/>
          <w:noProof/>
          <w:sz w:val="24"/>
          <w:lang w:val="pl-PL"/>
        </w:rPr>
        <w:t>sób nieformalny (bez podejmowania formalnych działań</w:t>
      </w:r>
      <w:r w:rsidR="00D051E2" w:rsidRPr="00D051E2">
        <w:rPr>
          <w:rFonts w:ascii="Times New Roman" w:hAnsi="Times New Roman"/>
          <w:noProof/>
          <w:sz w:val="24"/>
          <w:lang w:val="pl-PL"/>
        </w:rPr>
        <w:t xml:space="preserve"> w zak</w:t>
      </w:r>
      <w:r w:rsidRPr="00D051E2">
        <w:rPr>
          <w:rFonts w:ascii="Times New Roman" w:hAnsi="Times New Roman"/>
          <w:noProof/>
          <w:sz w:val="24"/>
          <w:lang w:val="pl-PL"/>
        </w:rPr>
        <w:t>resie egzekwowania). W 2019</w:t>
      </w:r>
      <w:r w:rsidR="00D051E2" w:rsidRPr="00D051E2">
        <w:rPr>
          <w:rFonts w:ascii="Times New Roman" w:hAnsi="Times New Roman"/>
          <w:noProof/>
          <w:sz w:val="24"/>
          <w:lang w:val="pl-PL"/>
        </w:rPr>
        <w:t> </w:t>
      </w:r>
      <w:r w:rsidRPr="00D051E2">
        <w:rPr>
          <w:rFonts w:ascii="Times New Roman" w:hAnsi="Times New Roman"/>
          <w:noProof/>
          <w:sz w:val="24"/>
          <w:lang w:val="pl-PL"/>
        </w:rPr>
        <w:t>r. Portugalia skierowała 227 konkretnych nakazów do</w:t>
      </w:r>
      <w:r w:rsidR="00D051E2" w:rsidRPr="00D051E2">
        <w:rPr>
          <w:rFonts w:ascii="Times New Roman" w:hAnsi="Times New Roman"/>
          <w:noProof/>
          <w:sz w:val="24"/>
          <w:lang w:val="pl-PL"/>
        </w:rPr>
        <w:t> </w:t>
      </w:r>
      <w:r w:rsidRPr="00D051E2">
        <w:rPr>
          <w:rFonts w:ascii="Times New Roman" w:hAnsi="Times New Roman"/>
          <w:noProof/>
          <w:sz w:val="24"/>
          <w:lang w:val="pl-PL"/>
        </w:rPr>
        <w:t>115 dostawców usług płatniczych</w:t>
      </w:r>
      <w:r w:rsidR="00D051E2" w:rsidRPr="00D051E2">
        <w:rPr>
          <w:rFonts w:ascii="Times New Roman" w:hAnsi="Times New Roman"/>
          <w:noProof/>
          <w:sz w:val="24"/>
          <w:lang w:val="pl-PL"/>
        </w:rPr>
        <w:t xml:space="preserve"> w zwi</w:t>
      </w:r>
      <w:r w:rsidRPr="00D051E2">
        <w:rPr>
          <w:rFonts w:ascii="Times New Roman" w:hAnsi="Times New Roman"/>
          <w:noProof/>
          <w:sz w:val="24"/>
          <w:lang w:val="pl-PL"/>
        </w:rPr>
        <w:t>ązku</w:t>
      </w:r>
      <w:r w:rsidR="00D051E2" w:rsidRPr="00D051E2">
        <w:rPr>
          <w:rFonts w:ascii="Times New Roman" w:hAnsi="Times New Roman"/>
          <w:noProof/>
          <w:sz w:val="24"/>
          <w:lang w:val="pl-PL"/>
        </w:rPr>
        <w:t xml:space="preserve"> z nie</w:t>
      </w:r>
      <w:r w:rsidRPr="00D051E2">
        <w:rPr>
          <w:rFonts w:ascii="Times New Roman" w:hAnsi="Times New Roman"/>
          <w:noProof/>
          <w:sz w:val="24"/>
          <w:lang w:val="pl-PL"/>
        </w:rPr>
        <w:t>przestrzeganiem art.</w:t>
      </w:r>
      <w:r w:rsidR="00D051E2" w:rsidRPr="00D051E2">
        <w:rPr>
          <w:rFonts w:ascii="Times New Roman" w:hAnsi="Times New Roman"/>
          <w:noProof/>
          <w:sz w:val="24"/>
          <w:lang w:val="pl-PL"/>
        </w:rPr>
        <w:t> </w:t>
      </w:r>
      <w:r w:rsidRPr="00D051E2">
        <w:rPr>
          <w:rFonts w:ascii="Times New Roman" w:hAnsi="Times New Roman"/>
          <w:noProof/>
          <w:sz w:val="24"/>
          <w:lang w:val="pl-PL"/>
        </w:rPr>
        <w:t>5; wykryte nieprawidłowości</w:t>
      </w:r>
      <w:r w:rsidR="00D051E2" w:rsidRPr="00D051E2">
        <w:rPr>
          <w:rFonts w:ascii="Times New Roman" w:hAnsi="Times New Roman"/>
          <w:noProof/>
          <w:sz w:val="24"/>
          <w:lang w:val="pl-PL"/>
        </w:rPr>
        <w:t xml:space="preserve"> i nie</w:t>
      </w:r>
      <w:r w:rsidRPr="00D051E2">
        <w:rPr>
          <w:rFonts w:ascii="Times New Roman" w:hAnsi="Times New Roman"/>
          <w:noProof/>
          <w:sz w:val="24"/>
          <w:lang w:val="pl-PL"/>
        </w:rPr>
        <w:t>zgodności odnosiły się głównie do przepisów mających zastosowanie do przekazywania zestawienia opłat oraz do jego wzoru</w:t>
      </w:r>
      <w:r w:rsidR="00D051E2" w:rsidRPr="00D051E2">
        <w:rPr>
          <w:rFonts w:ascii="Times New Roman" w:hAnsi="Times New Roman"/>
          <w:noProof/>
          <w:sz w:val="24"/>
          <w:lang w:val="pl-PL"/>
        </w:rPr>
        <w:t xml:space="preserve"> i wym</w:t>
      </w:r>
      <w:r w:rsidRPr="00D051E2">
        <w:rPr>
          <w:rFonts w:ascii="Times New Roman" w:hAnsi="Times New Roman"/>
          <w:noProof/>
          <w:sz w:val="24"/>
          <w:lang w:val="pl-PL"/>
        </w:rPr>
        <w:t>ogów dotyczących wypełniania. Czechy wyjaśniły, że</w:t>
      </w:r>
      <w:r w:rsidR="00D051E2" w:rsidRPr="00D051E2">
        <w:rPr>
          <w:rFonts w:ascii="Times New Roman" w:hAnsi="Times New Roman"/>
          <w:noProof/>
          <w:sz w:val="24"/>
          <w:lang w:val="pl-PL"/>
        </w:rPr>
        <w:t xml:space="preserve"> w 2</w:t>
      </w:r>
      <w:r w:rsidRPr="00D051E2">
        <w:rPr>
          <w:rFonts w:ascii="Times New Roman" w:hAnsi="Times New Roman"/>
          <w:noProof/>
          <w:sz w:val="24"/>
          <w:lang w:val="pl-PL"/>
        </w:rPr>
        <w:t>019</w:t>
      </w:r>
      <w:r w:rsidR="00D051E2" w:rsidRPr="00D051E2">
        <w:rPr>
          <w:rFonts w:ascii="Times New Roman" w:hAnsi="Times New Roman"/>
          <w:noProof/>
          <w:sz w:val="24"/>
          <w:lang w:val="pl-PL"/>
        </w:rPr>
        <w:t> </w:t>
      </w:r>
      <w:r w:rsidRPr="00D051E2">
        <w:rPr>
          <w:rFonts w:ascii="Times New Roman" w:hAnsi="Times New Roman"/>
          <w:noProof/>
          <w:sz w:val="24"/>
          <w:lang w:val="pl-PL"/>
        </w:rPr>
        <w:t>r. jeden</w:t>
      </w:r>
      <w:r w:rsidR="00D051E2" w:rsidRPr="00D051E2">
        <w:rPr>
          <w:rFonts w:ascii="Times New Roman" w:hAnsi="Times New Roman"/>
          <w:noProof/>
          <w:sz w:val="24"/>
          <w:lang w:val="pl-PL"/>
        </w:rPr>
        <w:t xml:space="preserve"> z odd</w:t>
      </w:r>
      <w:r w:rsidRPr="00D051E2">
        <w:rPr>
          <w:rFonts w:ascii="Times New Roman" w:hAnsi="Times New Roman"/>
          <w:noProof/>
          <w:sz w:val="24"/>
          <w:lang w:val="pl-PL"/>
        </w:rPr>
        <w:t>ziałów zagranicznego banku do końca lutego nie przedstawił konsumentom zestawienia opłat; wynikało to</w:t>
      </w:r>
      <w:r w:rsidR="00D051E2" w:rsidRPr="00D051E2">
        <w:rPr>
          <w:rFonts w:ascii="Times New Roman" w:hAnsi="Times New Roman"/>
          <w:noProof/>
          <w:sz w:val="24"/>
          <w:lang w:val="pl-PL"/>
        </w:rPr>
        <w:t xml:space="preserve"> z tru</w:t>
      </w:r>
      <w:r w:rsidRPr="00D051E2">
        <w:rPr>
          <w:rFonts w:ascii="Times New Roman" w:hAnsi="Times New Roman"/>
          <w:noProof/>
          <w:sz w:val="24"/>
          <w:lang w:val="pl-PL"/>
        </w:rPr>
        <w:t>dności technicznych. Na początku lipca, podczas postępowania wyjaśniającego prowadzonego przez Czeski Bank Narodowy, zestawienie wysłano do wszystkich klientów tego oddziału.</w:t>
      </w:r>
    </w:p>
    <w:p w14:paraId="4E9C99FE" w14:textId="21D88A2E" w:rsidR="00FA1AC8" w:rsidRPr="00D051E2" w:rsidRDefault="00FA1AC8" w:rsidP="00FA1AC8">
      <w:pPr>
        <w:numPr>
          <w:ilvl w:val="0"/>
          <w:numId w:val="2"/>
        </w:numPr>
        <w:spacing w:after="200" w:line="240" w:lineRule="auto"/>
        <w:contextualSpacing/>
        <w:jc w:val="both"/>
        <w:rPr>
          <w:rFonts w:ascii="Times New Roman" w:eastAsia="Calibri" w:hAnsi="Times New Roman" w:cs="Times New Roman"/>
          <w:b/>
          <w:noProof/>
          <w:sz w:val="24"/>
          <w:lang w:val="pl-PL"/>
        </w:rPr>
      </w:pPr>
      <w:r w:rsidRPr="00D051E2">
        <w:rPr>
          <w:rFonts w:ascii="Times New Roman" w:hAnsi="Times New Roman"/>
          <w:b/>
          <w:noProof/>
          <w:sz w:val="24"/>
          <w:lang w:val="pl-PL"/>
          <w14:textOutline w14:w="9525" w14:cap="flat" w14:cmpd="sng" w14:algn="ctr">
            <w14:noFill/>
            <w14:prstDash w14:val="solid"/>
            <w14:round/>
          </w14:textOutline>
        </w:rPr>
        <w:t>Art. 6: Informacje dla konsumentów</w:t>
      </w:r>
    </w:p>
    <w:p w14:paraId="68CC7A04" w14:textId="1300D783" w:rsidR="00FA1AC8" w:rsidRPr="00D051E2" w:rsidRDefault="00FA1AC8" w:rsidP="00FA1AC8">
      <w:pPr>
        <w:spacing w:line="240" w:lineRule="auto"/>
        <w:jc w:val="both"/>
        <w:rPr>
          <w:rFonts w:ascii="Times New Roman" w:eastAsia="Calibri" w:hAnsi="Times New Roman" w:cs="Times New Roman"/>
          <w:noProof/>
          <w:sz w:val="24"/>
          <w:lang w:val="pl-PL"/>
        </w:rPr>
      </w:pPr>
      <w:r w:rsidRPr="00D051E2">
        <w:rPr>
          <w:rFonts w:ascii="Times New Roman" w:hAnsi="Times New Roman"/>
          <w:noProof/>
          <w:sz w:val="24"/>
          <w:lang w:val="pl-PL"/>
        </w:rPr>
        <w:t>W art.</w:t>
      </w:r>
      <w:r w:rsidR="00D051E2" w:rsidRPr="00D051E2">
        <w:rPr>
          <w:rFonts w:ascii="Times New Roman" w:hAnsi="Times New Roman"/>
          <w:noProof/>
          <w:sz w:val="24"/>
          <w:lang w:val="pl-PL"/>
        </w:rPr>
        <w:t> </w:t>
      </w:r>
      <w:r w:rsidRPr="00D051E2">
        <w:rPr>
          <w:rFonts w:ascii="Times New Roman" w:hAnsi="Times New Roman"/>
          <w:noProof/>
          <w:sz w:val="24"/>
          <w:lang w:val="pl-PL"/>
        </w:rPr>
        <w:t>6 dyrektywy dostawców usług płatniczych zobowiązano do tego, by</w:t>
      </w:r>
      <w:r w:rsidR="00D051E2" w:rsidRPr="00D051E2">
        <w:rPr>
          <w:rFonts w:ascii="Times New Roman" w:hAnsi="Times New Roman"/>
          <w:noProof/>
          <w:sz w:val="24"/>
          <w:lang w:val="pl-PL"/>
        </w:rPr>
        <w:t xml:space="preserve"> w swo</w:t>
      </w:r>
      <w:r w:rsidRPr="00D051E2">
        <w:rPr>
          <w:rFonts w:ascii="Times New Roman" w:hAnsi="Times New Roman"/>
          <w:noProof/>
          <w:sz w:val="24"/>
          <w:lang w:val="pl-PL"/>
        </w:rPr>
        <w:t>ich informacjach umownych, handlowych</w:t>
      </w:r>
      <w:r w:rsidR="00D051E2" w:rsidRPr="00D051E2">
        <w:rPr>
          <w:rFonts w:ascii="Times New Roman" w:hAnsi="Times New Roman"/>
          <w:noProof/>
          <w:sz w:val="24"/>
          <w:lang w:val="pl-PL"/>
        </w:rPr>
        <w:t xml:space="preserve"> i mar</w:t>
      </w:r>
      <w:r w:rsidRPr="00D051E2">
        <w:rPr>
          <w:rFonts w:ascii="Times New Roman" w:hAnsi="Times New Roman"/>
          <w:noProof/>
          <w:sz w:val="24"/>
          <w:lang w:val="pl-PL"/>
        </w:rPr>
        <w:t>ketingowych skierowanych do konsumentów stosowali</w:t>
      </w:r>
      <w:r w:rsidR="00D051E2" w:rsidRPr="00D051E2">
        <w:rPr>
          <w:rFonts w:ascii="Times New Roman" w:hAnsi="Times New Roman"/>
          <w:noProof/>
          <w:sz w:val="24"/>
          <w:lang w:val="pl-PL"/>
        </w:rPr>
        <w:t xml:space="preserve"> w sto</w:t>
      </w:r>
      <w:r w:rsidRPr="00D051E2">
        <w:rPr>
          <w:rFonts w:ascii="Times New Roman" w:hAnsi="Times New Roman"/>
          <w:noProof/>
          <w:sz w:val="24"/>
          <w:lang w:val="pl-PL"/>
        </w:rPr>
        <w:t>sownych przypadkach ujednolicone pojęcia. Dostawcy usług płatniczych mogą wykorzystywać</w:t>
      </w:r>
      <w:r w:rsidR="00D051E2" w:rsidRPr="00D051E2">
        <w:rPr>
          <w:rFonts w:ascii="Times New Roman" w:hAnsi="Times New Roman"/>
          <w:noProof/>
          <w:sz w:val="24"/>
          <w:lang w:val="pl-PL"/>
        </w:rPr>
        <w:t xml:space="preserve"> w dok</w:t>
      </w:r>
      <w:r w:rsidRPr="00D051E2">
        <w:rPr>
          <w:rFonts w:ascii="Times New Roman" w:hAnsi="Times New Roman"/>
          <w:noProof/>
          <w:sz w:val="24"/>
          <w:lang w:val="pl-PL"/>
        </w:rPr>
        <w:t>umencie dotyczącym opłat</w:t>
      </w:r>
      <w:r w:rsidR="00D051E2" w:rsidRPr="00D051E2">
        <w:rPr>
          <w:rFonts w:ascii="Times New Roman" w:hAnsi="Times New Roman"/>
          <w:noProof/>
          <w:sz w:val="24"/>
          <w:lang w:val="pl-PL"/>
        </w:rPr>
        <w:t xml:space="preserve"> i w zes</w:t>
      </w:r>
      <w:r w:rsidRPr="00D051E2">
        <w:rPr>
          <w:rFonts w:ascii="Times New Roman" w:hAnsi="Times New Roman"/>
          <w:noProof/>
          <w:sz w:val="24"/>
          <w:lang w:val="pl-PL"/>
        </w:rPr>
        <w:t>tawieniu opłat nazwy handlowe, pod warunkiem że są one stosowane jako uzupełniające oznaczenie tych usług.</w:t>
      </w:r>
    </w:p>
    <w:p w14:paraId="0771D601" w14:textId="53DED17A" w:rsidR="00FA1AC8" w:rsidRPr="00D051E2" w:rsidRDefault="00FA1AC8" w:rsidP="00FA1AC8">
      <w:pPr>
        <w:spacing w:line="240" w:lineRule="auto"/>
        <w:jc w:val="both"/>
        <w:rPr>
          <w:rFonts w:ascii="Times New Roman" w:eastAsia="Calibri" w:hAnsi="Times New Roman" w:cs="Times New Roman"/>
          <w:noProof/>
          <w:sz w:val="24"/>
          <w:lang w:val="pl-PL"/>
        </w:rPr>
      </w:pPr>
      <w:r w:rsidRPr="00D051E2">
        <w:rPr>
          <w:rFonts w:ascii="Times New Roman" w:hAnsi="Times New Roman"/>
          <w:noProof/>
          <w:sz w:val="24"/>
          <w:lang w:val="pl-PL"/>
        </w:rPr>
        <w:t xml:space="preserve">W odniesieniu do </w:t>
      </w:r>
      <w:r w:rsidRPr="00D051E2">
        <w:rPr>
          <w:rFonts w:ascii="Times New Roman" w:hAnsi="Times New Roman"/>
          <w:b/>
          <w:noProof/>
          <w:sz w:val="24"/>
          <w:lang w:val="pl-PL"/>
        </w:rPr>
        <w:t>poziomu przestrzegania przez dostawców usług płatniczych obowiązku stosowania ujednoliconych pojęć</w:t>
      </w:r>
      <w:r w:rsidR="00D051E2" w:rsidRPr="00D051E2">
        <w:rPr>
          <w:rFonts w:ascii="Times New Roman" w:hAnsi="Times New Roman"/>
          <w:b/>
          <w:noProof/>
          <w:sz w:val="24"/>
          <w:lang w:val="pl-PL"/>
        </w:rPr>
        <w:t xml:space="preserve"> w inf</w:t>
      </w:r>
      <w:r w:rsidRPr="00D051E2">
        <w:rPr>
          <w:rFonts w:ascii="Times New Roman" w:hAnsi="Times New Roman"/>
          <w:b/>
          <w:noProof/>
          <w:sz w:val="24"/>
          <w:lang w:val="pl-PL"/>
        </w:rPr>
        <w:t>ormacjach umownych, handlowych</w:t>
      </w:r>
      <w:r w:rsidR="00D051E2" w:rsidRPr="00D051E2">
        <w:rPr>
          <w:rFonts w:ascii="Times New Roman" w:hAnsi="Times New Roman"/>
          <w:b/>
          <w:noProof/>
          <w:sz w:val="24"/>
          <w:lang w:val="pl-PL"/>
        </w:rPr>
        <w:t xml:space="preserve"> i mar</w:t>
      </w:r>
      <w:r w:rsidRPr="00D051E2">
        <w:rPr>
          <w:rFonts w:ascii="Times New Roman" w:hAnsi="Times New Roman"/>
          <w:b/>
          <w:noProof/>
          <w:sz w:val="24"/>
          <w:lang w:val="pl-PL"/>
        </w:rPr>
        <w:t>ketingowych skierowanych do konsumentów (art.</w:t>
      </w:r>
      <w:r w:rsidR="00D051E2" w:rsidRPr="00D051E2">
        <w:rPr>
          <w:rFonts w:ascii="Times New Roman" w:hAnsi="Times New Roman"/>
          <w:b/>
          <w:noProof/>
          <w:sz w:val="24"/>
          <w:lang w:val="pl-PL"/>
        </w:rPr>
        <w:t> </w:t>
      </w:r>
      <w:r w:rsidRPr="00D051E2">
        <w:rPr>
          <w:rFonts w:ascii="Times New Roman" w:hAnsi="Times New Roman"/>
          <w:b/>
          <w:noProof/>
          <w:sz w:val="24"/>
          <w:lang w:val="pl-PL"/>
        </w:rPr>
        <w:t>6 ust.</w:t>
      </w:r>
      <w:r w:rsidR="00D051E2" w:rsidRPr="00D051E2">
        <w:rPr>
          <w:rFonts w:ascii="Times New Roman" w:hAnsi="Times New Roman"/>
          <w:b/>
          <w:noProof/>
          <w:sz w:val="24"/>
          <w:lang w:val="pl-PL"/>
        </w:rPr>
        <w:t> </w:t>
      </w:r>
      <w:r w:rsidRPr="00D051E2">
        <w:rPr>
          <w:rFonts w:ascii="Times New Roman" w:hAnsi="Times New Roman"/>
          <w:b/>
          <w:noProof/>
          <w:sz w:val="24"/>
          <w:lang w:val="pl-PL"/>
        </w:rPr>
        <w:t>1</w:t>
      </w:r>
      <w:r w:rsidRPr="00D051E2">
        <w:rPr>
          <w:rFonts w:ascii="Times New Roman" w:hAnsi="Times New Roman"/>
          <w:noProof/>
          <w:sz w:val="24"/>
          <w:lang w:val="pl-PL"/>
        </w:rPr>
        <w:t xml:space="preserve">) </w:t>
      </w:r>
      <w:r w:rsidRPr="00D051E2">
        <w:rPr>
          <w:rFonts w:ascii="Times New Roman" w:hAnsi="Times New Roman"/>
          <w:noProof/>
          <w:sz w:val="24"/>
          <w:u w:val="single"/>
          <w:lang w:val="pl-PL"/>
        </w:rPr>
        <w:t>wydaje się, że dostawcy zasadniczo spełniają ten wymóg</w:t>
      </w:r>
      <w:r w:rsidRPr="00D051E2">
        <w:rPr>
          <w:rFonts w:ascii="Times New Roman" w:hAnsi="Times New Roman"/>
          <w:noProof/>
          <w:sz w:val="24"/>
          <w:lang w:val="pl-PL"/>
        </w:rPr>
        <w:t>. Wynika to</w:t>
      </w:r>
      <w:r w:rsidR="00D051E2" w:rsidRPr="00D051E2">
        <w:rPr>
          <w:rFonts w:ascii="Times New Roman" w:hAnsi="Times New Roman"/>
          <w:noProof/>
          <w:sz w:val="24"/>
          <w:lang w:val="pl-PL"/>
        </w:rPr>
        <w:t xml:space="preserve"> z kon</w:t>
      </w:r>
      <w:r w:rsidRPr="00D051E2">
        <w:rPr>
          <w:rFonts w:ascii="Times New Roman" w:hAnsi="Times New Roman"/>
          <w:noProof/>
          <w:sz w:val="24"/>
          <w:lang w:val="pl-PL"/>
        </w:rPr>
        <w:t>troli lub inspekcji na miejscu (CY) albo</w:t>
      </w:r>
      <w:r w:rsidR="00D051E2" w:rsidRPr="00D051E2">
        <w:rPr>
          <w:rFonts w:ascii="Times New Roman" w:hAnsi="Times New Roman"/>
          <w:noProof/>
          <w:sz w:val="24"/>
          <w:lang w:val="pl-PL"/>
        </w:rPr>
        <w:t xml:space="preserve"> z bra</w:t>
      </w:r>
      <w:r w:rsidRPr="00D051E2">
        <w:rPr>
          <w:rFonts w:ascii="Times New Roman" w:hAnsi="Times New Roman"/>
          <w:noProof/>
          <w:sz w:val="24"/>
          <w:lang w:val="pl-PL"/>
        </w:rPr>
        <w:t>ku skarg</w:t>
      </w:r>
      <w:r w:rsidR="00D051E2" w:rsidRPr="00D051E2">
        <w:rPr>
          <w:rFonts w:ascii="Times New Roman" w:hAnsi="Times New Roman"/>
          <w:noProof/>
          <w:sz w:val="24"/>
          <w:lang w:val="pl-PL"/>
        </w:rPr>
        <w:t xml:space="preserve"> z tym</w:t>
      </w:r>
      <w:r w:rsidRPr="00D051E2">
        <w:rPr>
          <w:rFonts w:ascii="Times New Roman" w:hAnsi="Times New Roman"/>
          <w:noProof/>
          <w:sz w:val="24"/>
          <w:lang w:val="pl-PL"/>
        </w:rPr>
        <w:t xml:space="preserve"> związanych (BE, BG, CZ, DK, DE, EE, EL, FR, HR, LV, LT, LU, HU, MT, NL, AT, PL, SI, SK, FI). Cypr stwierdził, że</w:t>
      </w:r>
      <w:r w:rsidR="00D051E2" w:rsidRPr="00D051E2">
        <w:rPr>
          <w:rFonts w:ascii="Times New Roman" w:hAnsi="Times New Roman"/>
          <w:noProof/>
          <w:sz w:val="24"/>
          <w:lang w:val="pl-PL"/>
        </w:rPr>
        <w:t xml:space="preserve"> z ins</w:t>
      </w:r>
      <w:r w:rsidRPr="00D051E2">
        <w:rPr>
          <w:rFonts w:ascii="Times New Roman" w:hAnsi="Times New Roman"/>
          <w:noProof/>
          <w:sz w:val="24"/>
          <w:lang w:val="pl-PL"/>
        </w:rPr>
        <w:t>pekcji wynika, że prac wdrożeniowych nie ukończyły tylko dwa banki, które poinformowały jednak, że spodziewają się</w:t>
      </w:r>
      <w:r w:rsidR="00D051E2" w:rsidRPr="00D051E2">
        <w:rPr>
          <w:rFonts w:ascii="Times New Roman" w:hAnsi="Times New Roman"/>
          <w:noProof/>
          <w:sz w:val="24"/>
          <w:lang w:val="pl-PL"/>
        </w:rPr>
        <w:t xml:space="preserve"> w peł</w:t>
      </w:r>
      <w:r w:rsidRPr="00D051E2">
        <w:rPr>
          <w:rFonts w:ascii="Times New Roman" w:hAnsi="Times New Roman"/>
          <w:noProof/>
          <w:sz w:val="24"/>
          <w:lang w:val="pl-PL"/>
        </w:rPr>
        <w:t>ni spełnić wymogi określone</w:t>
      </w:r>
      <w:r w:rsidR="00D051E2" w:rsidRPr="00D051E2">
        <w:rPr>
          <w:rFonts w:ascii="Times New Roman" w:hAnsi="Times New Roman"/>
          <w:noProof/>
          <w:sz w:val="24"/>
          <w:lang w:val="pl-PL"/>
        </w:rPr>
        <w:t xml:space="preserve"> w art</w:t>
      </w:r>
      <w:r w:rsidRPr="00D051E2">
        <w:rPr>
          <w:rFonts w:ascii="Times New Roman" w:hAnsi="Times New Roman"/>
          <w:noProof/>
          <w:sz w:val="24"/>
          <w:lang w:val="pl-PL"/>
        </w:rPr>
        <w:t>.</w:t>
      </w:r>
      <w:r w:rsidR="00D051E2" w:rsidRPr="00D051E2">
        <w:rPr>
          <w:rFonts w:ascii="Times New Roman" w:hAnsi="Times New Roman"/>
          <w:noProof/>
          <w:sz w:val="24"/>
          <w:lang w:val="pl-PL"/>
        </w:rPr>
        <w:t> </w:t>
      </w:r>
      <w:r w:rsidRPr="00D051E2">
        <w:rPr>
          <w:rFonts w:ascii="Times New Roman" w:hAnsi="Times New Roman"/>
          <w:noProof/>
          <w:sz w:val="24"/>
          <w:lang w:val="pl-PL"/>
        </w:rPr>
        <w:t>6 do końca 2022</w:t>
      </w:r>
      <w:r w:rsidR="00D051E2" w:rsidRPr="00D051E2">
        <w:rPr>
          <w:rFonts w:ascii="Times New Roman" w:hAnsi="Times New Roman"/>
          <w:noProof/>
          <w:sz w:val="24"/>
          <w:lang w:val="pl-PL"/>
        </w:rPr>
        <w:t> </w:t>
      </w:r>
      <w:r w:rsidRPr="00D051E2">
        <w:rPr>
          <w:rFonts w:ascii="Times New Roman" w:hAnsi="Times New Roman"/>
          <w:noProof/>
          <w:sz w:val="24"/>
          <w:lang w:val="pl-PL"/>
        </w:rPr>
        <w:t>r.</w:t>
      </w:r>
    </w:p>
    <w:p w14:paraId="352BA314" w14:textId="7704D70B" w:rsidR="00FA1AC8" w:rsidRPr="00D051E2" w:rsidRDefault="00FA1AC8" w:rsidP="00FA1AC8">
      <w:pPr>
        <w:spacing w:line="240" w:lineRule="auto"/>
        <w:jc w:val="both"/>
        <w:rPr>
          <w:rFonts w:ascii="Times New Roman" w:eastAsia="Calibri" w:hAnsi="Times New Roman" w:cs="Times New Roman"/>
          <w:noProof/>
          <w:sz w:val="24"/>
          <w:lang w:val="pl-PL"/>
        </w:rPr>
      </w:pPr>
      <w:r w:rsidRPr="00D051E2">
        <w:rPr>
          <w:rFonts w:ascii="Times New Roman" w:hAnsi="Times New Roman"/>
          <w:noProof/>
          <w:sz w:val="24"/>
          <w:lang w:val="pl-PL"/>
        </w:rPr>
        <w:t xml:space="preserve">W odniesieniu do kwestii, </w:t>
      </w:r>
      <w:r w:rsidRPr="00D051E2">
        <w:rPr>
          <w:rFonts w:ascii="Times New Roman" w:hAnsi="Times New Roman"/>
          <w:b/>
          <w:noProof/>
          <w:sz w:val="24"/>
          <w:lang w:val="pl-PL"/>
        </w:rPr>
        <w:t>jak często dostawcy usług płatniczych umieszczają swoją nazwę handlową</w:t>
      </w:r>
      <w:r w:rsidR="00D051E2" w:rsidRPr="00D051E2">
        <w:rPr>
          <w:rFonts w:ascii="Times New Roman" w:hAnsi="Times New Roman"/>
          <w:b/>
          <w:noProof/>
          <w:sz w:val="24"/>
          <w:lang w:val="pl-PL"/>
        </w:rPr>
        <w:t xml:space="preserve"> w dok</w:t>
      </w:r>
      <w:r w:rsidRPr="00D051E2">
        <w:rPr>
          <w:rFonts w:ascii="Times New Roman" w:hAnsi="Times New Roman"/>
          <w:b/>
          <w:noProof/>
          <w:sz w:val="24"/>
          <w:lang w:val="pl-PL"/>
        </w:rPr>
        <w:t>umencie dotyczącym opłat</w:t>
      </w:r>
      <w:r w:rsidR="00D051E2" w:rsidRPr="00D051E2">
        <w:rPr>
          <w:rFonts w:ascii="Times New Roman" w:hAnsi="Times New Roman"/>
          <w:b/>
          <w:noProof/>
          <w:sz w:val="24"/>
          <w:lang w:val="pl-PL"/>
        </w:rPr>
        <w:t xml:space="preserve"> i zes</w:t>
      </w:r>
      <w:r w:rsidRPr="00D051E2">
        <w:rPr>
          <w:rFonts w:ascii="Times New Roman" w:hAnsi="Times New Roman"/>
          <w:b/>
          <w:noProof/>
          <w:sz w:val="24"/>
          <w:lang w:val="pl-PL"/>
        </w:rPr>
        <w:t>tawieniu opłat,</w:t>
      </w:r>
      <w:r w:rsidRPr="00D051E2">
        <w:rPr>
          <w:rFonts w:ascii="Times New Roman" w:hAnsi="Times New Roman"/>
          <w:noProof/>
          <w:sz w:val="24"/>
          <w:lang w:val="pl-PL"/>
        </w:rPr>
        <w:t xml:space="preserve"> </w:t>
      </w:r>
      <w:r w:rsidRPr="00D051E2">
        <w:rPr>
          <w:rFonts w:ascii="Times New Roman" w:hAnsi="Times New Roman"/>
          <w:noProof/>
          <w:sz w:val="24"/>
          <w:u w:val="single"/>
          <w:lang w:val="pl-PL"/>
        </w:rPr>
        <w:t>ogólnie można stwierdzić, że umieszczanie nazwy handlowej przez dostawców ma miejsce dość często.</w:t>
      </w:r>
    </w:p>
    <w:p w14:paraId="661C1160" w14:textId="502B5FC4" w:rsidR="00FA1AC8" w:rsidRPr="00D051E2" w:rsidRDefault="00FA1AC8" w:rsidP="00FA1AC8">
      <w:pPr>
        <w:spacing w:line="240" w:lineRule="auto"/>
        <w:jc w:val="both"/>
        <w:rPr>
          <w:rFonts w:ascii="Times New Roman" w:eastAsia="Calibri" w:hAnsi="Times New Roman" w:cs="Times New Roman"/>
          <w:noProof/>
          <w:sz w:val="24"/>
          <w:lang w:val="pl-PL"/>
        </w:rPr>
      </w:pPr>
      <w:r w:rsidRPr="00D051E2">
        <w:rPr>
          <w:rFonts w:ascii="Times New Roman" w:hAnsi="Times New Roman"/>
          <w:noProof/>
          <w:sz w:val="24"/>
          <w:lang w:val="pl-PL"/>
        </w:rPr>
        <w:t xml:space="preserve">W odniesieniu do informacji dotyczących </w:t>
      </w:r>
      <w:r w:rsidRPr="00D051E2">
        <w:rPr>
          <w:rFonts w:ascii="Times New Roman" w:hAnsi="Times New Roman"/>
          <w:b/>
          <w:noProof/>
          <w:sz w:val="24"/>
          <w:lang w:val="pl-PL"/>
        </w:rPr>
        <w:t>wszelkich działań</w:t>
      </w:r>
      <w:r w:rsidR="00D051E2" w:rsidRPr="00D051E2">
        <w:rPr>
          <w:rFonts w:ascii="Times New Roman" w:hAnsi="Times New Roman"/>
          <w:b/>
          <w:noProof/>
          <w:sz w:val="24"/>
          <w:lang w:val="pl-PL"/>
        </w:rPr>
        <w:t xml:space="preserve"> w zak</w:t>
      </w:r>
      <w:r w:rsidRPr="00D051E2">
        <w:rPr>
          <w:rFonts w:ascii="Times New Roman" w:hAnsi="Times New Roman"/>
          <w:b/>
          <w:noProof/>
          <w:sz w:val="24"/>
          <w:lang w:val="pl-PL"/>
        </w:rPr>
        <w:t>resie egzekwowania</w:t>
      </w:r>
      <w:r w:rsidR="00D051E2" w:rsidRPr="00D051E2">
        <w:rPr>
          <w:rFonts w:ascii="Times New Roman" w:hAnsi="Times New Roman"/>
          <w:b/>
          <w:noProof/>
          <w:sz w:val="24"/>
          <w:lang w:val="pl-PL"/>
        </w:rPr>
        <w:t xml:space="preserve"> w zwi</w:t>
      </w:r>
      <w:r w:rsidRPr="00D051E2">
        <w:rPr>
          <w:rFonts w:ascii="Times New Roman" w:hAnsi="Times New Roman"/>
          <w:b/>
          <w:noProof/>
          <w:sz w:val="24"/>
          <w:lang w:val="pl-PL"/>
        </w:rPr>
        <w:t>ązku</w:t>
      </w:r>
      <w:r w:rsidR="00D051E2" w:rsidRPr="00D051E2">
        <w:rPr>
          <w:rFonts w:ascii="Times New Roman" w:hAnsi="Times New Roman"/>
          <w:b/>
          <w:noProof/>
          <w:sz w:val="24"/>
          <w:lang w:val="pl-PL"/>
        </w:rPr>
        <w:t xml:space="preserve"> z nar</w:t>
      </w:r>
      <w:r w:rsidRPr="00D051E2">
        <w:rPr>
          <w:rFonts w:ascii="Times New Roman" w:hAnsi="Times New Roman"/>
          <w:b/>
          <w:noProof/>
          <w:sz w:val="24"/>
          <w:lang w:val="pl-PL"/>
        </w:rPr>
        <w:t>uszeniami art.</w:t>
      </w:r>
      <w:r w:rsidR="00D051E2" w:rsidRPr="00D051E2">
        <w:rPr>
          <w:rFonts w:ascii="Times New Roman" w:hAnsi="Times New Roman"/>
          <w:b/>
          <w:noProof/>
          <w:sz w:val="24"/>
          <w:lang w:val="pl-PL"/>
        </w:rPr>
        <w:t> </w:t>
      </w:r>
      <w:r w:rsidRPr="00D051E2">
        <w:rPr>
          <w:rFonts w:ascii="Times New Roman" w:hAnsi="Times New Roman"/>
          <w:b/>
          <w:noProof/>
          <w:sz w:val="24"/>
          <w:lang w:val="pl-PL"/>
        </w:rPr>
        <w:t xml:space="preserve">6 dyrektywy </w:t>
      </w:r>
      <w:r w:rsidRPr="00D051E2">
        <w:rPr>
          <w:rFonts w:ascii="Times New Roman" w:hAnsi="Times New Roman"/>
          <w:noProof/>
          <w:sz w:val="24"/>
          <w:u w:val="single"/>
          <w:lang w:val="pl-PL"/>
        </w:rPr>
        <w:t>wszystkie państwa członkowskie, które udzieliły odpowiedzi na to pytanie, stwierdziły, że nie doszło do takich działań</w:t>
      </w:r>
      <w:r w:rsidRPr="00D051E2">
        <w:rPr>
          <w:rFonts w:ascii="Times New Roman" w:hAnsi="Times New Roman"/>
          <w:noProof/>
          <w:sz w:val="24"/>
          <w:lang w:val="pl-PL"/>
        </w:rPr>
        <w:t>. Francja stwierdziła, że natrafiła na drobne nieprawidłowości (tj. stosowanie nieujednoliconych pojęć, rozbieżne pojęcia stosowane</w:t>
      </w:r>
      <w:r w:rsidR="00D051E2" w:rsidRPr="00D051E2">
        <w:rPr>
          <w:rFonts w:ascii="Times New Roman" w:hAnsi="Times New Roman"/>
          <w:noProof/>
          <w:sz w:val="24"/>
          <w:lang w:val="pl-PL"/>
        </w:rPr>
        <w:t xml:space="preserve"> w odn</w:t>
      </w:r>
      <w:r w:rsidRPr="00D051E2">
        <w:rPr>
          <w:rFonts w:ascii="Times New Roman" w:hAnsi="Times New Roman"/>
          <w:noProof/>
          <w:sz w:val="24"/>
          <w:lang w:val="pl-PL"/>
        </w:rPr>
        <w:t>iesieniu do tej samej usługi</w:t>
      </w:r>
      <w:r w:rsidR="00D051E2" w:rsidRPr="00D051E2">
        <w:rPr>
          <w:rFonts w:ascii="Times New Roman" w:hAnsi="Times New Roman"/>
          <w:noProof/>
          <w:sz w:val="24"/>
          <w:lang w:val="pl-PL"/>
        </w:rPr>
        <w:t xml:space="preserve"> w róż</w:t>
      </w:r>
      <w:r w:rsidRPr="00D051E2">
        <w:rPr>
          <w:rFonts w:ascii="Times New Roman" w:hAnsi="Times New Roman"/>
          <w:noProof/>
          <w:sz w:val="24"/>
          <w:lang w:val="pl-PL"/>
        </w:rPr>
        <w:t>nych dokumentach itp.), które mogą powodować dezorientację klientów. Nie nałożono jednak żadnych sankcji ze względu na fakt, że naruszenia te uznano za nieistotne.</w:t>
      </w:r>
    </w:p>
    <w:p w14:paraId="17932938" w14:textId="7B84857B" w:rsidR="00FA1AC8" w:rsidRPr="00D051E2" w:rsidRDefault="00FA1AC8" w:rsidP="00FA1AC8">
      <w:pPr>
        <w:keepNext/>
        <w:keepLines/>
        <w:numPr>
          <w:ilvl w:val="0"/>
          <w:numId w:val="1"/>
        </w:numPr>
        <w:spacing w:after="0" w:line="240" w:lineRule="auto"/>
        <w:jc w:val="both"/>
        <w:outlineLvl w:val="0"/>
        <w:rPr>
          <w:rFonts w:ascii="Times New Roman" w:eastAsia="Times New Roman" w:hAnsi="Times New Roman" w:cs="Times New Roman"/>
          <w:b/>
          <w:noProof/>
          <w:sz w:val="24"/>
          <w:lang w:val="pl-PL"/>
        </w:rPr>
      </w:pPr>
      <w:bookmarkStart w:id="27" w:name="_Toc67511946"/>
      <w:bookmarkStart w:id="28" w:name="_Toc130830473"/>
      <w:r w:rsidRPr="00D051E2">
        <w:rPr>
          <w:rFonts w:ascii="Times New Roman" w:hAnsi="Times New Roman"/>
          <w:b/>
          <w:noProof/>
          <w:sz w:val="24"/>
          <w:lang w:val="pl-PL"/>
        </w:rPr>
        <w:t>WYPEŁNIANIE PRZEZ PAŃSTWA CZŁONKOWSKIE WYMOGÓW DOTYCZĄCYCH ZAPEWNIENIA ISTNIENIA PORÓWNYWAREK INTERNETOWYCH ZGODNIE Z ART. 7</w:t>
      </w:r>
      <w:bookmarkEnd w:id="27"/>
      <w:bookmarkEnd w:id="28"/>
    </w:p>
    <w:p w14:paraId="03A0F794" w14:textId="77777777" w:rsidR="00FA1AC8" w:rsidRPr="00D051E2" w:rsidRDefault="00FA1AC8" w:rsidP="00FA1AC8">
      <w:pPr>
        <w:spacing w:after="200" w:line="240" w:lineRule="auto"/>
        <w:contextualSpacing/>
        <w:jc w:val="both"/>
        <w:rPr>
          <w:rFonts w:ascii="Times New Roman" w:eastAsia="Calibri" w:hAnsi="Times New Roman" w:cs="Times New Roman"/>
          <w:noProof/>
          <w:sz w:val="24"/>
          <w:lang w:val="pl-PL"/>
        </w:rPr>
      </w:pPr>
    </w:p>
    <w:p w14:paraId="51469F03" w14:textId="6A75CDEB" w:rsidR="00FA1AC8" w:rsidRPr="00D051E2" w:rsidRDefault="00CD2699" w:rsidP="00FA1AC8">
      <w:pPr>
        <w:spacing w:after="200" w:line="240" w:lineRule="auto"/>
        <w:contextualSpacing/>
        <w:jc w:val="both"/>
        <w:rPr>
          <w:rFonts w:ascii="Times New Roman" w:eastAsia="Calibri" w:hAnsi="Times New Roman" w:cs="Times New Roman"/>
          <w:noProof/>
          <w:sz w:val="24"/>
          <w:lang w:val="pl-PL"/>
        </w:rPr>
      </w:pPr>
      <w:r w:rsidRPr="00D051E2">
        <w:rPr>
          <w:rFonts w:ascii="Times New Roman" w:hAnsi="Times New Roman"/>
          <w:noProof/>
          <w:sz w:val="24"/>
          <w:lang w:val="pl-PL"/>
        </w:rPr>
        <w:t>W art.</w:t>
      </w:r>
      <w:r w:rsidR="00D051E2" w:rsidRPr="00D051E2">
        <w:rPr>
          <w:rFonts w:ascii="Times New Roman" w:hAnsi="Times New Roman"/>
          <w:noProof/>
          <w:sz w:val="24"/>
          <w:lang w:val="pl-PL"/>
        </w:rPr>
        <w:t> </w:t>
      </w:r>
      <w:r w:rsidRPr="00D051E2">
        <w:rPr>
          <w:rFonts w:ascii="Times New Roman" w:hAnsi="Times New Roman"/>
          <w:noProof/>
          <w:sz w:val="24"/>
          <w:lang w:val="pl-PL"/>
        </w:rPr>
        <w:t>7 dyrektywy na państwa członkowskie nałożono obowiązek zapewnienia konsumentom nieodpłatnie dostępu do co najmniej jednej strony internetowej porównującej opłaty pobierane przez dostawców usług płatniczych przynajmniej za usługi ujęte</w:t>
      </w:r>
      <w:r w:rsidR="00D051E2" w:rsidRPr="00D051E2">
        <w:rPr>
          <w:rFonts w:ascii="Times New Roman" w:hAnsi="Times New Roman"/>
          <w:noProof/>
          <w:sz w:val="24"/>
          <w:lang w:val="pl-PL"/>
        </w:rPr>
        <w:t xml:space="preserve"> w kra</w:t>
      </w:r>
      <w:r w:rsidRPr="00D051E2">
        <w:rPr>
          <w:rFonts w:ascii="Times New Roman" w:hAnsi="Times New Roman"/>
          <w:noProof/>
          <w:sz w:val="24"/>
          <w:lang w:val="pl-PL"/>
        </w:rPr>
        <w:t>jowym wykazie najbardziej reprezentatywnych usług powiązanych</w:t>
      </w:r>
      <w:r w:rsidR="00D051E2" w:rsidRPr="00D051E2">
        <w:rPr>
          <w:rFonts w:ascii="Times New Roman" w:hAnsi="Times New Roman"/>
          <w:noProof/>
          <w:sz w:val="24"/>
          <w:lang w:val="pl-PL"/>
        </w:rPr>
        <w:t xml:space="preserve"> z rac</w:t>
      </w:r>
      <w:r w:rsidRPr="00D051E2">
        <w:rPr>
          <w:rFonts w:ascii="Times New Roman" w:hAnsi="Times New Roman"/>
          <w:noProof/>
          <w:sz w:val="24"/>
          <w:lang w:val="pl-PL"/>
        </w:rPr>
        <w:t>hunkiem płatniczym</w:t>
      </w:r>
      <w:r w:rsidR="00D051E2" w:rsidRPr="00D051E2">
        <w:rPr>
          <w:rFonts w:ascii="Times New Roman" w:hAnsi="Times New Roman"/>
          <w:noProof/>
          <w:sz w:val="24"/>
          <w:lang w:val="pl-PL"/>
        </w:rPr>
        <w:t xml:space="preserve"> i pod</w:t>
      </w:r>
      <w:r w:rsidRPr="00D051E2">
        <w:rPr>
          <w:rFonts w:ascii="Times New Roman" w:hAnsi="Times New Roman"/>
          <w:noProof/>
          <w:sz w:val="24"/>
          <w:lang w:val="pl-PL"/>
        </w:rPr>
        <w:t>legających opłacie. Artykuł ten stanowi również, że porównywarka internetowa może być prowadzona przez prywatnego operatora albo przez organ publiczny oraz że musi być prowadzona</w:t>
      </w:r>
      <w:r w:rsidR="00D051E2" w:rsidRPr="00D051E2">
        <w:rPr>
          <w:rFonts w:ascii="Times New Roman" w:hAnsi="Times New Roman"/>
          <w:noProof/>
          <w:sz w:val="24"/>
          <w:lang w:val="pl-PL"/>
        </w:rPr>
        <w:t xml:space="preserve"> w spo</w:t>
      </w:r>
      <w:r w:rsidRPr="00D051E2">
        <w:rPr>
          <w:rFonts w:ascii="Times New Roman" w:hAnsi="Times New Roman"/>
          <w:noProof/>
          <w:sz w:val="24"/>
          <w:lang w:val="pl-PL"/>
        </w:rPr>
        <w:t>sób niezależny. Musi również: informować, kto jest właścicielem strony; określać jasne</w:t>
      </w:r>
      <w:r w:rsidR="00D051E2" w:rsidRPr="00D051E2">
        <w:rPr>
          <w:rFonts w:ascii="Times New Roman" w:hAnsi="Times New Roman"/>
          <w:noProof/>
          <w:sz w:val="24"/>
          <w:lang w:val="pl-PL"/>
        </w:rPr>
        <w:t xml:space="preserve"> i obi</w:t>
      </w:r>
      <w:r w:rsidRPr="00D051E2">
        <w:rPr>
          <w:rFonts w:ascii="Times New Roman" w:hAnsi="Times New Roman"/>
          <w:noProof/>
          <w:sz w:val="24"/>
          <w:lang w:val="pl-PL"/>
        </w:rPr>
        <w:t>ektywne kryteria porównywania; posługiwać się prostym</w:t>
      </w:r>
      <w:r w:rsidR="00D051E2" w:rsidRPr="00D051E2">
        <w:rPr>
          <w:rFonts w:ascii="Times New Roman" w:hAnsi="Times New Roman"/>
          <w:noProof/>
          <w:sz w:val="24"/>
          <w:lang w:val="pl-PL"/>
        </w:rPr>
        <w:t xml:space="preserve"> i jed</w:t>
      </w:r>
      <w:r w:rsidRPr="00D051E2">
        <w:rPr>
          <w:rFonts w:ascii="Times New Roman" w:hAnsi="Times New Roman"/>
          <w:noProof/>
          <w:sz w:val="24"/>
          <w:lang w:val="pl-PL"/>
        </w:rPr>
        <w:t>noznacznym językiem; być aktualna; obejmować znaczną część rynku oraz zapewniać skuteczną procedurę umożliwiającą zgłaszanie błędnych informacji</w:t>
      </w:r>
      <w:r w:rsidR="00D051E2" w:rsidRPr="00D051E2">
        <w:rPr>
          <w:rFonts w:ascii="Times New Roman" w:hAnsi="Times New Roman"/>
          <w:noProof/>
          <w:sz w:val="24"/>
          <w:lang w:val="pl-PL"/>
        </w:rPr>
        <w:t xml:space="preserve"> o opu</w:t>
      </w:r>
      <w:r w:rsidRPr="00D051E2">
        <w:rPr>
          <w:rFonts w:ascii="Times New Roman" w:hAnsi="Times New Roman"/>
          <w:noProof/>
          <w:sz w:val="24"/>
          <w:lang w:val="pl-PL"/>
        </w:rPr>
        <w:t>blikowanych opłatach.</w:t>
      </w:r>
    </w:p>
    <w:p w14:paraId="1D4F236A" w14:textId="77777777" w:rsidR="00FA1AC8" w:rsidRPr="00D051E2" w:rsidRDefault="00FA1AC8" w:rsidP="00FA1AC8">
      <w:pPr>
        <w:spacing w:after="200" w:line="240" w:lineRule="auto"/>
        <w:contextualSpacing/>
        <w:jc w:val="both"/>
        <w:rPr>
          <w:rFonts w:ascii="Times New Roman" w:eastAsia="Calibri" w:hAnsi="Times New Roman" w:cs="Times New Roman"/>
          <w:noProof/>
          <w:sz w:val="24"/>
          <w:lang w:val="pl-PL"/>
        </w:rPr>
      </w:pPr>
    </w:p>
    <w:p w14:paraId="000E4D83" w14:textId="4911ED4F" w:rsidR="00FA1AC8" w:rsidRPr="00D051E2" w:rsidRDefault="00FA1AC8" w:rsidP="00FA1AC8">
      <w:pPr>
        <w:spacing w:after="200" w:line="240" w:lineRule="auto"/>
        <w:contextualSpacing/>
        <w:jc w:val="both"/>
        <w:rPr>
          <w:rFonts w:ascii="Times New Roman" w:eastAsia="Calibri" w:hAnsi="Times New Roman" w:cs="Times New Roman"/>
          <w:noProof/>
          <w:sz w:val="24"/>
          <w:lang w:val="pl-PL"/>
        </w:rPr>
      </w:pPr>
      <w:r w:rsidRPr="00D051E2">
        <w:rPr>
          <w:rFonts w:ascii="Times New Roman" w:hAnsi="Times New Roman"/>
          <w:noProof/>
          <w:sz w:val="24"/>
          <w:lang w:val="pl-PL"/>
        </w:rPr>
        <w:t>Od stycznia 2021</w:t>
      </w:r>
      <w:r w:rsidR="00D051E2" w:rsidRPr="00D051E2">
        <w:rPr>
          <w:rFonts w:ascii="Times New Roman" w:hAnsi="Times New Roman"/>
          <w:noProof/>
          <w:sz w:val="24"/>
          <w:lang w:val="pl-PL"/>
        </w:rPr>
        <w:t> </w:t>
      </w:r>
      <w:r w:rsidRPr="00D051E2">
        <w:rPr>
          <w:rFonts w:ascii="Times New Roman" w:hAnsi="Times New Roman"/>
          <w:noProof/>
          <w:sz w:val="24"/>
          <w:lang w:val="pl-PL"/>
        </w:rPr>
        <w:t>r. prawie we wszystkich państwach członkowskich</w:t>
      </w:r>
      <w:r w:rsidRPr="00D051E2">
        <w:rPr>
          <w:rStyle w:val="FootnoteReference"/>
          <w:noProof/>
          <w:lang w:val="pl-PL"/>
        </w:rPr>
        <w:footnoteReference w:id="6"/>
      </w:r>
      <w:r w:rsidRPr="00D051E2">
        <w:rPr>
          <w:rFonts w:ascii="Times New Roman" w:hAnsi="Times New Roman"/>
          <w:noProof/>
          <w:sz w:val="24"/>
          <w:lang w:val="pl-PL"/>
        </w:rPr>
        <w:t xml:space="preserve"> funkcjonuje co najmniej jedna porównywarka internetowa zgodnie</w:t>
      </w:r>
      <w:r w:rsidR="00D051E2" w:rsidRPr="00D051E2">
        <w:rPr>
          <w:rFonts w:ascii="Times New Roman" w:hAnsi="Times New Roman"/>
          <w:noProof/>
          <w:sz w:val="24"/>
          <w:lang w:val="pl-PL"/>
        </w:rPr>
        <w:t xml:space="preserve"> z wym</w:t>
      </w:r>
      <w:r w:rsidRPr="00D051E2">
        <w:rPr>
          <w:rFonts w:ascii="Times New Roman" w:hAnsi="Times New Roman"/>
          <w:noProof/>
          <w:sz w:val="24"/>
          <w:lang w:val="pl-PL"/>
        </w:rPr>
        <w:t>ogami art.</w:t>
      </w:r>
      <w:r w:rsidR="00D051E2" w:rsidRPr="00D051E2">
        <w:rPr>
          <w:rFonts w:ascii="Times New Roman" w:hAnsi="Times New Roman"/>
          <w:noProof/>
          <w:sz w:val="24"/>
          <w:lang w:val="pl-PL"/>
        </w:rPr>
        <w:t> </w:t>
      </w:r>
      <w:r w:rsidRPr="00D051E2">
        <w:rPr>
          <w:rFonts w:ascii="Times New Roman" w:hAnsi="Times New Roman"/>
          <w:noProof/>
          <w:sz w:val="24"/>
          <w:lang w:val="pl-PL"/>
        </w:rPr>
        <w:t>7. Zdecydowana większość państw członkowskich powierzyła utworzenie,</w:t>
      </w:r>
      <w:r w:rsidR="00D051E2" w:rsidRPr="00D051E2">
        <w:rPr>
          <w:rFonts w:ascii="Times New Roman" w:hAnsi="Times New Roman"/>
          <w:noProof/>
          <w:sz w:val="24"/>
          <w:lang w:val="pl-PL"/>
        </w:rPr>
        <w:t xml:space="preserve"> a nas</w:t>
      </w:r>
      <w:r w:rsidRPr="00D051E2">
        <w:rPr>
          <w:rFonts w:ascii="Times New Roman" w:hAnsi="Times New Roman"/>
          <w:noProof/>
          <w:sz w:val="24"/>
          <w:lang w:val="pl-PL"/>
        </w:rPr>
        <w:t>tępnie aktualizację tabeli organowi publicznemu</w:t>
      </w:r>
      <w:r w:rsidRPr="00D051E2">
        <w:rPr>
          <w:rStyle w:val="FootnoteReference"/>
          <w:noProof/>
          <w:lang w:val="pl-PL"/>
        </w:rPr>
        <w:footnoteReference w:id="7"/>
      </w:r>
      <w:r w:rsidRPr="00D051E2">
        <w:rPr>
          <w:rFonts w:ascii="Times New Roman" w:hAnsi="Times New Roman"/>
          <w:noProof/>
          <w:sz w:val="24"/>
          <w:lang w:val="pl-PL"/>
        </w:rPr>
        <w:t>.</w:t>
      </w:r>
    </w:p>
    <w:p w14:paraId="3FC05050" w14:textId="77777777" w:rsidR="00FA1AC8" w:rsidRPr="00D051E2" w:rsidRDefault="00FA1AC8" w:rsidP="00FA1AC8">
      <w:pPr>
        <w:spacing w:after="200" w:line="240" w:lineRule="auto"/>
        <w:contextualSpacing/>
        <w:jc w:val="both"/>
        <w:rPr>
          <w:rFonts w:ascii="Times New Roman" w:eastAsia="Calibri" w:hAnsi="Times New Roman" w:cs="Times New Roman"/>
          <w:noProof/>
          <w:sz w:val="24"/>
          <w:lang w:val="pl-PL"/>
        </w:rPr>
      </w:pPr>
    </w:p>
    <w:p w14:paraId="4FD5EFF8" w14:textId="77777777" w:rsidR="00FA1AC8" w:rsidRPr="00D051E2" w:rsidRDefault="00FA1AC8" w:rsidP="005D0A57">
      <w:pPr>
        <w:keepNext/>
        <w:keepLines/>
        <w:numPr>
          <w:ilvl w:val="0"/>
          <w:numId w:val="1"/>
        </w:numPr>
        <w:spacing w:after="0" w:line="240" w:lineRule="auto"/>
        <w:jc w:val="both"/>
        <w:outlineLvl w:val="0"/>
        <w:rPr>
          <w:rFonts w:ascii="Times New Roman" w:eastAsia="Times New Roman" w:hAnsi="Times New Roman" w:cs="Times New Roman"/>
          <w:b/>
          <w:noProof/>
          <w:sz w:val="24"/>
          <w:lang w:val="pl-PL"/>
        </w:rPr>
      </w:pPr>
      <w:bookmarkStart w:id="29" w:name="_Toc67511947"/>
      <w:bookmarkStart w:id="30" w:name="_Toc130830474"/>
      <w:r w:rsidRPr="00D051E2">
        <w:rPr>
          <w:rFonts w:ascii="Times New Roman" w:hAnsi="Times New Roman"/>
          <w:b/>
          <w:noProof/>
          <w:sz w:val="24"/>
          <w:lang w:val="pl-PL"/>
        </w:rPr>
        <w:t>LICZBA RACHUNKÓW PŁATNICZYCH, KTÓRE ZOSTAŁY PRZENIESIONE, ORAZ ODSETEK ODRZUCONYCH WNIOSKÓW O PRZENIESIENIE RACHUNKU</w:t>
      </w:r>
      <w:bookmarkEnd w:id="29"/>
      <w:bookmarkEnd w:id="30"/>
    </w:p>
    <w:p w14:paraId="5D63DB94" w14:textId="77777777" w:rsidR="00FA1AC8" w:rsidRPr="00D051E2" w:rsidRDefault="00FA1AC8" w:rsidP="005D0A57">
      <w:pPr>
        <w:keepNext/>
        <w:spacing w:after="0" w:line="240" w:lineRule="auto"/>
        <w:rPr>
          <w:rFonts w:ascii="Times New Roman" w:eastAsia="Calibri" w:hAnsi="Times New Roman" w:cs="Times New Roman"/>
          <w:noProof/>
          <w:lang w:val="pl-PL"/>
        </w:rPr>
      </w:pPr>
    </w:p>
    <w:p w14:paraId="5AEB987A" w14:textId="3F5228B5" w:rsidR="00FA1AC8" w:rsidRPr="00D051E2" w:rsidRDefault="00FA1AC8" w:rsidP="005D0A57">
      <w:pPr>
        <w:keepNext/>
        <w:numPr>
          <w:ilvl w:val="0"/>
          <w:numId w:val="4"/>
        </w:numPr>
        <w:spacing w:after="360" w:line="240" w:lineRule="auto"/>
        <w:ind w:left="357" w:hanging="357"/>
        <w:contextualSpacing/>
        <w:jc w:val="both"/>
        <w:rPr>
          <w:rFonts w:ascii="Times New Roman" w:eastAsia="Calibri" w:hAnsi="Times New Roman" w:cs="Times New Roman"/>
          <w:b/>
          <w:noProof/>
          <w:sz w:val="24"/>
          <w:lang w:val="pl-PL"/>
        </w:rPr>
      </w:pPr>
      <w:r w:rsidRPr="00D051E2">
        <w:rPr>
          <w:rFonts w:ascii="Times New Roman" w:hAnsi="Times New Roman"/>
          <w:b/>
          <w:noProof/>
          <w:sz w:val="24"/>
          <w:lang w:val="pl-PL"/>
        </w:rPr>
        <w:t>Rachunki płatnicze, które zostały przeniesione</w:t>
      </w:r>
    </w:p>
    <w:p w14:paraId="4DF06C50" w14:textId="77777777" w:rsidR="00332118" w:rsidRPr="00D051E2" w:rsidRDefault="00332118" w:rsidP="005D0A57">
      <w:pPr>
        <w:keepNext/>
        <w:spacing w:after="360" w:line="240" w:lineRule="auto"/>
        <w:ind w:left="357"/>
        <w:contextualSpacing/>
        <w:jc w:val="both"/>
        <w:rPr>
          <w:rFonts w:ascii="Times New Roman" w:eastAsia="Calibri" w:hAnsi="Times New Roman" w:cs="Times New Roman"/>
          <w:b/>
          <w:noProof/>
          <w:sz w:val="24"/>
          <w:lang w:val="pl-PL"/>
        </w:rPr>
      </w:pPr>
    </w:p>
    <w:p w14:paraId="077DDFCA" w14:textId="3387B9C0" w:rsidR="005E550E" w:rsidRPr="00D051E2" w:rsidRDefault="005E550E" w:rsidP="005D0A57">
      <w:pPr>
        <w:keepNext/>
        <w:spacing w:before="240" w:after="0" w:line="240" w:lineRule="auto"/>
        <w:jc w:val="both"/>
        <w:rPr>
          <w:rFonts w:ascii="Times New Roman" w:eastAsia="Calibri" w:hAnsi="Times New Roman" w:cs="Times New Roman"/>
          <w:noProof/>
          <w:sz w:val="24"/>
          <w:lang w:val="pl-PL"/>
        </w:rPr>
      </w:pPr>
      <w:r w:rsidRPr="00D051E2">
        <w:rPr>
          <w:rFonts w:ascii="Times New Roman" w:hAnsi="Times New Roman"/>
          <w:noProof/>
          <w:sz w:val="24"/>
          <w:lang w:val="pl-PL"/>
        </w:rPr>
        <w:t>W celu ułatwienia przenoszenia rachunków płatniczych</w:t>
      </w:r>
      <w:r w:rsidR="00D051E2" w:rsidRPr="00D051E2">
        <w:rPr>
          <w:rFonts w:ascii="Times New Roman" w:hAnsi="Times New Roman"/>
          <w:noProof/>
          <w:sz w:val="24"/>
          <w:lang w:val="pl-PL"/>
        </w:rPr>
        <w:t xml:space="preserve"> w art</w:t>
      </w:r>
      <w:r w:rsidRPr="00D051E2">
        <w:rPr>
          <w:rFonts w:ascii="Times New Roman" w:hAnsi="Times New Roman"/>
          <w:noProof/>
          <w:sz w:val="24"/>
          <w:lang w:val="pl-PL"/>
        </w:rPr>
        <w:t>.</w:t>
      </w:r>
      <w:r w:rsidR="00D051E2" w:rsidRPr="00D051E2">
        <w:rPr>
          <w:rFonts w:ascii="Times New Roman" w:hAnsi="Times New Roman"/>
          <w:noProof/>
          <w:sz w:val="24"/>
          <w:lang w:val="pl-PL"/>
        </w:rPr>
        <w:t> </w:t>
      </w:r>
      <w:r w:rsidRPr="00D051E2">
        <w:rPr>
          <w:rFonts w:ascii="Times New Roman" w:hAnsi="Times New Roman"/>
          <w:noProof/>
          <w:sz w:val="24"/>
          <w:lang w:val="pl-PL"/>
        </w:rPr>
        <w:t>10 dyrektywy państwa członkowskie zobowiązano do zapewnienia, aby dostawcy usług płatniczych świadczyli przejrzystą</w:t>
      </w:r>
      <w:r w:rsidR="00D051E2" w:rsidRPr="00D051E2">
        <w:rPr>
          <w:rFonts w:ascii="Times New Roman" w:hAnsi="Times New Roman"/>
          <w:noProof/>
          <w:sz w:val="24"/>
          <w:lang w:val="pl-PL"/>
        </w:rPr>
        <w:t xml:space="preserve"> i szy</w:t>
      </w:r>
      <w:r w:rsidRPr="00D051E2">
        <w:rPr>
          <w:rFonts w:ascii="Times New Roman" w:hAnsi="Times New Roman"/>
          <w:noProof/>
          <w:sz w:val="24"/>
          <w:lang w:val="pl-PL"/>
        </w:rPr>
        <w:t>bką usługę przeniesienia rachunku</w:t>
      </w:r>
      <w:r w:rsidR="00D051E2" w:rsidRPr="00D051E2">
        <w:rPr>
          <w:rFonts w:ascii="Times New Roman" w:hAnsi="Times New Roman"/>
          <w:noProof/>
          <w:sz w:val="24"/>
          <w:lang w:val="pl-PL"/>
        </w:rPr>
        <w:t xml:space="preserve"> w obr</w:t>
      </w:r>
      <w:r w:rsidRPr="00D051E2">
        <w:rPr>
          <w:rFonts w:ascii="Times New Roman" w:hAnsi="Times New Roman"/>
          <w:noProof/>
          <w:sz w:val="24"/>
          <w:lang w:val="pl-PL"/>
        </w:rPr>
        <w:t>ębie państwa członkowskiego.</w:t>
      </w:r>
      <w:r w:rsidR="00D051E2" w:rsidRPr="00D051E2">
        <w:rPr>
          <w:rFonts w:ascii="Times New Roman" w:hAnsi="Times New Roman"/>
          <w:noProof/>
          <w:sz w:val="24"/>
          <w:lang w:val="pl-PL"/>
        </w:rPr>
        <w:t xml:space="preserve"> </w:t>
      </w:r>
    </w:p>
    <w:p w14:paraId="02FEFEC9" w14:textId="76F956D8" w:rsidR="005E550E" w:rsidRPr="00D051E2" w:rsidRDefault="005E550E" w:rsidP="005E550E">
      <w:pPr>
        <w:spacing w:before="240" w:after="0" w:line="240" w:lineRule="auto"/>
        <w:jc w:val="both"/>
        <w:rPr>
          <w:rFonts w:ascii="Times New Roman" w:eastAsia="Calibri" w:hAnsi="Times New Roman" w:cs="Times New Roman"/>
          <w:noProof/>
          <w:sz w:val="24"/>
          <w:lang w:val="pl-PL"/>
        </w:rPr>
      </w:pPr>
      <w:r w:rsidRPr="00D051E2">
        <w:rPr>
          <w:rFonts w:ascii="Times New Roman" w:hAnsi="Times New Roman"/>
          <w:noProof/>
          <w:sz w:val="24"/>
          <w:lang w:val="pl-PL"/>
        </w:rPr>
        <w:t>W poniższej tabeli przedstawiono przekazane przez państwa członkowskie informacje dotyczące liczby rachunków płatniczych, które zostały przeniesione</w:t>
      </w:r>
      <w:r w:rsidR="00D051E2" w:rsidRPr="00D051E2">
        <w:rPr>
          <w:rFonts w:ascii="Times New Roman" w:hAnsi="Times New Roman"/>
          <w:noProof/>
          <w:sz w:val="24"/>
          <w:lang w:val="pl-PL"/>
        </w:rPr>
        <w:t xml:space="preserve"> w okr</w:t>
      </w:r>
      <w:r w:rsidRPr="00D051E2">
        <w:rPr>
          <w:rFonts w:ascii="Times New Roman" w:hAnsi="Times New Roman"/>
          <w:noProof/>
          <w:sz w:val="24"/>
          <w:lang w:val="pl-PL"/>
        </w:rPr>
        <w:t>esie od</w:t>
      </w:r>
      <w:r w:rsidR="00D051E2" w:rsidRPr="00D051E2">
        <w:rPr>
          <w:rFonts w:ascii="Times New Roman" w:hAnsi="Times New Roman"/>
          <w:noProof/>
          <w:sz w:val="24"/>
          <w:lang w:val="pl-PL"/>
        </w:rPr>
        <w:t> </w:t>
      </w:r>
      <w:r w:rsidRPr="00D051E2">
        <w:rPr>
          <w:rFonts w:ascii="Times New Roman" w:hAnsi="Times New Roman"/>
          <w:noProof/>
          <w:sz w:val="24"/>
          <w:lang w:val="pl-PL"/>
        </w:rPr>
        <w:t>2016</w:t>
      </w:r>
      <w:r w:rsidR="00D051E2" w:rsidRPr="00D051E2">
        <w:rPr>
          <w:rFonts w:ascii="Times New Roman" w:hAnsi="Times New Roman"/>
          <w:noProof/>
          <w:sz w:val="24"/>
          <w:lang w:val="pl-PL"/>
        </w:rPr>
        <w:t> </w:t>
      </w:r>
      <w:r w:rsidRPr="00D051E2">
        <w:rPr>
          <w:rFonts w:ascii="Times New Roman" w:hAnsi="Times New Roman"/>
          <w:noProof/>
          <w:sz w:val="24"/>
          <w:lang w:val="pl-PL"/>
        </w:rPr>
        <w:t>r. do</w:t>
      </w:r>
      <w:r w:rsidR="00D051E2" w:rsidRPr="00D051E2">
        <w:rPr>
          <w:rFonts w:ascii="Times New Roman" w:hAnsi="Times New Roman"/>
          <w:noProof/>
          <w:sz w:val="24"/>
          <w:lang w:val="pl-PL"/>
        </w:rPr>
        <w:t> </w:t>
      </w:r>
      <w:r w:rsidRPr="00D051E2">
        <w:rPr>
          <w:rFonts w:ascii="Times New Roman" w:hAnsi="Times New Roman"/>
          <w:noProof/>
          <w:sz w:val="24"/>
          <w:lang w:val="pl-PL"/>
        </w:rPr>
        <w:t>2021</w:t>
      </w:r>
      <w:r w:rsidR="00D051E2" w:rsidRPr="00D051E2">
        <w:rPr>
          <w:rFonts w:ascii="Times New Roman" w:hAnsi="Times New Roman"/>
          <w:noProof/>
          <w:sz w:val="24"/>
          <w:lang w:val="pl-PL"/>
        </w:rPr>
        <w:t> </w:t>
      </w:r>
      <w:r w:rsidRPr="00D051E2">
        <w:rPr>
          <w:rFonts w:ascii="Times New Roman" w:hAnsi="Times New Roman"/>
          <w:noProof/>
          <w:sz w:val="24"/>
          <w:lang w:val="pl-PL"/>
        </w:rPr>
        <w:t>r. Nie wszystkie informacje są dostępne we wszystkich państwach członkowskich, dlatego</w:t>
      </w:r>
      <w:r w:rsidR="00D051E2" w:rsidRPr="00D051E2">
        <w:rPr>
          <w:rFonts w:ascii="Times New Roman" w:hAnsi="Times New Roman"/>
          <w:noProof/>
          <w:sz w:val="24"/>
          <w:lang w:val="pl-PL"/>
        </w:rPr>
        <w:t xml:space="preserve"> w tab</w:t>
      </w:r>
      <w:r w:rsidRPr="00D051E2">
        <w:rPr>
          <w:rFonts w:ascii="Times New Roman" w:hAnsi="Times New Roman"/>
          <w:noProof/>
          <w:sz w:val="24"/>
          <w:lang w:val="pl-PL"/>
        </w:rPr>
        <w:t>eli występują pewne luki</w:t>
      </w:r>
      <w:r w:rsidR="00D051E2" w:rsidRPr="00D051E2">
        <w:rPr>
          <w:rFonts w:ascii="Times New Roman" w:hAnsi="Times New Roman"/>
          <w:noProof/>
          <w:sz w:val="24"/>
          <w:lang w:val="pl-PL"/>
        </w:rPr>
        <w:t>. W szc</w:t>
      </w:r>
      <w:r w:rsidRPr="00D051E2">
        <w:rPr>
          <w:rFonts w:ascii="Times New Roman" w:hAnsi="Times New Roman"/>
          <w:noProof/>
          <w:sz w:val="24"/>
          <w:lang w:val="pl-PL"/>
        </w:rPr>
        <w:t>zególności</w:t>
      </w:r>
      <w:r w:rsidR="00D051E2" w:rsidRPr="00D051E2">
        <w:rPr>
          <w:rFonts w:ascii="Times New Roman" w:hAnsi="Times New Roman"/>
          <w:noProof/>
          <w:sz w:val="24"/>
          <w:lang w:val="pl-PL"/>
        </w:rPr>
        <w:t xml:space="preserve"> w mom</w:t>
      </w:r>
      <w:r w:rsidRPr="00D051E2">
        <w:rPr>
          <w:rFonts w:ascii="Times New Roman" w:hAnsi="Times New Roman"/>
          <w:noProof/>
          <w:sz w:val="24"/>
          <w:lang w:val="pl-PL"/>
        </w:rPr>
        <w:t>encie gromadzenia danych dotyczących wszystkich państw członkowskich dane za</w:t>
      </w:r>
      <w:r w:rsidR="00D051E2" w:rsidRPr="00D051E2">
        <w:rPr>
          <w:rFonts w:ascii="Times New Roman" w:hAnsi="Times New Roman"/>
          <w:noProof/>
          <w:sz w:val="24"/>
          <w:lang w:val="pl-PL"/>
        </w:rPr>
        <w:t> </w:t>
      </w:r>
      <w:r w:rsidRPr="00D051E2">
        <w:rPr>
          <w:rFonts w:ascii="Times New Roman" w:hAnsi="Times New Roman"/>
          <w:noProof/>
          <w:sz w:val="24"/>
          <w:lang w:val="pl-PL"/>
        </w:rPr>
        <w:t>2021</w:t>
      </w:r>
      <w:r w:rsidR="00D051E2" w:rsidRPr="00D051E2">
        <w:rPr>
          <w:rFonts w:ascii="Times New Roman" w:hAnsi="Times New Roman"/>
          <w:noProof/>
          <w:sz w:val="24"/>
          <w:lang w:val="pl-PL"/>
        </w:rPr>
        <w:t> </w:t>
      </w:r>
      <w:r w:rsidRPr="00D051E2">
        <w:rPr>
          <w:rFonts w:ascii="Times New Roman" w:hAnsi="Times New Roman"/>
          <w:noProof/>
          <w:sz w:val="24"/>
          <w:lang w:val="pl-PL"/>
        </w:rPr>
        <w:t>r. były jeszcze niedostępne. Podobnie, biorąc pod uwagę opóźnioną transpozycję</w:t>
      </w:r>
      <w:r w:rsidR="00D051E2" w:rsidRPr="00D051E2">
        <w:rPr>
          <w:rFonts w:ascii="Times New Roman" w:hAnsi="Times New Roman"/>
          <w:noProof/>
          <w:sz w:val="24"/>
          <w:lang w:val="pl-PL"/>
        </w:rPr>
        <w:t xml:space="preserve"> w nie</w:t>
      </w:r>
      <w:r w:rsidRPr="00D051E2">
        <w:rPr>
          <w:rFonts w:ascii="Times New Roman" w:hAnsi="Times New Roman"/>
          <w:noProof/>
          <w:sz w:val="24"/>
          <w:lang w:val="pl-PL"/>
        </w:rPr>
        <w:t>których państwach członkowskich,</w:t>
      </w:r>
      <w:r w:rsidR="00D051E2" w:rsidRPr="00D051E2">
        <w:rPr>
          <w:rFonts w:ascii="Times New Roman" w:hAnsi="Times New Roman"/>
          <w:noProof/>
          <w:sz w:val="24"/>
          <w:lang w:val="pl-PL"/>
        </w:rPr>
        <w:t xml:space="preserve"> w lat</w:t>
      </w:r>
      <w:r w:rsidRPr="00D051E2">
        <w:rPr>
          <w:rFonts w:ascii="Times New Roman" w:hAnsi="Times New Roman"/>
          <w:noProof/>
          <w:sz w:val="24"/>
          <w:lang w:val="pl-PL"/>
        </w:rPr>
        <w:t>ach 2016 lub</w:t>
      </w:r>
      <w:r w:rsidR="00D051E2" w:rsidRPr="00D051E2">
        <w:rPr>
          <w:rFonts w:ascii="Times New Roman" w:hAnsi="Times New Roman"/>
          <w:noProof/>
          <w:sz w:val="24"/>
          <w:lang w:val="pl-PL"/>
        </w:rPr>
        <w:t> </w:t>
      </w:r>
      <w:r w:rsidRPr="00D051E2">
        <w:rPr>
          <w:rFonts w:ascii="Times New Roman" w:hAnsi="Times New Roman"/>
          <w:noProof/>
          <w:sz w:val="24"/>
          <w:lang w:val="pl-PL"/>
        </w:rPr>
        <w:t>2017 usługa przeniesienia rachunku mogła nie być dostępna lub nie zebrano danych za te lata. Ponadto</w:t>
      </w:r>
      <w:r w:rsidR="00D051E2" w:rsidRPr="00D051E2">
        <w:rPr>
          <w:rFonts w:ascii="Times New Roman" w:hAnsi="Times New Roman"/>
          <w:noProof/>
          <w:sz w:val="24"/>
          <w:lang w:val="pl-PL"/>
        </w:rPr>
        <w:t xml:space="preserve"> w nie</w:t>
      </w:r>
      <w:r w:rsidRPr="00D051E2">
        <w:rPr>
          <w:rFonts w:ascii="Times New Roman" w:hAnsi="Times New Roman"/>
          <w:noProof/>
          <w:sz w:val="24"/>
          <w:lang w:val="pl-PL"/>
        </w:rPr>
        <w:t>których państwach członkowskich dane nie zawsze były gromadzone co roku,</w:t>
      </w:r>
      <w:r w:rsidR="00D051E2" w:rsidRPr="00D051E2">
        <w:rPr>
          <w:rFonts w:ascii="Times New Roman" w:hAnsi="Times New Roman"/>
          <w:noProof/>
          <w:sz w:val="24"/>
          <w:lang w:val="pl-PL"/>
        </w:rPr>
        <w:t xml:space="preserve"> a rac</w:t>
      </w:r>
      <w:r w:rsidRPr="00D051E2">
        <w:rPr>
          <w:rFonts w:ascii="Times New Roman" w:hAnsi="Times New Roman"/>
          <w:noProof/>
          <w:sz w:val="24"/>
          <w:lang w:val="pl-PL"/>
        </w:rPr>
        <w:t>zej za dłuższy okres.</w:t>
      </w:r>
    </w:p>
    <w:p w14:paraId="5AFFB45F" w14:textId="416DDAD2" w:rsidR="00014E41" w:rsidRPr="00D051E2" w:rsidRDefault="00014E41" w:rsidP="00014E41">
      <w:pPr>
        <w:spacing w:before="240" w:after="0" w:line="240" w:lineRule="auto"/>
        <w:jc w:val="both"/>
        <w:rPr>
          <w:rFonts w:ascii="Times New Roman" w:hAnsi="Times New Roman"/>
          <w:noProof/>
          <w:sz w:val="24"/>
          <w:lang w:val="pl-PL"/>
        </w:rPr>
      </w:pPr>
      <w:r w:rsidRPr="00D051E2">
        <w:rPr>
          <w:rFonts w:ascii="Times New Roman" w:hAnsi="Times New Roman"/>
          <w:noProof/>
          <w:sz w:val="24"/>
          <w:lang w:val="pl-PL"/>
        </w:rPr>
        <w:t>Ponadto przedstawione dane mogą nie być</w:t>
      </w:r>
      <w:r w:rsidR="00D051E2" w:rsidRPr="00D051E2">
        <w:rPr>
          <w:rFonts w:ascii="Times New Roman" w:hAnsi="Times New Roman"/>
          <w:noProof/>
          <w:sz w:val="24"/>
          <w:lang w:val="pl-PL"/>
        </w:rPr>
        <w:t xml:space="preserve"> w peł</w:t>
      </w:r>
      <w:r w:rsidRPr="00D051E2">
        <w:rPr>
          <w:rFonts w:ascii="Times New Roman" w:hAnsi="Times New Roman"/>
          <w:noProof/>
          <w:sz w:val="24"/>
          <w:lang w:val="pl-PL"/>
        </w:rPr>
        <w:t>ni porównywalne ze względu na różne metody ich gromadzenia. Na przykład</w:t>
      </w:r>
      <w:r w:rsidR="00D051E2" w:rsidRPr="00D051E2">
        <w:rPr>
          <w:rFonts w:ascii="Times New Roman" w:hAnsi="Times New Roman"/>
          <w:noProof/>
          <w:sz w:val="24"/>
          <w:lang w:val="pl-PL"/>
        </w:rPr>
        <w:t xml:space="preserve"> w nie</w:t>
      </w:r>
      <w:r w:rsidRPr="00D051E2">
        <w:rPr>
          <w:rFonts w:ascii="Times New Roman" w:hAnsi="Times New Roman"/>
          <w:noProof/>
          <w:sz w:val="24"/>
          <w:lang w:val="pl-PL"/>
        </w:rPr>
        <w:t xml:space="preserve">których państwach członkowskich instytucje kredytowe mają obowiązek przekazywania danych okresowo (lub na zasadzie </w:t>
      </w:r>
      <w:r w:rsidRPr="00D051E2">
        <w:rPr>
          <w:rFonts w:ascii="Times New Roman" w:hAnsi="Times New Roman"/>
          <w:i/>
          <w:iCs/>
          <w:noProof/>
          <w:sz w:val="24"/>
          <w:lang w:val="pl-PL"/>
        </w:rPr>
        <w:t>ad hoc</w:t>
      </w:r>
      <w:r w:rsidRPr="00D051E2">
        <w:rPr>
          <w:rFonts w:ascii="Times New Roman" w:hAnsi="Times New Roman"/>
          <w:noProof/>
          <w:sz w:val="24"/>
          <w:lang w:val="pl-PL"/>
        </w:rPr>
        <w:t>)</w:t>
      </w:r>
      <w:r w:rsidR="00D051E2" w:rsidRPr="00D051E2">
        <w:rPr>
          <w:rFonts w:ascii="Times New Roman" w:hAnsi="Times New Roman"/>
          <w:noProof/>
          <w:sz w:val="24"/>
          <w:lang w:val="pl-PL"/>
        </w:rPr>
        <w:t>. W inn</w:t>
      </w:r>
      <w:r w:rsidRPr="00D051E2">
        <w:rPr>
          <w:rFonts w:ascii="Times New Roman" w:hAnsi="Times New Roman"/>
          <w:noProof/>
          <w:sz w:val="24"/>
          <w:lang w:val="pl-PL"/>
        </w:rPr>
        <w:t>ych państwach członkowskich dane mogą być natomiast gromadzone jedynie na zasadzie dobrowolności lub wyłącznie</w:t>
      </w:r>
      <w:r w:rsidR="00D051E2" w:rsidRPr="00D051E2">
        <w:rPr>
          <w:rFonts w:ascii="Times New Roman" w:hAnsi="Times New Roman"/>
          <w:noProof/>
          <w:sz w:val="24"/>
          <w:lang w:val="pl-PL"/>
        </w:rPr>
        <w:t xml:space="preserve"> w opa</w:t>
      </w:r>
      <w:r w:rsidRPr="00D051E2">
        <w:rPr>
          <w:rFonts w:ascii="Times New Roman" w:hAnsi="Times New Roman"/>
          <w:noProof/>
          <w:sz w:val="24"/>
          <w:lang w:val="pl-PL"/>
        </w:rPr>
        <w:t>rciu</w:t>
      </w:r>
      <w:r w:rsidR="00D051E2" w:rsidRPr="00D051E2">
        <w:rPr>
          <w:rFonts w:ascii="Times New Roman" w:hAnsi="Times New Roman"/>
          <w:noProof/>
          <w:sz w:val="24"/>
          <w:lang w:val="pl-PL"/>
        </w:rPr>
        <w:t xml:space="preserve"> o pró</w:t>
      </w:r>
      <w:r w:rsidRPr="00D051E2">
        <w:rPr>
          <w:rFonts w:ascii="Times New Roman" w:hAnsi="Times New Roman"/>
          <w:noProof/>
          <w:sz w:val="24"/>
          <w:lang w:val="pl-PL"/>
        </w:rPr>
        <w:t>bę instytucji kredytowych. Ponadto</w:t>
      </w:r>
      <w:r w:rsidR="00D051E2" w:rsidRPr="00D051E2">
        <w:rPr>
          <w:rFonts w:ascii="Times New Roman" w:hAnsi="Times New Roman"/>
          <w:noProof/>
          <w:sz w:val="24"/>
          <w:lang w:val="pl-PL"/>
        </w:rPr>
        <w:t xml:space="preserve"> w nie</w:t>
      </w:r>
      <w:r w:rsidRPr="00D051E2">
        <w:rPr>
          <w:rFonts w:ascii="Times New Roman" w:hAnsi="Times New Roman"/>
          <w:noProof/>
          <w:sz w:val="24"/>
          <w:lang w:val="pl-PL"/>
        </w:rPr>
        <w:t>których przypadkach dane liczbowe przekazane przez niektóre państwa członkowskie za</w:t>
      </w:r>
      <w:r w:rsidR="00D051E2" w:rsidRPr="00D051E2">
        <w:rPr>
          <w:rFonts w:ascii="Times New Roman" w:hAnsi="Times New Roman"/>
          <w:noProof/>
          <w:sz w:val="24"/>
          <w:lang w:val="pl-PL"/>
        </w:rPr>
        <w:t> </w:t>
      </w:r>
      <w:r w:rsidRPr="00D051E2">
        <w:rPr>
          <w:rFonts w:ascii="Times New Roman" w:hAnsi="Times New Roman"/>
          <w:noProof/>
          <w:sz w:val="24"/>
          <w:lang w:val="pl-PL"/>
        </w:rPr>
        <w:t>2016</w:t>
      </w:r>
      <w:r w:rsidR="00D051E2" w:rsidRPr="00D051E2">
        <w:rPr>
          <w:rFonts w:ascii="Times New Roman" w:hAnsi="Times New Roman"/>
          <w:noProof/>
          <w:sz w:val="24"/>
          <w:lang w:val="pl-PL"/>
        </w:rPr>
        <w:t> </w:t>
      </w:r>
      <w:r w:rsidRPr="00D051E2">
        <w:rPr>
          <w:rFonts w:ascii="Times New Roman" w:hAnsi="Times New Roman"/>
          <w:noProof/>
          <w:sz w:val="24"/>
          <w:lang w:val="pl-PL"/>
        </w:rPr>
        <w:t>r. mogą obejmować przypadki przeniesienia rachunku, które miały miejsce</w:t>
      </w:r>
      <w:r w:rsidR="00D051E2" w:rsidRPr="00D051E2">
        <w:rPr>
          <w:rFonts w:ascii="Times New Roman" w:hAnsi="Times New Roman"/>
          <w:noProof/>
          <w:sz w:val="24"/>
          <w:lang w:val="pl-PL"/>
        </w:rPr>
        <w:t xml:space="preserve"> w tym</w:t>
      </w:r>
      <w:r w:rsidRPr="00D051E2">
        <w:rPr>
          <w:rFonts w:ascii="Times New Roman" w:hAnsi="Times New Roman"/>
          <w:noProof/>
          <w:sz w:val="24"/>
          <w:lang w:val="pl-PL"/>
        </w:rPr>
        <w:t xml:space="preserve"> roku</w:t>
      </w:r>
      <w:r w:rsidR="00D051E2" w:rsidRPr="00D051E2">
        <w:rPr>
          <w:rFonts w:ascii="Times New Roman" w:hAnsi="Times New Roman"/>
          <w:noProof/>
          <w:sz w:val="24"/>
          <w:lang w:val="pl-PL"/>
        </w:rPr>
        <w:t xml:space="preserve"> w mie</w:t>
      </w:r>
      <w:r w:rsidRPr="00D051E2">
        <w:rPr>
          <w:rFonts w:ascii="Times New Roman" w:hAnsi="Times New Roman"/>
          <w:noProof/>
          <w:sz w:val="24"/>
          <w:lang w:val="pl-PL"/>
        </w:rPr>
        <w:t>siącach poprzedzających wejście</w:t>
      </w:r>
      <w:r w:rsidR="00D051E2" w:rsidRPr="00D051E2">
        <w:rPr>
          <w:rFonts w:ascii="Times New Roman" w:hAnsi="Times New Roman"/>
          <w:noProof/>
          <w:sz w:val="24"/>
          <w:lang w:val="pl-PL"/>
        </w:rPr>
        <w:t xml:space="preserve"> w życ</w:t>
      </w:r>
      <w:r w:rsidRPr="00D051E2">
        <w:rPr>
          <w:rFonts w:ascii="Times New Roman" w:hAnsi="Times New Roman"/>
          <w:noProof/>
          <w:sz w:val="24"/>
          <w:lang w:val="pl-PL"/>
        </w:rPr>
        <w:t>ie dyrektywy (np. jeżeli podobna usługa przeniesienia rachunku istniała już</w:t>
      </w:r>
      <w:r w:rsidR="00D051E2" w:rsidRPr="00D051E2">
        <w:rPr>
          <w:rFonts w:ascii="Times New Roman" w:hAnsi="Times New Roman"/>
          <w:noProof/>
          <w:sz w:val="24"/>
          <w:lang w:val="pl-PL"/>
        </w:rPr>
        <w:t xml:space="preserve"> w tyc</w:t>
      </w:r>
      <w:r w:rsidRPr="00D051E2">
        <w:rPr>
          <w:rFonts w:ascii="Times New Roman" w:hAnsi="Times New Roman"/>
          <w:noProof/>
          <w:sz w:val="24"/>
          <w:lang w:val="pl-PL"/>
        </w:rPr>
        <w:t>h państwach członkowskich przed wdrożeniem dyrektywy)</w:t>
      </w:r>
      <w:r w:rsidR="00D051E2" w:rsidRPr="00D051E2">
        <w:rPr>
          <w:rFonts w:ascii="Times New Roman" w:hAnsi="Times New Roman"/>
          <w:noProof/>
          <w:sz w:val="24"/>
          <w:lang w:val="pl-PL"/>
        </w:rPr>
        <w:t>. Z tyc</w:t>
      </w:r>
      <w:r w:rsidRPr="00D051E2">
        <w:rPr>
          <w:rFonts w:ascii="Times New Roman" w:hAnsi="Times New Roman"/>
          <w:noProof/>
          <w:sz w:val="24"/>
          <w:lang w:val="pl-PL"/>
        </w:rPr>
        <w:t xml:space="preserve">h wszystkich powodów trudno jest wyciągnąć jednoznaczne wnioski. </w:t>
      </w:r>
    </w:p>
    <w:p w14:paraId="71D7DA58" w14:textId="48813833" w:rsidR="005E550E" w:rsidRPr="00D051E2" w:rsidRDefault="005E550E" w:rsidP="005D0A57">
      <w:pPr>
        <w:keepNext/>
        <w:spacing w:before="240" w:line="240" w:lineRule="auto"/>
        <w:jc w:val="both"/>
        <w:rPr>
          <w:rFonts w:ascii="Times New Roman" w:eastAsia="Calibri" w:hAnsi="Times New Roman" w:cs="Times New Roman"/>
          <w:b/>
          <w:i/>
          <w:noProof/>
          <w:sz w:val="24"/>
          <w:lang w:val="pl-PL"/>
        </w:rPr>
      </w:pPr>
      <w:bookmarkStart w:id="31" w:name="_Hlk126336407"/>
      <w:r w:rsidRPr="00D051E2">
        <w:rPr>
          <w:rFonts w:ascii="Times New Roman" w:hAnsi="Times New Roman"/>
          <w:b/>
          <w:i/>
          <w:noProof/>
          <w:sz w:val="24"/>
          <w:u w:val="single"/>
          <w:lang w:val="pl-PL"/>
        </w:rPr>
        <w:t>Tabela 1:</w:t>
      </w:r>
      <w:r w:rsidRPr="00D051E2">
        <w:rPr>
          <w:rFonts w:ascii="Times New Roman" w:hAnsi="Times New Roman"/>
          <w:b/>
          <w:i/>
          <w:noProof/>
          <w:sz w:val="24"/>
          <w:lang w:val="pl-PL"/>
        </w:rPr>
        <w:t xml:space="preserve"> </w:t>
      </w:r>
      <w:r w:rsidRPr="00D051E2">
        <w:rPr>
          <w:rFonts w:ascii="Times New Roman" w:hAnsi="Times New Roman"/>
          <w:i/>
          <w:noProof/>
          <w:sz w:val="24"/>
          <w:lang w:val="pl-PL"/>
        </w:rPr>
        <w:t>Liczba przypadków przeniesienia rachunku</w:t>
      </w:r>
      <w:r w:rsidR="00D051E2" w:rsidRPr="00D051E2">
        <w:rPr>
          <w:rFonts w:ascii="Times New Roman" w:hAnsi="Times New Roman"/>
          <w:i/>
          <w:noProof/>
          <w:sz w:val="24"/>
          <w:lang w:val="pl-PL"/>
        </w:rPr>
        <w:t xml:space="preserve"> w uję</w:t>
      </w:r>
      <w:r w:rsidRPr="00D051E2">
        <w:rPr>
          <w:rFonts w:ascii="Times New Roman" w:hAnsi="Times New Roman"/>
          <w:i/>
          <w:noProof/>
          <w:sz w:val="24"/>
          <w:lang w:val="pl-PL"/>
        </w:rPr>
        <w:t xml:space="preserve">ciu rocznym </w:t>
      </w:r>
      <w:r w:rsidRPr="00D051E2">
        <w:rPr>
          <w:rStyle w:val="FootnoteReference"/>
          <w:noProof/>
          <w:lang w:val="pl-PL"/>
        </w:rPr>
        <w:footnoteReference w:id="8"/>
      </w:r>
    </w:p>
    <w:bookmarkEnd w:id="31"/>
    <w:p w14:paraId="00E055CD" w14:textId="58126116" w:rsidR="005E550E" w:rsidRPr="00D051E2" w:rsidRDefault="00AA0749" w:rsidP="00014E41">
      <w:pPr>
        <w:spacing w:after="200" w:line="276" w:lineRule="auto"/>
        <w:jc w:val="center"/>
        <w:rPr>
          <w:rFonts w:ascii="Times New Roman" w:eastAsia="Calibri" w:hAnsi="Times New Roman" w:cs="Times New Roman"/>
          <w:noProof/>
          <w:lang w:val="pl-PL"/>
        </w:rPr>
      </w:pPr>
      <w:r w:rsidRPr="00D051E2">
        <w:rPr>
          <w:rFonts w:ascii="Times New Roman" w:eastAsia="Calibri" w:hAnsi="Times New Roman" w:cs="Times New Roman"/>
          <w:noProof/>
        </w:rPr>
        <w:drawing>
          <wp:inline distT="0" distB="0" distL="0" distR="0" wp14:anchorId="5423696D" wp14:editId="126899F0">
            <wp:extent cx="5760720" cy="6172835"/>
            <wp:effectExtent l="0" t="0" r="0" b="0"/>
            <wp:docPr id="2" name="Obraz 2" descr="Obraz zawierający stół&#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stół&#10;&#10;Opis wygenerowany automatycznie"/>
                    <pic:cNvPicPr/>
                  </pic:nvPicPr>
                  <pic:blipFill>
                    <a:blip r:embed="rId15"/>
                    <a:stretch>
                      <a:fillRect/>
                    </a:stretch>
                  </pic:blipFill>
                  <pic:spPr>
                    <a:xfrm>
                      <a:off x="0" y="0"/>
                      <a:ext cx="5760720" cy="6172835"/>
                    </a:xfrm>
                    <a:prstGeom prst="rect">
                      <a:avLst/>
                    </a:prstGeom>
                  </pic:spPr>
                </pic:pic>
              </a:graphicData>
            </a:graphic>
          </wp:inline>
        </w:drawing>
      </w:r>
    </w:p>
    <w:p w14:paraId="39485D22" w14:textId="7AC6F4F6" w:rsidR="005E550E" w:rsidRPr="00D051E2" w:rsidRDefault="005E550E" w:rsidP="005E550E">
      <w:pPr>
        <w:spacing w:before="120" w:line="240" w:lineRule="auto"/>
        <w:contextualSpacing/>
        <w:jc w:val="both"/>
        <w:rPr>
          <w:rFonts w:ascii="Times New Roman" w:eastAsia="Times New Roman" w:hAnsi="Times New Roman" w:cs="Times New Roman"/>
          <w:noProof/>
          <w:sz w:val="24"/>
          <w:lang w:val="pl-PL"/>
        </w:rPr>
      </w:pPr>
      <w:r w:rsidRPr="00D051E2">
        <w:rPr>
          <w:rFonts w:ascii="Times New Roman" w:hAnsi="Times New Roman"/>
          <w:noProof/>
          <w:sz w:val="24"/>
          <w:lang w:val="pl-PL"/>
        </w:rPr>
        <w:t>Na podstawie dostępnych danych</w:t>
      </w:r>
      <w:r w:rsidR="00D051E2" w:rsidRPr="00D051E2">
        <w:rPr>
          <w:rFonts w:ascii="Times New Roman" w:hAnsi="Times New Roman"/>
          <w:noProof/>
          <w:sz w:val="24"/>
          <w:lang w:val="pl-PL"/>
        </w:rPr>
        <w:t xml:space="preserve"> z tab</w:t>
      </w:r>
      <w:r w:rsidRPr="00D051E2">
        <w:rPr>
          <w:rFonts w:ascii="Times New Roman" w:hAnsi="Times New Roman"/>
          <w:noProof/>
          <w:sz w:val="24"/>
          <w:lang w:val="pl-PL"/>
        </w:rPr>
        <w:t>eli wynika, że istnieją duże różnice między państwami członkowskimi</w:t>
      </w:r>
      <w:r w:rsidR="00D051E2" w:rsidRPr="00D051E2">
        <w:rPr>
          <w:rFonts w:ascii="Times New Roman" w:hAnsi="Times New Roman"/>
          <w:noProof/>
          <w:sz w:val="24"/>
          <w:lang w:val="pl-PL"/>
        </w:rPr>
        <w:t>. W nie</w:t>
      </w:r>
      <w:r w:rsidRPr="00D051E2">
        <w:rPr>
          <w:rFonts w:ascii="Times New Roman" w:hAnsi="Times New Roman"/>
          <w:noProof/>
          <w:sz w:val="24"/>
          <w:lang w:val="pl-PL"/>
        </w:rPr>
        <w:t xml:space="preserve">których państwach członkowskich przeniesiono znaczną liczbę rachunków </w:t>
      </w:r>
      <w:bookmarkStart w:id="32" w:name="_Hlk127524835"/>
      <w:r w:rsidRPr="00D051E2">
        <w:rPr>
          <w:rFonts w:ascii="Times New Roman" w:hAnsi="Times New Roman"/>
          <w:noProof/>
          <w:sz w:val="24"/>
          <w:lang w:val="pl-PL"/>
        </w:rPr>
        <w:t>(np.</w:t>
      </w:r>
      <w:r w:rsidR="00D051E2" w:rsidRPr="00D051E2">
        <w:rPr>
          <w:rFonts w:ascii="Times New Roman" w:hAnsi="Times New Roman"/>
          <w:noProof/>
          <w:sz w:val="24"/>
          <w:lang w:val="pl-PL"/>
        </w:rPr>
        <w:t xml:space="preserve"> w Dan</w:t>
      </w:r>
      <w:r w:rsidRPr="00D051E2">
        <w:rPr>
          <w:rFonts w:ascii="Times New Roman" w:hAnsi="Times New Roman"/>
          <w:noProof/>
          <w:sz w:val="24"/>
          <w:lang w:val="pl-PL"/>
        </w:rPr>
        <w:t xml:space="preserve">ii lub Francji), </w:t>
      </w:r>
      <w:bookmarkEnd w:id="32"/>
      <w:r w:rsidRPr="00D051E2">
        <w:rPr>
          <w:rFonts w:ascii="Times New Roman" w:hAnsi="Times New Roman"/>
          <w:noProof/>
          <w:sz w:val="24"/>
          <w:lang w:val="pl-PL"/>
        </w:rPr>
        <w:t>przy czym</w:t>
      </w:r>
      <w:r w:rsidR="00D051E2" w:rsidRPr="00D051E2">
        <w:rPr>
          <w:rFonts w:ascii="Times New Roman" w:hAnsi="Times New Roman"/>
          <w:noProof/>
          <w:sz w:val="24"/>
          <w:lang w:val="pl-PL"/>
        </w:rPr>
        <w:t xml:space="preserve"> w nie</w:t>
      </w:r>
      <w:r w:rsidRPr="00D051E2">
        <w:rPr>
          <w:rFonts w:ascii="Times New Roman" w:hAnsi="Times New Roman"/>
          <w:noProof/>
          <w:sz w:val="24"/>
          <w:lang w:val="pl-PL"/>
        </w:rPr>
        <w:t>których państwach zjawisko to ma tendencję wzrostową;</w:t>
      </w:r>
      <w:r w:rsidR="00D051E2" w:rsidRPr="00D051E2">
        <w:rPr>
          <w:rFonts w:ascii="Times New Roman" w:hAnsi="Times New Roman"/>
          <w:noProof/>
          <w:sz w:val="24"/>
          <w:lang w:val="pl-PL"/>
        </w:rPr>
        <w:t xml:space="preserve"> w inn</w:t>
      </w:r>
      <w:r w:rsidRPr="00D051E2">
        <w:rPr>
          <w:rFonts w:ascii="Times New Roman" w:hAnsi="Times New Roman"/>
          <w:noProof/>
          <w:sz w:val="24"/>
          <w:lang w:val="pl-PL"/>
        </w:rPr>
        <w:t xml:space="preserve">ych liczby te są jednak bardzo niskie </w:t>
      </w:r>
      <w:bookmarkStart w:id="33" w:name="_Hlk127524874"/>
      <w:r w:rsidRPr="00D051E2">
        <w:rPr>
          <w:rFonts w:ascii="Times New Roman" w:hAnsi="Times New Roman"/>
          <w:noProof/>
          <w:sz w:val="24"/>
          <w:lang w:val="pl-PL"/>
        </w:rPr>
        <w:t>(np.</w:t>
      </w:r>
      <w:r w:rsidR="00D051E2" w:rsidRPr="00D051E2">
        <w:rPr>
          <w:rFonts w:ascii="Times New Roman" w:hAnsi="Times New Roman"/>
          <w:noProof/>
          <w:sz w:val="24"/>
          <w:lang w:val="pl-PL"/>
        </w:rPr>
        <w:t xml:space="preserve"> w Buł</w:t>
      </w:r>
      <w:r w:rsidRPr="00D051E2">
        <w:rPr>
          <w:rFonts w:ascii="Times New Roman" w:hAnsi="Times New Roman"/>
          <w:noProof/>
          <w:sz w:val="24"/>
          <w:lang w:val="pl-PL"/>
        </w:rPr>
        <w:t>garii, Grecji, na Cyprze, Malcie,</w:t>
      </w:r>
      <w:r w:rsidR="00D051E2" w:rsidRPr="00D051E2">
        <w:rPr>
          <w:rFonts w:ascii="Times New Roman" w:hAnsi="Times New Roman"/>
          <w:noProof/>
          <w:sz w:val="24"/>
          <w:lang w:val="pl-PL"/>
        </w:rPr>
        <w:t xml:space="preserve"> w Por</w:t>
      </w:r>
      <w:r w:rsidRPr="00D051E2">
        <w:rPr>
          <w:rFonts w:ascii="Times New Roman" w:hAnsi="Times New Roman"/>
          <w:noProof/>
          <w:sz w:val="24"/>
          <w:lang w:val="pl-PL"/>
        </w:rPr>
        <w:t>tugalii czy Rumunii)</w:t>
      </w:r>
      <w:bookmarkEnd w:id="33"/>
      <w:r w:rsidRPr="00D051E2">
        <w:rPr>
          <w:rStyle w:val="FootnoteReference"/>
          <w:rFonts w:ascii="Times New Roman" w:eastAsia="Times New Roman" w:hAnsi="Times New Roman" w:cs="Times New Roman"/>
          <w:noProof/>
          <w:sz w:val="24"/>
          <w:lang w:val="pl-PL"/>
        </w:rPr>
        <w:footnoteReference w:id="9"/>
      </w:r>
      <w:r w:rsidRPr="00D051E2">
        <w:rPr>
          <w:rFonts w:ascii="Times New Roman" w:hAnsi="Times New Roman"/>
          <w:noProof/>
          <w:sz w:val="24"/>
          <w:lang w:val="pl-PL"/>
        </w:rPr>
        <w:t>.</w:t>
      </w:r>
      <w:r w:rsidR="00D051E2" w:rsidRPr="00D051E2">
        <w:rPr>
          <w:rFonts w:ascii="Times New Roman" w:hAnsi="Times New Roman"/>
          <w:noProof/>
          <w:sz w:val="24"/>
          <w:lang w:val="pl-PL"/>
        </w:rPr>
        <w:t xml:space="preserve"> </w:t>
      </w:r>
    </w:p>
    <w:p w14:paraId="0B190C5C" w14:textId="220A4D52" w:rsidR="005E550E" w:rsidRPr="00D051E2" w:rsidRDefault="005E550E" w:rsidP="005E550E">
      <w:pPr>
        <w:numPr>
          <w:ilvl w:val="0"/>
          <w:numId w:val="4"/>
        </w:numPr>
        <w:spacing w:after="200" w:line="240" w:lineRule="auto"/>
        <w:contextualSpacing/>
        <w:jc w:val="both"/>
        <w:rPr>
          <w:rFonts w:ascii="Times New Roman" w:eastAsia="Calibri" w:hAnsi="Times New Roman" w:cs="Times New Roman"/>
          <w:b/>
          <w:noProof/>
          <w:sz w:val="24"/>
          <w:lang w:val="pl-PL"/>
        </w:rPr>
      </w:pPr>
      <w:r w:rsidRPr="00D051E2">
        <w:rPr>
          <w:rFonts w:ascii="Times New Roman" w:hAnsi="Times New Roman"/>
          <w:b/>
          <w:noProof/>
          <w:sz w:val="24"/>
          <w:lang w:val="pl-PL"/>
        </w:rPr>
        <w:t>Liczba (i odsetek) odrzuconych wniosków</w:t>
      </w:r>
      <w:r w:rsidR="00D051E2" w:rsidRPr="00D051E2">
        <w:rPr>
          <w:rFonts w:ascii="Times New Roman" w:hAnsi="Times New Roman"/>
          <w:b/>
          <w:noProof/>
          <w:sz w:val="24"/>
          <w:lang w:val="pl-PL"/>
        </w:rPr>
        <w:t xml:space="preserve"> o prz</w:t>
      </w:r>
      <w:r w:rsidRPr="00D051E2">
        <w:rPr>
          <w:rFonts w:ascii="Times New Roman" w:hAnsi="Times New Roman"/>
          <w:b/>
          <w:noProof/>
          <w:sz w:val="24"/>
          <w:lang w:val="pl-PL"/>
        </w:rPr>
        <w:t>eniesienie rachunku</w:t>
      </w:r>
    </w:p>
    <w:p w14:paraId="5AFBE70F" w14:textId="77777777" w:rsidR="005E550E" w:rsidRPr="00D051E2" w:rsidRDefault="005E550E" w:rsidP="005E550E">
      <w:pPr>
        <w:spacing w:after="200" w:line="240" w:lineRule="auto"/>
        <w:contextualSpacing/>
        <w:jc w:val="both"/>
        <w:rPr>
          <w:rFonts w:ascii="Times New Roman" w:eastAsia="Calibri" w:hAnsi="Times New Roman" w:cs="Times New Roman"/>
          <w:b/>
          <w:noProof/>
          <w:sz w:val="24"/>
          <w:lang w:val="pl-PL"/>
        </w:rPr>
      </w:pPr>
    </w:p>
    <w:p w14:paraId="0CDC08CA" w14:textId="5D366201" w:rsidR="005E550E" w:rsidRPr="00D051E2" w:rsidRDefault="005E550E" w:rsidP="005E550E">
      <w:pPr>
        <w:spacing w:before="240" w:after="0" w:line="240" w:lineRule="auto"/>
        <w:jc w:val="both"/>
        <w:rPr>
          <w:rFonts w:ascii="Times New Roman" w:eastAsia="Calibri" w:hAnsi="Times New Roman" w:cs="Times New Roman"/>
          <w:noProof/>
          <w:sz w:val="24"/>
          <w:lang w:val="pl-PL"/>
        </w:rPr>
      </w:pPr>
      <w:r w:rsidRPr="00D051E2">
        <w:rPr>
          <w:rFonts w:ascii="Times New Roman" w:hAnsi="Times New Roman"/>
          <w:noProof/>
          <w:sz w:val="24"/>
          <w:lang w:val="pl-PL"/>
        </w:rPr>
        <w:t>Państwa członkowskie przedstawiły zawarte</w:t>
      </w:r>
      <w:r w:rsidR="00D051E2" w:rsidRPr="00D051E2">
        <w:rPr>
          <w:rFonts w:ascii="Times New Roman" w:hAnsi="Times New Roman"/>
          <w:noProof/>
          <w:sz w:val="24"/>
          <w:lang w:val="pl-PL"/>
        </w:rPr>
        <w:t xml:space="preserve"> w pon</w:t>
      </w:r>
      <w:r w:rsidRPr="00D051E2">
        <w:rPr>
          <w:rFonts w:ascii="Times New Roman" w:hAnsi="Times New Roman"/>
          <w:noProof/>
          <w:sz w:val="24"/>
          <w:lang w:val="pl-PL"/>
        </w:rPr>
        <w:t>iższej tabeli informacje dotyczące liczby wniosków</w:t>
      </w:r>
      <w:r w:rsidR="00D051E2" w:rsidRPr="00D051E2">
        <w:rPr>
          <w:rFonts w:ascii="Times New Roman" w:hAnsi="Times New Roman"/>
          <w:noProof/>
          <w:sz w:val="24"/>
          <w:lang w:val="pl-PL"/>
        </w:rPr>
        <w:t xml:space="preserve"> o prz</w:t>
      </w:r>
      <w:r w:rsidRPr="00D051E2">
        <w:rPr>
          <w:rFonts w:ascii="Times New Roman" w:hAnsi="Times New Roman"/>
          <w:noProof/>
          <w:sz w:val="24"/>
          <w:lang w:val="pl-PL"/>
        </w:rPr>
        <w:t>eniesienie rachunku, które odrzucono</w:t>
      </w:r>
      <w:r w:rsidR="00D051E2" w:rsidRPr="00D051E2">
        <w:rPr>
          <w:rFonts w:ascii="Times New Roman" w:hAnsi="Times New Roman"/>
          <w:noProof/>
          <w:sz w:val="24"/>
          <w:lang w:val="pl-PL"/>
        </w:rPr>
        <w:t xml:space="preserve"> w okr</w:t>
      </w:r>
      <w:r w:rsidRPr="00D051E2">
        <w:rPr>
          <w:rFonts w:ascii="Times New Roman" w:hAnsi="Times New Roman"/>
          <w:noProof/>
          <w:sz w:val="24"/>
          <w:lang w:val="pl-PL"/>
        </w:rPr>
        <w:t>esie od</w:t>
      </w:r>
      <w:r w:rsidR="00D051E2" w:rsidRPr="00D051E2">
        <w:rPr>
          <w:rFonts w:ascii="Times New Roman" w:hAnsi="Times New Roman"/>
          <w:noProof/>
          <w:sz w:val="24"/>
          <w:lang w:val="pl-PL"/>
        </w:rPr>
        <w:t> </w:t>
      </w:r>
      <w:r w:rsidRPr="00D051E2">
        <w:rPr>
          <w:rFonts w:ascii="Times New Roman" w:hAnsi="Times New Roman"/>
          <w:noProof/>
          <w:sz w:val="24"/>
          <w:lang w:val="pl-PL"/>
        </w:rPr>
        <w:t>2016</w:t>
      </w:r>
      <w:r w:rsidR="00D051E2" w:rsidRPr="00D051E2">
        <w:rPr>
          <w:rFonts w:ascii="Times New Roman" w:hAnsi="Times New Roman"/>
          <w:noProof/>
          <w:sz w:val="24"/>
          <w:lang w:val="pl-PL"/>
        </w:rPr>
        <w:t> </w:t>
      </w:r>
      <w:r w:rsidRPr="00D051E2">
        <w:rPr>
          <w:rFonts w:ascii="Times New Roman" w:hAnsi="Times New Roman"/>
          <w:noProof/>
          <w:sz w:val="24"/>
          <w:lang w:val="pl-PL"/>
        </w:rPr>
        <w:t>r. do</w:t>
      </w:r>
      <w:r w:rsidR="00D051E2" w:rsidRPr="00D051E2">
        <w:rPr>
          <w:rFonts w:ascii="Times New Roman" w:hAnsi="Times New Roman"/>
          <w:noProof/>
          <w:sz w:val="24"/>
          <w:lang w:val="pl-PL"/>
        </w:rPr>
        <w:t> </w:t>
      </w:r>
      <w:r w:rsidRPr="00D051E2">
        <w:rPr>
          <w:rFonts w:ascii="Times New Roman" w:hAnsi="Times New Roman"/>
          <w:noProof/>
          <w:sz w:val="24"/>
          <w:lang w:val="pl-PL"/>
        </w:rPr>
        <w:t>2021</w:t>
      </w:r>
      <w:r w:rsidR="00D051E2" w:rsidRPr="00D051E2">
        <w:rPr>
          <w:rFonts w:ascii="Times New Roman" w:hAnsi="Times New Roman"/>
          <w:noProof/>
          <w:sz w:val="24"/>
          <w:lang w:val="pl-PL"/>
        </w:rPr>
        <w:t> </w:t>
      </w:r>
      <w:r w:rsidRPr="00D051E2">
        <w:rPr>
          <w:rFonts w:ascii="Times New Roman" w:hAnsi="Times New Roman"/>
          <w:noProof/>
          <w:sz w:val="24"/>
          <w:lang w:val="pl-PL"/>
        </w:rPr>
        <w:t>r. Odpowiednie wskaźniki obliczono, przyjmując liczbę dokonanych przeniesień rachunku oraz liczbę odrzuconych wniosków</w:t>
      </w:r>
      <w:r w:rsidR="00D051E2" w:rsidRPr="00D051E2">
        <w:rPr>
          <w:rFonts w:ascii="Times New Roman" w:hAnsi="Times New Roman"/>
          <w:noProof/>
          <w:sz w:val="24"/>
          <w:lang w:val="pl-PL"/>
        </w:rPr>
        <w:t xml:space="preserve"> o prz</w:t>
      </w:r>
      <w:r w:rsidRPr="00D051E2">
        <w:rPr>
          <w:rFonts w:ascii="Times New Roman" w:hAnsi="Times New Roman"/>
          <w:noProof/>
          <w:sz w:val="24"/>
          <w:lang w:val="pl-PL"/>
        </w:rPr>
        <w:t>eniesienie rachunku jako odsetek wszystkich wniosków</w:t>
      </w:r>
      <w:r w:rsidRPr="00D051E2">
        <w:rPr>
          <w:rStyle w:val="FootnoteReference"/>
          <w:noProof/>
          <w:lang w:val="pl-PL"/>
        </w:rPr>
        <w:footnoteReference w:id="10"/>
      </w:r>
      <w:r w:rsidRPr="00D051E2">
        <w:rPr>
          <w:rFonts w:ascii="Times New Roman" w:hAnsi="Times New Roman"/>
          <w:noProof/>
          <w:sz w:val="24"/>
          <w:lang w:val="pl-PL"/>
        </w:rPr>
        <w:t>. Podobnie jak powyżej, informacje dotyczące liczby odrzuconych wniosków</w:t>
      </w:r>
      <w:r w:rsidR="00D051E2" w:rsidRPr="00D051E2">
        <w:rPr>
          <w:rFonts w:ascii="Times New Roman" w:hAnsi="Times New Roman"/>
          <w:noProof/>
          <w:sz w:val="24"/>
          <w:lang w:val="pl-PL"/>
        </w:rPr>
        <w:t xml:space="preserve"> o prz</w:t>
      </w:r>
      <w:r w:rsidRPr="00D051E2">
        <w:rPr>
          <w:rFonts w:ascii="Times New Roman" w:hAnsi="Times New Roman"/>
          <w:noProof/>
          <w:sz w:val="24"/>
          <w:lang w:val="pl-PL"/>
        </w:rPr>
        <w:t>eniesienie rachunku nie są kompletne. Co więcej</w:t>
      </w:r>
      <w:r w:rsidR="00D051E2" w:rsidRPr="00D051E2">
        <w:rPr>
          <w:rFonts w:ascii="Times New Roman" w:hAnsi="Times New Roman"/>
          <w:noProof/>
          <w:sz w:val="24"/>
          <w:lang w:val="pl-PL"/>
        </w:rPr>
        <w:t xml:space="preserve"> w nie</w:t>
      </w:r>
      <w:r w:rsidRPr="00D051E2">
        <w:rPr>
          <w:rFonts w:ascii="Times New Roman" w:hAnsi="Times New Roman"/>
          <w:noProof/>
          <w:sz w:val="24"/>
          <w:lang w:val="pl-PL"/>
        </w:rPr>
        <w:t>których państwach członkowskich dane dotyczące odrzuconych wniosków nie są</w:t>
      </w:r>
      <w:r w:rsidR="00D051E2" w:rsidRPr="00D051E2">
        <w:rPr>
          <w:rFonts w:ascii="Times New Roman" w:hAnsi="Times New Roman"/>
          <w:noProof/>
          <w:sz w:val="24"/>
          <w:lang w:val="pl-PL"/>
        </w:rPr>
        <w:t xml:space="preserve"> w ogó</w:t>
      </w:r>
      <w:r w:rsidRPr="00D051E2">
        <w:rPr>
          <w:rFonts w:ascii="Times New Roman" w:hAnsi="Times New Roman"/>
          <w:noProof/>
          <w:sz w:val="24"/>
          <w:lang w:val="pl-PL"/>
        </w:rPr>
        <w:t>le gromadzone. Ponadto przedstawione dane mogą również nie być</w:t>
      </w:r>
      <w:r w:rsidR="00D051E2" w:rsidRPr="00D051E2">
        <w:rPr>
          <w:rFonts w:ascii="Times New Roman" w:hAnsi="Times New Roman"/>
          <w:noProof/>
          <w:sz w:val="24"/>
          <w:lang w:val="pl-PL"/>
        </w:rPr>
        <w:t xml:space="preserve"> w peł</w:t>
      </w:r>
      <w:r w:rsidRPr="00D051E2">
        <w:rPr>
          <w:rFonts w:ascii="Times New Roman" w:hAnsi="Times New Roman"/>
          <w:noProof/>
          <w:sz w:val="24"/>
          <w:lang w:val="pl-PL"/>
        </w:rPr>
        <w:t xml:space="preserve">ni porównywalne ze względu na różne metody gromadzenia danych stosowane przez państwa członkowskie. </w:t>
      </w:r>
    </w:p>
    <w:p w14:paraId="7049D4CB" w14:textId="14061B8E" w:rsidR="005E550E" w:rsidRPr="00D051E2" w:rsidRDefault="005E550E" w:rsidP="00092414">
      <w:pPr>
        <w:keepNext/>
        <w:spacing w:before="240" w:after="0" w:line="240" w:lineRule="auto"/>
        <w:jc w:val="both"/>
        <w:rPr>
          <w:rFonts w:ascii="Times New Roman" w:eastAsia="Calibri" w:hAnsi="Times New Roman" w:cs="Times New Roman"/>
          <w:b/>
          <w:i/>
          <w:noProof/>
          <w:sz w:val="24"/>
          <w:u w:val="single"/>
          <w:lang w:val="pl-PL"/>
        </w:rPr>
      </w:pPr>
      <w:r w:rsidRPr="00D051E2">
        <w:rPr>
          <w:rFonts w:ascii="Times New Roman" w:hAnsi="Times New Roman"/>
          <w:b/>
          <w:i/>
          <w:noProof/>
          <w:sz w:val="24"/>
          <w:u w:val="single"/>
          <w:lang w:val="pl-PL"/>
        </w:rPr>
        <w:t>Tabela 2:</w:t>
      </w:r>
      <w:r w:rsidRPr="00D051E2">
        <w:rPr>
          <w:rFonts w:ascii="Times New Roman" w:hAnsi="Times New Roman"/>
          <w:b/>
          <w:i/>
          <w:noProof/>
          <w:sz w:val="24"/>
          <w:lang w:val="pl-PL"/>
        </w:rPr>
        <w:t xml:space="preserve"> </w:t>
      </w:r>
      <w:r w:rsidRPr="00D051E2">
        <w:rPr>
          <w:rFonts w:ascii="Times New Roman" w:hAnsi="Times New Roman"/>
          <w:i/>
          <w:noProof/>
          <w:sz w:val="24"/>
          <w:lang w:val="pl-PL"/>
        </w:rPr>
        <w:t>Liczba</w:t>
      </w:r>
      <w:r w:rsidR="00D051E2" w:rsidRPr="00D051E2">
        <w:rPr>
          <w:rFonts w:ascii="Times New Roman" w:hAnsi="Times New Roman"/>
          <w:i/>
          <w:noProof/>
          <w:sz w:val="24"/>
          <w:lang w:val="pl-PL"/>
        </w:rPr>
        <w:t xml:space="preserve"> i ods</w:t>
      </w:r>
      <w:r w:rsidRPr="00D051E2">
        <w:rPr>
          <w:rFonts w:ascii="Times New Roman" w:hAnsi="Times New Roman"/>
          <w:i/>
          <w:noProof/>
          <w:sz w:val="24"/>
          <w:lang w:val="pl-PL"/>
        </w:rPr>
        <w:t>etek odrzuconych wniosków</w:t>
      </w:r>
      <w:r w:rsidR="00D051E2" w:rsidRPr="00D051E2">
        <w:rPr>
          <w:rFonts w:ascii="Times New Roman" w:hAnsi="Times New Roman"/>
          <w:i/>
          <w:noProof/>
          <w:sz w:val="24"/>
          <w:lang w:val="pl-PL"/>
        </w:rPr>
        <w:t xml:space="preserve"> o prz</w:t>
      </w:r>
      <w:r w:rsidRPr="00D051E2">
        <w:rPr>
          <w:rFonts w:ascii="Times New Roman" w:hAnsi="Times New Roman"/>
          <w:i/>
          <w:noProof/>
          <w:sz w:val="24"/>
          <w:lang w:val="pl-PL"/>
        </w:rPr>
        <w:t>eniesienie rachunku</w:t>
      </w:r>
      <w:r w:rsidRPr="00D051E2">
        <w:rPr>
          <w:rStyle w:val="FootnoteReference"/>
          <w:noProof/>
          <w:lang w:val="pl-PL"/>
        </w:rPr>
        <w:footnoteReference w:id="11"/>
      </w:r>
    </w:p>
    <w:p w14:paraId="5B755E6A" w14:textId="603F7267" w:rsidR="005E550E" w:rsidRPr="00D051E2" w:rsidRDefault="00AA0749" w:rsidP="005E550E">
      <w:pPr>
        <w:spacing w:before="240" w:after="0" w:line="240" w:lineRule="auto"/>
        <w:jc w:val="both"/>
        <w:rPr>
          <w:rFonts w:ascii="Times New Roman" w:eastAsia="Calibri" w:hAnsi="Times New Roman" w:cs="Times New Roman"/>
          <w:noProof/>
          <w:sz w:val="24"/>
          <w:lang w:val="pl-PL"/>
        </w:rPr>
      </w:pPr>
      <w:r w:rsidRPr="00D051E2">
        <w:rPr>
          <w:rFonts w:ascii="Times New Roman" w:eastAsia="Calibri" w:hAnsi="Times New Roman" w:cs="Times New Roman"/>
          <w:noProof/>
          <w:sz w:val="24"/>
        </w:rPr>
        <w:drawing>
          <wp:inline distT="0" distB="0" distL="0" distR="0" wp14:anchorId="7D14B3DA" wp14:editId="5D2DC450">
            <wp:extent cx="5760720" cy="4719955"/>
            <wp:effectExtent l="0" t="0" r="0" b="4445"/>
            <wp:docPr id="1" name="Obraz 1" descr="Obraz zawierający stół&#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stół&#10;&#10;Opis wygenerowany automatycznie"/>
                    <pic:cNvPicPr/>
                  </pic:nvPicPr>
                  <pic:blipFill>
                    <a:blip r:embed="rId16"/>
                    <a:stretch>
                      <a:fillRect/>
                    </a:stretch>
                  </pic:blipFill>
                  <pic:spPr>
                    <a:xfrm>
                      <a:off x="0" y="0"/>
                      <a:ext cx="5760720" cy="4719955"/>
                    </a:xfrm>
                    <a:prstGeom prst="rect">
                      <a:avLst/>
                    </a:prstGeom>
                  </pic:spPr>
                </pic:pic>
              </a:graphicData>
            </a:graphic>
          </wp:inline>
        </w:drawing>
      </w:r>
    </w:p>
    <w:p w14:paraId="26DA420C" w14:textId="77777777" w:rsidR="005E550E" w:rsidRPr="00D051E2" w:rsidRDefault="005E550E" w:rsidP="005E550E">
      <w:pPr>
        <w:spacing w:before="240" w:after="0" w:line="240" w:lineRule="auto"/>
        <w:jc w:val="both"/>
        <w:rPr>
          <w:rFonts w:ascii="Times New Roman" w:eastAsia="Calibri" w:hAnsi="Times New Roman" w:cs="Times New Roman"/>
          <w:noProof/>
          <w:sz w:val="24"/>
          <w:lang w:val="pl-PL"/>
        </w:rPr>
      </w:pPr>
    </w:p>
    <w:p w14:paraId="40B3ED49" w14:textId="74E0310F" w:rsidR="005E550E" w:rsidRPr="00D051E2" w:rsidRDefault="005E550E" w:rsidP="005E550E">
      <w:pPr>
        <w:spacing w:before="240" w:after="0" w:line="240" w:lineRule="auto"/>
        <w:jc w:val="both"/>
        <w:rPr>
          <w:rFonts w:ascii="Times New Roman" w:eastAsia="Calibri" w:hAnsi="Times New Roman" w:cs="Times New Roman"/>
          <w:noProof/>
          <w:sz w:val="24"/>
          <w:lang w:val="pl-PL"/>
        </w:rPr>
      </w:pPr>
      <w:r w:rsidRPr="00D051E2">
        <w:rPr>
          <w:rFonts w:ascii="Times New Roman" w:hAnsi="Times New Roman"/>
          <w:noProof/>
          <w:sz w:val="24"/>
          <w:lang w:val="pl-PL"/>
        </w:rPr>
        <w:t>Wydaje się, że liczba odrzuconych wniosków</w:t>
      </w:r>
      <w:r w:rsidR="00D051E2" w:rsidRPr="00D051E2">
        <w:rPr>
          <w:rFonts w:ascii="Times New Roman" w:hAnsi="Times New Roman"/>
          <w:noProof/>
          <w:sz w:val="24"/>
          <w:lang w:val="pl-PL"/>
        </w:rPr>
        <w:t xml:space="preserve"> o prz</w:t>
      </w:r>
      <w:r w:rsidRPr="00D051E2">
        <w:rPr>
          <w:rFonts w:ascii="Times New Roman" w:hAnsi="Times New Roman"/>
          <w:noProof/>
          <w:sz w:val="24"/>
          <w:lang w:val="pl-PL"/>
        </w:rPr>
        <w:t>eniesienie rachunku jest ogólnie niska. Wydaje się jednak, że istnieją znaczne różnice między poszczególnymi państwami członkowskimi, przy czym</w:t>
      </w:r>
      <w:r w:rsidR="00D051E2" w:rsidRPr="00D051E2">
        <w:rPr>
          <w:rFonts w:ascii="Times New Roman" w:hAnsi="Times New Roman"/>
          <w:noProof/>
          <w:sz w:val="24"/>
          <w:lang w:val="pl-PL"/>
        </w:rPr>
        <w:t xml:space="preserve"> w kil</w:t>
      </w:r>
      <w:r w:rsidRPr="00D051E2">
        <w:rPr>
          <w:rFonts w:ascii="Times New Roman" w:hAnsi="Times New Roman"/>
          <w:noProof/>
          <w:sz w:val="24"/>
          <w:lang w:val="pl-PL"/>
        </w:rPr>
        <w:t>ku</w:t>
      </w:r>
      <w:r w:rsidR="00D051E2" w:rsidRPr="00D051E2">
        <w:rPr>
          <w:rFonts w:ascii="Times New Roman" w:hAnsi="Times New Roman"/>
          <w:noProof/>
          <w:sz w:val="24"/>
          <w:lang w:val="pl-PL"/>
        </w:rPr>
        <w:t xml:space="preserve"> z nic</w:t>
      </w:r>
      <w:r w:rsidRPr="00D051E2">
        <w:rPr>
          <w:rFonts w:ascii="Times New Roman" w:hAnsi="Times New Roman"/>
          <w:noProof/>
          <w:sz w:val="24"/>
          <w:lang w:val="pl-PL"/>
        </w:rPr>
        <w:t>h liczba ta jest wysoka (np.</w:t>
      </w:r>
      <w:r w:rsidR="00D051E2" w:rsidRPr="00D051E2">
        <w:rPr>
          <w:rFonts w:ascii="Times New Roman" w:hAnsi="Times New Roman"/>
          <w:noProof/>
          <w:sz w:val="24"/>
          <w:lang w:val="pl-PL"/>
        </w:rPr>
        <w:t xml:space="preserve"> w His</w:t>
      </w:r>
      <w:r w:rsidRPr="00D051E2">
        <w:rPr>
          <w:rFonts w:ascii="Times New Roman" w:hAnsi="Times New Roman"/>
          <w:noProof/>
          <w:sz w:val="24"/>
          <w:lang w:val="pl-PL"/>
        </w:rPr>
        <w:t>zpanii, na Węgrzech lub</w:t>
      </w:r>
      <w:r w:rsidR="00D051E2" w:rsidRPr="00D051E2">
        <w:rPr>
          <w:rFonts w:ascii="Times New Roman" w:hAnsi="Times New Roman"/>
          <w:noProof/>
          <w:sz w:val="24"/>
          <w:lang w:val="pl-PL"/>
        </w:rPr>
        <w:t xml:space="preserve"> w Rum</w:t>
      </w:r>
      <w:r w:rsidRPr="00D051E2">
        <w:rPr>
          <w:rFonts w:ascii="Times New Roman" w:hAnsi="Times New Roman"/>
          <w:noProof/>
          <w:sz w:val="24"/>
          <w:lang w:val="pl-PL"/>
        </w:rPr>
        <w:t>unii). Chociaż instytucje kredytowe nie powinny zasadniczo odrzucać żadnych wniosków</w:t>
      </w:r>
      <w:r w:rsidR="00D051E2" w:rsidRPr="00D051E2">
        <w:rPr>
          <w:rFonts w:ascii="Times New Roman" w:hAnsi="Times New Roman"/>
          <w:noProof/>
          <w:sz w:val="24"/>
          <w:lang w:val="pl-PL"/>
        </w:rPr>
        <w:t xml:space="preserve"> o prz</w:t>
      </w:r>
      <w:r w:rsidRPr="00D051E2">
        <w:rPr>
          <w:rFonts w:ascii="Times New Roman" w:hAnsi="Times New Roman"/>
          <w:noProof/>
          <w:sz w:val="24"/>
          <w:lang w:val="pl-PL"/>
        </w:rPr>
        <w:t>eniesienie rachunku, mogą one odmówić zamknięcia rachunku płatniczego, jeżeli istnieje nieuregulowane zobowiązanie</w:t>
      </w:r>
      <w:r w:rsidRPr="00D051E2">
        <w:rPr>
          <w:rStyle w:val="FootnoteReference"/>
          <w:rFonts w:ascii="Times New Roman" w:eastAsia="Calibri" w:hAnsi="Times New Roman" w:cs="Times New Roman"/>
          <w:noProof/>
          <w:sz w:val="24"/>
          <w:lang w:val="pl-PL"/>
        </w:rPr>
        <w:footnoteReference w:id="12"/>
      </w:r>
      <w:r w:rsidRPr="00D051E2">
        <w:rPr>
          <w:rFonts w:ascii="Times New Roman" w:hAnsi="Times New Roman"/>
          <w:noProof/>
          <w:sz w:val="24"/>
          <w:lang w:val="pl-PL"/>
        </w:rPr>
        <w:t>. Inne przypadki mogą dotyczyć niekompletnie lub nieprawidłowo wypełnionych formularzy wniosku</w:t>
      </w:r>
      <w:r w:rsidR="00D051E2" w:rsidRPr="00D051E2">
        <w:rPr>
          <w:rFonts w:ascii="Times New Roman" w:hAnsi="Times New Roman"/>
          <w:noProof/>
          <w:sz w:val="24"/>
          <w:lang w:val="pl-PL"/>
        </w:rPr>
        <w:t xml:space="preserve"> o prz</w:t>
      </w:r>
      <w:r w:rsidRPr="00D051E2">
        <w:rPr>
          <w:rFonts w:ascii="Times New Roman" w:hAnsi="Times New Roman"/>
          <w:noProof/>
          <w:sz w:val="24"/>
          <w:lang w:val="pl-PL"/>
        </w:rPr>
        <w:t>eniesienie rachunku.</w:t>
      </w:r>
    </w:p>
    <w:p w14:paraId="51A2EF1F" w14:textId="77777777" w:rsidR="005E550E" w:rsidRPr="00D051E2" w:rsidRDefault="005E550E" w:rsidP="005E550E">
      <w:pPr>
        <w:spacing w:after="200" w:line="276" w:lineRule="auto"/>
        <w:rPr>
          <w:rFonts w:ascii="Times New Roman" w:eastAsia="Calibri" w:hAnsi="Times New Roman" w:cs="Times New Roman"/>
          <w:noProof/>
          <w:lang w:val="pl-PL"/>
        </w:rPr>
      </w:pPr>
    </w:p>
    <w:p w14:paraId="72BC5DC9" w14:textId="77777777" w:rsidR="005E550E" w:rsidRPr="00D051E2" w:rsidRDefault="005E550E" w:rsidP="005E550E">
      <w:pPr>
        <w:keepNext/>
        <w:keepLines/>
        <w:numPr>
          <w:ilvl w:val="0"/>
          <w:numId w:val="1"/>
        </w:numPr>
        <w:spacing w:after="0" w:line="240" w:lineRule="auto"/>
        <w:jc w:val="both"/>
        <w:outlineLvl w:val="0"/>
        <w:rPr>
          <w:rFonts w:ascii="Times New Roman" w:eastAsia="Times New Roman" w:hAnsi="Times New Roman" w:cs="Times New Roman"/>
          <w:b/>
          <w:noProof/>
          <w:sz w:val="24"/>
          <w:lang w:val="pl-PL"/>
        </w:rPr>
      </w:pPr>
      <w:bookmarkStart w:id="34" w:name="_Toc67511948"/>
      <w:bookmarkStart w:id="35" w:name="_Toc130830475"/>
      <w:r w:rsidRPr="00D051E2">
        <w:rPr>
          <w:rFonts w:ascii="Times New Roman" w:hAnsi="Times New Roman"/>
          <w:b/>
          <w:noProof/>
          <w:sz w:val="24"/>
          <w:lang w:val="pl-PL"/>
        </w:rPr>
        <w:t>LICZBA INSTYTUCJI KREDYTOWYCH OFERUJĄCYCH PODSTAWOWE RACHUNKI PŁATNICZE, LICZBA TAKICH RACHUNKÓW, KTÓRE ZOSTAŁY OTWARTE, ORAZ ODSETEK ODRZUCONYCH WNIOSKÓW O OTWARCIE PODSTAWOWEGO RACHUNKU PŁATNICZEGO</w:t>
      </w:r>
      <w:bookmarkEnd w:id="34"/>
      <w:bookmarkEnd w:id="35"/>
    </w:p>
    <w:p w14:paraId="3F66ECF1" w14:textId="0DD9E6ED" w:rsidR="005E550E" w:rsidRPr="00D051E2" w:rsidRDefault="005E550E" w:rsidP="005E550E">
      <w:pPr>
        <w:spacing w:before="240" w:after="200" w:line="240" w:lineRule="auto"/>
        <w:jc w:val="both"/>
        <w:rPr>
          <w:rFonts w:ascii="Times New Roman" w:eastAsia="Calibri" w:hAnsi="Times New Roman" w:cs="Times New Roman"/>
          <w:noProof/>
          <w:sz w:val="24"/>
          <w:lang w:val="pl-PL"/>
        </w:rPr>
      </w:pPr>
      <w:r w:rsidRPr="00D051E2">
        <w:rPr>
          <w:rFonts w:ascii="Times New Roman" w:hAnsi="Times New Roman"/>
          <w:noProof/>
          <w:sz w:val="24"/>
          <w:lang w:val="pl-PL"/>
        </w:rPr>
        <w:t>W celu wspierania włączenia społecznego pod względem finansowym</w:t>
      </w:r>
      <w:r w:rsidR="00D051E2" w:rsidRPr="00D051E2">
        <w:rPr>
          <w:rFonts w:ascii="Times New Roman" w:hAnsi="Times New Roman"/>
          <w:noProof/>
          <w:sz w:val="24"/>
          <w:lang w:val="pl-PL"/>
        </w:rPr>
        <w:t xml:space="preserve"> w art</w:t>
      </w:r>
      <w:r w:rsidRPr="00D051E2">
        <w:rPr>
          <w:rFonts w:ascii="Times New Roman" w:hAnsi="Times New Roman"/>
          <w:noProof/>
          <w:sz w:val="24"/>
          <w:lang w:val="pl-PL"/>
        </w:rPr>
        <w:t>.</w:t>
      </w:r>
      <w:r w:rsidR="00D051E2" w:rsidRPr="00D051E2">
        <w:rPr>
          <w:rFonts w:ascii="Times New Roman" w:hAnsi="Times New Roman"/>
          <w:noProof/>
          <w:sz w:val="24"/>
          <w:lang w:val="pl-PL"/>
        </w:rPr>
        <w:t> </w:t>
      </w:r>
      <w:r w:rsidRPr="00D051E2">
        <w:rPr>
          <w:rFonts w:ascii="Times New Roman" w:hAnsi="Times New Roman"/>
          <w:noProof/>
          <w:sz w:val="24"/>
          <w:lang w:val="pl-PL"/>
        </w:rPr>
        <w:t>16 dyrektywy ustanowiono prawo dostępu do podstawowego rachunku płatniczego jako prawo przysługujące wszystkim konsumentom legalnie przebywającym</w:t>
      </w:r>
      <w:r w:rsidR="00D051E2" w:rsidRPr="00D051E2">
        <w:rPr>
          <w:rFonts w:ascii="Times New Roman" w:hAnsi="Times New Roman"/>
          <w:noProof/>
          <w:sz w:val="24"/>
          <w:lang w:val="pl-PL"/>
        </w:rPr>
        <w:t xml:space="preserve"> w Uni</w:t>
      </w:r>
      <w:r w:rsidRPr="00D051E2">
        <w:rPr>
          <w:rFonts w:ascii="Times New Roman" w:hAnsi="Times New Roman"/>
          <w:noProof/>
          <w:sz w:val="24"/>
          <w:lang w:val="pl-PL"/>
        </w:rPr>
        <w:t>i. Podstawowe rachunki płatnicze muszą być oferowane konsumentom przez wszystkie instytucje kredytowe lub wystarczającą ich liczbę, aby zagwarantować dostęp do tych rachunków wszystkim konsumentom na ich terytorium.</w:t>
      </w:r>
    </w:p>
    <w:p w14:paraId="6A9CBC61" w14:textId="77777777" w:rsidR="005E550E" w:rsidRPr="00D051E2" w:rsidRDefault="005E550E" w:rsidP="005E550E">
      <w:pPr>
        <w:numPr>
          <w:ilvl w:val="0"/>
          <w:numId w:val="5"/>
        </w:numPr>
        <w:spacing w:after="200" w:line="240" w:lineRule="auto"/>
        <w:contextualSpacing/>
        <w:jc w:val="both"/>
        <w:rPr>
          <w:rFonts w:ascii="Times New Roman" w:eastAsia="Calibri" w:hAnsi="Times New Roman" w:cs="Times New Roman"/>
          <w:b/>
          <w:noProof/>
          <w:sz w:val="24"/>
          <w:lang w:val="pl-PL"/>
        </w:rPr>
      </w:pPr>
      <w:r w:rsidRPr="00D051E2">
        <w:rPr>
          <w:rFonts w:ascii="Times New Roman" w:hAnsi="Times New Roman"/>
          <w:b/>
          <w:noProof/>
          <w:sz w:val="24"/>
          <w:lang w:val="pl-PL"/>
        </w:rPr>
        <w:t>Liczba instytucji kredytowych oferujących podstawowe rachunki płatnicze</w:t>
      </w:r>
    </w:p>
    <w:p w14:paraId="19F3C57C" w14:textId="77777777" w:rsidR="005E550E" w:rsidRPr="00D051E2" w:rsidRDefault="005E550E" w:rsidP="005E550E">
      <w:pPr>
        <w:spacing w:after="0" w:line="240" w:lineRule="auto"/>
        <w:jc w:val="both"/>
        <w:rPr>
          <w:rFonts w:ascii="Times New Roman" w:eastAsia="Calibri" w:hAnsi="Times New Roman" w:cs="Times New Roman"/>
          <w:noProof/>
          <w:sz w:val="24"/>
          <w:lang w:val="pl-PL"/>
        </w:rPr>
      </w:pPr>
    </w:p>
    <w:p w14:paraId="37EBDD45" w14:textId="05FA0FCB" w:rsidR="005E550E" w:rsidRPr="00D051E2" w:rsidRDefault="005E550E" w:rsidP="005E550E">
      <w:pPr>
        <w:spacing w:after="0" w:line="240" w:lineRule="auto"/>
        <w:jc w:val="both"/>
        <w:rPr>
          <w:rFonts w:ascii="Times New Roman" w:eastAsia="Calibri" w:hAnsi="Times New Roman" w:cs="Times New Roman"/>
          <w:noProof/>
          <w:sz w:val="24"/>
          <w:lang w:val="pl-PL"/>
        </w:rPr>
      </w:pPr>
      <w:r w:rsidRPr="00D051E2">
        <w:rPr>
          <w:rFonts w:ascii="Times New Roman" w:hAnsi="Times New Roman"/>
          <w:noProof/>
          <w:sz w:val="24"/>
          <w:lang w:val="pl-PL"/>
        </w:rPr>
        <w:t>W większości państw członkowskich wszystkie instytucje kredytowe, które prowadzą standardowe rachunki płatnicze, muszą oferować podstawowe rachunki płatnicze</w:t>
      </w:r>
      <w:r w:rsidR="00D051E2" w:rsidRPr="00D051E2">
        <w:rPr>
          <w:rFonts w:ascii="Times New Roman" w:hAnsi="Times New Roman"/>
          <w:noProof/>
          <w:sz w:val="24"/>
          <w:lang w:val="pl-PL"/>
        </w:rPr>
        <w:t>. W inn</w:t>
      </w:r>
      <w:r w:rsidRPr="00D051E2">
        <w:rPr>
          <w:rFonts w:ascii="Times New Roman" w:hAnsi="Times New Roman"/>
          <w:noProof/>
          <w:sz w:val="24"/>
          <w:lang w:val="pl-PL"/>
        </w:rPr>
        <w:t>ych państwach członkowskich (zob. tabela poniżej) jedynie niektóre instytucje kredytowe, tj. instytucje spełniające określone kryteria ustalone przez poszczególne państwa członkowskie, są zobowiązane do oferowania podstawowych rachunków płatniczych. Wydaje się jednak, że we wszystkich tych państwach członkowskich zobowiązane instytucje kredytowe mają ogólnie duży udział</w:t>
      </w:r>
      <w:r w:rsidR="00D051E2" w:rsidRPr="00D051E2">
        <w:rPr>
          <w:rFonts w:ascii="Times New Roman" w:hAnsi="Times New Roman"/>
          <w:noProof/>
          <w:sz w:val="24"/>
          <w:lang w:val="pl-PL"/>
        </w:rPr>
        <w:t xml:space="preserve"> w ryn</w:t>
      </w:r>
      <w:r w:rsidRPr="00D051E2">
        <w:rPr>
          <w:rFonts w:ascii="Times New Roman" w:hAnsi="Times New Roman"/>
          <w:noProof/>
          <w:sz w:val="24"/>
          <w:lang w:val="pl-PL"/>
        </w:rPr>
        <w:t>ku pod względem liczby rachunków płatniczych.</w:t>
      </w:r>
    </w:p>
    <w:p w14:paraId="51350109" w14:textId="77777777" w:rsidR="005D0A57" w:rsidRPr="00D051E2" w:rsidRDefault="005D0A57" w:rsidP="005E550E">
      <w:pPr>
        <w:spacing w:after="0" w:line="240" w:lineRule="auto"/>
        <w:jc w:val="both"/>
        <w:rPr>
          <w:rFonts w:ascii="Times New Roman" w:hAnsi="Times New Roman"/>
          <w:b/>
          <w:i/>
          <w:noProof/>
          <w:sz w:val="24"/>
          <w:u w:val="single"/>
          <w:lang w:val="pl-PL"/>
        </w:rPr>
      </w:pPr>
    </w:p>
    <w:p w14:paraId="5054F39E" w14:textId="5B914E56" w:rsidR="005E550E" w:rsidRPr="00D051E2" w:rsidRDefault="005E550E" w:rsidP="005D0A57">
      <w:pPr>
        <w:keepNext/>
        <w:spacing w:after="0" w:line="240" w:lineRule="auto"/>
        <w:jc w:val="both"/>
        <w:rPr>
          <w:rFonts w:ascii="Times New Roman" w:hAnsi="Times New Roman"/>
          <w:i/>
          <w:noProof/>
          <w:sz w:val="24"/>
          <w:lang w:val="pl-PL"/>
        </w:rPr>
      </w:pPr>
      <w:r w:rsidRPr="00D051E2">
        <w:rPr>
          <w:rFonts w:ascii="Times New Roman" w:hAnsi="Times New Roman"/>
          <w:b/>
          <w:i/>
          <w:noProof/>
          <w:sz w:val="24"/>
          <w:u w:val="single"/>
          <w:lang w:val="pl-PL"/>
        </w:rPr>
        <w:t>Tabela 3:</w:t>
      </w:r>
      <w:r w:rsidRPr="00D051E2">
        <w:rPr>
          <w:rFonts w:ascii="Times New Roman" w:hAnsi="Times New Roman"/>
          <w:noProof/>
          <w:lang w:val="pl-PL"/>
        </w:rPr>
        <w:t xml:space="preserve"> </w:t>
      </w:r>
      <w:bookmarkStart w:id="36" w:name="_Hlk104803905"/>
      <w:r w:rsidRPr="00D051E2">
        <w:rPr>
          <w:rFonts w:ascii="Times New Roman" w:hAnsi="Times New Roman"/>
          <w:i/>
          <w:noProof/>
          <w:sz w:val="24"/>
          <w:lang w:val="pl-PL"/>
        </w:rPr>
        <w:t>Państwa członkowskie</w:t>
      </w:r>
      <w:r w:rsidRPr="00D051E2">
        <w:rPr>
          <w:rStyle w:val="FootnoteReference"/>
          <w:noProof/>
          <w:lang w:val="pl-PL"/>
        </w:rPr>
        <w:footnoteReference w:id="13"/>
      </w:r>
      <w:r w:rsidRPr="00D051E2">
        <w:rPr>
          <w:rFonts w:ascii="Times New Roman" w:hAnsi="Times New Roman"/>
          <w:i/>
          <w:noProof/>
          <w:sz w:val="24"/>
          <w:lang w:val="pl-PL"/>
        </w:rPr>
        <w:t>,</w:t>
      </w:r>
      <w:r w:rsidR="00D051E2" w:rsidRPr="00D051E2">
        <w:rPr>
          <w:rFonts w:ascii="Times New Roman" w:hAnsi="Times New Roman"/>
          <w:i/>
          <w:noProof/>
          <w:sz w:val="24"/>
          <w:lang w:val="pl-PL"/>
        </w:rPr>
        <w:t xml:space="preserve"> w któ</w:t>
      </w:r>
      <w:r w:rsidRPr="00D051E2">
        <w:rPr>
          <w:rFonts w:ascii="Times New Roman" w:hAnsi="Times New Roman"/>
          <w:i/>
          <w:noProof/>
          <w:sz w:val="24"/>
          <w:lang w:val="pl-PL"/>
        </w:rPr>
        <w:t>rych tylko niektóre instytucje kredytowe oferują podstawowe rachunki płatnicze</w:t>
      </w:r>
      <w:bookmarkEnd w:id="36"/>
    </w:p>
    <w:p w14:paraId="188EB22C" w14:textId="77777777" w:rsidR="005D0A57" w:rsidRPr="00D051E2" w:rsidRDefault="005D0A57" w:rsidP="005D0A57">
      <w:pPr>
        <w:keepNext/>
        <w:spacing w:after="0" w:line="240" w:lineRule="auto"/>
        <w:jc w:val="both"/>
        <w:rPr>
          <w:rFonts w:ascii="Times New Roman" w:eastAsia="Calibri" w:hAnsi="Times New Roman" w:cs="Times New Roman"/>
          <w:i/>
          <w:noProof/>
          <w:sz w:val="24"/>
          <w:lang w:val="pl-PL"/>
        </w:rPr>
      </w:pPr>
    </w:p>
    <w:p w14:paraId="7B92BF6A" w14:textId="310306D0" w:rsidR="005E550E" w:rsidRPr="00D051E2" w:rsidRDefault="00562829" w:rsidP="005E550E">
      <w:pPr>
        <w:spacing w:after="0" w:line="240" w:lineRule="auto"/>
        <w:jc w:val="both"/>
        <w:rPr>
          <w:rFonts w:ascii="Times New Roman" w:eastAsia="Calibri" w:hAnsi="Times New Roman" w:cs="Times New Roman"/>
          <w:noProof/>
          <w:sz w:val="24"/>
          <w:lang w:val="pl-PL"/>
        </w:rPr>
      </w:pPr>
      <w:r w:rsidRPr="00D051E2">
        <w:rPr>
          <w:noProof/>
        </w:rPr>
        <w:drawing>
          <wp:inline distT="0" distB="0" distL="0" distR="0" wp14:anchorId="467F4A23" wp14:editId="3538B996">
            <wp:extent cx="5760720" cy="444510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4445109"/>
                    </a:xfrm>
                    <a:prstGeom prst="rect">
                      <a:avLst/>
                    </a:prstGeom>
                    <a:noFill/>
                    <a:ln>
                      <a:noFill/>
                    </a:ln>
                  </pic:spPr>
                </pic:pic>
              </a:graphicData>
            </a:graphic>
          </wp:inline>
        </w:drawing>
      </w:r>
    </w:p>
    <w:p w14:paraId="47C63946" w14:textId="77777777" w:rsidR="005E550E" w:rsidRPr="00D051E2" w:rsidRDefault="005E550E" w:rsidP="005E550E">
      <w:pPr>
        <w:spacing w:after="200" w:line="240" w:lineRule="auto"/>
        <w:ind w:left="360"/>
        <w:contextualSpacing/>
        <w:jc w:val="both"/>
        <w:rPr>
          <w:rFonts w:ascii="Times New Roman" w:eastAsia="Calibri" w:hAnsi="Times New Roman" w:cs="Times New Roman"/>
          <w:b/>
          <w:noProof/>
          <w:sz w:val="24"/>
          <w:lang w:val="pl-PL"/>
        </w:rPr>
      </w:pPr>
    </w:p>
    <w:p w14:paraId="1A8FFE56" w14:textId="0AA79502" w:rsidR="005E550E" w:rsidRPr="00D051E2" w:rsidRDefault="005E550E" w:rsidP="005E550E">
      <w:pPr>
        <w:spacing w:after="200" w:line="240" w:lineRule="auto"/>
        <w:ind w:left="360"/>
        <w:contextualSpacing/>
        <w:jc w:val="both"/>
        <w:rPr>
          <w:rFonts w:ascii="Times New Roman" w:eastAsia="Calibri" w:hAnsi="Times New Roman" w:cs="Times New Roman"/>
          <w:b/>
          <w:noProof/>
          <w:sz w:val="24"/>
          <w:lang w:val="pl-PL"/>
        </w:rPr>
      </w:pPr>
    </w:p>
    <w:p w14:paraId="211CDCCC" w14:textId="26A8190D" w:rsidR="005E550E" w:rsidRPr="00D051E2" w:rsidRDefault="005E550E" w:rsidP="009818E2">
      <w:pPr>
        <w:numPr>
          <w:ilvl w:val="0"/>
          <w:numId w:val="5"/>
        </w:numPr>
        <w:spacing w:after="360" w:line="240" w:lineRule="auto"/>
        <w:ind w:left="357" w:hanging="357"/>
        <w:contextualSpacing/>
        <w:jc w:val="both"/>
        <w:rPr>
          <w:rFonts w:ascii="Times New Roman" w:eastAsia="Calibri" w:hAnsi="Times New Roman" w:cs="Times New Roman"/>
          <w:b/>
          <w:noProof/>
          <w:sz w:val="24"/>
          <w:lang w:val="pl-PL"/>
        </w:rPr>
      </w:pPr>
      <w:r w:rsidRPr="00D051E2">
        <w:rPr>
          <w:rFonts w:ascii="Times New Roman" w:hAnsi="Times New Roman"/>
          <w:b/>
          <w:noProof/>
          <w:sz w:val="24"/>
          <w:lang w:val="pl-PL"/>
        </w:rPr>
        <w:t>Liczba podstawowych rachunków płatniczych</w:t>
      </w:r>
    </w:p>
    <w:p w14:paraId="19D5C398" w14:textId="77777777" w:rsidR="009818E2" w:rsidRPr="00D051E2" w:rsidRDefault="009818E2" w:rsidP="009818E2">
      <w:pPr>
        <w:spacing w:after="360" w:line="240" w:lineRule="auto"/>
        <w:ind w:left="357"/>
        <w:contextualSpacing/>
        <w:jc w:val="both"/>
        <w:rPr>
          <w:rFonts w:ascii="Times New Roman" w:eastAsia="Calibri" w:hAnsi="Times New Roman" w:cs="Times New Roman"/>
          <w:b/>
          <w:noProof/>
          <w:sz w:val="24"/>
          <w:lang w:val="pl-PL"/>
        </w:rPr>
      </w:pPr>
    </w:p>
    <w:p w14:paraId="58001B3B" w14:textId="6816168A" w:rsidR="005E550E" w:rsidRPr="00D051E2" w:rsidRDefault="005E550E" w:rsidP="005E550E">
      <w:pPr>
        <w:spacing w:before="120" w:after="0" w:line="240" w:lineRule="auto"/>
        <w:jc w:val="both"/>
        <w:rPr>
          <w:rFonts w:ascii="Times New Roman" w:eastAsia="Calibri" w:hAnsi="Times New Roman" w:cs="Times New Roman"/>
          <w:noProof/>
          <w:sz w:val="24"/>
          <w:lang w:val="pl-PL"/>
        </w:rPr>
      </w:pPr>
      <w:r w:rsidRPr="00D051E2">
        <w:rPr>
          <w:rFonts w:ascii="Times New Roman" w:hAnsi="Times New Roman"/>
          <w:noProof/>
          <w:sz w:val="24"/>
          <w:lang w:val="pl-PL"/>
        </w:rPr>
        <w:t>Informacje dotyczące liczby podstawowych rachunków płatniczych przekazane przez państwa członkowskie</w:t>
      </w:r>
      <w:r w:rsidR="00D051E2" w:rsidRPr="00D051E2">
        <w:rPr>
          <w:rFonts w:ascii="Times New Roman" w:hAnsi="Times New Roman"/>
          <w:noProof/>
          <w:sz w:val="24"/>
          <w:lang w:val="pl-PL"/>
        </w:rPr>
        <w:t xml:space="preserve"> i prz</w:t>
      </w:r>
      <w:r w:rsidRPr="00D051E2">
        <w:rPr>
          <w:rFonts w:ascii="Times New Roman" w:hAnsi="Times New Roman"/>
          <w:noProof/>
          <w:sz w:val="24"/>
          <w:lang w:val="pl-PL"/>
        </w:rPr>
        <w:t>edstawione</w:t>
      </w:r>
      <w:r w:rsidR="00D051E2" w:rsidRPr="00D051E2">
        <w:rPr>
          <w:rFonts w:ascii="Times New Roman" w:hAnsi="Times New Roman"/>
          <w:noProof/>
          <w:sz w:val="24"/>
          <w:lang w:val="pl-PL"/>
        </w:rPr>
        <w:t xml:space="preserve"> w pon</w:t>
      </w:r>
      <w:r w:rsidRPr="00D051E2">
        <w:rPr>
          <w:rFonts w:ascii="Times New Roman" w:hAnsi="Times New Roman"/>
          <w:noProof/>
          <w:sz w:val="24"/>
          <w:lang w:val="pl-PL"/>
        </w:rPr>
        <w:t>iższej tabeli nie są kompletne</w:t>
      </w:r>
      <w:r w:rsidR="00D051E2" w:rsidRPr="00D051E2">
        <w:rPr>
          <w:rFonts w:ascii="Times New Roman" w:hAnsi="Times New Roman"/>
          <w:noProof/>
          <w:sz w:val="24"/>
          <w:lang w:val="pl-PL"/>
        </w:rPr>
        <w:t xml:space="preserve"> w odn</w:t>
      </w:r>
      <w:r w:rsidRPr="00D051E2">
        <w:rPr>
          <w:rFonts w:ascii="Times New Roman" w:hAnsi="Times New Roman"/>
          <w:noProof/>
          <w:sz w:val="24"/>
          <w:lang w:val="pl-PL"/>
        </w:rPr>
        <w:t>iesieniu do niektórych lat. Ponadto</w:t>
      </w:r>
      <w:r w:rsidR="00D051E2" w:rsidRPr="00D051E2">
        <w:rPr>
          <w:rFonts w:ascii="Times New Roman" w:hAnsi="Times New Roman"/>
          <w:noProof/>
          <w:sz w:val="24"/>
          <w:lang w:val="pl-PL"/>
        </w:rPr>
        <w:t xml:space="preserve"> w </w:t>
      </w:r>
      <w:bookmarkStart w:id="37" w:name="_Hlk106266735"/>
      <w:r w:rsidR="00D051E2" w:rsidRPr="00D051E2">
        <w:rPr>
          <w:rFonts w:ascii="Times New Roman" w:hAnsi="Times New Roman"/>
          <w:noProof/>
          <w:sz w:val="24"/>
          <w:lang w:val="pl-PL"/>
        </w:rPr>
        <w:t>nie</w:t>
      </w:r>
      <w:r w:rsidRPr="00D051E2">
        <w:rPr>
          <w:rFonts w:ascii="Times New Roman" w:hAnsi="Times New Roman"/>
          <w:noProof/>
          <w:sz w:val="24"/>
          <w:lang w:val="pl-PL"/>
        </w:rPr>
        <w:t>których państwach członkowskich instytucje kredytowe mogą nie dokonywać rozróżnienia między standardowym rachunkiem płatniczym</w:t>
      </w:r>
      <w:r w:rsidR="00D051E2" w:rsidRPr="00D051E2">
        <w:rPr>
          <w:rFonts w:ascii="Times New Roman" w:hAnsi="Times New Roman"/>
          <w:noProof/>
          <w:sz w:val="24"/>
          <w:lang w:val="pl-PL"/>
        </w:rPr>
        <w:t xml:space="preserve"> a pod</w:t>
      </w:r>
      <w:r w:rsidRPr="00D051E2">
        <w:rPr>
          <w:rFonts w:ascii="Times New Roman" w:hAnsi="Times New Roman"/>
          <w:noProof/>
          <w:sz w:val="24"/>
          <w:lang w:val="pl-PL"/>
        </w:rPr>
        <w:t>stawowym rachunkiem płatniczym,</w:t>
      </w:r>
      <w:r w:rsidR="00D051E2" w:rsidRPr="00D051E2">
        <w:rPr>
          <w:rFonts w:ascii="Times New Roman" w:hAnsi="Times New Roman"/>
          <w:noProof/>
          <w:sz w:val="24"/>
          <w:lang w:val="pl-PL"/>
        </w:rPr>
        <w:t xml:space="preserve"> w zwi</w:t>
      </w:r>
      <w:r w:rsidRPr="00D051E2">
        <w:rPr>
          <w:rFonts w:ascii="Times New Roman" w:hAnsi="Times New Roman"/>
          <w:noProof/>
          <w:sz w:val="24"/>
          <w:lang w:val="pl-PL"/>
        </w:rPr>
        <w:t>ązku</w:t>
      </w:r>
      <w:r w:rsidR="00D051E2" w:rsidRPr="00D051E2">
        <w:rPr>
          <w:rFonts w:ascii="Times New Roman" w:hAnsi="Times New Roman"/>
          <w:noProof/>
          <w:sz w:val="24"/>
          <w:lang w:val="pl-PL"/>
        </w:rPr>
        <w:t xml:space="preserve"> z czy</w:t>
      </w:r>
      <w:r w:rsidRPr="00D051E2">
        <w:rPr>
          <w:rFonts w:ascii="Times New Roman" w:hAnsi="Times New Roman"/>
          <w:noProof/>
          <w:sz w:val="24"/>
          <w:lang w:val="pl-PL"/>
        </w:rPr>
        <w:t xml:space="preserve">m nie ma danych dotyczących podstawowych rachunków płatniczych. </w:t>
      </w:r>
      <w:bookmarkEnd w:id="37"/>
      <w:r w:rsidRPr="00D051E2">
        <w:rPr>
          <w:rFonts w:ascii="Times New Roman" w:hAnsi="Times New Roman"/>
          <w:noProof/>
          <w:sz w:val="24"/>
          <w:lang w:val="pl-PL"/>
        </w:rPr>
        <w:t>Podobnie informacje mogą nie zawsze być porównywalne ze względu na różne metody gromadzenia danych. Ponadto brak porównywalności wynika również</w:t>
      </w:r>
      <w:r w:rsidR="00D051E2" w:rsidRPr="00D051E2">
        <w:rPr>
          <w:rFonts w:ascii="Times New Roman" w:hAnsi="Times New Roman"/>
          <w:noProof/>
          <w:sz w:val="24"/>
          <w:lang w:val="pl-PL"/>
        </w:rPr>
        <w:t xml:space="preserve"> z fak</w:t>
      </w:r>
      <w:r w:rsidRPr="00D051E2">
        <w:rPr>
          <w:rFonts w:ascii="Times New Roman" w:hAnsi="Times New Roman"/>
          <w:noProof/>
          <w:sz w:val="24"/>
          <w:lang w:val="pl-PL"/>
        </w:rPr>
        <w:t>tu, że</w:t>
      </w:r>
      <w:r w:rsidR="00D051E2" w:rsidRPr="00D051E2">
        <w:rPr>
          <w:rFonts w:ascii="Times New Roman" w:hAnsi="Times New Roman"/>
          <w:noProof/>
          <w:sz w:val="24"/>
          <w:lang w:val="pl-PL"/>
        </w:rPr>
        <w:t xml:space="preserve"> w nie</w:t>
      </w:r>
      <w:r w:rsidRPr="00D051E2">
        <w:rPr>
          <w:rFonts w:ascii="Times New Roman" w:hAnsi="Times New Roman"/>
          <w:noProof/>
          <w:sz w:val="24"/>
          <w:lang w:val="pl-PL"/>
        </w:rPr>
        <w:t>których państwach członkowskich tylko niektóre instytucje kredytowe oferują podstawowe rachunki płatnicze jako konkretny produkt, podczas gdy inne instytucje kredytowe nie dokonują rozróżnienia między różnymi rodzajami rachunków</w:t>
      </w:r>
      <w:r w:rsidR="00D051E2" w:rsidRPr="00D051E2">
        <w:rPr>
          <w:rFonts w:ascii="Times New Roman" w:hAnsi="Times New Roman"/>
          <w:noProof/>
          <w:sz w:val="24"/>
          <w:lang w:val="pl-PL"/>
        </w:rPr>
        <w:t>. W tyc</w:t>
      </w:r>
      <w:r w:rsidRPr="00D051E2">
        <w:rPr>
          <w:rFonts w:ascii="Times New Roman" w:hAnsi="Times New Roman"/>
          <w:noProof/>
          <w:sz w:val="24"/>
          <w:lang w:val="pl-PL"/>
        </w:rPr>
        <w:t>h krajach dane liczbowe obejmują zatem tylko podstawowy rachunek płatniczy oferowany jako konkretny produkt</w:t>
      </w:r>
      <w:r w:rsidR="00D051E2" w:rsidRPr="00D051E2">
        <w:rPr>
          <w:rFonts w:ascii="Times New Roman" w:hAnsi="Times New Roman"/>
          <w:noProof/>
          <w:sz w:val="24"/>
          <w:lang w:val="pl-PL"/>
        </w:rPr>
        <w:t>. W zwi</w:t>
      </w:r>
      <w:r w:rsidRPr="00D051E2">
        <w:rPr>
          <w:rFonts w:ascii="Times New Roman" w:hAnsi="Times New Roman"/>
          <w:noProof/>
          <w:sz w:val="24"/>
          <w:lang w:val="pl-PL"/>
        </w:rPr>
        <w:t>ązku</w:t>
      </w:r>
      <w:r w:rsidR="00D051E2" w:rsidRPr="00D051E2">
        <w:rPr>
          <w:rFonts w:ascii="Times New Roman" w:hAnsi="Times New Roman"/>
          <w:noProof/>
          <w:sz w:val="24"/>
          <w:lang w:val="pl-PL"/>
        </w:rPr>
        <w:t xml:space="preserve"> z tym</w:t>
      </w:r>
      <w:r w:rsidRPr="00D051E2">
        <w:rPr>
          <w:rFonts w:ascii="Times New Roman" w:hAnsi="Times New Roman"/>
          <w:noProof/>
          <w:sz w:val="24"/>
          <w:lang w:val="pl-PL"/>
        </w:rPr>
        <w:t xml:space="preserve"> ponownie trudno jest wyciągnąć jednoznaczne wnioski.</w:t>
      </w:r>
    </w:p>
    <w:p w14:paraId="7F592006" w14:textId="5F97ADB6" w:rsidR="005E550E" w:rsidRPr="00D051E2" w:rsidRDefault="005E550E" w:rsidP="005E550E">
      <w:pPr>
        <w:spacing w:before="240" w:after="200" w:line="276" w:lineRule="auto"/>
        <w:rPr>
          <w:rFonts w:ascii="Times New Roman" w:eastAsia="Calibri" w:hAnsi="Times New Roman" w:cs="Times New Roman"/>
          <w:noProof/>
          <w:lang w:val="pl-PL"/>
        </w:rPr>
      </w:pPr>
      <w:r w:rsidRPr="00D051E2">
        <w:rPr>
          <w:rFonts w:ascii="Times New Roman" w:hAnsi="Times New Roman"/>
          <w:b/>
          <w:i/>
          <w:noProof/>
          <w:sz w:val="24"/>
          <w:u w:val="single"/>
          <w:lang w:val="pl-PL"/>
        </w:rPr>
        <w:t>Tabela 4:</w:t>
      </w:r>
      <w:r w:rsidRPr="00D051E2">
        <w:rPr>
          <w:rFonts w:ascii="Times New Roman" w:hAnsi="Times New Roman"/>
          <w:noProof/>
          <w:lang w:val="pl-PL"/>
        </w:rPr>
        <w:t xml:space="preserve"> </w:t>
      </w:r>
      <w:r w:rsidRPr="00D051E2">
        <w:rPr>
          <w:rFonts w:ascii="Times New Roman" w:hAnsi="Times New Roman"/>
          <w:i/>
          <w:noProof/>
          <w:sz w:val="24"/>
          <w:lang w:val="pl-PL"/>
        </w:rPr>
        <w:t>Liczba podstawowych rachunków płatniczych</w:t>
      </w:r>
      <w:r w:rsidRPr="00D051E2">
        <w:rPr>
          <w:rStyle w:val="FootnoteReference"/>
          <w:noProof/>
          <w:lang w:val="pl-PL"/>
        </w:rPr>
        <w:footnoteReference w:id="14"/>
      </w:r>
    </w:p>
    <w:p w14:paraId="192E820A" w14:textId="734DEA71" w:rsidR="005E550E" w:rsidRPr="00D051E2" w:rsidRDefault="00562829" w:rsidP="009818E2">
      <w:pPr>
        <w:spacing w:after="200" w:line="276" w:lineRule="auto"/>
        <w:jc w:val="center"/>
        <w:rPr>
          <w:rFonts w:ascii="Times New Roman" w:eastAsia="Calibri" w:hAnsi="Times New Roman" w:cs="Times New Roman"/>
          <w:noProof/>
          <w:sz w:val="24"/>
          <w:lang w:val="pl-PL"/>
        </w:rPr>
      </w:pPr>
      <w:r w:rsidRPr="00D051E2">
        <w:rPr>
          <w:rFonts w:ascii="Times New Roman" w:eastAsia="Calibri" w:hAnsi="Times New Roman" w:cs="Times New Roman"/>
          <w:noProof/>
          <w:sz w:val="24"/>
        </w:rPr>
        <w:drawing>
          <wp:inline distT="0" distB="0" distL="0" distR="0" wp14:anchorId="0F27D768" wp14:editId="0A77CDDF">
            <wp:extent cx="5760720" cy="5856605"/>
            <wp:effectExtent l="0" t="0" r="0" b="0"/>
            <wp:docPr id="9" name="Obraz 7" descr="Obraz zawierający stół&#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Obraz zawierający stół&#10;&#10;Opis wygenerowany automatycznie"/>
                    <pic:cNvPicPr/>
                  </pic:nvPicPr>
                  <pic:blipFill>
                    <a:blip r:embed="rId18"/>
                    <a:stretch>
                      <a:fillRect/>
                    </a:stretch>
                  </pic:blipFill>
                  <pic:spPr>
                    <a:xfrm>
                      <a:off x="0" y="0"/>
                      <a:ext cx="5760720" cy="5856605"/>
                    </a:xfrm>
                    <a:prstGeom prst="rect">
                      <a:avLst/>
                    </a:prstGeom>
                  </pic:spPr>
                </pic:pic>
              </a:graphicData>
            </a:graphic>
          </wp:inline>
        </w:drawing>
      </w:r>
    </w:p>
    <w:p w14:paraId="25BF4C09" w14:textId="030D7B0E" w:rsidR="005E550E" w:rsidRPr="00D051E2" w:rsidRDefault="005E550E" w:rsidP="00553EEA">
      <w:pPr>
        <w:spacing w:after="200" w:line="240" w:lineRule="auto"/>
        <w:jc w:val="both"/>
        <w:rPr>
          <w:rFonts w:ascii="Times New Roman" w:eastAsia="Calibri" w:hAnsi="Times New Roman" w:cs="Times New Roman"/>
          <w:noProof/>
          <w:sz w:val="24"/>
          <w:lang w:val="pl-PL"/>
        </w:rPr>
      </w:pPr>
      <w:r w:rsidRPr="00D051E2">
        <w:rPr>
          <w:rFonts w:ascii="Times New Roman" w:hAnsi="Times New Roman"/>
          <w:noProof/>
          <w:sz w:val="24"/>
          <w:lang w:val="pl-PL"/>
        </w:rPr>
        <w:t>Z informacji zawartych</w:t>
      </w:r>
      <w:r w:rsidR="00D051E2" w:rsidRPr="00D051E2">
        <w:rPr>
          <w:rFonts w:ascii="Times New Roman" w:hAnsi="Times New Roman"/>
          <w:noProof/>
          <w:sz w:val="24"/>
          <w:lang w:val="pl-PL"/>
        </w:rPr>
        <w:t xml:space="preserve"> w tab</w:t>
      </w:r>
      <w:r w:rsidRPr="00D051E2">
        <w:rPr>
          <w:rFonts w:ascii="Times New Roman" w:hAnsi="Times New Roman"/>
          <w:noProof/>
          <w:sz w:val="24"/>
          <w:lang w:val="pl-PL"/>
        </w:rPr>
        <w:t>eli wynika, że</w:t>
      </w:r>
      <w:r w:rsidR="00D051E2" w:rsidRPr="00D051E2">
        <w:rPr>
          <w:rFonts w:ascii="Times New Roman" w:hAnsi="Times New Roman"/>
          <w:noProof/>
          <w:sz w:val="24"/>
          <w:lang w:val="pl-PL"/>
        </w:rPr>
        <w:t xml:space="preserve"> w okr</w:t>
      </w:r>
      <w:r w:rsidRPr="00D051E2">
        <w:rPr>
          <w:rFonts w:ascii="Times New Roman" w:hAnsi="Times New Roman"/>
          <w:noProof/>
          <w:sz w:val="24"/>
          <w:lang w:val="pl-PL"/>
        </w:rPr>
        <w:t>esie sprawozdawczym otwarto znaczną liczbę podstawowych rachunków płatniczych. Na przykład nastąpiło znaczne upowszechnienie tych rachunków</w:t>
      </w:r>
      <w:r w:rsidR="00D051E2" w:rsidRPr="00D051E2">
        <w:rPr>
          <w:rFonts w:ascii="Times New Roman" w:hAnsi="Times New Roman"/>
          <w:noProof/>
          <w:sz w:val="24"/>
          <w:lang w:val="pl-PL"/>
        </w:rPr>
        <w:t xml:space="preserve"> w tyc</w:t>
      </w:r>
      <w:r w:rsidRPr="00D051E2">
        <w:rPr>
          <w:rFonts w:ascii="Times New Roman" w:hAnsi="Times New Roman"/>
          <w:noProof/>
          <w:sz w:val="24"/>
          <w:lang w:val="pl-PL"/>
        </w:rPr>
        <w:t>h państwach członkowskich,</w:t>
      </w:r>
      <w:r w:rsidR="00D051E2" w:rsidRPr="00D051E2">
        <w:rPr>
          <w:rFonts w:ascii="Times New Roman" w:hAnsi="Times New Roman"/>
          <w:noProof/>
          <w:sz w:val="24"/>
          <w:lang w:val="pl-PL"/>
        </w:rPr>
        <w:t xml:space="preserve"> w któ</w:t>
      </w:r>
      <w:r w:rsidRPr="00D051E2">
        <w:rPr>
          <w:rFonts w:ascii="Times New Roman" w:hAnsi="Times New Roman"/>
          <w:noProof/>
          <w:sz w:val="24"/>
          <w:lang w:val="pl-PL"/>
        </w:rPr>
        <w:t>rych wcześniej wyższy odsetek ludności nie posiadał rachunku płatniczego (np.</w:t>
      </w:r>
      <w:r w:rsidR="00D051E2" w:rsidRPr="00D051E2">
        <w:rPr>
          <w:rFonts w:ascii="Times New Roman" w:hAnsi="Times New Roman"/>
          <w:noProof/>
          <w:sz w:val="24"/>
          <w:lang w:val="pl-PL"/>
        </w:rPr>
        <w:t xml:space="preserve"> w Cze</w:t>
      </w:r>
      <w:r w:rsidRPr="00D051E2">
        <w:rPr>
          <w:rFonts w:ascii="Times New Roman" w:hAnsi="Times New Roman"/>
          <w:noProof/>
          <w:sz w:val="24"/>
          <w:lang w:val="pl-PL"/>
        </w:rPr>
        <w:t>chach, na Cyprze,</w:t>
      </w:r>
      <w:r w:rsidR="00D051E2" w:rsidRPr="00D051E2">
        <w:rPr>
          <w:rFonts w:ascii="Times New Roman" w:hAnsi="Times New Roman"/>
          <w:noProof/>
          <w:sz w:val="24"/>
          <w:lang w:val="pl-PL"/>
        </w:rPr>
        <w:t xml:space="preserve"> w Gre</w:t>
      </w:r>
      <w:r w:rsidRPr="00D051E2">
        <w:rPr>
          <w:rFonts w:ascii="Times New Roman" w:hAnsi="Times New Roman"/>
          <w:noProof/>
          <w:sz w:val="24"/>
          <w:lang w:val="pl-PL"/>
        </w:rPr>
        <w:t>cji i na Litwie)</w:t>
      </w:r>
      <w:r w:rsidR="00D051E2" w:rsidRPr="00D051E2">
        <w:rPr>
          <w:rFonts w:ascii="Times New Roman" w:hAnsi="Times New Roman"/>
          <w:noProof/>
          <w:sz w:val="24"/>
          <w:lang w:val="pl-PL"/>
        </w:rPr>
        <w:t>. W inn</w:t>
      </w:r>
      <w:r w:rsidRPr="00D051E2">
        <w:rPr>
          <w:rFonts w:ascii="Times New Roman" w:hAnsi="Times New Roman"/>
          <w:noProof/>
          <w:sz w:val="24"/>
          <w:lang w:val="pl-PL"/>
        </w:rPr>
        <w:t>ych państwach poziom upowszechnienia przedmiotowych rachunków był jednak dość niski (np.</w:t>
      </w:r>
      <w:r w:rsidR="00D051E2" w:rsidRPr="00D051E2">
        <w:rPr>
          <w:rFonts w:ascii="Times New Roman" w:hAnsi="Times New Roman"/>
          <w:noProof/>
          <w:sz w:val="24"/>
          <w:lang w:val="pl-PL"/>
        </w:rPr>
        <w:t xml:space="preserve"> w Buł</w:t>
      </w:r>
      <w:r w:rsidRPr="00D051E2">
        <w:rPr>
          <w:rFonts w:ascii="Times New Roman" w:hAnsi="Times New Roman"/>
          <w:noProof/>
          <w:sz w:val="24"/>
          <w:lang w:val="pl-PL"/>
        </w:rPr>
        <w:t>garii, Chorwacji, na Łotwie,</w:t>
      </w:r>
      <w:r w:rsidR="00D051E2" w:rsidRPr="00D051E2">
        <w:rPr>
          <w:rFonts w:ascii="Times New Roman" w:hAnsi="Times New Roman"/>
          <w:noProof/>
          <w:sz w:val="24"/>
          <w:lang w:val="pl-PL"/>
        </w:rPr>
        <w:t xml:space="preserve"> w Pol</w:t>
      </w:r>
      <w:r w:rsidRPr="00D051E2">
        <w:rPr>
          <w:rFonts w:ascii="Times New Roman" w:hAnsi="Times New Roman"/>
          <w:noProof/>
          <w:sz w:val="24"/>
          <w:lang w:val="pl-PL"/>
        </w:rPr>
        <w:t>sce</w:t>
      </w:r>
      <w:r w:rsidR="00D051E2" w:rsidRPr="00D051E2">
        <w:rPr>
          <w:rFonts w:ascii="Times New Roman" w:hAnsi="Times New Roman"/>
          <w:noProof/>
          <w:sz w:val="24"/>
          <w:lang w:val="pl-PL"/>
        </w:rPr>
        <w:t xml:space="preserve"> i Rum</w:t>
      </w:r>
      <w:r w:rsidRPr="00D051E2">
        <w:rPr>
          <w:rFonts w:ascii="Times New Roman" w:hAnsi="Times New Roman"/>
          <w:noProof/>
          <w:sz w:val="24"/>
          <w:lang w:val="pl-PL"/>
        </w:rPr>
        <w:t>unii)</w:t>
      </w:r>
      <w:r w:rsidRPr="00D051E2">
        <w:rPr>
          <w:rStyle w:val="FootnoteReference"/>
          <w:rFonts w:ascii="Times New Roman" w:eastAsia="Calibri" w:hAnsi="Times New Roman" w:cs="Times New Roman"/>
          <w:noProof/>
          <w:sz w:val="24"/>
          <w:lang w:val="pl-PL"/>
        </w:rPr>
        <w:footnoteReference w:id="15"/>
      </w:r>
      <w:r w:rsidRPr="00D051E2">
        <w:rPr>
          <w:noProof/>
          <w:lang w:val="pl-PL"/>
        </w:rPr>
        <w:t xml:space="preserve">. </w:t>
      </w:r>
    </w:p>
    <w:p w14:paraId="177CF782" w14:textId="5E1D8622" w:rsidR="005E550E" w:rsidRPr="00D051E2" w:rsidRDefault="005E550E" w:rsidP="005E550E">
      <w:pPr>
        <w:numPr>
          <w:ilvl w:val="0"/>
          <w:numId w:val="5"/>
        </w:numPr>
        <w:spacing w:after="200" w:line="240" w:lineRule="auto"/>
        <w:contextualSpacing/>
        <w:jc w:val="both"/>
        <w:rPr>
          <w:rFonts w:ascii="Times New Roman" w:eastAsia="Calibri" w:hAnsi="Times New Roman" w:cs="Times New Roman"/>
          <w:b/>
          <w:noProof/>
          <w:sz w:val="24"/>
          <w:lang w:val="pl-PL"/>
        </w:rPr>
      </w:pPr>
      <w:r w:rsidRPr="00D051E2">
        <w:rPr>
          <w:rFonts w:ascii="Times New Roman" w:hAnsi="Times New Roman"/>
          <w:b/>
          <w:noProof/>
          <w:sz w:val="24"/>
          <w:lang w:val="pl-PL"/>
        </w:rPr>
        <w:t>Liczba (i odsetek) odrzuconych wniosków</w:t>
      </w:r>
      <w:r w:rsidR="00D051E2" w:rsidRPr="00D051E2">
        <w:rPr>
          <w:rFonts w:ascii="Times New Roman" w:hAnsi="Times New Roman"/>
          <w:b/>
          <w:noProof/>
          <w:sz w:val="24"/>
          <w:lang w:val="pl-PL"/>
        </w:rPr>
        <w:t xml:space="preserve"> o otw</w:t>
      </w:r>
      <w:r w:rsidRPr="00D051E2">
        <w:rPr>
          <w:rFonts w:ascii="Times New Roman" w:hAnsi="Times New Roman"/>
          <w:b/>
          <w:noProof/>
          <w:sz w:val="24"/>
          <w:lang w:val="pl-PL"/>
        </w:rPr>
        <w:t>arcie podstawowego rachunku płatniczego</w:t>
      </w:r>
    </w:p>
    <w:p w14:paraId="30300487" w14:textId="77777777" w:rsidR="005E550E" w:rsidRPr="00D051E2" w:rsidRDefault="005E550E" w:rsidP="005E550E">
      <w:pPr>
        <w:spacing w:after="0" w:line="240" w:lineRule="auto"/>
        <w:jc w:val="both"/>
        <w:rPr>
          <w:rFonts w:ascii="Times New Roman" w:eastAsia="Calibri" w:hAnsi="Times New Roman" w:cs="Times New Roman"/>
          <w:noProof/>
          <w:sz w:val="24"/>
          <w:lang w:val="pl-PL"/>
        </w:rPr>
      </w:pPr>
    </w:p>
    <w:p w14:paraId="770F008B" w14:textId="14F7BFEA" w:rsidR="005E550E" w:rsidRPr="00D051E2" w:rsidRDefault="005E550E" w:rsidP="005E550E">
      <w:pPr>
        <w:spacing w:after="0" w:line="240" w:lineRule="auto"/>
        <w:jc w:val="both"/>
        <w:rPr>
          <w:rFonts w:ascii="Times New Roman" w:eastAsia="Calibri" w:hAnsi="Times New Roman" w:cs="Times New Roman"/>
          <w:noProof/>
          <w:sz w:val="24"/>
          <w:lang w:val="pl-PL"/>
        </w:rPr>
      </w:pPr>
      <w:r w:rsidRPr="00D051E2">
        <w:rPr>
          <w:rFonts w:ascii="Times New Roman" w:hAnsi="Times New Roman"/>
          <w:noProof/>
          <w:sz w:val="24"/>
          <w:lang w:val="pl-PL"/>
        </w:rPr>
        <w:t>Dane dotyczące liczby odrzuconych wniosków</w:t>
      </w:r>
      <w:r w:rsidR="00D051E2" w:rsidRPr="00D051E2">
        <w:rPr>
          <w:rFonts w:ascii="Times New Roman" w:hAnsi="Times New Roman"/>
          <w:noProof/>
          <w:sz w:val="24"/>
          <w:lang w:val="pl-PL"/>
        </w:rPr>
        <w:t xml:space="preserve"> o otw</w:t>
      </w:r>
      <w:r w:rsidRPr="00D051E2">
        <w:rPr>
          <w:rFonts w:ascii="Times New Roman" w:hAnsi="Times New Roman"/>
          <w:noProof/>
          <w:sz w:val="24"/>
          <w:lang w:val="pl-PL"/>
        </w:rPr>
        <w:t xml:space="preserve">arcie podstawowych rachunków płatniczych zostały uzyskane przez państwa członkowskie (zob. tabela poniżej). </w:t>
      </w:r>
      <w:bookmarkStart w:id="38" w:name="_Hlk106265659"/>
      <w:r w:rsidRPr="00D051E2">
        <w:rPr>
          <w:rFonts w:ascii="Times New Roman" w:hAnsi="Times New Roman"/>
          <w:noProof/>
          <w:sz w:val="24"/>
          <w:lang w:val="pl-PL"/>
        </w:rPr>
        <w:t>Odpowiednie wskaźniki obliczono, przyjmując liczbę otwartych podstawowych rachunków płatniczych oraz liczbę odrzuconych wniosków</w:t>
      </w:r>
      <w:r w:rsidR="00D051E2" w:rsidRPr="00D051E2">
        <w:rPr>
          <w:rFonts w:ascii="Times New Roman" w:hAnsi="Times New Roman"/>
          <w:noProof/>
          <w:sz w:val="24"/>
          <w:lang w:val="pl-PL"/>
        </w:rPr>
        <w:t xml:space="preserve"> o otw</w:t>
      </w:r>
      <w:r w:rsidRPr="00D051E2">
        <w:rPr>
          <w:rFonts w:ascii="Times New Roman" w:hAnsi="Times New Roman"/>
          <w:noProof/>
          <w:sz w:val="24"/>
          <w:lang w:val="pl-PL"/>
        </w:rPr>
        <w:t>arcie podstawowego rachunku płatniczego jako odsetek wszystkich wniosków</w:t>
      </w:r>
      <w:bookmarkEnd w:id="38"/>
      <w:r w:rsidRPr="00D051E2">
        <w:rPr>
          <w:rStyle w:val="FootnoteReference"/>
          <w:noProof/>
          <w:lang w:val="pl-PL"/>
        </w:rPr>
        <w:footnoteReference w:id="16"/>
      </w:r>
      <w:r w:rsidRPr="00D051E2">
        <w:rPr>
          <w:rFonts w:ascii="Times New Roman" w:hAnsi="Times New Roman"/>
          <w:noProof/>
          <w:sz w:val="24"/>
          <w:lang w:val="pl-PL"/>
        </w:rPr>
        <w:t>. Dane podlegają tym samym zastrzeżeniom, co poprzednio: nie wszystkie informacje są dostępne,</w:t>
      </w:r>
      <w:r w:rsidR="00D051E2" w:rsidRPr="00D051E2">
        <w:rPr>
          <w:rFonts w:ascii="Times New Roman" w:hAnsi="Times New Roman"/>
          <w:noProof/>
          <w:sz w:val="24"/>
          <w:lang w:val="pl-PL"/>
        </w:rPr>
        <w:t xml:space="preserve"> a dan</w:t>
      </w:r>
      <w:r w:rsidRPr="00D051E2">
        <w:rPr>
          <w:rFonts w:ascii="Times New Roman" w:hAnsi="Times New Roman"/>
          <w:noProof/>
          <w:sz w:val="24"/>
          <w:lang w:val="pl-PL"/>
        </w:rPr>
        <w:t>e mogą nie być</w:t>
      </w:r>
      <w:r w:rsidR="00D051E2" w:rsidRPr="00D051E2">
        <w:rPr>
          <w:rFonts w:ascii="Times New Roman" w:hAnsi="Times New Roman"/>
          <w:noProof/>
          <w:sz w:val="24"/>
          <w:lang w:val="pl-PL"/>
        </w:rPr>
        <w:t xml:space="preserve"> w peł</w:t>
      </w:r>
      <w:r w:rsidRPr="00D051E2">
        <w:rPr>
          <w:rFonts w:ascii="Times New Roman" w:hAnsi="Times New Roman"/>
          <w:noProof/>
          <w:sz w:val="24"/>
          <w:lang w:val="pl-PL"/>
        </w:rPr>
        <w:t>ni porównywalne.</w:t>
      </w:r>
    </w:p>
    <w:p w14:paraId="22024485" w14:textId="2544BE61" w:rsidR="00014E41" w:rsidRPr="00D051E2" w:rsidRDefault="00014E41" w:rsidP="005E550E">
      <w:pPr>
        <w:spacing w:after="0" w:line="240" w:lineRule="auto"/>
        <w:jc w:val="both"/>
        <w:rPr>
          <w:rFonts w:ascii="Times New Roman" w:eastAsia="Calibri" w:hAnsi="Times New Roman" w:cs="Times New Roman"/>
          <w:noProof/>
          <w:sz w:val="24"/>
          <w:lang w:val="pl-PL"/>
        </w:rPr>
      </w:pPr>
    </w:p>
    <w:p w14:paraId="73E6B4C0" w14:textId="4A559C68" w:rsidR="005E550E" w:rsidRPr="00D051E2" w:rsidRDefault="005E550E" w:rsidP="005D0A57">
      <w:pPr>
        <w:keepNext/>
        <w:spacing w:after="200" w:line="276" w:lineRule="auto"/>
        <w:jc w:val="both"/>
        <w:rPr>
          <w:rFonts w:ascii="Times New Roman" w:eastAsia="Calibri" w:hAnsi="Times New Roman" w:cs="Times New Roman"/>
          <w:i/>
          <w:noProof/>
          <w:sz w:val="24"/>
          <w:lang w:val="pl-PL"/>
        </w:rPr>
      </w:pPr>
      <w:r w:rsidRPr="00D051E2">
        <w:rPr>
          <w:rFonts w:ascii="Times New Roman" w:hAnsi="Times New Roman"/>
          <w:b/>
          <w:i/>
          <w:noProof/>
          <w:sz w:val="24"/>
          <w:u w:val="single"/>
          <w:lang w:val="pl-PL"/>
        </w:rPr>
        <w:t>Tabela 5:</w:t>
      </w:r>
      <w:r w:rsidRPr="00D051E2">
        <w:rPr>
          <w:rFonts w:ascii="Times New Roman" w:hAnsi="Times New Roman"/>
          <w:b/>
          <w:i/>
          <w:noProof/>
          <w:sz w:val="24"/>
          <w:lang w:val="pl-PL"/>
        </w:rPr>
        <w:t xml:space="preserve"> </w:t>
      </w:r>
      <w:r w:rsidRPr="00D051E2">
        <w:rPr>
          <w:rFonts w:ascii="Times New Roman" w:hAnsi="Times New Roman"/>
          <w:i/>
          <w:noProof/>
          <w:sz w:val="24"/>
          <w:lang w:val="pl-PL"/>
        </w:rPr>
        <w:t>Liczba</w:t>
      </w:r>
      <w:r w:rsidR="00D051E2" w:rsidRPr="00D051E2">
        <w:rPr>
          <w:rFonts w:ascii="Times New Roman" w:hAnsi="Times New Roman"/>
          <w:i/>
          <w:noProof/>
          <w:sz w:val="24"/>
          <w:lang w:val="pl-PL"/>
        </w:rPr>
        <w:t xml:space="preserve"> i ods</w:t>
      </w:r>
      <w:r w:rsidRPr="00D051E2">
        <w:rPr>
          <w:rFonts w:ascii="Times New Roman" w:hAnsi="Times New Roman"/>
          <w:i/>
          <w:noProof/>
          <w:sz w:val="24"/>
          <w:lang w:val="pl-PL"/>
        </w:rPr>
        <w:t>etek odrzuconych wniosków</w:t>
      </w:r>
      <w:r w:rsidR="00D051E2" w:rsidRPr="00D051E2">
        <w:rPr>
          <w:rFonts w:ascii="Times New Roman" w:hAnsi="Times New Roman"/>
          <w:i/>
          <w:noProof/>
          <w:sz w:val="24"/>
          <w:lang w:val="pl-PL"/>
        </w:rPr>
        <w:t xml:space="preserve"> o otw</w:t>
      </w:r>
      <w:r w:rsidRPr="00D051E2">
        <w:rPr>
          <w:rFonts w:ascii="Times New Roman" w:hAnsi="Times New Roman"/>
          <w:i/>
          <w:noProof/>
          <w:sz w:val="24"/>
          <w:lang w:val="pl-PL"/>
        </w:rPr>
        <w:t>arcie podstawowego rachunku płatniczego</w:t>
      </w:r>
      <w:r w:rsidRPr="00D051E2">
        <w:rPr>
          <w:rStyle w:val="FootnoteReference"/>
          <w:noProof/>
          <w:lang w:val="pl-PL"/>
        </w:rPr>
        <w:footnoteReference w:id="17"/>
      </w:r>
    </w:p>
    <w:p w14:paraId="74B11126" w14:textId="58CBB0C8" w:rsidR="005E550E" w:rsidRPr="00D051E2" w:rsidRDefault="00562829" w:rsidP="005E550E">
      <w:pPr>
        <w:spacing w:after="200" w:line="276" w:lineRule="auto"/>
        <w:jc w:val="both"/>
        <w:rPr>
          <w:rFonts w:ascii="Times New Roman" w:eastAsia="Calibri" w:hAnsi="Times New Roman" w:cs="Times New Roman"/>
          <w:b/>
          <w:i/>
          <w:noProof/>
          <w:sz w:val="24"/>
          <w:lang w:val="pl-PL"/>
        </w:rPr>
      </w:pPr>
      <w:r w:rsidRPr="00D051E2">
        <w:rPr>
          <w:rFonts w:ascii="Times New Roman" w:eastAsia="Calibri" w:hAnsi="Times New Roman" w:cs="Times New Roman"/>
          <w:b/>
          <w:i/>
          <w:noProof/>
          <w:sz w:val="24"/>
        </w:rPr>
        <w:drawing>
          <wp:inline distT="0" distB="0" distL="0" distR="0" wp14:anchorId="1949BE9A" wp14:editId="11817232">
            <wp:extent cx="5760720" cy="4705350"/>
            <wp:effectExtent l="0" t="0" r="0" b="0"/>
            <wp:docPr id="10" name="Obraz 9" descr="Obraz zawierający stół&#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Obraz zawierający stół&#10;&#10;Opis wygenerowany automatycznie"/>
                    <pic:cNvPicPr/>
                  </pic:nvPicPr>
                  <pic:blipFill>
                    <a:blip r:embed="rId19"/>
                    <a:stretch>
                      <a:fillRect/>
                    </a:stretch>
                  </pic:blipFill>
                  <pic:spPr>
                    <a:xfrm>
                      <a:off x="0" y="0"/>
                      <a:ext cx="5760720" cy="4705350"/>
                    </a:xfrm>
                    <a:prstGeom prst="rect">
                      <a:avLst/>
                    </a:prstGeom>
                  </pic:spPr>
                </pic:pic>
              </a:graphicData>
            </a:graphic>
          </wp:inline>
        </w:drawing>
      </w:r>
    </w:p>
    <w:p w14:paraId="5EE9B07C" w14:textId="77777777" w:rsidR="004E601E" w:rsidRPr="00D051E2" w:rsidRDefault="004E601E" w:rsidP="005E550E">
      <w:pPr>
        <w:spacing w:before="240" w:after="0" w:line="240" w:lineRule="auto"/>
        <w:jc w:val="both"/>
        <w:rPr>
          <w:rFonts w:ascii="Times New Roman" w:eastAsia="Calibri" w:hAnsi="Times New Roman" w:cs="Times New Roman"/>
          <w:noProof/>
          <w:sz w:val="24"/>
          <w:lang w:val="pl-PL"/>
        </w:rPr>
      </w:pPr>
    </w:p>
    <w:p w14:paraId="432C684C" w14:textId="19DF0747" w:rsidR="005E550E" w:rsidRPr="00D051E2" w:rsidRDefault="005E550E" w:rsidP="005E550E">
      <w:pPr>
        <w:spacing w:before="240" w:after="0" w:line="240" w:lineRule="auto"/>
        <w:jc w:val="both"/>
        <w:rPr>
          <w:rFonts w:ascii="Times New Roman" w:eastAsia="Calibri" w:hAnsi="Times New Roman" w:cs="Times New Roman"/>
          <w:noProof/>
          <w:sz w:val="24"/>
          <w:lang w:val="pl-PL"/>
        </w:rPr>
      </w:pPr>
      <w:r w:rsidRPr="00D051E2">
        <w:rPr>
          <w:rFonts w:ascii="Times New Roman" w:hAnsi="Times New Roman"/>
          <w:noProof/>
          <w:sz w:val="24"/>
          <w:lang w:val="pl-PL"/>
        </w:rPr>
        <w:t>Z danych wynika, że wskaźniki odrzucenia wniosków</w:t>
      </w:r>
      <w:r w:rsidR="00D051E2" w:rsidRPr="00D051E2">
        <w:rPr>
          <w:rFonts w:ascii="Times New Roman" w:hAnsi="Times New Roman"/>
          <w:noProof/>
          <w:sz w:val="24"/>
          <w:lang w:val="pl-PL"/>
        </w:rPr>
        <w:t xml:space="preserve"> o otw</w:t>
      </w:r>
      <w:r w:rsidRPr="00D051E2">
        <w:rPr>
          <w:rFonts w:ascii="Times New Roman" w:hAnsi="Times New Roman"/>
          <w:noProof/>
          <w:sz w:val="24"/>
          <w:lang w:val="pl-PL"/>
        </w:rPr>
        <w:t>arcie podstawowych rachunków płatniczych są ogólnie bardzo niskie,</w:t>
      </w:r>
      <w:r w:rsidR="00D051E2" w:rsidRPr="00D051E2">
        <w:rPr>
          <w:rFonts w:ascii="Times New Roman" w:hAnsi="Times New Roman"/>
          <w:noProof/>
          <w:sz w:val="24"/>
          <w:lang w:val="pl-PL"/>
        </w:rPr>
        <w:t xml:space="preserve"> a w nie</w:t>
      </w:r>
      <w:r w:rsidRPr="00D051E2">
        <w:rPr>
          <w:rFonts w:ascii="Times New Roman" w:hAnsi="Times New Roman"/>
          <w:noProof/>
          <w:sz w:val="24"/>
          <w:lang w:val="pl-PL"/>
        </w:rPr>
        <w:t>wielkiej liczbie państw członkowskich (np.</w:t>
      </w:r>
      <w:r w:rsidR="00D051E2" w:rsidRPr="00D051E2">
        <w:rPr>
          <w:rFonts w:ascii="Times New Roman" w:hAnsi="Times New Roman"/>
          <w:noProof/>
          <w:sz w:val="24"/>
          <w:lang w:val="pl-PL"/>
        </w:rPr>
        <w:t xml:space="preserve"> w Buł</w:t>
      </w:r>
      <w:r w:rsidRPr="00D051E2">
        <w:rPr>
          <w:rFonts w:ascii="Times New Roman" w:hAnsi="Times New Roman"/>
          <w:noProof/>
          <w:sz w:val="24"/>
          <w:lang w:val="pl-PL"/>
        </w:rPr>
        <w:t>garii lub Francji) przypadki odrzucenia</w:t>
      </w:r>
      <w:r w:rsidR="00D051E2" w:rsidRPr="00D051E2">
        <w:rPr>
          <w:rFonts w:ascii="Times New Roman" w:hAnsi="Times New Roman"/>
          <w:noProof/>
          <w:sz w:val="24"/>
          <w:lang w:val="pl-PL"/>
        </w:rPr>
        <w:t xml:space="preserve"> w ogó</w:t>
      </w:r>
      <w:r w:rsidRPr="00D051E2">
        <w:rPr>
          <w:rFonts w:ascii="Times New Roman" w:hAnsi="Times New Roman"/>
          <w:noProof/>
          <w:sz w:val="24"/>
          <w:lang w:val="pl-PL"/>
        </w:rPr>
        <w:t>le nie występują</w:t>
      </w:r>
      <w:r w:rsidRPr="00D051E2">
        <w:rPr>
          <w:rStyle w:val="FootnoteReference"/>
          <w:rFonts w:ascii="Times New Roman" w:eastAsia="Calibri" w:hAnsi="Times New Roman" w:cs="Times New Roman"/>
          <w:noProof/>
          <w:sz w:val="24"/>
          <w:lang w:val="pl-PL"/>
        </w:rPr>
        <w:footnoteReference w:id="18"/>
      </w:r>
      <w:r w:rsidR="00D051E2" w:rsidRPr="00D051E2">
        <w:rPr>
          <w:rFonts w:ascii="Times New Roman" w:hAnsi="Times New Roman"/>
          <w:noProof/>
          <w:sz w:val="24"/>
          <w:lang w:val="pl-PL"/>
        </w:rPr>
        <w:t>. W kil</w:t>
      </w:r>
      <w:r w:rsidRPr="00D051E2">
        <w:rPr>
          <w:rFonts w:ascii="Times New Roman" w:hAnsi="Times New Roman"/>
          <w:noProof/>
          <w:sz w:val="24"/>
          <w:lang w:val="pl-PL"/>
        </w:rPr>
        <w:t>ku państwach członkowskich występuje jednak nieco wyższy poziom przypadków odrzucenia, natomiast</w:t>
      </w:r>
      <w:r w:rsidR="00D051E2" w:rsidRPr="00D051E2">
        <w:rPr>
          <w:rFonts w:ascii="Times New Roman" w:hAnsi="Times New Roman"/>
          <w:noProof/>
          <w:sz w:val="24"/>
          <w:lang w:val="pl-PL"/>
        </w:rPr>
        <w:t xml:space="preserve"> w jed</w:t>
      </w:r>
      <w:r w:rsidRPr="00D051E2">
        <w:rPr>
          <w:rFonts w:ascii="Times New Roman" w:hAnsi="Times New Roman"/>
          <w:noProof/>
          <w:sz w:val="24"/>
          <w:lang w:val="pl-PL"/>
        </w:rPr>
        <w:t>nym państwie członkowskim (Łotwa) wskaźnik odrzucenia wydaje się szczególnie wysoki.</w:t>
      </w:r>
    </w:p>
    <w:p w14:paraId="47EBD21F" w14:textId="28872932" w:rsidR="005E550E" w:rsidRPr="00D051E2" w:rsidRDefault="005E550E" w:rsidP="005E550E">
      <w:pPr>
        <w:spacing w:after="200" w:line="276" w:lineRule="auto"/>
        <w:rPr>
          <w:rFonts w:ascii="Calibri" w:eastAsia="Calibri" w:hAnsi="Calibri" w:cs="Times New Roman"/>
          <w:noProof/>
          <w:lang w:val="pl-PL"/>
        </w:rPr>
      </w:pPr>
    </w:p>
    <w:p w14:paraId="3CE8B7B8" w14:textId="77777777" w:rsidR="005E550E" w:rsidRPr="00D051E2" w:rsidRDefault="005E550E" w:rsidP="005E550E">
      <w:pPr>
        <w:keepNext/>
        <w:keepLines/>
        <w:numPr>
          <w:ilvl w:val="0"/>
          <w:numId w:val="1"/>
        </w:numPr>
        <w:spacing w:after="0" w:line="240" w:lineRule="auto"/>
        <w:jc w:val="both"/>
        <w:outlineLvl w:val="0"/>
        <w:rPr>
          <w:rFonts w:ascii="Times New Roman" w:eastAsia="Times New Roman" w:hAnsi="Times New Roman" w:cs="Times New Roman"/>
          <w:b/>
          <w:noProof/>
          <w:sz w:val="24"/>
          <w:lang w:val="pl-PL"/>
        </w:rPr>
      </w:pPr>
      <w:bookmarkStart w:id="40" w:name="_Toc67511949"/>
      <w:bookmarkStart w:id="41" w:name="_Toc130830476"/>
      <w:r w:rsidRPr="00D051E2">
        <w:rPr>
          <w:rFonts w:ascii="Times New Roman" w:hAnsi="Times New Roman"/>
          <w:b/>
          <w:noProof/>
          <w:sz w:val="24"/>
          <w:lang w:val="pl-PL"/>
        </w:rPr>
        <w:t>WNIOSEK</w:t>
      </w:r>
      <w:bookmarkEnd w:id="40"/>
      <w:bookmarkEnd w:id="41"/>
    </w:p>
    <w:p w14:paraId="46DCDA1F" w14:textId="77777777" w:rsidR="005E550E" w:rsidRPr="00D051E2" w:rsidRDefault="005E550E" w:rsidP="005E550E">
      <w:pPr>
        <w:spacing w:after="0" w:line="240" w:lineRule="auto"/>
        <w:jc w:val="both"/>
        <w:rPr>
          <w:rFonts w:ascii="Times New Roman" w:eastAsia="Calibri" w:hAnsi="Times New Roman" w:cs="Times New Roman"/>
          <w:noProof/>
          <w:sz w:val="24"/>
          <w:lang w:val="pl-PL"/>
        </w:rPr>
      </w:pPr>
    </w:p>
    <w:p w14:paraId="21A8ADA8" w14:textId="25A28897" w:rsidR="005E550E" w:rsidRPr="00D051E2" w:rsidRDefault="005E550E" w:rsidP="005E550E">
      <w:pPr>
        <w:spacing w:after="0" w:line="240" w:lineRule="auto"/>
        <w:jc w:val="both"/>
        <w:rPr>
          <w:rFonts w:ascii="Times New Roman" w:eastAsia="Calibri" w:hAnsi="Times New Roman" w:cs="Times New Roman"/>
          <w:noProof/>
          <w:sz w:val="24"/>
          <w:lang w:val="pl-PL"/>
        </w:rPr>
      </w:pPr>
      <w:r w:rsidRPr="00D051E2">
        <w:rPr>
          <w:rFonts w:ascii="Times New Roman" w:hAnsi="Times New Roman"/>
          <w:noProof/>
          <w:sz w:val="24"/>
          <w:lang w:val="pl-PL"/>
        </w:rPr>
        <w:t>Okres,</w:t>
      </w:r>
      <w:r w:rsidR="00D051E2" w:rsidRPr="00D051E2">
        <w:rPr>
          <w:rFonts w:ascii="Times New Roman" w:hAnsi="Times New Roman"/>
          <w:noProof/>
          <w:sz w:val="24"/>
          <w:lang w:val="pl-PL"/>
        </w:rPr>
        <w:t xml:space="preserve"> w któ</w:t>
      </w:r>
      <w:r w:rsidRPr="00D051E2">
        <w:rPr>
          <w:rFonts w:ascii="Times New Roman" w:hAnsi="Times New Roman"/>
          <w:noProof/>
          <w:sz w:val="24"/>
          <w:lang w:val="pl-PL"/>
        </w:rPr>
        <w:t>rym gromadzono dane, oraz różnice</w:t>
      </w:r>
      <w:r w:rsidR="00D051E2" w:rsidRPr="00D051E2">
        <w:rPr>
          <w:rFonts w:ascii="Times New Roman" w:hAnsi="Times New Roman"/>
          <w:noProof/>
          <w:sz w:val="24"/>
          <w:lang w:val="pl-PL"/>
        </w:rPr>
        <w:t xml:space="preserve"> w met</w:t>
      </w:r>
      <w:r w:rsidRPr="00D051E2">
        <w:rPr>
          <w:rFonts w:ascii="Times New Roman" w:hAnsi="Times New Roman"/>
          <w:noProof/>
          <w:sz w:val="24"/>
          <w:lang w:val="pl-PL"/>
        </w:rPr>
        <w:t>odach gromadzenia danych utrudniają sformułowanie ostatecznych wniosków na temat wpływu dyrektywy</w:t>
      </w:r>
      <w:r w:rsidR="00D051E2" w:rsidRPr="00D051E2">
        <w:rPr>
          <w:rFonts w:ascii="Times New Roman" w:hAnsi="Times New Roman"/>
          <w:noProof/>
          <w:sz w:val="24"/>
          <w:lang w:val="pl-PL"/>
        </w:rPr>
        <w:t xml:space="preserve"> w ter</w:t>
      </w:r>
      <w:r w:rsidRPr="00D051E2">
        <w:rPr>
          <w:rFonts w:ascii="Times New Roman" w:hAnsi="Times New Roman"/>
          <w:noProof/>
          <w:sz w:val="24"/>
          <w:lang w:val="pl-PL"/>
        </w:rPr>
        <w:t>enie</w:t>
      </w:r>
      <w:r w:rsidR="00D051E2" w:rsidRPr="00D051E2">
        <w:rPr>
          <w:rFonts w:ascii="Times New Roman" w:hAnsi="Times New Roman"/>
          <w:noProof/>
          <w:sz w:val="24"/>
          <w:lang w:val="pl-PL"/>
        </w:rPr>
        <w:t>. W spr</w:t>
      </w:r>
      <w:r w:rsidRPr="00D051E2">
        <w:rPr>
          <w:rFonts w:ascii="Times New Roman" w:hAnsi="Times New Roman"/>
          <w:noProof/>
          <w:sz w:val="24"/>
          <w:lang w:val="pl-PL"/>
        </w:rPr>
        <w:t>awozdaniu potwierdzono jednak, że zasadniczo wprowadzono wszystkie główne środki przewidziane</w:t>
      </w:r>
      <w:r w:rsidR="00D051E2" w:rsidRPr="00D051E2">
        <w:rPr>
          <w:rFonts w:ascii="Times New Roman" w:hAnsi="Times New Roman"/>
          <w:noProof/>
          <w:sz w:val="24"/>
          <w:lang w:val="pl-PL"/>
        </w:rPr>
        <w:t xml:space="preserve"> w dyr</w:t>
      </w:r>
      <w:r w:rsidRPr="00D051E2">
        <w:rPr>
          <w:rFonts w:ascii="Times New Roman" w:hAnsi="Times New Roman"/>
          <w:noProof/>
          <w:sz w:val="24"/>
          <w:lang w:val="pl-PL"/>
        </w:rPr>
        <w:t>ektywie</w:t>
      </w:r>
      <w:r w:rsidR="00D051E2" w:rsidRPr="00D051E2">
        <w:rPr>
          <w:rFonts w:ascii="Times New Roman" w:hAnsi="Times New Roman"/>
          <w:noProof/>
          <w:sz w:val="24"/>
          <w:lang w:val="pl-PL"/>
        </w:rPr>
        <w:t xml:space="preserve"> w odn</w:t>
      </w:r>
      <w:r w:rsidRPr="00D051E2">
        <w:rPr>
          <w:rFonts w:ascii="Times New Roman" w:hAnsi="Times New Roman"/>
          <w:noProof/>
          <w:sz w:val="24"/>
          <w:lang w:val="pl-PL"/>
        </w:rPr>
        <w:t>iesieniu do przejrzystości</w:t>
      </w:r>
      <w:r w:rsidR="00D051E2" w:rsidRPr="00D051E2">
        <w:rPr>
          <w:rFonts w:ascii="Times New Roman" w:hAnsi="Times New Roman"/>
          <w:noProof/>
          <w:sz w:val="24"/>
          <w:lang w:val="pl-PL"/>
        </w:rPr>
        <w:t xml:space="preserve"> i por</w:t>
      </w:r>
      <w:r w:rsidRPr="00D051E2">
        <w:rPr>
          <w:rFonts w:ascii="Times New Roman" w:hAnsi="Times New Roman"/>
          <w:noProof/>
          <w:sz w:val="24"/>
          <w:lang w:val="pl-PL"/>
        </w:rPr>
        <w:t>ównywalności, usługi przeniesienia rachunku oraz prawa do podstawowego rachunku płatniczego.</w:t>
      </w:r>
    </w:p>
    <w:p w14:paraId="5F1ACA11" w14:textId="56457E40" w:rsidR="005E550E" w:rsidRPr="00D051E2" w:rsidRDefault="005E550E" w:rsidP="005E550E">
      <w:pPr>
        <w:spacing w:before="240" w:after="0" w:line="240" w:lineRule="auto"/>
        <w:jc w:val="both"/>
        <w:rPr>
          <w:rFonts w:ascii="Times New Roman" w:eastAsia="Calibri" w:hAnsi="Times New Roman" w:cs="Times New Roman"/>
          <w:noProof/>
          <w:sz w:val="24"/>
          <w:lang w:val="pl-PL"/>
        </w:rPr>
      </w:pPr>
      <w:r w:rsidRPr="00D051E2">
        <w:rPr>
          <w:rFonts w:ascii="Times New Roman" w:hAnsi="Times New Roman"/>
          <w:noProof/>
          <w:sz w:val="24"/>
          <w:lang w:val="pl-PL"/>
        </w:rPr>
        <w:t>Pomimo niepełnych danych</w:t>
      </w:r>
      <w:r w:rsidR="00D051E2" w:rsidRPr="00D051E2">
        <w:rPr>
          <w:rFonts w:ascii="Times New Roman" w:hAnsi="Times New Roman"/>
          <w:noProof/>
          <w:sz w:val="24"/>
          <w:lang w:val="pl-PL"/>
        </w:rPr>
        <w:t xml:space="preserve"> i róż</w:t>
      </w:r>
      <w:r w:rsidRPr="00D051E2">
        <w:rPr>
          <w:rFonts w:ascii="Times New Roman" w:hAnsi="Times New Roman"/>
          <w:noProof/>
          <w:sz w:val="24"/>
          <w:lang w:val="pl-PL"/>
        </w:rPr>
        <w:t>nych metod ich gromadzenia dane zdają się świadczyć</w:t>
      </w:r>
      <w:r w:rsidR="00D051E2" w:rsidRPr="00D051E2">
        <w:rPr>
          <w:rFonts w:ascii="Times New Roman" w:hAnsi="Times New Roman"/>
          <w:noProof/>
          <w:sz w:val="24"/>
          <w:lang w:val="pl-PL"/>
        </w:rPr>
        <w:t xml:space="preserve"> o tym</w:t>
      </w:r>
      <w:r w:rsidRPr="00D051E2">
        <w:rPr>
          <w:rFonts w:ascii="Times New Roman" w:hAnsi="Times New Roman"/>
          <w:noProof/>
          <w:sz w:val="24"/>
          <w:lang w:val="pl-PL"/>
        </w:rPr>
        <w:t>, że</w:t>
      </w:r>
      <w:r w:rsidR="00D051E2" w:rsidRPr="00D051E2">
        <w:rPr>
          <w:rFonts w:ascii="Times New Roman" w:hAnsi="Times New Roman"/>
          <w:noProof/>
          <w:sz w:val="24"/>
          <w:lang w:val="pl-PL"/>
        </w:rPr>
        <w:t xml:space="preserve"> w nie</w:t>
      </w:r>
      <w:r w:rsidRPr="00D051E2">
        <w:rPr>
          <w:rFonts w:ascii="Times New Roman" w:hAnsi="Times New Roman"/>
          <w:noProof/>
          <w:sz w:val="24"/>
          <w:lang w:val="pl-PL"/>
        </w:rPr>
        <w:t>których państwach członkowskich przeniesiono znaczną liczbę rachunków,</w:t>
      </w:r>
      <w:r w:rsidR="00D051E2" w:rsidRPr="00D051E2">
        <w:rPr>
          <w:rFonts w:ascii="Times New Roman" w:hAnsi="Times New Roman"/>
          <w:noProof/>
          <w:sz w:val="24"/>
          <w:lang w:val="pl-PL"/>
        </w:rPr>
        <w:t xml:space="preserve"> a w nie</w:t>
      </w:r>
      <w:r w:rsidRPr="00D051E2">
        <w:rPr>
          <w:rFonts w:ascii="Times New Roman" w:hAnsi="Times New Roman"/>
          <w:noProof/>
          <w:sz w:val="24"/>
          <w:lang w:val="pl-PL"/>
        </w:rPr>
        <w:t>których przypadkach zjawisko to ma tendencję wzrostową</w:t>
      </w:r>
      <w:r w:rsidR="00D051E2" w:rsidRPr="00D051E2">
        <w:rPr>
          <w:rFonts w:ascii="Times New Roman" w:hAnsi="Times New Roman"/>
          <w:noProof/>
          <w:sz w:val="24"/>
          <w:lang w:val="pl-PL"/>
        </w:rPr>
        <w:t>. W inn</w:t>
      </w:r>
      <w:r w:rsidRPr="00D051E2">
        <w:rPr>
          <w:rFonts w:ascii="Times New Roman" w:hAnsi="Times New Roman"/>
          <w:noProof/>
          <w:sz w:val="24"/>
          <w:lang w:val="pl-PL"/>
        </w:rPr>
        <w:t>ych państwach członkowskich liczby te są jednak bardzo niskie. Liczba odrzuconych wniosków</w:t>
      </w:r>
      <w:r w:rsidR="00D051E2" w:rsidRPr="00D051E2">
        <w:rPr>
          <w:rFonts w:ascii="Times New Roman" w:hAnsi="Times New Roman"/>
          <w:noProof/>
          <w:sz w:val="24"/>
          <w:lang w:val="pl-PL"/>
        </w:rPr>
        <w:t xml:space="preserve"> o prz</w:t>
      </w:r>
      <w:r w:rsidRPr="00D051E2">
        <w:rPr>
          <w:rFonts w:ascii="Times New Roman" w:hAnsi="Times New Roman"/>
          <w:noProof/>
          <w:sz w:val="24"/>
          <w:lang w:val="pl-PL"/>
        </w:rPr>
        <w:t>eniesienie rachunku wydaje się ogólnie niska</w:t>
      </w:r>
      <w:r w:rsidRPr="00D051E2">
        <w:rPr>
          <w:rFonts w:ascii="Times New Roman" w:hAnsi="Times New Roman"/>
          <w:noProof/>
          <w:lang w:val="pl-PL"/>
        </w:rPr>
        <w:t xml:space="preserve">, </w:t>
      </w:r>
      <w:r w:rsidRPr="00D051E2">
        <w:rPr>
          <w:rFonts w:ascii="Times New Roman" w:hAnsi="Times New Roman"/>
          <w:noProof/>
          <w:sz w:val="24"/>
          <w:lang w:val="pl-PL"/>
        </w:rPr>
        <w:t>chociaż</w:t>
      </w:r>
      <w:r w:rsidR="00D051E2" w:rsidRPr="00D051E2">
        <w:rPr>
          <w:rFonts w:ascii="Times New Roman" w:hAnsi="Times New Roman"/>
          <w:noProof/>
          <w:sz w:val="24"/>
          <w:lang w:val="pl-PL"/>
        </w:rPr>
        <w:t xml:space="preserve"> w kil</w:t>
      </w:r>
      <w:r w:rsidRPr="00D051E2">
        <w:rPr>
          <w:rFonts w:ascii="Times New Roman" w:hAnsi="Times New Roman"/>
          <w:noProof/>
          <w:sz w:val="24"/>
          <w:lang w:val="pl-PL"/>
        </w:rPr>
        <w:t>ku państwach członkowskich jest wysoka.</w:t>
      </w:r>
    </w:p>
    <w:p w14:paraId="21C6C552" w14:textId="51E6278B" w:rsidR="005E550E" w:rsidRPr="00D051E2" w:rsidRDefault="005E550E" w:rsidP="005E550E">
      <w:pPr>
        <w:spacing w:before="240" w:after="0" w:line="240" w:lineRule="auto"/>
        <w:jc w:val="both"/>
        <w:rPr>
          <w:rFonts w:ascii="Times New Roman" w:eastAsia="Calibri" w:hAnsi="Times New Roman" w:cs="Times New Roman"/>
          <w:noProof/>
          <w:sz w:val="24"/>
          <w:lang w:val="pl-PL"/>
        </w:rPr>
      </w:pPr>
      <w:r w:rsidRPr="00D051E2">
        <w:rPr>
          <w:rFonts w:ascii="Times New Roman" w:hAnsi="Times New Roman"/>
          <w:noProof/>
          <w:sz w:val="24"/>
          <w:lang w:val="pl-PL"/>
        </w:rPr>
        <w:t>W odniesieniu do podstawowych rachunków płatniczych</w:t>
      </w:r>
      <w:r w:rsidR="00D051E2" w:rsidRPr="00D051E2">
        <w:rPr>
          <w:rFonts w:ascii="Times New Roman" w:hAnsi="Times New Roman"/>
          <w:noProof/>
          <w:sz w:val="24"/>
          <w:lang w:val="pl-PL"/>
        </w:rPr>
        <w:t xml:space="preserve"> z dan</w:t>
      </w:r>
      <w:r w:rsidRPr="00D051E2">
        <w:rPr>
          <w:rFonts w:ascii="Times New Roman" w:hAnsi="Times New Roman"/>
          <w:noProof/>
          <w:sz w:val="24"/>
          <w:lang w:val="pl-PL"/>
        </w:rPr>
        <w:t>ych wynika, że</w:t>
      </w:r>
      <w:r w:rsidR="00D051E2" w:rsidRPr="00D051E2">
        <w:rPr>
          <w:rFonts w:ascii="Times New Roman" w:hAnsi="Times New Roman"/>
          <w:noProof/>
          <w:sz w:val="24"/>
          <w:lang w:val="pl-PL"/>
        </w:rPr>
        <w:t xml:space="preserve"> w wię</w:t>
      </w:r>
      <w:r w:rsidRPr="00D051E2">
        <w:rPr>
          <w:rFonts w:ascii="Times New Roman" w:hAnsi="Times New Roman"/>
          <w:noProof/>
          <w:sz w:val="24"/>
          <w:lang w:val="pl-PL"/>
        </w:rPr>
        <w:t>kszości państw członkowskich wszystkie instytucje kredytowe, które prowadzą standardowe rachunki płatnicze, muszą oferować podstawowe rachunki płatnicze</w:t>
      </w:r>
      <w:r w:rsidR="00D051E2" w:rsidRPr="00D051E2">
        <w:rPr>
          <w:rFonts w:ascii="Times New Roman" w:hAnsi="Times New Roman"/>
          <w:noProof/>
          <w:sz w:val="24"/>
          <w:lang w:val="pl-PL"/>
        </w:rPr>
        <w:t>. W inn</w:t>
      </w:r>
      <w:r w:rsidRPr="00D051E2">
        <w:rPr>
          <w:rFonts w:ascii="Times New Roman" w:hAnsi="Times New Roman"/>
          <w:noProof/>
          <w:sz w:val="24"/>
          <w:lang w:val="pl-PL"/>
        </w:rPr>
        <w:t>ych państwach członkowskich do oferowania podstawowych rachunków płatniczych są jednak zobowiązane jedynie niektóre instytucje kredytowe, tj. instytucje spełniające określone kryteria ustalone przez poszczególne państwa członkowskie</w:t>
      </w:r>
      <w:r w:rsidR="00D051E2" w:rsidRPr="00D051E2">
        <w:rPr>
          <w:rFonts w:ascii="Times New Roman" w:hAnsi="Times New Roman"/>
          <w:noProof/>
          <w:sz w:val="24"/>
          <w:lang w:val="pl-PL"/>
        </w:rPr>
        <w:t>. W tyc</w:t>
      </w:r>
      <w:r w:rsidRPr="00D051E2">
        <w:rPr>
          <w:rFonts w:ascii="Times New Roman" w:hAnsi="Times New Roman"/>
          <w:noProof/>
          <w:sz w:val="24"/>
          <w:lang w:val="pl-PL"/>
        </w:rPr>
        <w:t>h ostatnich przypadkach wydaje się jednak, że zobowiązane instytucje kredytowe mają ogólnie duży udział</w:t>
      </w:r>
      <w:r w:rsidR="00D051E2" w:rsidRPr="00D051E2">
        <w:rPr>
          <w:rFonts w:ascii="Times New Roman" w:hAnsi="Times New Roman"/>
          <w:noProof/>
          <w:sz w:val="24"/>
          <w:lang w:val="pl-PL"/>
        </w:rPr>
        <w:t xml:space="preserve"> w ryn</w:t>
      </w:r>
      <w:r w:rsidRPr="00D051E2">
        <w:rPr>
          <w:rFonts w:ascii="Times New Roman" w:hAnsi="Times New Roman"/>
          <w:noProof/>
          <w:sz w:val="24"/>
          <w:lang w:val="pl-PL"/>
        </w:rPr>
        <w:t>ku. Ponadto</w:t>
      </w:r>
      <w:r w:rsidR="00D051E2" w:rsidRPr="00D051E2">
        <w:rPr>
          <w:rFonts w:ascii="Times New Roman" w:hAnsi="Times New Roman"/>
          <w:noProof/>
          <w:sz w:val="24"/>
          <w:lang w:val="pl-PL"/>
        </w:rPr>
        <w:t xml:space="preserve"> z dan</w:t>
      </w:r>
      <w:r w:rsidRPr="00D051E2">
        <w:rPr>
          <w:rFonts w:ascii="Times New Roman" w:hAnsi="Times New Roman"/>
          <w:noProof/>
          <w:sz w:val="24"/>
          <w:lang w:val="pl-PL"/>
        </w:rPr>
        <w:t>ych wynika, że</w:t>
      </w:r>
      <w:r w:rsidR="00D051E2" w:rsidRPr="00D051E2">
        <w:rPr>
          <w:rFonts w:ascii="Times New Roman" w:hAnsi="Times New Roman"/>
          <w:noProof/>
          <w:sz w:val="24"/>
          <w:lang w:val="pl-PL"/>
        </w:rPr>
        <w:t xml:space="preserve"> w okr</w:t>
      </w:r>
      <w:r w:rsidRPr="00D051E2">
        <w:rPr>
          <w:rFonts w:ascii="Times New Roman" w:hAnsi="Times New Roman"/>
          <w:noProof/>
          <w:sz w:val="24"/>
          <w:lang w:val="pl-PL"/>
        </w:rPr>
        <w:t>esie sprawozdawczym otwarto znaczną liczbę podstawowych rachunków płatniczych, choć</w:t>
      </w:r>
      <w:r w:rsidR="00D051E2" w:rsidRPr="00D051E2">
        <w:rPr>
          <w:rFonts w:ascii="Times New Roman" w:hAnsi="Times New Roman"/>
          <w:noProof/>
          <w:sz w:val="24"/>
          <w:lang w:val="pl-PL"/>
        </w:rPr>
        <w:t xml:space="preserve"> w nie</w:t>
      </w:r>
      <w:r w:rsidRPr="00D051E2">
        <w:rPr>
          <w:rFonts w:ascii="Times New Roman" w:hAnsi="Times New Roman"/>
          <w:noProof/>
          <w:sz w:val="24"/>
          <w:lang w:val="pl-PL"/>
        </w:rPr>
        <w:t>których państwach członkowskich było ich zaledwie kilka. Nastąpiło jednak znaczne upowszechnienie tych rachunków</w:t>
      </w:r>
      <w:r w:rsidR="00D051E2" w:rsidRPr="00D051E2">
        <w:rPr>
          <w:rFonts w:ascii="Times New Roman" w:hAnsi="Times New Roman"/>
          <w:noProof/>
          <w:sz w:val="24"/>
          <w:lang w:val="pl-PL"/>
        </w:rPr>
        <w:t xml:space="preserve"> w nie</w:t>
      </w:r>
      <w:r w:rsidRPr="00D051E2">
        <w:rPr>
          <w:rFonts w:ascii="Times New Roman" w:hAnsi="Times New Roman"/>
          <w:noProof/>
          <w:sz w:val="24"/>
          <w:lang w:val="pl-PL"/>
        </w:rPr>
        <w:t>których państwach członkowskich,</w:t>
      </w:r>
      <w:r w:rsidR="00D051E2" w:rsidRPr="00D051E2">
        <w:rPr>
          <w:rFonts w:ascii="Times New Roman" w:hAnsi="Times New Roman"/>
          <w:noProof/>
          <w:sz w:val="24"/>
          <w:lang w:val="pl-PL"/>
        </w:rPr>
        <w:t xml:space="preserve"> w któ</w:t>
      </w:r>
      <w:r w:rsidRPr="00D051E2">
        <w:rPr>
          <w:rFonts w:ascii="Times New Roman" w:hAnsi="Times New Roman"/>
          <w:noProof/>
          <w:sz w:val="24"/>
          <w:lang w:val="pl-PL"/>
        </w:rPr>
        <w:t>rych wcześniej wyższy odsetek ludności nie posiadał rachunku bankowego. Wskaźniki odrzucenia wniosków</w:t>
      </w:r>
      <w:r w:rsidR="00D051E2" w:rsidRPr="00D051E2">
        <w:rPr>
          <w:rFonts w:ascii="Times New Roman" w:hAnsi="Times New Roman"/>
          <w:noProof/>
          <w:sz w:val="24"/>
          <w:lang w:val="pl-PL"/>
        </w:rPr>
        <w:t xml:space="preserve"> o otw</w:t>
      </w:r>
      <w:r w:rsidRPr="00D051E2">
        <w:rPr>
          <w:rFonts w:ascii="Times New Roman" w:hAnsi="Times New Roman"/>
          <w:noProof/>
          <w:sz w:val="24"/>
          <w:lang w:val="pl-PL"/>
        </w:rPr>
        <w:t>arcie podstawowych rachunków płatniczych wydają się ogólnie bardzo niskie</w:t>
      </w:r>
      <w:r w:rsidR="00D051E2" w:rsidRPr="00D051E2">
        <w:rPr>
          <w:rFonts w:ascii="Times New Roman" w:hAnsi="Times New Roman"/>
          <w:noProof/>
          <w:sz w:val="24"/>
          <w:lang w:val="pl-PL"/>
        </w:rPr>
        <w:t>. W kil</w:t>
      </w:r>
      <w:r w:rsidRPr="00D051E2">
        <w:rPr>
          <w:rFonts w:ascii="Times New Roman" w:hAnsi="Times New Roman"/>
          <w:noProof/>
          <w:sz w:val="24"/>
          <w:lang w:val="pl-PL"/>
        </w:rPr>
        <w:t>ku państwach członkowskich występuje jednak nieco wyższy poziom przypadków odrzucenia, natomiast</w:t>
      </w:r>
      <w:r w:rsidR="00D051E2" w:rsidRPr="00D051E2">
        <w:rPr>
          <w:rFonts w:ascii="Times New Roman" w:hAnsi="Times New Roman"/>
          <w:noProof/>
          <w:sz w:val="24"/>
          <w:lang w:val="pl-PL"/>
        </w:rPr>
        <w:t xml:space="preserve"> w jed</w:t>
      </w:r>
      <w:r w:rsidRPr="00D051E2">
        <w:rPr>
          <w:rFonts w:ascii="Times New Roman" w:hAnsi="Times New Roman"/>
          <w:noProof/>
          <w:sz w:val="24"/>
          <w:lang w:val="pl-PL"/>
        </w:rPr>
        <w:t>nym państwie członkowskim wskaźnik przypadków odrzucenia wydaje się szczególnie wysoki.</w:t>
      </w:r>
    </w:p>
    <w:p w14:paraId="618C97C7" w14:textId="080D8D6D" w:rsidR="005E550E" w:rsidRPr="00D051E2" w:rsidRDefault="005E550E" w:rsidP="005E550E">
      <w:pPr>
        <w:spacing w:before="240" w:after="0" w:line="240" w:lineRule="auto"/>
        <w:jc w:val="both"/>
        <w:rPr>
          <w:rFonts w:ascii="Times New Roman" w:eastAsia="Calibri" w:hAnsi="Times New Roman" w:cs="Times New Roman"/>
          <w:noProof/>
          <w:sz w:val="24"/>
          <w:lang w:val="pl-PL"/>
        </w:rPr>
      </w:pPr>
      <w:r w:rsidRPr="00D051E2">
        <w:rPr>
          <w:rFonts w:ascii="Times New Roman" w:hAnsi="Times New Roman"/>
          <w:noProof/>
          <w:sz w:val="24"/>
          <w:lang w:val="pl-PL"/>
        </w:rPr>
        <w:t>Aby zapewnić</w:t>
      </w:r>
      <w:r w:rsidR="00D051E2" w:rsidRPr="00D051E2">
        <w:rPr>
          <w:rFonts w:ascii="Times New Roman" w:hAnsi="Times New Roman"/>
          <w:noProof/>
          <w:sz w:val="24"/>
          <w:lang w:val="pl-PL"/>
        </w:rPr>
        <w:t xml:space="preserve"> w prz</w:t>
      </w:r>
      <w:r w:rsidRPr="00D051E2">
        <w:rPr>
          <w:rFonts w:ascii="Times New Roman" w:hAnsi="Times New Roman"/>
          <w:noProof/>
          <w:sz w:val="24"/>
          <w:lang w:val="pl-PL"/>
        </w:rPr>
        <w:t>yszłości pełniejszą dostępność</w:t>
      </w:r>
      <w:r w:rsidR="00D051E2" w:rsidRPr="00D051E2">
        <w:rPr>
          <w:rFonts w:ascii="Times New Roman" w:hAnsi="Times New Roman"/>
          <w:noProof/>
          <w:sz w:val="24"/>
          <w:lang w:val="pl-PL"/>
        </w:rPr>
        <w:t xml:space="preserve"> i por</w:t>
      </w:r>
      <w:r w:rsidRPr="00D051E2">
        <w:rPr>
          <w:rFonts w:ascii="Times New Roman" w:hAnsi="Times New Roman"/>
          <w:noProof/>
          <w:sz w:val="24"/>
          <w:lang w:val="pl-PL"/>
        </w:rPr>
        <w:t>ównywalność danych, Komisja współpracuje</w:t>
      </w:r>
      <w:r w:rsidR="00D051E2" w:rsidRPr="00D051E2">
        <w:rPr>
          <w:rFonts w:ascii="Times New Roman" w:hAnsi="Times New Roman"/>
          <w:noProof/>
          <w:sz w:val="24"/>
          <w:lang w:val="pl-PL"/>
        </w:rPr>
        <w:t xml:space="preserve"> z pań</w:t>
      </w:r>
      <w:r w:rsidRPr="00D051E2">
        <w:rPr>
          <w:rFonts w:ascii="Times New Roman" w:hAnsi="Times New Roman"/>
          <w:noProof/>
          <w:sz w:val="24"/>
          <w:lang w:val="pl-PL"/>
        </w:rPr>
        <w:t>stwami członkowskimi</w:t>
      </w:r>
      <w:r w:rsidR="00D051E2" w:rsidRPr="00D051E2">
        <w:rPr>
          <w:rFonts w:ascii="Times New Roman" w:hAnsi="Times New Roman"/>
          <w:noProof/>
          <w:sz w:val="24"/>
          <w:lang w:val="pl-PL"/>
        </w:rPr>
        <w:t xml:space="preserve"> w cel</w:t>
      </w:r>
      <w:r w:rsidRPr="00D051E2">
        <w:rPr>
          <w:rFonts w:ascii="Times New Roman" w:hAnsi="Times New Roman"/>
          <w:noProof/>
          <w:sz w:val="24"/>
          <w:lang w:val="pl-PL"/>
        </w:rPr>
        <w:t xml:space="preserve">u uzgodnienia odpowiednich zestawów danych, które należy gromadzić/przekazywać. </w:t>
      </w:r>
    </w:p>
    <w:bookmarkEnd w:id="13"/>
    <w:bookmarkEnd w:id="14"/>
    <w:bookmarkEnd w:id="15"/>
    <w:bookmarkEnd w:id="16"/>
    <w:bookmarkEnd w:id="17"/>
    <w:bookmarkEnd w:id="18"/>
    <w:bookmarkEnd w:id="19"/>
    <w:bookmarkEnd w:id="20"/>
    <w:p w14:paraId="677B6060" w14:textId="77777777" w:rsidR="005E550E" w:rsidRPr="00D051E2" w:rsidRDefault="005E550E" w:rsidP="005E550E">
      <w:pPr>
        <w:rPr>
          <w:rFonts w:ascii="Times New Roman" w:eastAsia="Calibri" w:hAnsi="Times New Roman" w:cs="Times New Roman"/>
          <w:noProof/>
          <w:sz w:val="24"/>
          <w:lang w:val="pl-PL"/>
        </w:rPr>
      </w:pPr>
    </w:p>
    <w:sectPr w:rsidR="005E550E" w:rsidRPr="00D051E2" w:rsidSect="00A03713">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5EF0F" w14:textId="77777777" w:rsidR="00EA3B75" w:rsidRPr="00D051E2" w:rsidRDefault="00EA3B75" w:rsidP="00FA1AC8">
      <w:pPr>
        <w:spacing w:after="0" w:line="240" w:lineRule="auto"/>
        <w:rPr>
          <w:lang w:val="pl-PL"/>
        </w:rPr>
      </w:pPr>
      <w:r w:rsidRPr="00D051E2">
        <w:rPr>
          <w:lang w:val="pl-PL"/>
        </w:rPr>
        <w:separator/>
      </w:r>
    </w:p>
  </w:endnote>
  <w:endnote w:type="continuationSeparator" w:id="0">
    <w:p w14:paraId="3EF3BD71" w14:textId="77777777" w:rsidR="00EA3B75" w:rsidRPr="00D051E2" w:rsidRDefault="00EA3B75" w:rsidP="00FA1AC8">
      <w:pPr>
        <w:spacing w:after="0" w:line="240" w:lineRule="auto"/>
        <w:rPr>
          <w:lang w:val="pl-PL"/>
        </w:rPr>
      </w:pPr>
      <w:r w:rsidRPr="00D051E2">
        <w:rPr>
          <w:lang w:val="pl-PL"/>
        </w:rPr>
        <w:continuationSeparator/>
      </w:r>
    </w:p>
  </w:endnote>
  <w:endnote w:type="continuationNotice" w:id="1">
    <w:p w14:paraId="440EE433" w14:textId="77777777" w:rsidR="00EA3B75" w:rsidRPr="00D051E2" w:rsidRDefault="00EA3B75">
      <w:pPr>
        <w:spacing w:after="0" w:line="240" w:lineRule="auto"/>
        <w:rPr>
          <w:lang w:val="pl-P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FCCC1" w14:textId="77777777" w:rsidR="00B77BAE" w:rsidRPr="00B77BAE" w:rsidRDefault="00B77BAE" w:rsidP="00B77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BFBE6" w14:textId="541FE63D" w:rsidR="0014241A" w:rsidRPr="00B77BAE" w:rsidRDefault="00B77BAE" w:rsidP="00B77BAE">
    <w:pPr>
      <w:pStyle w:val="FooterCoverPage"/>
      <w:rPr>
        <w:rFonts w:ascii="Arial" w:hAnsi="Arial" w:cs="Arial"/>
        <w:b/>
        <w:sz w:val="48"/>
      </w:rPr>
    </w:pPr>
    <w:r w:rsidRPr="00B77BAE">
      <w:rPr>
        <w:rFonts w:ascii="Arial" w:hAnsi="Arial" w:cs="Arial"/>
        <w:b/>
        <w:sz w:val="48"/>
      </w:rPr>
      <w:t>PL</w:t>
    </w:r>
    <w:r w:rsidRPr="00B77BAE">
      <w:rPr>
        <w:rFonts w:ascii="Arial" w:hAnsi="Arial" w:cs="Arial"/>
        <w:b/>
        <w:sz w:val="48"/>
      </w:rPr>
      <w:tab/>
    </w:r>
    <w:r w:rsidRPr="00B77BAE">
      <w:rPr>
        <w:rFonts w:ascii="Arial" w:hAnsi="Arial" w:cs="Arial"/>
        <w:b/>
        <w:sz w:val="48"/>
      </w:rPr>
      <w:tab/>
    </w:r>
    <w:r w:rsidRPr="00B77BAE">
      <w:tab/>
    </w:r>
    <w:r w:rsidRPr="00B77BAE">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0916B" w14:textId="77777777" w:rsidR="00B77BAE" w:rsidRPr="00B77BAE" w:rsidRDefault="00B77BAE" w:rsidP="00B77BA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17156" w14:textId="77777777" w:rsidR="00EA3B75" w:rsidRPr="00CD2699" w:rsidRDefault="00EA3B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2006977253"/>
      <w:docPartObj>
        <w:docPartGallery w:val="Page Numbers (Bottom of Page)"/>
        <w:docPartUnique/>
      </w:docPartObj>
    </w:sdtPr>
    <w:sdtEndPr/>
    <w:sdtContent>
      <w:p w14:paraId="46BFA740" w14:textId="18D5E850" w:rsidR="00EA3B75" w:rsidRPr="00CD2699" w:rsidRDefault="00EA3B75">
        <w:pPr>
          <w:pStyle w:val="Footer"/>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B77BAE">
          <w:rPr>
            <w:rFonts w:ascii="Times New Roman" w:hAnsi="Times New Roman" w:cs="Times New Roman"/>
            <w:noProof/>
            <w:sz w:val="24"/>
          </w:rPr>
          <w:t>1</w:t>
        </w:r>
        <w:r>
          <w:rPr>
            <w:rFonts w:ascii="Times New Roman" w:hAnsi="Times New Roman" w:cs="Times New Roman"/>
            <w:sz w:val="24"/>
          </w:rPr>
          <w:fldChar w:fldCharType="end"/>
        </w:r>
      </w:p>
    </w:sdtContent>
  </w:sdt>
  <w:p w14:paraId="41802501" w14:textId="77777777" w:rsidR="00EA3B75" w:rsidRPr="00CD2699" w:rsidRDefault="00EA3B75">
    <w:pPr>
      <w:pStyle w:val="Footer"/>
      <w:rPr>
        <w:rFonts w:ascii="Times New Roman" w:hAnsi="Times New Roman" w:cs="Times New Roman"/>
        <w:sz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C9B63" w14:textId="77777777" w:rsidR="00EA3B75" w:rsidRPr="00CD2699" w:rsidRDefault="00EA3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A75CD" w14:textId="77777777" w:rsidR="00EA3B75" w:rsidRPr="00D051E2" w:rsidRDefault="00EA3B75" w:rsidP="00FA1AC8">
      <w:pPr>
        <w:spacing w:after="0" w:line="240" w:lineRule="auto"/>
        <w:rPr>
          <w:lang w:val="pl-PL"/>
        </w:rPr>
      </w:pPr>
      <w:r w:rsidRPr="00D051E2">
        <w:rPr>
          <w:lang w:val="pl-PL"/>
        </w:rPr>
        <w:separator/>
      </w:r>
    </w:p>
  </w:footnote>
  <w:footnote w:type="continuationSeparator" w:id="0">
    <w:p w14:paraId="21BA5BAB" w14:textId="77777777" w:rsidR="00EA3B75" w:rsidRPr="00D051E2" w:rsidRDefault="00EA3B75" w:rsidP="00FA1AC8">
      <w:pPr>
        <w:spacing w:after="0" w:line="240" w:lineRule="auto"/>
        <w:rPr>
          <w:lang w:val="pl-PL"/>
        </w:rPr>
      </w:pPr>
      <w:r w:rsidRPr="00D051E2">
        <w:rPr>
          <w:lang w:val="pl-PL"/>
        </w:rPr>
        <w:continuationSeparator/>
      </w:r>
    </w:p>
  </w:footnote>
  <w:footnote w:type="continuationNotice" w:id="1">
    <w:p w14:paraId="223AC735" w14:textId="77777777" w:rsidR="00EA3B75" w:rsidRPr="00D051E2" w:rsidRDefault="00EA3B75">
      <w:pPr>
        <w:spacing w:after="0" w:line="240" w:lineRule="auto"/>
        <w:rPr>
          <w:lang w:val="pl-PL"/>
        </w:rPr>
      </w:pPr>
    </w:p>
  </w:footnote>
  <w:footnote w:id="2">
    <w:p w14:paraId="741122EE" w14:textId="5C0BA287" w:rsidR="00EA3B75" w:rsidRPr="00D051E2" w:rsidRDefault="00EA3B75" w:rsidP="005E550E">
      <w:pPr>
        <w:pStyle w:val="Footno1"/>
        <w:jc w:val="both"/>
        <w:rPr>
          <w:lang w:val="pl-PL"/>
        </w:rPr>
      </w:pPr>
      <w:r w:rsidRPr="00D051E2">
        <w:rPr>
          <w:rStyle w:val="FootnoteReference"/>
          <w:lang w:val="pl-PL"/>
        </w:rPr>
        <w:footnoteRef/>
      </w:r>
      <w:r w:rsidRPr="00D051E2">
        <w:rPr>
          <w:lang w:val="pl-PL"/>
        </w:rPr>
        <w:t xml:space="preserve"> </w:t>
      </w:r>
      <w:r w:rsidRPr="00D051E2">
        <w:rPr>
          <w:lang w:val="pl-PL"/>
        </w:rPr>
        <w:tab/>
      </w:r>
      <w:r w:rsidRPr="00D051E2">
        <w:rPr>
          <w:rFonts w:ascii="Times New Roman" w:hAnsi="Times New Roman"/>
          <w:lang w:val="pl-PL"/>
        </w:rPr>
        <w:t>Dyrektywa Parlamentu Europejskiego i Rady 2014/92/UE z dnia 23 lipca 2014 r. w sprawie porównywalności opłat związanych z rachunkami płatniczymi, przenoszenia rachunku płatniczego oraz dostępu do podstawowego rachunku płatniczego (Dz.U. L 257 z 28.8.2014, s. 214).</w:t>
      </w:r>
    </w:p>
  </w:footnote>
  <w:footnote w:id="3">
    <w:p w14:paraId="5075FE5E" w14:textId="5B710813" w:rsidR="00EA3B75" w:rsidRPr="00D051E2" w:rsidRDefault="00EA3B75" w:rsidP="005E550E">
      <w:pPr>
        <w:pStyle w:val="FootnoteText"/>
        <w:jc w:val="both"/>
        <w:rPr>
          <w:lang w:val="pl-PL"/>
        </w:rPr>
      </w:pPr>
      <w:r w:rsidRPr="00D051E2">
        <w:rPr>
          <w:rStyle w:val="FootnoteReference"/>
          <w:lang w:val="pl-PL"/>
        </w:rPr>
        <w:footnoteRef/>
      </w:r>
      <w:r w:rsidRPr="00D051E2">
        <w:rPr>
          <w:lang w:val="pl-PL"/>
        </w:rPr>
        <w:t xml:space="preserve"> </w:t>
      </w:r>
      <w:r w:rsidRPr="00D051E2">
        <w:rPr>
          <w:lang w:val="pl-PL"/>
        </w:rPr>
        <w:tab/>
      </w:r>
      <w:r w:rsidRPr="00D051E2">
        <w:rPr>
          <w:rFonts w:ascii="Times New Roman" w:hAnsi="Times New Roman"/>
          <w:lang w:val="pl-PL"/>
        </w:rPr>
        <w:t>Konieczne było częściowe przesunięcie przedłożenia niniejszego sprawozdania, aby zapewnić dostępność odpowiednich danych, ponieważ w większości państw członkowskich transpozycji dyrektywy dokonano z opóźnieniem. Ponadto akty delegowane (wykonawcze i regulacyjne standardy techniczne), które mają zasadnicze znaczenie dla wdrożenia wymogów dyrektywy dotyczących przejrzystości, były opóźnione i zaczęły obowiązywać dopiero w październiku 2018 r.</w:t>
      </w:r>
    </w:p>
  </w:footnote>
  <w:footnote w:id="4">
    <w:p w14:paraId="0DA13C57" w14:textId="2A7A5047" w:rsidR="00EA3B75" w:rsidRPr="00D051E2" w:rsidRDefault="00EA3B75" w:rsidP="00FA1AC8">
      <w:pPr>
        <w:pStyle w:val="Footno1"/>
        <w:jc w:val="both"/>
        <w:rPr>
          <w:rFonts w:ascii="Times New Roman" w:hAnsi="Times New Roman"/>
          <w:lang w:val="pl-PL"/>
        </w:rPr>
      </w:pPr>
      <w:r w:rsidRPr="00D051E2">
        <w:rPr>
          <w:rStyle w:val="FootnoteReference"/>
          <w:rFonts w:ascii="Times New Roman" w:hAnsi="Times New Roman" w:cs="Times New Roman"/>
          <w:lang w:val="pl-PL"/>
        </w:rPr>
        <w:footnoteRef/>
      </w:r>
      <w:r w:rsidRPr="00D051E2">
        <w:rPr>
          <w:lang w:val="pl-PL"/>
        </w:rPr>
        <w:tab/>
      </w:r>
      <w:r w:rsidRPr="00D051E2">
        <w:rPr>
          <w:rFonts w:ascii="Times New Roman" w:hAnsi="Times New Roman"/>
          <w:lang w:val="pl-PL"/>
        </w:rPr>
        <w:t>Rozporządzenie wykonawcze Komisji (UE) 2018/34 z dnia 28 września 2017 r. ustanawiające wykonawcze standardy techniczne w odniesieniu do ujednoliconego formatu dokumentu dotyczącego opłat i jego wspólnego symbolu zgodnie z dyrektywą Parlamentu Europejskiego i Rady 2014/92/UE, C/2017/6456, Dz.U. L 6 z 11.1.2018, s. 37).</w:t>
      </w:r>
    </w:p>
  </w:footnote>
  <w:footnote w:id="5">
    <w:p w14:paraId="7D94912C" w14:textId="73917B3D" w:rsidR="00EA3B75" w:rsidRPr="00D051E2" w:rsidRDefault="00EA3B75" w:rsidP="00DF42CF">
      <w:pPr>
        <w:pStyle w:val="Footno1"/>
        <w:jc w:val="both"/>
        <w:rPr>
          <w:rFonts w:ascii="Times New Roman" w:hAnsi="Times New Roman"/>
          <w:lang w:val="pl-PL"/>
        </w:rPr>
      </w:pPr>
      <w:r w:rsidRPr="00D051E2">
        <w:rPr>
          <w:rStyle w:val="FootnoteReference"/>
          <w:rFonts w:ascii="Times New Roman" w:hAnsi="Times New Roman" w:cs="Times New Roman"/>
          <w:lang w:val="pl-PL"/>
        </w:rPr>
        <w:footnoteRef/>
      </w:r>
      <w:r w:rsidRPr="00D051E2">
        <w:rPr>
          <w:lang w:val="pl-PL"/>
        </w:rPr>
        <w:tab/>
      </w:r>
      <w:r w:rsidRPr="00D051E2">
        <w:rPr>
          <w:rFonts w:ascii="Times New Roman" w:hAnsi="Times New Roman"/>
          <w:lang w:val="pl-PL"/>
        </w:rPr>
        <w:t>Rozporządzenie wykonawcze Komisji (UE) 2018/33 z dnia 28 września 2017 r. ustanawiające wykonawcze standardy techniczne w odniesieniu do ujednoliconego formatu zestawienia opłat i jego wspólnego symbolu zgodnie z dyrektywą Parlamentu Europejskiego i Rady 2014/92/UE, C/2017/6453, Dz.U. L 6 z 11.1.2018, s. 26</w:t>
      </w:r>
      <w:r w:rsidRPr="00D051E2">
        <w:rPr>
          <w:lang w:val="pl-PL"/>
        </w:rPr>
        <w:t>.</w:t>
      </w:r>
    </w:p>
  </w:footnote>
  <w:footnote w:id="6">
    <w:p w14:paraId="47922E55" w14:textId="614F600A" w:rsidR="00EA3B75" w:rsidRPr="00D051E2" w:rsidRDefault="00EA3B75" w:rsidP="00FA1AC8">
      <w:pPr>
        <w:pStyle w:val="Footno1"/>
        <w:jc w:val="both"/>
        <w:rPr>
          <w:rFonts w:ascii="Times New Roman" w:hAnsi="Times New Roman" w:cs="Times New Roman"/>
          <w:lang w:val="pl-PL"/>
        </w:rPr>
      </w:pPr>
      <w:r w:rsidRPr="00D051E2">
        <w:rPr>
          <w:rStyle w:val="FootnoteReference"/>
          <w:rFonts w:ascii="Times New Roman" w:hAnsi="Times New Roman" w:cs="Times New Roman"/>
          <w:lang w:val="pl-PL"/>
        </w:rPr>
        <w:footnoteRef/>
      </w:r>
      <w:r w:rsidRPr="00D051E2">
        <w:rPr>
          <w:lang w:val="pl-PL"/>
        </w:rPr>
        <w:tab/>
      </w:r>
      <w:r w:rsidRPr="00D051E2">
        <w:rPr>
          <w:rFonts w:ascii="Times New Roman" w:hAnsi="Times New Roman"/>
          <w:lang w:val="pl-PL"/>
        </w:rPr>
        <w:t>Jeśli chodzi o Niemcy, Komisja monitoruje sytuację po tym, jak niemiecką porównywarkę internetową objęto nakazem sądowym, o który wystąpiła lokalna organizacja konsumencka.</w:t>
      </w:r>
    </w:p>
  </w:footnote>
  <w:footnote w:id="7">
    <w:p w14:paraId="4E085BB4" w14:textId="6C036CA2" w:rsidR="00EA3B75" w:rsidRPr="00D051E2" w:rsidRDefault="00EA3B75" w:rsidP="00FA1AC8">
      <w:pPr>
        <w:pStyle w:val="Footno1"/>
        <w:jc w:val="both"/>
        <w:rPr>
          <w:rFonts w:ascii="Times New Roman" w:hAnsi="Times New Roman"/>
          <w:lang w:val="pl-PL"/>
        </w:rPr>
      </w:pPr>
      <w:r w:rsidRPr="00D051E2">
        <w:rPr>
          <w:rStyle w:val="FootnoteReference"/>
          <w:rFonts w:ascii="Times New Roman" w:hAnsi="Times New Roman" w:cs="Times New Roman"/>
          <w:lang w:val="pl-PL"/>
        </w:rPr>
        <w:footnoteRef/>
      </w:r>
      <w:r w:rsidRPr="00D051E2">
        <w:rPr>
          <w:lang w:val="pl-PL"/>
        </w:rPr>
        <w:tab/>
      </w:r>
      <w:r w:rsidRPr="00D051E2">
        <w:rPr>
          <w:rFonts w:ascii="Times New Roman" w:hAnsi="Times New Roman"/>
          <w:lang w:val="pl-PL"/>
        </w:rPr>
        <w:t>W Czechach, Niemczech i Niderlandach prowadzeniem porównywarek internetowych zajmuje się prywatny operator. W Polsce są dwie spełniające wymogi porównywarki internetowe, z których jedna jest prowadzona przez podmiot prywatny. W pozostałych krajach porównywarkę internetową prowadzą organy publiczne.</w:t>
      </w:r>
    </w:p>
  </w:footnote>
  <w:footnote w:id="8">
    <w:p w14:paraId="7191B6A9" w14:textId="447BEC4A" w:rsidR="00EA3B75" w:rsidRPr="00D051E2" w:rsidRDefault="00EA3B75" w:rsidP="005E550E">
      <w:pPr>
        <w:pStyle w:val="Footno1"/>
        <w:jc w:val="both"/>
        <w:rPr>
          <w:rFonts w:ascii="Times New Roman" w:hAnsi="Times New Roman" w:cs="Times New Roman"/>
          <w:lang w:val="pl-PL"/>
        </w:rPr>
      </w:pPr>
      <w:r w:rsidRPr="00D051E2">
        <w:rPr>
          <w:rStyle w:val="FootnoteReference"/>
          <w:lang w:val="pl-PL"/>
        </w:rPr>
        <w:footnoteRef/>
      </w:r>
      <w:r w:rsidRPr="00D051E2">
        <w:rPr>
          <w:lang w:val="pl-PL"/>
        </w:rPr>
        <w:tab/>
      </w:r>
      <w:r w:rsidRPr="00D051E2">
        <w:rPr>
          <w:rFonts w:ascii="Times New Roman" w:hAnsi="Times New Roman"/>
          <w:lang w:val="pl-PL"/>
        </w:rPr>
        <w:t>Dane estońskie dotyczą okresu od 10.01.2017 r. do 31.07.2018 r. i od 1.08.2018 r. do 31.07.2020 r. Dane niemieckie dotyczą okresu od 18.09.2016 r. do 30.06.2018 r. oraz 2019 r. W celu obliczenia łącznej liczby przypadków przeniesienia rachunku w ujęciu rocznym dane zebrane za okres dłuższy niż rok (np. w Estonii i Niemczech) rozdzielono proporcjonalnie na poszczególne lata.</w:t>
      </w:r>
    </w:p>
  </w:footnote>
  <w:footnote w:id="9">
    <w:p w14:paraId="7E197591" w14:textId="5D2B3FA4" w:rsidR="00EA3B75" w:rsidRPr="00D051E2" w:rsidRDefault="00EA3B75" w:rsidP="005E550E">
      <w:pPr>
        <w:pStyle w:val="FootnoteText"/>
        <w:jc w:val="both"/>
        <w:rPr>
          <w:rFonts w:ascii="Times New Roman" w:hAnsi="Times New Roman" w:cs="Times New Roman"/>
          <w:lang w:val="pl-PL"/>
        </w:rPr>
      </w:pPr>
      <w:r w:rsidRPr="00D051E2">
        <w:rPr>
          <w:rStyle w:val="FootnoteReference"/>
          <w:lang w:val="pl-PL"/>
        </w:rPr>
        <w:footnoteRef/>
      </w:r>
      <w:r w:rsidRPr="00D051E2">
        <w:rPr>
          <w:lang w:val="pl-PL"/>
        </w:rPr>
        <w:t xml:space="preserve"> </w:t>
      </w:r>
      <w:r w:rsidRPr="00D051E2">
        <w:rPr>
          <w:lang w:val="pl-PL"/>
        </w:rPr>
        <w:tab/>
      </w:r>
      <w:r w:rsidRPr="00D051E2">
        <w:rPr>
          <w:rFonts w:ascii="Times New Roman" w:hAnsi="Times New Roman"/>
          <w:lang w:val="pl-PL"/>
        </w:rPr>
        <w:t>Na liczbę przypadków przeniesienia rachunku wpływa wiele czynników. Na przykład usługa przeniesienia rachunku ma zastosowanie do rachunków płatniczych, ale nie do innych produktów finansowych (np. kredytów hipotecznych i inwestycji), z którymi ten rachunek płatniczy może być powiązany. Ponadto konsumenci mogą mieć ograniczoną świadomość istnienia takiej usługi i nie zawsze być o niej informowani – lub mogą nawet być zniechęcani do korzystania z tej usługi. Inne możliwe powody to brak wiedzy finansowej i założenie, że przeniesienie rachunku prowadziłoby do uzyskania tylko niewielkich oszczędności, chęć uniknięcia utraty numeru rachunku bankowego oraz ryzyko zagubienia środków. (Zob. szczegółowe informacje w sprawozdaniu sporządzonym na podstawie art. 28).</w:t>
      </w:r>
    </w:p>
  </w:footnote>
  <w:footnote w:id="10">
    <w:p w14:paraId="31C02567" w14:textId="77777777" w:rsidR="00EA3B75" w:rsidRPr="00D051E2" w:rsidRDefault="00EA3B75" w:rsidP="005E550E">
      <w:pPr>
        <w:pStyle w:val="Footno1"/>
        <w:rPr>
          <w:rFonts w:ascii="Times New Roman" w:hAnsi="Times New Roman" w:cs="Times New Roman"/>
          <w:lang w:val="pl-PL"/>
        </w:rPr>
      </w:pPr>
      <w:r w:rsidRPr="00D051E2">
        <w:rPr>
          <w:rStyle w:val="FootnoteReference"/>
          <w:lang w:val="pl-PL"/>
        </w:rPr>
        <w:footnoteRef/>
      </w:r>
      <w:r w:rsidRPr="00D051E2">
        <w:rPr>
          <w:lang w:val="pl-PL"/>
        </w:rPr>
        <w:tab/>
      </w:r>
      <w:r w:rsidRPr="00D051E2">
        <w:rPr>
          <w:rFonts w:ascii="Times New Roman" w:hAnsi="Times New Roman"/>
          <w:lang w:val="pl-PL"/>
        </w:rPr>
        <w:t>Nie można było uwzględnić ewentualnego wycofywania wniosków (ze względu na brak danych).</w:t>
      </w:r>
    </w:p>
  </w:footnote>
  <w:footnote w:id="11">
    <w:p w14:paraId="33679F49" w14:textId="2E4246A2" w:rsidR="00EA3B75" w:rsidRPr="00D051E2" w:rsidRDefault="00EA3B75" w:rsidP="005E550E">
      <w:pPr>
        <w:pStyle w:val="Footno1"/>
        <w:jc w:val="both"/>
        <w:rPr>
          <w:rFonts w:ascii="Times New Roman" w:hAnsi="Times New Roman" w:cs="Times New Roman"/>
          <w:lang w:val="pl-PL"/>
        </w:rPr>
      </w:pPr>
      <w:r w:rsidRPr="00D051E2">
        <w:rPr>
          <w:rStyle w:val="FootnoteReference"/>
          <w:lang w:val="pl-PL"/>
        </w:rPr>
        <w:footnoteRef/>
      </w:r>
      <w:r w:rsidRPr="00D051E2">
        <w:rPr>
          <w:lang w:val="pl-PL"/>
        </w:rPr>
        <w:tab/>
      </w:r>
      <w:r w:rsidRPr="00D051E2">
        <w:rPr>
          <w:rFonts w:ascii="Times New Roman" w:hAnsi="Times New Roman"/>
          <w:lang w:val="pl-PL"/>
        </w:rPr>
        <w:t>Dane estońskie dotyczą okresu od 10.01.2017 r. do 31.07.2018 r. i od 1.08.2018 r. do 31.07.2020 r. Dane niemieckie dotyczą okresu od 18.09.2016 r. do 30.06.2018 r. oraz 2019 r. W celu obliczenia łącznej liczby przypadków przeniesienia rachunku w ujęciu rocznym dane zebrane za okres dłuższy niż rok (np. w Estonii i Niemczech) rozdzielono proporcjonalnie na poszczególne lata.</w:t>
      </w:r>
    </w:p>
  </w:footnote>
  <w:footnote w:id="12">
    <w:p w14:paraId="29567635" w14:textId="172A9585" w:rsidR="00EA3B75" w:rsidRPr="00D051E2" w:rsidRDefault="00EA3B75" w:rsidP="005E550E">
      <w:pPr>
        <w:pStyle w:val="FootnoteText"/>
        <w:jc w:val="both"/>
        <w:rPr>
          <w:lang w:val="pl-PL"/>
        </w:rPr>
      </w:pPr>
      <w:r w:rsidRPr="00D051E2">
        <w:rPr>
          <w:rStyle w:val="FootnoteReference"/>
          <w:lang w:val="pl-PL"/>
        </w:rPr>
        <w:footnoteRef/>
      </w:r>
      <w:r w:rsidRPr="00D051E2">
        <w:rPr>
          <w:lang w:val="pl-PL"/>
        </w:rPr>
        <w:t xml:space="preserve"> </w:t>
      </w:r>
      <w:r w:rsidRPr="00D051E2">
        <w:rPr>
          <w:lang w:val="pl-PL"/>
        </w:rPr>
        <w:tab/>
      </w:r>
      <w:r w:rsidRPr="00D051E2">
        <w:rPr>
          <w:rFonts w:ascii="Times New Roman" w:hAnsi="Times New Roman"/>
          <w:lang w:val="pl-PL"/>
        </w:rPr>
        <w:t>Art. 10 ust. 4 lit. e) PAD stanowi, że przekazujący dostawca usług płatniczych zamyka rachunek płatniczy w dniu określonym w upoważnieniu, jeżeli konsument nie ma na tym rachunku płatniczym nieuregulowanych zobowiązań i pod warunkiem zakończenia czynności wymienionych w lit. a), b) i d).</w:t>
      </w:r>
    </w:p>
  </w:footnote>
  <w:footnote w:id="13">
    <w:p w14:paraId="75019C0D" w14:textId="6470168B" w:rsidR="00EA3B75" w:rsidRPr="00D051E2" w:rsidRDefault="00EA3B75" w:rsidP="005E550E">
      <w:pPr>
        <w:pStyle w:val="Footno1"/>
        <w:jc w:val="both"/>
        <w:rPr>
          <w:lang w:val="pl-PL"/>
        </w:rPr>
      </w:pPr>
      <w:r w:rsidRPr="00D051E2">
        <w:rPr>
          <w:rStyle w:val="FootnoteReference"/>
          <w:lang w:val="pl-PL"/>
        </w:rPr>
        <w:footnoteRef/>
      </w:r>
      <w:r w:rsidRPr="00D051E2">
        <w:rPr>
          <w:lang w:val="pl-PL"/>
        </w:rPr>
        <w:tab/>
      </w:r>
      <w:r w:rsidRPr="00D051E2">
        <w:rPr>
          <w:rFonts w:ascii="Times New Roman" w:hAnsi="Times New Roman"/>
          <w:lang w:val="pl-PL"/>
        </w:rPr>
        <w:t>Na Słowacji obowiązek ten spoczywa wyłącznie na instytucjach kredytowych świadczących w ramach swojej działalności na rzecz konsumentów wszystkie usługi bankowe powiązane z podstawowym rachunkiem płatniczym. Na przykład, jeżeli instytucja kredytowa świadczy te usługi, ale wyłącznie na rzecz klientów biznesowych, nie jest zobowiązana do oferowania tego rodzaju rachunku. W przypadku niektórych banków, które świadczą usługi wyłącznie za pośrednictwem internetu i nie posiadają fizycznych oddziałów, jeżeli nie świadczą one usług wypłaty gotówki w kasie w fizycznych oddziałach, również nie są zobowiązane do oferowania tych rachunków.</w:t>
      </w:r>
    </w:p>
  </w:footnote>
  <w:footnote w:id="14">
    <w:p w14:paraId="59CCA5E4" w14:textId="7D897231" w:rsidR="00EA3B75" w:rsidRPr="00D051E2" w:rsidRDefault="00EA3B75" w:rsidP="005E550E">
      <w:pPr>
        <w:pStyle w:val="Footno1"/>
        <w:jc w:val="both"/>
        <w:rPr>
          <w:rFonts w:ascii="Times New Roman" w:hAnsi="Times New Roman" w:cs="Times New Roman"/>
          <w:lang w:val="pl-PL"/>
        </w:rPr>
      </w:pPr>
      <w:r w:rsidRPr="00D051E2">
        <w:rPr>
          <w:rStyle w:val="FootnoteReference"/>
          <w:lang w:val="pl-PL"/>
        </w:rPr>
        <w:footnoteRef/>
      </w:r>
      <w:r w:rsidRPr="00D051E2">
        <w:rPr>
          <w:lang w:val="pl-PL"/>
        </w:rPr>
        <w:tab/>
      </w:r>
      <w:r w:rsidRPr="00D051E2">
        <w:rPr>
          <w:rFonts w:ascii="Times New Roman" w:hAnsi="Times New Roman"/>
          <w:lang w:val="pl-PL"/>
        </w:rPr>
        <w:t>Dane cypryjskie dotyczą okresu od 1.07.2017 r. do 31.05.2018 r.; lat 2019, 2020 i 2021 i w większości wynikają z przeklasyfikowania z inicjatywy banku istniejących podstawowych rachunków płatniczych do odrębnej kategorii podstawowych rachunków płatniczych. Dane estońskie dotyczą okresu od 10.01.2017 r. do 31.07.2018 r. i od 1.08.2018 r. do 31.07.2020 r. Dane niemieckie dotyczą okresu od 18.09.2016 r. do 30.06.2018 r. oraz 2019 r. W celu obliczenia łącznej liczby podstawowych rachunków płatniczych w ujęciu rocznym dane zebrane za okres dłuższy niż rok (np. w Estonii i Niemczech) rozdzielono proporcjonalnie na poszczególne lata.</w:t>
      </w:r>
    </w:p>
  </w:footnote>
  <w:footnote w:id="15">
    <w:p w14:paraId="1B050FBF" w14:textId="04696B96" w:rsidR="00EA3B75" w:rsidRPr="00D051E2" w:rsidRDefault="00EA3B75" w:rsidP="005E550E">
      <w:pPr>
        <w:pStyle w:val="FootnoteText"/>
        <w:jc w:val="both"/>
        <w:rPr>
          <w:lang w:val="pl-PL"/>
        </w:rPr>
      </w:pPr>
      <w:r w:rsidRPr="00D051E2">
        <w:rPr>
          <w:rStyle w:val="FootnoteReference"/>
          <w:lang w:val="pl-PL"/>
        </w:rPr>
        <w:footnoteRef/>
      </w:r>
      <w:r w:rsidRPr="00D051E2">
        <w:rPr>
          <w:lang w:val="pl-PL"/>
        </w:rPr>
        <w:t xml:space="preserve"> </w:t>
      </w:r>
      <w:r w:rsidRPr="00D051E2">
        <w:rPr>
          <w:lang w:val="pl-PL"/>
        </w:rPr>
        <w:tab/>
      </w:r>
      <w:r w:rsidRPr="00D051E2">
        <w:rPr>
          <w:rFonts w:ascii="Times New Roman" w:hAnsi="Times New Roman"/>
          <w:lang w:val="pl-PL"/>
        </w:rPr>
        <w:t>Może istnieć kilka różnych powodów otwarcia stosunkowo niewielkiej liczby podstawowych rachunków płatniczych. Po pierwsze, gdy przyjmowano PAD, odsetek osób posiadających rachunek bankowy w wielu państwach członkowskich był już bardzo wysoki. Po drugie, w niektórych państwach członkowskich stosowane były już podobne narzędzia. Po trzecie, biorąc pod uwagę, że rachunki standardowe (w tym bezpłatne rachunki internetowe) są powszechnie dostępne, podstawowe rachunki płatnicze mogą nie być rozwiązaniami odpowiednimi dla konsumentów, którzy mają do nich dostęp. Innym powodem niewielkiego upowszechnienia wykorzystania podstawowych rachunków płatniczych może być brak świadomości konsumentów. (Zob. szczegółowe informacje w sprawozdaniu sporządzonym na podstawie art. 28).</w:t>
      </w:r>
    </w:p>
  </w:footnote>
  <w:footnote w:id="16">
    <w:p w14:paraId="2C39C5CA" w14:textId="77777777" w:rsidR="00EA3B75" w:rsidRPr="00D051E2" w:rsidRDefault="00EA3B75" w:rsidP="005E550E">
      <w:pPr>
        <w:pStyle w:val="Footno1"/>
        <w:rPr>
          <w:rFonts w:ascii="Times New Roman" w:hAnsi="Times New Roman" w:cs="Times New Roman"/>
          <w:lang w:val="pl-PL"/>
        </w:rPr>
      </w:pPr>
      <w:r w:rsidRPr="00D051E2">
        <w:rPr>
          <w:rStyle w:val="FootnoteReference"/>
          <w:lang w:val="pl-PL"/>
        </w:rPr>
        <w:footnoteRef/>
      </w:r>
      <w:bookmarkStart w:id="39" w:name="_Hlk106265715"/>
      <w:r w:rsidRPr="00D051E2">
        <w:rPr>
          <w:lang w:val="pl-PL"/>
        </w:rPr>
        <w:tab/>
      </w:r>
      <w:r w:rsidRPr="00D051E2">
        <w:rPr>
          <w:rFonts w:ascii="Times New Roman" w:hAnsi="Times New Roman"/>
          <w:lang w:val="pl-PL"/>
        </w:rPr>
        <w:t>Nie uwzględniono ewentualnych przypadków wycofania wniosków (ze względu na brak danych).</w:t>
      </w:r>
      <w:bookmarkEnd w:id="39"/>
    </w:p>
  </w:footnote>
  <w:footnote w:id="17">
    <w:p w14:paraId="38E1A681" w14:textId="32E7765E" w:rsidR="00EA3B75" w:rsidRPr="00D051E2" w:rsidRDefault="00EA3B75" w:rsidP="005E550E">
      <w:pPr>
        <w:pStyle w:val="Footno1"/>
        <w:jc w:val="both"/>
        <w:rPr>
          <w:lang w:val="pl-PL"/>
        </w:rPr>
      </w:pPr>
      <w:r w:rsidRPr="00D051E2">
        <w:rPr>
          <w:rStyle w:val="FootnoteReference"/>
          <w:lang w:val="pl-PL"/>
        </w:rPr>
        <w:footnoteRef/>
      </w:r>
      <w:r w:rsidRPr="00D051E2">
        <w:rPr>
          <w:lang w:val="pl-PL"/>
        </w:rPr>
        <w:tab/>
      </w:r>
      <w:r w:rsidRPr="00D051E2">
        <w:rPr>
          <w:rFonts w:ascii="Times New Roman" w:hAnsi="Times New Roman"/>
          <w:lang w:val="pl-PL"/>
        </w:rPr>
        <w:t>Dane cypryjskie dotyczą okresu od 1.07.2017 r. do 31.05.2018 r.; lat 2019, 2020 i 2021, przy czym odsetki obliczono na podstawie nowych wniosków, bez uwzględnienia ewentualnych przeklasyfikowań lub konwersji na podstawowe rachunki płatnicze. Dane estońskie dotyczą okresu od 10.01.2017 r. do 31.07.2018 r. i od 1.08.2018 r. do 31.07.2020 r. Dane niemieckie dotyczą okresu od 18.09.2016 r. do 30.06.2018 r. oraz 2019 r. W celu obliczenia łącznej liczby odrzuconych wniosków o otwarcie podstawowych rachunków płatniczych w ujęciu rocznym dane zebrane za okres dłuższy niż rok (np. w Estonii i Niemczech) rozdzielono proporcjonalnie na poszczególne lata. Dane łotewskie odzwierciedlają również informacje o podstawowych rachunkach płatniczych zamkniętych z inicjatywy konsumenta.</w:t>
      </w:r>
    </w:p>
  </w:footnote>
  <w:footnote w:id="18">
    <w:p w14:paraId="19A9F7E4" w14:textId="7EC75F1C" w:rsidR="00EA3B75" w:rsidRPr="00D051E2" w:rsidRDefault="00EA3B75" w:rsidP="005E550E">
      <w:pPr>
        <w:pStyle w:val="FootnoteText"/>
        <w:jc w:val="both"/>
        <w:rPr>
          <w:lang w:val="pl-PL"/>
        </w:rPr>
      </w:pPr>
      <w:r w:rsidRPr="00D051E2">
        <w:rPr>
          <w:rStyle w:val="FootnoteReference"/>
          <w:lang w:val="pl-PL"/>
        </w:rPr>
        <w:footnoteRef/>
      </w:r>
      <w:r w:rsidRPr="00D051E2">
        <w:rPr>
          <w:lang w:val="pl-PL"/>
        </w:rPr>
        <w:t xml:space="preserve"> </w:t>
      </w:r>
      <w:r w:rsidRPr="00D051E2">
        <w:rPr>
          <w:lang w:val="pl-PL"/>
        </w:rPr>
        <w:tab/>
      </w:r>
      <w:r w:rsidRPr="00D051E2">
        <w:rPr>
          <w:rFonts w:ascii="Times New Roman" w:hAnsi="Times New Roman"/>
          <w:lang w:val="pl-PL"/>
        </w:rPr>
        <w:t>Na przykład we Francji odsetek odrzuconych wniosków wynosi 0 %. W tym państwie członkowskim stosuje się mechanizm umożliwiający wyznaczenie konkretnej instytucji kredytowej, która udostępni podstawowy rachunek płatniczy konsumentowi, którego wnioski o otwarcie podstawowego rachunku płatniczego zostały odrzucone.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42389" w14:textId="77777777" w:rsidR="00B77BAE" w:rsidRPr="00B77BAE" w:rsidRDefault="00B77BAE" w:rsidP="00B77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67EBA" w14:textId="77777777" w:rsidR="00B77BAE" w:rsidRPr="00B77BAE" w:rsidRDefault="00B77BAE" w:rsidP="00B77BA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914DA" w14:textId="77777777" w:rsidR="00B77BAE" w:rsidRPr="00B77BAE" w:rsidRDefault="00B77BAE" w:rsidP="00B77BA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35B23" w14:textId="77777777" w:rsidR="00EA3B75" w:rsidRPr="00CD2699" w:rsidRDefault="00EA3B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018B1" w14:textId="77777777" w:rsidR="00EA3B75" w:rsidRPr="00CD2699" w:rsidRDefault="00EA3B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BCEED" w14:textId="77777777" w:rsidR="00EA3B75" w:rsidRPr="00CD2699" w:rsidRDefault="00EA3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E7FFD"/>
    <w:multiLevelType w:val="hybridMultilevel"/>
    <w:tmpl w:val="E4947EDA"/>
    <w:lvl w:ilvl="0" w:tplc="080C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9A7E2E"/>
    <w:multiLevelType w:val="hybridMultilevel"/>
    <w:tmpl w:val="FB102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071E27"/>
    <w:multiLevelType w:val="hybridMultilevel"/>
    <w:tmpl w:val="71069276"/>
    <w:lvl w:ilvl="0" w:tplc="1D440906">
      <w:start w:val="2"/>
      <w:numFmt w:val="decimal"/>
      <w:lvlText w:val="%1."/>
      <w:lvlJc w:val="left"/>
      <w:pPr>
        <w:ind w:left="360" w:hanging="360"/>
      </w:pPr>
      <w:rPr>
        <w:rFonts w:hint="default"/>
      </w:rPr>
    </w:lvl>
    <w:lvl w:ilvl="1" w:tplc="5BE84006">
      <w:numFmt w:val="bullet"/>
      <w:lvlText w:val="•"/>
      <w:lvlJc w:val="left"/>
      <w:pPr>
        <w:ind w:left="1080" w:hanging="360"/>
      </w:pPr>
      <w:rPr>
        <w:rFonts w:ascii="Times New Roman" w:eastAsiaTheme="minorHAnsi" w:hAnsi="Times New Roman"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A1047C7"/>
    <w:multiLevelType w:val="hybridMultilevel"/>
    <w:tmpl w:val="E4947EDA"/>
    <w:lvl w:ilvl="0" w:tplc="080C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DB055CE"/>
    <w:multiLevelType w:val="hybridMultilevel"/>
    <w:tmpl w:val="E4947EDA"/>
    <w:lvl w:ilvl="0" w:tplc="080C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8A7D3615-EFA6-4E15-BFD9-13EB019A66D2"/>
    <w:docVar w:name="LW_COVERPAGE_TYPE" w:val="1"/>
    <w:docVar w:name="LW_CROSSREFERENCE" w:val="&lt;UNUSED&gt;"/>
    <w:docVar w:name="LW_DocType" w:val="NORMAL"/>
    <w:docVar w:name="LW_EMISSION" w:val="12.5.2023"/>
    <w:docVar w:name="LW_EMISSION_ISODATE" w:val="2023-05-12"/>
    <w:docVar w:name="LW_EMISSION_LOCATION" w:val="BRX"/>
    <w:docVar w:name="LW_EMISSION_PREFIX" w:val="Bruksela, dnia "/>
    <w:docVar w:name="LW_EMISSION_SUFFIX" w:val=" r."/>
    <w:docVar w:name="LW_ID_DOCTYPE_NONLW" w:val="CP-003"/>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3) 24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gromadzące określone dane dotyczące rachunków płatniczych przekazywane przez państwa członkowskie zgodnie z wymogami art. 27 dyrektywy Parlamentu Europejskiego i Rady 2014/92/UE w sprawie porównywalności opłat związanych z rachunkami płatniczymi, przenoszenia rachunku płatniczego oraz dostępu do podstawowego rachunku płatniczego"/>
    <w:docVar w:name="LW_TYPE.DOC.CP" w:val="SPRAWOZDANIE KOMISJI"/>
    <w:docVar w:name="LwApiVersions" w:val="LW4CoDe 1.23.2.0; LW 8.0, Build 20211117"/>
    <w:docVar w:name="Stamp" w:val="\\dossiers.dgt.cec.eu.int\dossiers\FISMA\FISMA-2022-00887\FISMA-2022-00887-00-00-EN-EDT-00.202212141051323869560.DOCX"/>
  </w:docVars>
  <w:rsids>
    <w:rsidRoot w:val="00FA1AC8"/>
    <w:rsid w:val="00000B32"/>
    <w:rsid w:val="0001092C"/>
    <w:rsid w:val="00014E41"/>
    <w:rsid w:val="0001670F"/>
    <w:rsid w:val="000235BA"/>
    <w:rsid w:val="00034E78"/>
    <w:rsid w:val="000453F0"/>
    <w:rsid w:val="0005041D"/>
    <w:rsid w:val="00056901"/>
    <w:rsid w:val="000809C1"/>
    <w:rsid w:val="00092414"/>
    <w:rsid w:val="000A06C1"/>
    <w:rsid w:val="000C18E7"/>
    <w:rsid w:val="000C2372"/>
    <w:rsid w:val="000C2B91"/>
    <w:rsid w:val="00100306"/>
    <w:rsid w:val="00104A5B"/>
    <w:rsid w:val="0011091D"/>
    <w:rsid w:val="001242B6"/>
    <w:rsid w:val="0014241A"/>
    <w:rsid w:val="001434AA"/>
    <w:rsid w:val="0015134D"/>
    <w:rsid w:val="00155841"/>
    <w:rsid w:val="0016121B"/>
    <w:rsid w:val="00167021"/>
    <w:rsid w:val="00180316"/>
    <w:rsid w:val="00181246"/>
    <w:rsid w:val="00185731"/>
    <w:rsid w:val="00185932"/>
    <w:rsid w:val="00195423"/>
    <w:rsid w:val="001B1DFE"/>
    <w:rsid w:val="001D1371"/>
    <w:rsid w:val="001D3FE9"/>
    <w:rsid w:val="00206B37"/>
    <w:rsid w:val="00207F08"/>
    <w:rsid w:val="00227BEE"/>
    <w:rsid w:val="002567C7"/>
    <w:rsid w:val="0027111F"/>
    <w:rsid w:val="0029378E"/>
    <w:rsid w:val="002A4192"/>
    <w:rsid w:val="002B2710"/>
    <w:rsid w:val="002B38D5"/>
    <w:rsid w:val="002E2EDD"/>
    <w:rsid w:val="00303409"/>
    <w:rsid w:val="00307EA4"/>
    <w:rsid w:val="00316E4F"/>
    <w:rsid w:val="00317646"/>
    <w:rsid w:val="00332118"/>
    <w:rsid w:val="0033370F"/>
    <w:rsid w:val="003436E2"/>
    <w:rsid w:val="0036569A"/>
    <w:rsid w:val="00381DE0"/>
    <w:rsid w:val="003A34C1"/>
    <w:rsid w:val="003B0B2A"/>
    <w:rsid w:val="003B1816"/>
    <w:rsid w:val="003B658F"/>
    <w:rsid w:val="003C18A1"/>
    <w:rsid w:val="003D23E7"/>
    <w:rsid w:val="003E5E84"/>
    <w:rsid w:val="00403A93"/>
    <w:rsid w:val="00404335"/>
    <w:rsid w:val="00413E9D"/>
    <w:rsid w:val="00427E0C"/>
    <w:rsid w:val="00433C24"/>
    <w:rsid w:val="00441215"/>
    <w:rsid w:val="00461196"/>
    <w:rsid w:val="004766B8"/>
    <w:rsid w:val="004B719C"/>
    <w:rsid w:val="004C656A"/>
    <w:rsid w:val="004D4706"/>
    <w:rsid w:val="004E50E5"/>
    <w:rsid w:val="004E601E"/>
    <w:rsid w:val="004F5F6C"/>
    <w:rsid w:val="004F61C3"/>
    <w:rsid w:val="005027DE"/>
    <w:rsid w:val="0051395C"/>
    <w:rsid w:val="0052019F"/>
    <w:rsid w:val="00535CD7"/>
    <w:rsid w:val="00544830"/>
    <w:rsid w:val="00551547"/>
    <w:rsid w:val="00553EEA"/>
    <w:rsid w:val="00560503"/>
    <w:rsid w:val="00562829"/>
    <w:rsid w:val="0057189A"/>
    <w:rsid w:val="00585EAA"/>
    <w:rsid w:val="005D0A57"/>
    <w:rsid w:val="005E4A10"/>
    <w:rsid w:val="005E550E"/>
    <w:rsid w:val="005E7EC9"/>
    <w:rsid w:val="005F0CA2"/>
    <w:rsid w:val="006106E3"/>
    <w:rsid w:val="00615E54"/>
    <w:rsid w:val="00616FF8"/>
    <w:rsid w:val="00631FE0"/>
    <w:rsid w:val="00634F1C"/>
    <w:rsid w:val="006401F5"/>
    <w:rsid w:val="0066546B"/>
    <w:rsid w:val="0068257B"/>
    <w:rsid w:val="0069358A"/>
    <w:rsid w:val="006974EB"/>
    <w:rsid w:val="00697E4C"/>
    <w:rsid w:val="006A4248"/>
    <w:rsid w:val="006D07C8"/>
    <w:rsid w:val="006F238A"/>
    <w:rsid w:val="00703A18"/>
    <w:rsid w:val="00705B9F"/>
    <w:rsid w:val="00706F95"/>
    <w:rsid w:val="00730905"/>
    <w:rsid w:val="0076384C"/>
    <w:rsid w:val="00767965"/>
    <w:rsid w:val="00771040"/>
    <w:rsid w:val="00783193"/>
    <w:rsid w:val="007858A6"/>
    <w:rsid w:val="0079207D"/>
    <w:rsid w:val="00795ED0"/>
    <w:rsid w:val="00797184"/>
    <w:rsid w:val="007A4094"/>
    <w:rsid w:val="007C3103"/>
    <w:rsid w:val="007E48C2"/>
    <w:rsid w:val="00811397"/>
    <w:rsid w:val="00823DA8"/>
    <w:rsid w:val="00853A98"/>
    <w:rsid w:val="00855754"/>
    <w:rsid w:val="0088019B"/>
    <w:rsid w:val="00893916"/>
    <w:rsid w:val="0089655A"/>
    <w:rsid w:val="008B6341"/>
    <w:rsid w:val="008F05A8"/>
    <w:rsid w:val="008F339D"/>
    <w:rsid w:val="00900F57"/>
    <w:rsid w:val="00922C09"/>
    <w:rsid w:val="00924C5B"/>
    <w:rsid w:val="00927EA1"/>
    <w:rsid w:val="009818E2"/>
    <w:rsid w:val="00981C7B"/>
    <w:rsid w:val="00986629"/>
    <w:rsid w:val="00990D25"/>
    <w:rsid w:val="009F4197"/>
    <w:rsid w:val="00A03713"/>
    <w:rsid w:val="00A07A7B"/>
    <w:rsid w:val="00A50A56"/>
    <w:rsid w:val="00A673C4"/>
    <w:rsid w:val="00A71027"/>
    <w:rsid w:val="00AA0749"/>
    <w:rsid w:val="00AA4FEF"/>
    <w:rsid w:val="00AB6AA1"/>
    <w:rsid w:val="00AD16EF"/>
    <w:rsid w:val="00AD1CE1"/>
    <w:rsid w:val="00B03CAE"/>
    <w:rsid w:val="00B0473E"/>
    <w:rsid w:val="00B246E5"/>
    <w:rsid w:val="00B41BF2"/>
    <w:rsid w:val="00B42ADD"/>
    <w:rsid w:val="00B4314A"/>
    <w:rsid w:val="00B43903"/>
    <w:rsid w:val="00B75BA2"/>
    <w:rsid w:val="00B77BAE"/>
    <w:rsid w:val="00BA2377"/>
    <w:rsid w:val="00BA546B"/>
    <w:rsid w:val="00BB724C"/>
    <w:rsid w:val="00BC2BA1"/>
    <w:rsid w:val="00BC7B91"/>
    <w:rsid w:val="00BE6047"/>
    <w:rsid w:val="00C02F33"/>
    <w:rsid w:val="00C032DE"/>
    <w:rsid w:val="00C17E22"/>
    <w:rsid w:val="00C23565"/>
    <w:rsid w:val="00C5679D"/>
    <w:rsid w:val="00C829B3"/>
    <w:rsid w:val="00C86277"/>
    <w:rsid w:val="00C97987"/>
    <w:rsid w:val="00CA232F"/>
    <w:rsid w:val="00CA7440"/>
    <w:rsid w:val="00CB641D"/>
    <w:rsid w:val="00CC685C"/>
    <w:rsid w:val="00CD2699"/>
    <w:rsid w:val="00CE6BEC"/>
    <w:rsid w:val="00CF1048"/>
    <w:rsid w:val="00CF4634"/>
    <w:rsid w:val="00D051E2"/>
    <w:rsid w:val="00D16538"/>
    <w:rsid w:val="00D20E88"/>
    <w:rsid w:val="00D245B4"/>
    <w:rsid w:val="00D37218"/>
    <w:rsid w:val="00D44F7A"/>
    <w:rsid w:val="00D51B85"/>
    <w:rsid w:val="00D5683A"/>
    <w:rsid w:val="00D835D3"/>
    <w:rsid w:val="00D905D2"/>
    <w:rsid w:val="00DB2C01"/>
    <w:rsid w:val="00DC2C90"/>
    <w:rsid w:val="00DC6980"/>
    <w:rsid w:val="00DE2ECE"/>
    <w:rsid w:val="00DE5CFD"/>
    <w:rsid w:val="00DF42CF"/>
    <w:rsid w:val="00E2709F"/>
    <w:rsid w:val="00E27749"/>
    <w:rsid w:val="00E366E6"/>
    <w:rsid w:val="00E519CF"/>
    <w:rsid w:val="00E6498E"/>
    <w:rsid w:val="00E761C2"/>
    <w:rsid w:val="00E82C6D"/>
    <w:rsid w:val="00EA230E"/>
    <w:rsid w:val="00EA3B75"/>
    <w:rsid w:val="00EA3D18"/>
    <w:rsid w:val="00EB4AA3"/>
    <w:rsid w:val="00F06FB6"/>
    <w:rsid w:val="00F14F1F"/>
    <w:rsid w:val="00F20E71"/>
    <w:rsid w:val="00F25B2B"/>
    <w:rsid w:val="00F36D0E"/>
    <w:rsid w:val="00F43C47"/>
    <w:rsid w:val="00F4430E"/>
    <w:rsid w:val="00F46FC8"/>
    <w:rsid w:val="00F5144C"/>
    <w:rsid w:val="00F545C8"/>
    <w:rsid w:val="00F70ED6"/>
    <w:rsid w:val="00FA1AC8"/>
    <w:rsid w:val="00FC21E9"/>
    <w:rsid w:val="00FE29D3"/>
    <w:rsid w:val="00FF3203"/>
    <w:rsid w:val="00FF6073"/>
    <w:rsid w:val="01A0F232"/>
    <w:rsid w:val="02DD85F0"/>
    <w:rsid w:val="03570356"/>
    <w:rsid w:val="0429649E"/>
    <w:rsid w:val="05EB4215"/>
    <w:rsid w:val="06AC77E0"/>
    <w:rsid w:val="06C4714D"/>
    <w:rsid w:val="09660123"/>
    <w:rsid w:val="0B3EDAED"/>
    <w:rsid w:val="0B72FBAC"/>
    <w:rsid w:val="0C909C96"/>
    <w:rsid w:val="0CD5F927"/>
    <w:rsid w:val="0D0ECC0D"/>
    <w:rsid w:val="0EAA9C6E"/>
    <w:rsid w:val="110B9536"/>
    <w:rsid w:val="1189E8F9"/>
    <w:rsid w:val="133BD929"/>
    <w:rsid w:val="138D9536"/>
    <w:rsid w:val="14D7A98A"/>
    <w:rsid w:val="150D1801"/>
    <w:rsid w:val="156D8A7A"/>
    <w:rsid w:val="16829CE9"/>
    <w:rsid w:val="1823E7B9"/>
    <w:rsid w:val="19A94099"/>
    <w:rsid w:val="19C4236F"/>
    <w:rsid w:val="1AE2A59F"/>
    <w:rsid w:val="1BB64926"/>
    <w:rsid w:val="1C5CC9A0"/>
    <w:rsid w:val="1E1A4661"/>
    <w:rsid w:val="1EC8ADBE"/>
    <w:rsid w:val="2021E3B9"/>
    <w:rsid w:val="20C0E93E"/>
    <w:rsid w:val="239E2A55"/>
    <w:rsid w:val="242A07D3"/>
    <w:rsid w:val="25BEEF6B"/>
    <w:rsid w:val="2662D98C"/>
    <w:rsid w:val="273869B9"/>
    <w:rsid w:val="27A8004A"/>
    <w:rsid w:val="27A8AAF8"/>
    <w:rsid w:val="28D43A1A"/>
    <w:rsid w:val="2A168754"/>
    <w:rsid w:val="2A4384D6"/>
    <w:rsid w:val="2FCDE159"/>
    <w:rsid w:val="35B2060F"/>
    <w:rsid w:val="3746B333"/>
    <w:rsid w:val="388F4726"/>
    <w:rsid w:val="39EE3756"/>
    <w:rsid w:val="3B8A07B7"/>
    <w:rsid w:val="3D7001A9"/>
    <w:rsid w:val="404A8039"/>
    <w:rsid w:val="42FA5E2C"/>
    <w:rsid w:val="46EFDABA"/>
    <w:rsid w:val="46F0405C"/>
    <w:rsid w:val="4AB6E5CA"/>
    <w:rsid w:val="4B06A7CC"/>
    <w:rsid w:val="4D2AA6F7"/>
    <w:rsid w:val="5334C8A4"/>
    <w:rsid w:val="561209BB"/>
    <w:rsid w:val="5773EA5F"/>
    <w:rsid w:val="57A6B6DF"/>
    <w:rsid w:val="582E1507"/>
    <w:rsid w:val="59CCA6F4"/>
    <w:rsid w:val="5ADDF2FA"/>
    <w:rsid w:val="5CF72889"/>
    <w:rsid w:val="5CF8B1BB"/>
    <w:rsid w:val="61808AF4"/>
    <w:rsid w:val="6216E5AE"/>
    <w:rsid w:val="681C0219"/>
    <w:rsid w:val="68E91F11"/>
    <w:rsid w:val="693E868E"/>
    <w:rsid w:val="6DEE7879"/>
    <w:rsid w:val="6DF59E89"/>
    <w:rsid w:val="6F8A4BAD"/>
    <w:rsid w:val="71335BF4"/>
    <w:rsid w:val="745634EC"/>
    <w:rsid w:val="77A2424B"/>
    <w:rsid w:val="79641FC2"/>
    <w:rsid w:val="7AF8CCE6"/>
    <w:rsid w:val="7D542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43AF3AE"/>
  <w15:chartTrackingRefBased/>
  <w15:docId w15:val="{295A7E82-A07B-42CA-A154-BFD8F93A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FA1AC8"/>
    <w:rPr>
      <w:color w:val="0000FF"/>
      <w:shd w:val="clear" w:color="auto" w:fill="auto"/>
    </w:rPr>
  </w:style>
  <w:style w:type="paragraph" w:styleId="Header">
    <w:name w:val="header"/>
    <w:basedOn w:val="Normal"/>
    <w:link w:val="HeaderChar"/>
    <w:uiPriority w:val="99"/>
    <w:unhideWhenUsed/>
    <w:rsid w:val="00FA1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AC8"/>
  </w:style>
  <w:style w:type="paragraph" w:styleId="Footer">
    <w:name w:val="footer"/>
    <w:basedOn w:val="Normal"/>
    <w:link w:val="FooterChar"/>
    <w:uiPriority w:val="99"/>
    <w:unhideWhenUsed/>
    <w:rsid w:val="00FA1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AC8"/>
  </w:style>
  <w:style w:type="paragraph" w:customStyle="1" w:styleId="Pagedecouverture">
    <w:name w:val="Page de couverture"/>
    <w:basedOn w:val="Normal"/>
    <w:next w:val="Normal"/>
    <w:rsid w:val="00FA1AC8"/>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FA1AC8"/>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FA1AC8"/>
    <w:rPr>
      <w:rFonts w:ascii="Times New Roman" w:hAnsi="Times New Roman" w:cs="Times New Roman"/>
      <w:sz w:val="24"/>
    </w:rPr>
  </w:style>
  <w:style w:type="paragraph" w:customStyle="1" w:styleId="FooterSensitivity">
    <w:name w:val="Footer Sensitivity"/>
    <w:basedOn w:val="Normal"/>
    <w:link w:val="FooterSensitivityChar"/>
    <w:rsid w:val="00FA1AC8"/>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FA1AC8"/>
    <w:rPr>
      <w:rFonts w:ascii="Times New Roman" w:hAnsi="Times New Roman" w:cs="Times New Roman"/>
      <w:b/>
      <w:sz w:val="32"/>
    </w:rPr>
  </w:style>
  <w:style w:type="paragraph" w:customStyle="1" w:styleId="HeaderCoverPage">
    <w:name w:val="Header Cover Page"/>
    <w:basedOn w:val="Normal"/>
    <w:link w:val="HeaderCoverPageChar"/>
    <w:rsid w:val="00FA1AC8"/>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FA1AC8"/>
    <w:rPr>
      <w:rFonts w:ascii="Times New Roman" w:hAnsi="Times New Roman" w:cs="Times New Roman"/>
      <w:sz w:val="24"/>
    </w:rPr>
  </w:style>
  <w:style w:type="paragraph" w:customStyle="1" w:styleId="HeaderSensitivity">
    <w:name w:val="Header Sensitivity"/>
    <w:basedOn w:val="Normal"/>
    <w:link w:val="HeaderSensitivityChar"/>
    <w:rsid w:val="00FA1AC8"/>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FA1AC8"/>
    <w:rPr>
      <w:rFonts w:ascii="Times New Roman" w:hAnsi="Times New Roman" w:cs="Times New Roman"/>
      <w:b/>
      <w:sz w:val="32"/>
    </w:rPr>
  </w:style>
  <w:style w:type="paragraph" w:customStyle="1" w:styleId="HeaderSensitivityRight">
    <w:name w:val="Header Sensitivity Right"/>
    <w:basedOn w:val="Normal"/>
    <w:link w:val="HeaderSensitivityRightChar"/>
    <w:rsid w:val="00FA1AC8"/>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FA1AC8"/>
    <w:rPr>
      <w:rFonts w:ascii="Times New Roman" w:hAnsi="Times New Roman" w:cs="Times New Roman"/>
      <w:sz w:val="28"/>
    </w:rPr>
  </w:style>
  <w:style w:type="paragraph" w:customStyle="1" w:styleId="Footno1">
    <w:name w:val="Footno1"/>
    <w:basedOn w:val="Normal"/>
    <w:next w:val="FootnoteText"/>
    <w:link w:val="FootnoteTextChar"/>
    <w:uiPriority w:val="99"/>
    <w:unhideWhenUsed/>
    <w:qFormat/>
    <w:rsid w:val="00FA1AC8"/>
    <w:pPr>
      <w:spacing w:after="0" w:line="240" w:lineRule="auto"/>
    </w:pPr>
    <w:rPr>
      <w:sz w:val="20"/>
    </w:rPr>
  </w:style>
  <w:style w:type="character" w:customStyle="1" w:styleId="FootnoteTextChar">
    <w:name w:val="Footnote Text Char"/>
    <w:basedOn w:val="DefaultParagraphFont"/>
    <w:link w:val="Footno1"/>
    <w:uiPriority w:val="99"/>
    <w:qFormat/>
    <w:rsid w:val="00FA1AC8"/>
    <w:rPr>
      <w:sz w:val="20"/>
    </w:rPr>
  </w:style>
  <w:style w:type="character" w:styleId="FootnoteReference">
    <w:name w:val="footnote reference"/>
    <w:basedOn w:val="DefaultParagraphFont"/>
    <w:link w:val="16Point"/>
    <w:uiPriority w:val="99"/>
    <w:unhideWhenUsed/>
    <w:qFormat/>
    <w:rsid w:val="00FA1AC8"/>
    <w:rPr>
      <w:vertAlign w:val="superscript"/>
    </w:rPr>
  </w:style>
  <w:style w:type="paragraph" w:customStyle="1" w:styleId="16Point">
    <w:name w:val="16 Point"/>
    <w:basedOn w:val="Normal"/>
    <w:link w:val="FootnoteReference"/>
    <w:uiPriority w:val="99"/>
    <w:qFormat/>
    <w:rsid w:val="00FA1AC8"/>
    <w:pPr>
      <w:spacing w:line="240" w:lineRule="exact"/>
    </w:pPr>
    <w:rPr>
      <w:vertAlign w:val="superscript"/>
    </w:rPr>
  </w:style>
  <w:style w:type="paragraph" w:styleId="FootnoteText">
    <w:name w:val="footnote text"/>
    <w:basedOn w:val="Normal"/>
    <w:uiPriority w:val="99"/>
    <w:semiHidden/>
    <w:unhideWhenUsed/>
    <w:rsid w:val="00FA1AC8"/>
    <w:pPr>
      <w:spacing w:after="0" w:line="240" w:lineRule="auto"/>
    </w:pPr>
    <w:rPr>
      <w:sz w:val="20"/>
    </w:rPr>
  </w:style>
  <w:style w:type="character" w:customStyle="1" w:styleId="FootnoteTextChar1">
    <w:name w:val="Footnote Text Char1"/>
    <w:basedOn w:val="DefaultParagraphFont"/>
    <w:uiPriority w:val="99"/>
    <w:semiHidden/>
    <w:rsid w:val="00FA1AC8"/>
    <w:rPr>
      <w:sz w:val="20"/>
    </w:rPr>
  </w:style>
  <w:style w:type="character" w:styleId="Hyperlink">
    <w:name w:val="Hyperlink"/>
    <w:basedOn w:val="DefaultParagraphFont"/>
    <w:uiPriority w:val="99"/>
    <w:unhideWhenUsed/>
    <w:rsid w:val="00CD2699"/>
    <w:rPr>
      <w:color w:val="0563C1" w:themeColor="hyperlink"/>
      <w:u w:val="single"/>
    </w:rPr>
  </w:style>
  <w:style w:type="character" w:styleId="CommentReference">
    <w:name w:val="annotation reference"/>
    <w:basedOn w:val="DefaultParagraphFont"/>
    <w:uiPriority w:val="99"/>
    <w:unhideWhenUsed/>
    <w:rsid w:val="004766B8"/>
    <w:rPr>
      <w:sz w:val="16"/>
    </w:rPr>
  </w:style>
  <w:style w:type="paragraph" w:styleId="CommentText">
    <w:name w:val="annotation text"/>
    <w:basedOn w:val="Normal"/>
    <w:link w:val="CommentTextChar"/>
    <w:uiPriority w:val="99"/>
    <w:unhideWhenUsed/>
    <w:rsid w:val="004766B8"/>
    <w:pPr>
      <w:spacing w:line="240" w:lineRule="auto"/>
    </w:pPr>
    <w:rPr>
      <w:sz w:val="20"/>
    </w:rPr>
  </w:style>
  <w:style w:type="character" w:customStyle="1" w:styleId="CommentTextChar">
    <w:name w:val="Comment Text Char"/>
    <w:basedOn w:val="DefaultParagraphFont"/>
    <w:link w:val="CommentText"/>
    <w:uiPriority w:val="99"/>
    <w:rsid w:val="004766B8"/>
    <w:rPr>
      <w:sz w:val="20"/>
    </w:rPr>
  </w:style>
  <w:style w:type="paragraph" w:styleId="CommentSubject">
    <w:name w:val="annotation subject"/>
    <w:basedOn w:val="CommentText"/>
    <w:next w:val="CommentText"/>
    <w:link w:val="CommentSubjectChar"/>
    <w:uiPriority w:val="99"/>
    <w:semiHidden/>
    <w:unhideWhenUsed/>
    <w:rsid w:val="004766B8"/>
    <w:rPr>
      <w:b/>
    </w:rPr>
  </w:style>
  <w:style w:type="character" w:customStyle="1" w:styleId="CommentSubjectChar">
    <w:name w:val="Comment Subject Char"/>
    <w:basedOn w:val="CommentTextChar"/>
    <w:link w:val="CommentSubject"/>
    <w:uiPriority w:val="99"/>
    <w:semiHidden/>
    <w:rsid w:val="004766B8"/>
    <w:rPr>
      <w:b/>
      <w:sz w:val="20"/>
    </w:rPr>
  </w:style>
  <w:style w:type="paragraph" w:styleId="BalloonText">
    <w:name w:val="Balloon Text"/>
    <w:basedOn w:val="Normal"/>
    <w:link w:val="BalloonTextChar"/>
    <w:uiPriority w:val="99"/>
    <w:semiHidden/>
    <w:unhideWhenUsed/>
    <w:rsid w:val="00403A93"/>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403A93"/>
    <w:rPr>
      <w:rFonts w:ascii="Segoe UI" w:hAnsi="Segoe UI" w:cs="Segoe UI"/>
      <w:sz w:val="18"/>
    </w:rPr>
  </w:style>
  <w:style w:type="paragraph" w:styleId="Revision">
    <w:name w:val="Revision"/>
    <w:hidden/>
    <w:uiPriority w:val="99"/>
    <w:semiHidden/>
    <w:rsid w:val="00D245B4"/>
    <w:pPr>
      <w:spacing w:after="0" w:line="240" w:lineRule="auto"/>
    </w:pPr>
  </w:style>
  <w:style w:type="character" w:styleId="FollowedHyperlink">
    <w:name w:val="FollowedHyperlink"/>
    <w:basedOn w:val="DefaultParagraphFont"/>
    <w:uiPriority w:val="99"/>
    <w:semiHidden/>
    <w:unhideWhenUsed/>
    <w:rsid w:val="009F4197"/>
    <w:rPr>
      <w:color w:val="954F72" w:themeColor="followedHyperlink"/>
      <w:u w:val="single"/>
    </w:rPr>
  </w:style>
  <w:style w:type="paragraph" w:styleId="TOC1">
    <w:name w:val="toc 1"/>
    <w:basedOn w:val="Normal"/>
    <w:next w:val="Normal"/>
    <w:autoRedefine/>
    <w:uiPriority w:val="39"/>
    <w:unhideWhenUsed/>
    <w:rsid w:val="00AA074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C68D0-DBD9-4FAB-928F-F1E2C8CCB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16</Pages>
  <Words>2993</Words>
  <Characters>19698</Characters>
  <Application>Microsoft Office Word</Application>
  <DocSecurity>0</DocSecurity>
  <Lines>345</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36</cp:revision>
  <cp:lastPrinted>2022-12-14T11:22:00Z</cp:lastPrinted>
  <dcterms:created xsi:type="dcterms:W3CDTF">2023-02-23T17:01:00Z</dcterms:created>
  <dcterms:modified xsi:type="dcterms:W3CDTF">2023-05-03T17:46:00Z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CP-003</vt:lpwstr>
  </property>
  <property fmtid="{D5CDD505-2E9C-101B-9397-08002B2CF9AE}" pid="7" name="Last edited using">
    <vt:lpwstr>LW 8.1, Build 20230124</vt:lpwstr>
  </property>
  <property fmtid="{D5CDD505-2E9C-101B-9397-08002B2CF9AE}" pid="8" name="Created using">
    <vt:lpwstr>LW 8.1, Build 20220902</vt:lpwstr>
  </property>
  <property fmtid="{D5CDD505-2E9C-101B-9397-08002B2CF9AE}" pid="9" name="MSIP_Label_6bd9ddd1-4d20-43f6-abfa-fc3c07406f94_Enabled">
    <vt:lpwstr>true</vt:lpwstr>
  </property>
  <property fmtid="{D5CDD505-2E9C-101B-9397-08002B2CF9AE}" pid="10" name="MSIP_Label_6bd9ddd1-4d20-43f6-abfa-fc3c07406f94_SetDate">
    <vt:lpwstr>2022-11-18T10:39:29Z</vt:lpwstr>
  </property>
  <property fmtid="{D5CDD505-2E9C-101B-9397-08002B2CF9AE}" pid="11" name="MSIP_Label_6bd9ddd1-4d20-43f6-abfa-fc3c07406f94_Method">
    <vt:lpwstr>Privileged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b8c64fae-53ae-4e5d-945a-ef7ca83bb199</vt:lpwstr>
  </property>
  <property fmtid="{D5CDD505-2E9C-101B-9397-08002B2CF9AE}" pid="15" name="MSIP_Label_6bd9ddd1-4d20-43f6-abfa-fc3c07406f94_ContentBits">
    <vt:lpwstr>0</vt:lpwstr>
  </property>
  <property name="OP_sanitized" fmtid="{D5CDD505-2E9C-101B-9397-08002B2CF9AE}" pid="16">
    <vt:lpwstr>True</vt:lpwstr>
  </property>
</Properties>
</file>