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EA062" w14:textId="3C8EFDCE" w:rsidR="0026613F" w:rsidRPr="00A700E7" w:rsidRDefault="007B6017" w:rsidP="007B6017">
      <w:pPr>
        <w:pStyle w:val="Pagedecouverture"/>
        <w:rPr>
          <w:noProof/>
        </w:rPr>
      </w:pPr>
      <w:bookmarkStart w:id="0" w:name="LW_BM_COVERPAGE"/>
      <w:r>
        <w:rPr>
          <w:noProof/>
        </w:rPr>
        <w:pict w14:anchorId="096D1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04C6418-8FEA-479A-997C-CFA4BF2983A6" style="width:455.25pt;height:411.75pt">
            <v:imagedata r:id="rId8" o:title=""/>
          </v:shape>
        </w:pict>
      </w:r>
    </w:p>
    <w:bookmarkEnd w:id="0"/>
    <w:p w14:paraId="1BAB7A03" w14:textId="77777777" w:rsidR="0026613F" w:rsidRPr="00A700E7" w:rsidRDefault="0026613F" w:rsidP="0026613F">
      <w:pPr>
        <w:rPr>
          <w:noProof/>
        </w:rPr>
        <w:sectPr w:rsidR="0026613F" w:rsidRPr="00A700E7" w:rsidSect="007B601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E5B0D" w:rsidRPr="00A700E7" w14:paraId="3FE82ECF" w14:textId="77777777" w:rsidTr="0070778A">
        <w:tc>
          <w:tcPr>
            <w:tcW w:w="10490" w:type="dxa"/>
            <w:tcBorders>
              <w:bottom w:val="single" w:sz="4" w:space="0" w:color="auto"/>
            </w:tcBorders>
            <w:shd w:val="clear" w:color="auto" w:fill="CCCCCC"/>
          </w:tcPr>
          <w:p w14:paraId="1C749797" w14:textId="77777777" w:rsidR="006E5B0D" w:rsidRPr="00A700E7" w:rsidRDefault="006E5B0D" w:rsidP="006E5B0D">
            <w:pPr>
              <w:spacing w:after="240" w:line="240" w:lineRule="auto"/>
              <w:jc w:val="both"/>
              <w:rPr>
                <w:rFonts w:ascii="Times New Roman" w:eastAsia="Times New Roman" w:hAnsi="Times New Roman" w:cs="Times New Roman"/>
                <w:b/>
                <w:noProof/>
                <w:sz w:val="24"/>
                <w:szCs w:val="20"/>
              </w:rPr>
            </w:pPr>
            <w:bookmarkStart w:id="1" w:name="_GoBack"/>
            <w:bookmarkEnd w:id="1"/>
            <w:r w:rsidRPr="00A700E7">
              <w:rPr>
                <w:rFonts w:ascii="Times New Roman" w:hAnsi="Times New Roman"/>
                <w:b/>
                <w:noProof/>
                <w:sz w:val="24"/>
              </w:rPr>
              <w:lastRenderedPageBreak/>
              <w:t>Streszczenie oceny skutków</w:t>
            </w:r>
          </w:p>
        </w:tc>
      </w:tr>
      <w:tr w:rsidR="006E5B0D" w:rsidRPr="00A700E7" w14:paraId="63919260" w14:textId="77777777" w:rsidTr="0070778A">
        <w:tc>
          <w:tcPr>
            <w:tcW w:w="10490" w:type="dxa"/>
            <w:tcBorders>
              <w:top w:val="single" w:sz="4" w:space="0" w:color="auto"/>
              <w:left w:val="single" w:sz="4" w:space="0" w:color="auto"/>
              <w:bottom w:val="single" w:sz="4" w:space="0" w:color="auto"/>
              <w:right w:val="single" w:sz="4" w:space="0" w:color="auto"/>
            </w:tcBorders>
            <w:shd w:val="clear" w:color="auto" w:fill="4F81BD"/>
          </w:tcPr>
          <w:p w14:paraId="49588275" w14:textId="3DF93DE7" w:rsidR="006E5B0D" w:rsidRPr="00A700E7" w:rsidRDefault="009536CC" w:rsidP="00F43734">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Ocena skutków dotycząca rozporządzenia wykonawczego Komisji ustanawiającego wykaz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oraz warunki ich publikacji</w:t>
            </w:r>
            <w:r w:rsidR="00A700E7" w:rsidRPr="00A700E7">
              <w:rPr>
                <w:rFonts w:ascii="Times New Roman" w:hAnsi="Times New Roman"/>
                <w:noProof/>
                <w:sz w:val="24"/>
              </w:rPr>
              <w:t xml:space="preserve"> i pon</w:t>
            </w:r>
            <w:r w:rsidRPr="00A700E7">
              <w:rPr>
                <w:rFonts w:ascii="Times New Roman" w:hAnsi="Times New Roman"/>
                <w:noProof/>
                <w:sz w:val="24"/>
              </w:rPr>
              <w:t xml:space="preserve">ownego wykorzystywania </w:t>
            </w:r>
          </w:p>
        </w:tc>
      </w:tr>
      <w:tr w:rsidR="006E5B0D" w:rsidRPr="00A700E7" w14:paraId="16A84283" w14:textId="77777777" w:rsidTr="0070778A">
        <w:tc>
          <w:tcPr>
            <w:tcW w:w="10490" w:type="dxa"/>
            <w:tcBorders>
              <w:bottom w:val="single" w:sz="4" w:space="0" w:color="auto"/>
            </w:tcBorders>
            <w:shd w:val="clear" w:color="auto" w:fill="CCCCCC"/>
          </w:tcPr>
          <w:p w14:paraId="62A95ED7" w14:textId="77777777" w:rsidR="006E5B0D" w:rsidRPr="00A700E7" w:rsidRDefault="006E5B0D" w:rsidP="006E5B0D">
            <w:pPr>
              <w:spacing w:after="240" w:line="240" w:lineRule="auto"/>
              <w:jc w:val="both"/>
              <w:rPr>
                <w:rFonts w:ascii="Times New Roman" w:eastAsia="Times New Roman" w:hAnsi="Times New Roman" w:cs="Times New Roman"/>
                <w:b/>
                <w:noProof/>
                <w:sz w:val="24"/>
                <w:szCs w:val="20"/>
              </w:rPr>
            </w:pPr>
            <w:r w:rsidRPr="00A700E7">
              <w:rPr>
                <w:rFonts w:ascii="Times New Roman" w:hAnsi="Times New Roman"/>
                <w:b/>
                <w:noProof/>
                <w:sz w:val="24"/>
              </w:rPr>
              <w:t>A. Zasadność działań</w:t>
            </w:r>
          </w:p>
        </w:tc>
      </w:tr>
      <w:tr w:rsidR="006E5B0D" w:rsidRPr="00A700E7" w14:paraId="058C7678" w14:textId="77777777" w:rsidTr="0070778A">
        <w:tc>
          <w:tcPr>
            <w:tcW w:w="10490" w:type="dxa"/>
            <w:tcBorders>
              <w:bottom w:val="single" w:sz="4" w:space="0" w:color="auto"/>
            </w:tcBorders>
            <w:shd w:val="clear" w:color="auto" w:fill="E0E0E0"/>
          </w:tcPr>
          <w:p w14:paraId="500C5E5A" w14:textId="31BC63C0"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Na czym polega problem</w:t>
            </w:r>
            <w:r w:rsidR="00A700E7" w:rsidRPr="00A700E7">
              <w:rPr>
                <w:rFonts w:ascii="Times New Roman" w:hAnsi="Times New Roman"/>
                <w:b/>
                <w:noProof/>
                <w:sz w:val="24"/>
              </w:rPr>
              <w:t xml:space="preserve"> i dla</w:t>
            </w:r>
            <w:r w:rsidRPr="00A700E7">
              <w:rPr>
                <w:rFonts w:ascii="Times New Roman" w:hAnsi="Times New Roman"/>
                <w:b/>
                <w:noProof/>
                <w:sz w:val="24"/>
              </w:rPr>
              <w:t xml:space="preserve">czego jest to problem na szczeblu UE? </w:t>
            </w:r>
          </w:p>
        </w:tc>
      </w:tr>
      <w:tr w:rsidR="006E5B0D" w:rsidRPr="00A700E7" w14:paraId="38FC51DA" w14:textId="77777777" w:rsidTr="0070778A">
        <w:tc>
          <w:tcPr>
            <w:tcW w:w="10490" w:type="dxa"/>
            <w:tcBorders>
              <w:bottom w:val="single" w:sz="4" w:space="0" w:color="auto"/>
            </w:tcBorders>
            <w:shd w:val="clear" w:color="auto" w:fill="auto"/>
          </w:tcPr>
          <w:p w14:paraId="55BE5970" w14:textId="35C6AF54" w:rsidR="003D20D8" w:rsidRPr="00A700E7" w:rsidRDefault="00CB1D05" w:rsidP="00CB1D05">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Sektor publiczny generuje ogromne ilości danych (np. dane meteorologiczne, cyfrowe mapy, dane statystyczne</w:t>
            </w:r>
            <w:r w:rsidR="00A700E7" w:rsidRPr="00A700E7">
              <w:rPr>
                <w:rFonts w:ascii="Times New Roman" w:hAnsi="Times New Roman"/>
                <w:noProof/>
                <w:sz w:val="24"/>
              </w:rPr>
              <w:t xml:space="preserve"> i inf</w:t>
            </w:r>
            <w:r w:rsidRPr="00A700E7">
              <w:rPr>
                <w:rFonts w:ascii="Times New Roman" w:hAnsi="Times New Roman"/>
                <w:noProof/>
                <w:sz w:val="24"/>
              </w:rPr>
              <w:t>ormacje prawne) stanowiące cenne zasoby na potrzeby gospodarki cyfrowej. Dane te wykorzystuje się do tworzenia opartych na danych usług</w:t>
            </w:r>
            <w:r w:rsidR="00A700E7" w:rsidRPr="00A700E7">
              <w:rPr>
                <w:rFonts w:ascii="Times New Roman" w:hAnsi="Times New Roman"/>
                <w:noProof/>
                <w:sz w:val="24"/>
              </w:rPr>
              <w:t xml:space="preserve"> i apl</w:t>
            </w:r>
            <w:r w:rsidRPr="00A700E7">
              <w:rPr>
                <w:rFonts w:ascii="Times New Roman" w:hAnsi="Times New Roman"/>
                <w:noProof/>
                <w:sz w:val="24"/>
              </w:rPr>
              <w:t>ikacji, skuteczniejszego świadczenia usług prywatnych</w:t>
            </w:r>
            <w:r w:rsidR="00A700E7" w:rsidRPr="00A700E7">
              <w:rPr>
                <w:rFonts w:ascii="Times New Roman" w:hAnsi="Times New Roman"/>
                <w:noProof/>
                <w:sz w:val="24"/>
              </w:rPr>
              <w:t xml:space="preserve"> i usł</w:t>
            </w:r>
            <w:r w:rsidRPr="00A700E7">
              <w:rPr>
                <w:rFonts w:ascii="Times New Roman" w:hAnsi="Times New Roman"/>
                <w:noProof/>
                <w:sz w:val="24"/>
              </w:rPr>
              <w:t xml:space="preserve">ugi użyteczności publicznej oraz umożliwienia podejmowania bardziej świadomych decyzji. </w:t>
            </w:r>
          </w:p>
          <w:p w14:paraId="78A98FEA" w14:textId="7933A008" w:rsidR="006454A9" w:rsidRPr="00A700E7" w:rsidRDefault="00D92397" w:rsidP="00CB1D05">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Problem polega głównie na tym, że dane te – informacje sektora publicznego – nie są ponownie wykorzystywane,</w:t>
            </w:r>
            <w:r w:rsidR="00A700E7" w:rsidRPr="00A700E7">
              <w:rPr>
                <w:rFonts w:ascii="Times New Roman" w:hAnsi="Times New Roman"/>
                <w:noProof/>
                <w:sz w:val="24"/>
              </w:rPr>
              <w:t xml:space="preserve"> a prz</w:t>
            </w:r>
            <w:r w:rsidRPr="00A700E7">
              <w:rPr>
                <w:rFonts w:ascii="Times New Roman" w:hAnsi="Times New Roman"/>
                <w:noProof/>
                <w:sz w:val="24"/>
              </w:rPr>
              <w:t>ynajmniej nie</w:t>
            </w:r>
            <w:r w:rsidR="00A700E7" w:rsidRPr="00A700E7">
              <w:rPr>
                <w:rFonts w:ascii="Times New Roman" w:hAnsi="Times New Roman"/>
                <w:noProof/>
                <w:sz w:val="24"/>
              </w:rPr>
              <w:t xml:space="preserve"> w sto</w:t>
            </w:r>
            <w:r w:rsidRPr="00A700E7">
              <w:rPr>
                <w:rFonts w:ascii="Times New Roman" w:hAnsi="Times New Roman"/>
                <w:noProof/>
                <w:sz w:val="24"/>
              </w:rPr>
              <w:t>pniu, który umożliwiłyby wykorzystanie ich pełnego potencjału społeczno-gospodarczego</w:t>
            </w:r>
            <w:r w:rsidR="00A700E7" w:rsidRPr="00A700E7">
              <w:rPr>
                <w:rFonts w:ascii="Times New Roman" w:hAnsi="Times New Roman"/>
                <w:noProof/>
                <w:sz w:val="24"/>
              </w:rPr>
              <w:t>. U pod</w:t>
            </w:r>
            <w:r w:rsidRPr="00A700E7">
              <w:rPr>
                <w:rFonts w:ascii="Times New Roman" w:hAnsi="Times New Roman"/>
                <w:noProof/>
                <w:sz w:val="24"/>
              </w:rPr>
              <w:t>staw tej sytuacji leżą dwojakie przeszkody. Po pierwsze, istnieją utrudnienia</w:t>
            </w:r>
            <w:r w:rsidR="00A700E7" w:rsidRPr="00A700E7">
              <w:rPr>
                <w:rFonts w:ascii="Times New Roman" w:hAnsi="Times New Roman"/>
                <w:noProof/>
                <w:sz w:val="24"/>
              </w:rPr>
              <w:t xml:space="preserve"> w dos</w:t>
            </w:r>
            <w:r w:rsidRPr="00A700E7">
              <w:rPr>
                <w:rFonts w:ascii="Times New Roman" w:hAnsi="Times New Roman"/>
                <w:noProof/>
                <w:sz w:val="24"/>
              </w:rPr>
              <w:t>tępie do rynku</w:t>
            </w:r>
            <w:r w:rsidR="00A700E7" w:rsidRPr="00A700E7">
              <w:rPr>
                <w:rFonts w:ascii="Times New Roman" w:hAnsi="Times New Roman"/>
                <w:noProof/>
                <w:sz w:val="24"/>
              </w:rPr>
              <w:t xml:space="preserve"> w zwi</w:t>
            </w:r>
            <w:r w:rsidRPr="00A700E7">
              <w:rPr>
                <w:rFonts w:ascii="Times New Roman" w:hAnsi="Times New Roman"/>
                <w:noProof/>
                <w:sz w:val="24"/>
              </w:rPr>
              <w:t>ązku ze stosowaniem opłat za ponowne wykorzystywanie. Po drugie, dane charakteryzują się niską interoperacyjnością (rozbieżne warunki udzielania licencji</w:t>
            </w:r>
            <w:r w:rsidR="00A700E7" w:rsidRPr="00A700E7">
              <w:rPr>
                <w:rFonts w:ascii="Times New Roman" w:hAnsi="Times New Roman"/>
                <w:noProof/>
                <w:sz w:val="24"/>
              </w:rPr>
              <w:t xml:space="preserve"> i sła</w:t>
            </w:r>
            <w:r w:rsidRPr="00A700E7">
              <w:rPr>
                <w:rFonts w:ascii="Times New Roman" w:hAnsi="Times New Roman"/>
                <w:noProof/>
                <w:sz w:val="24"/>
              </w:rPr>
              <w:t>ba techniczna/semantyczna standaryzacja danych),</w:t>
            </w:r>
            <w:r w:rsidR="00A700E7" w:rsidRPr="00A700E7">
              <w:rPr>
                <w:rFonts w:ascii="Times New Roman" w:hAnsi="Times New Roman"/>
                <w:noProof/>
                <w:sz w:val="24"/>
              </w:rPr>
              <w:t xml:space="preserve"> a moż</w:t>
            </w:r>
            <w:r w:rsidRPr="00A700E7">
              <w:rPr>
                <w:rFonts w:ascii="Times New Roman" w:hAnsi="Times New Roman"/>
                <w:noProof/>
                <w:sz w:val="24"/>
              </w:rPr>
              <w:t>liwość ich odczytu maszynowego jest ograniczona (uwzględniając dostęp za pośrednictwem interfejsów programowania aplikacji – API).</w:t>
            </w:r>
          </w:p>
          <w:p w14:paraId="1C02F84D" w14:textId="21030D9A" w:rsidR="00B023CA" w:rsidRPr="00A700E7" w:rsidRDefault="006454A9" w:rsidP="00187F69">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Problem ten występuje powszechnie</w:t>
            </w:r>
            <w:r w:rsidR="00A700E7" w:rsidRPr="00A700E7">
              <w:rPr>
                <w:rFonts w:ascii="Times New Roman" w:hAnsi="Times New Roman"/>
                <w:noProof/>
                <w:sz w:val="24"/>
              </w:rPr>
              <w:t xml:space="preserve"> w prz</w:t>
            </w:r>
            <w:r w:rsidRPr="00A700E7">
              <w:rPr>
                <w:rFonts w:ascii="Times New Roman" w:hAnsi="Times New Roman"/>
                <w:noProof/>
                <w:sz w:val="24"/>
              </w:rPr>
              <w:t>ypadku wszystkich danych sektora publicznego, ale jest najbardziej nasilony</w:t>
            </w:r>
            <w:r w:rsidR="00A700E7" w:rsidRPr="00A700E7">
              <w:rPr>
                <w:rFonts w:ascii="Times New Roman" w:hAnsi="Times New Roman"/>
                <w:noProof/>
                <w:sz w:val="24"/>
              </w:rPr>
              <w:t xml:space="preserve"> w prz</w:t>
            </w:r>
            <w:r w:rsidRPr="00A700E7">
              <w:rPr>
                <w:rFonts w:ascii="Times New Roman" w:hAnsi="Times New Roman"/>
                <w:noProof/>
                <w:sz w:val="24"/>
              </w:rPr>
              <w:t>ypadku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w:t>
            </w:r>
            <w:r w:rsidR="00A700E7" w:rsidRPr="00A700E7">
              <w:rPr>
                <w:rFonts w:ascii="Times New Roman" w:hAnsi="Times New Roman"/>
                <w:noProof/>
                <w:sz w:val="24"/>
              </w:rPr>
              <w:t xml:space="preserve"> w sze</w:t>
            </w:r>
            <w:r w:rsidRPr="00A700E7">
              <w:rPr>
                <w:rFonts w:ascii="Times New Roman" w:hAnsi="Times New Roman"/>
                <w:noProof/>
                <w:sz w:val="24"/>
              </w:rPr>
              <w:t>ściu obszarach: dane dotyczące przedsiębiorstw</w:t>
            </w:r>
            <w:r w:rsidR="00A700E7" w:rsidRPr="00A700E7">
              <w:rPr>
                <w:rFonts w:ascii="Times New Roman" w:hAnsi="Times New Roman"/>
                <w:noProof/>
                <w:sz w:val="24"/>
              </w:rPr>
              <w:t xml:space="preserve"> i ich</w:t>
            </w:r>
            <w:r w:rsidRPr="00A700E7">
              <w:rPr>
                <w:rFonts w:ascii="Times New Roman" w:hAnsi="Times New Roman"/>
                <w:noProof/>
                <w:sz w:val="24"/>
              </w:rPr>
              <w:t xml:space="preserve"> własności, dane geoprzestrzenne, dane dotyczące obserwacji Ziemi</w:t>
            </w:r>
            <w:r w:rsidR="00A700E7" w:rsidRPr="00A700E7">
              <w:rPr>
                <w:rFonts w:ascii="Times New Roman" w:hAnsi="Times New Roman"/>
                <w:noProof/>
                <w:sz w:val="24"/>
              </w:rPr>
              <w:t xml:space="preserve"> i śro</w:t>
            </w:r>
            <w:r w:rsidRPr="00A700E7">
              <w:rPr>
                <w:rFonts w:ascii="Times New Roman" w:hAnsi="Times New Roman"/>
                <w:noProof/>
                <w:sz w:val="24"/>
              </w:rPr>
              <w:t>dowiska, dane meteorologiczne, dane dotyczące mobilności</w:t>
            </w:r>
            <w:r w:rsidR="00A700E7" w:rsidRPr="00A700E7">
              <w:rPr>
                <w:rFonts w:ascii="Times New Roman" w:hAnsi="Times New Roman"/>
                <w:noProof/>
                <w:sz w:val="24"/>
              </w:rPr>
              <w:t xml:space="preserve"> i dan</w:t>
            </w:r>
            <w:r w:rsidRPr="00A700E7">
              <w:rPr>
                <w:rFonts w:ascii="Times New Roman" w:hAnsi="Times New Roman"/>
                <w:noProof/>
                <w:sz w:val="24"/>
              </w:rPr>
              <w:t>e statystyczne. Istnieje duże zapotrzebowanie na te zbiory danych, ale poziom ich ponownego wykorzystywania jest nieoptymalny ze względu na utrzymujące się przeszkody. Problem ten dotyczy wszystkich podmiotów ponownie wykorzystujących dane: podmiotów wykorzystujących dane do celów niekomercyjnych (organizacji pozarządowych (NGO), naukowców</w:t>
            </w:r>
            <w:r w:rsidR="00A700E7" w:rsidRPr="00A700E7">
              <w:rPr>
                <w:rFonts w:ascii="Times New Roman" w:hAnsi="Times New Roman"/>
                <w:noProof/>
                <w:sz w:val="24"/>
              </w:rPr>
              <w:t xml:space="preserve"> i ogó</w:t>
            </w:r>
            <w:r w:rsidRPr="00A700E7">
              <w:rPr>
                <w:rFonts w:ascii="Times New Roman" w:hAnsi="Times New Roman"/>
                <w:noProof/>
                <w:sz w:val="24"/>
              </w:rPr>
              <w:t>łu społeczeństwa) oraz do celów komercyjnych – głównie przedsiębiorstw typu start-up</w:t>
            </w:r>
            <w:r w:rsidR="00A700E7" w:rsidRPr="00A700E7">
              <w:rPr>
                <w:rFonts w:ascii="Times New Roman" w:hAnsi="Times New Roman"/>
                <w:noProof/>
                <w:sz w:val="24"/>
              </w:rPr>
              <w:t xml:space="preserve"> i mał</w:t>
            </w:r>
            <w:r w:rsidRPr="00A700E7">
              <w:rPr>
                <w:rFonts w:ascii="Times New Roman" w:hAnsi="Times New Roman"/>
                <w:noProof/>
                <w:sz w:val="24"/>
              </w:rPr>
              <w:t>ych przedsiębiorstw nieposiadających zasobów na dokonanie inwestycji początkowych</w:t>
            </w:r>
            <w:r w:rsidR="00A700E7" w:rsidRPr="00A700E7">
              <w:rPr>
                <w:rFonts w:ascii="Times New Roman" w:hAnsi="Times New Roman"/>
                <w:noProof/>
                <w:sz w:val="24"/>
              </w:rPr>
              <w:t xml:space="preserve"> w poz</w:t>
            </w:r>
            <w:r w:rsidRPr="00A700E7">
              <w:rPr>
                <w:rFonts w:ascii="Times New Roman" w:hAnsi="Times New Roman"/>
                <w:noProof/>
                <w:sz w:val="24"/>
              </w:rPr>
              <w:t xml:space="preserve">yskanie danych. </w:t>
            </w:r>
          </w:p>
        </w:tc>
      </w:tr>
      <w:tr w:rsidR="006E5B0D" w:rsidRPr="00A700E7" w14:paraId="31A2B06B" w14:textId="77777777" w:rsidTr="0070778A">
        <w:tc>
          <w:tcPr>
            <w:tcW w:w="10490" w:type="dxa"/>
            <w:tcBorders>
              <w:bottom w:val="single" w:sz="4" w:space="0" w:color="auto"/>
            </w:tcBorders>
            <w:shd w:val="clear" w:color="auto" w:fill="E6E6E6"/>
          </w:tcPr>
          <w:p w14:paraId="42DCF4A8" w14:textId="77777777"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Co należy osiągnąć?</w:t>
            </w:r>
          </w:p>
        </w:tc>
      </w:tr>
      <w:tr w:rsidR="006E5B0D" w:rsidRPr="00A700E7" w14:paraId="1E6EF4E0" w14:textId="77777777" w:rsidTr="0070778A">
        <w:tc>
          <w:tcPr>
            <w:tcW w:w="10490" w:type="dxa"/>
            <w:tcBorders>
              <w:bottom w:val="single" w:sz="4" w:space="0" w:color="auto"/>
            </w:tcBorders>
            <w:shd w:val="clear" w:color="auto" w:fill="auto"/>
          </w:tcPr>
          <w:p w14:paraId="4956B51D" w14:textId="5EDC1D45" w:rsidR="006E5B0D" w:rsidRPr="00A700E7" w:rsidRDefault="006454A9" w:rsidP="00187F69">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Głównym celem polityki jest zwiększenie ponownego wykorzystywanie informacji sektora publicznego</w:t>
            </w:r>
            <w:r w:rsidR="00A700E7" w:rsidRPr="00A700E7">
              <w:rPr>
                <w:rFonts w:ascii="Times New Roman" w:hAnsi="Times New Roman"/>
                <w:noProof/>
                <w:sz w:val="24"/>
              </w:rPr>
              <w:t xml:space="preserve"> z kor</w:t>
            </w:r>
            <w:r w:rsidRPr="00A700E7">
              <w:rPr>
                <w:rFonts w:ascii="Times New Roman" w:hAnsi="Times New Roman"/>
                <w:noProof/>
                <w:sz w:val="24"/>
              </w:rPr>
              <w:t>zyścią dla gospodarki (ponowne wykorzystywanie do celów komercyjnych)</w:t>
            </w:r>
            <w:r w:rsidR="00A700E7" w:rsidRPr="00A700E7">
              <w:rPr>
                <w:rFonts w:ascii="Times New Roman" w:hAnsi="Times New Roman"/>
                <w:noProof/>
                <w:sz w:val="24"/>
              </w:rPr>
              <w:t xml:space="preserve"> i spo</w:t>
            </w:r>
            <w:r w:rsidRPr="00A700E7">
              <w:rPr>
                <w:rFonts w:ascii="Times New Roman" w:hAnsi="Times New Roman"/>
                <w:noProof/>
                <w:sz w:val="24"/>
              </w:rPr>
              <w:t>łeczeństwa (ponowne wykorzystywanie do celów niekomercyjnych, np. do celów ochrony środowiska lub przejrzystości).</w:t>
            </w:r>
          </w:p>
        </w:tc>
      </w:tr>
      <w:tr w:rsidR="006E5B0D" w:rsidRPr="00A700E7" w14:paraId="36BFC910" w14:textId="77777777" w:rsidTr="0070778A">
        <w:tc>
          <w:tcPr>
            <w:tcW w:w="10490" w:type="dxa"/>
            <w:tcBorders>
              <w:bottom w:val="single" w:sz="4" w:space="0" w:color="auto"/>
            </w:tcBorders>
            <w:shd w:val="clear" w:color="auto" w:fill="E6E6E6"/>
          </w:tcPr>
          <w:p w14:paraId="21B4F8F6" w14:textId="4468903B" w:rsidR="006E5B0D" w:rsidRPr="00A700E7" w:rsidRDefault="006E5B0D" w:rsidP="00F43734">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Jaka jest wartość dodana działania UE (pomocniczość)?</w:t>
            </w:r>
            <w:r w:rsidRPr="00A700E7">
              <w:rPr>
                <w:rFonts w:ascii="Times New Roman" w:hAnsi="Times New Roman"/>
                <w:noProof/>
                <w:sz w:val="24"/>
              </w:rPr>
              <w:t xml:space="preserve"> </w:t>
            </w:r>
          </w:p>
        </w:tc>
      </w:tr>
      <w:tr w:rsidR="006E5B0D" w:rsidRPr="00A700E7" w14:paraId="780AFF15" w14:textId="77777777" w:rsidTr="0070778A">
        <w:tc>
          <w:tcPr>
            <w:tcW w:w="10490" w:type="dxa"/>
            <w:tcBorders>
              <w:bottom w:val="single" w:sz="4" w:space="0" w:color="auto"/>
            </w:tcBorders>
            <w:shd w:val="clear" w:color="auto" w:fill="auto"/>
          </w:tcPr>
          <w:p w14:paraId="76914087" w14:textId="46B9D2EB" w:rsidR="006E5B0D" w:rsidRPr="00A700E7" w:rsidRDefault="007732C1" w:rsidP="00B023CA">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Jedynie kilka państw członkowskich wprowadziło środki krajowe</w:t>
            </w:r>
            <w:r w:rsidR="00A700E7" w:rsidRPr="00A700E7">
              <w:rPr>
                <w:rFonts w:ascii="Times New Roman" w:hAnsi="Times New Roman"/>
                <w:noProof/>
                <w:sz w:val="24"/>
              </w:rPr>
              <w:t xml:space="preserve"> w cel</w:t>
            </w:r>
            <w:r w:rsidRPr="00A700E7">
              <w:rPr>
                <w:rFonts w:ascii="Times New Roman" w:hAnsi="Times New Roman"/>
                <w:noProof/>
                <w:sz w:val="24"/>
              </w:rPr>
              <w:t>u utworzenia</w:t>
            </w:r>
            <w:r w:rsidR="00A700E7" w:rsidRPr="00A700E7">
              <w:rPr>
                <w:rFonts w:ascii="Times New Roman" w:hAnsi="Times New Roman"/>
                <w:noProof/>
                <w:sz w:val="24"/>
              </w:rPr>
              <w:t xml:space="preserve"> i udo</w:t>
            </w:r>
            <w:r w:rsidRPr="00A700E7">
              <w:rPr>
                <w:rFonts w:ascii="Times New Roman" w:hAnsi="Times New Roman"/>
                <w:noProof/>
                <w:sz w:val="24"/>
              </w:rPr>
              <w:t>stępniania najważniejszych kategorii danych (np. danych referencyjnych</w:t>
            </w:r>
            <w:r w:rsidR="00A700E7" w:rsidRPr="00A700E7">
              <w:rPr>
                <w:rFonts w:ascii="Times New Roman" w:hAnsi="Times New Roman"/>
                <w:noProof/>
                <w:sz w:val="24"/>
              </w:rPr>
              <w:t xml:space="preserve"> w Dan</w:t>
            </w:r>
            <w:r w:rsidRPr="00A700E7">
              <w:rPr>
                <w:rFonts w:ascii="Times New Roman" w:hAnsi="Times New Roman"/>
                <w:noProof/>
                <w:sz w:val="24"/>
              </w:rPr>
              <w:t>ii</w:t>
            </w:r>
            <w:r w:rsidR="00A700E7" w:rsidRPr="00A700E7">
              <w:rPr>
                <w:rFonts w:ascii="Times New Roman" w:hAnsi="Times New Roman"/>
                <w:noProof/>
                <w:sz w:val="24"/>
              </w:rPr>
              <w:t xml:space="preserve"> i Rep</w:t>
            </w:r>
            <w:r w:rsidRPr="00A700E7">
              <w:rPr>
                <w:rFonts w:ascii="Times New Roman" w:hAnsi="Times New Roman"/>
                <w:noProof/>
                <w:sz w:val="24"/>
              </w:rPr>
              <w:t>ublice Czeskiej, danych</w:t>
            </w:r>
            <w:r w:rsidR="00A700E7" w:rsidRPr="00A700E7">
              <w:rPr>
                <w:rFonts w:ascii="Times New Roman" w:hAnsi="Times New Roman"/>
                <w:noProof/>
                <w:sz w:val="24"/>
              </w:rPr>
              <w:t xml:space="preserve"> w int</w:t>
            </w:r>
            <w:r w:rsidRPr="00A700E7">
              <w:rPr>
                <w:rFonts w:ascii="Times New Roman" w:hAnsi="Times New Roman"/>
                <w:noProof/>
                <w:sz w:val="24"/>
              </w:rPr>
              <w:t>eresie publicznym we Francji). Celem takich środków nie jest jednak umożliwienie wykorzystywania danych</w:t>
            </w:r>
            <w:r w:rsidR="00A700E7" w:rsidRPr="00A700E7">
              <w:rPr>
                <w:rFonts w:ascii="Times New Roman" w:hAnsi="Times New Roman"/>
                <w:noProof/>
                <w:sz w:val="24"/>
              </w:rPr>
              <w:t xml:space="preserve"> w cał</w:t>
            </w:r>
            <w:r w:rsidRPr="00A700E7">
              <w:rPr>
                <w:rFonts w:ascii="Times New Roman" w:hAnsi="Times New Roman"/>
                <w:noProof/>
                <w:sz w:val="24"/>
              </w:rPr>
              <w:t>ej UE. Ze wskaźnika stopnia zaawansowania wdrożenia polityki otwartych danych dostępnego na Portalu Otwartych Danych UE wynika ponadto, że poziom ponownego wykorzystywania informacji sektora publicznego w UE nadal jest zróżnicowany,</w:t>
            </w:r>
            <w:r w:rsidR="00A700E7" w:rsidRPr="00A700E7">
              <w:rPr>
                <w:rFonts w:ascii="Times New Roman" w:hAnsi="Times New Roman"/>
                <w:noProof/>
                <w:sz w:val="24"/>
              </w:rPr>
              <w:t xml:space="preserve"> a naj</w:t>
            </w:r>
            <w:r w:rsidRPr="00A700E7">
              <w:rPr>
                <w:rFonts w:ascii="Times New Roman" w:hAnsi="Times New Roman"/>
                <w:noProof/>
                <w:sz w:val="24"/>
              </w:rPr>
              <w:t>skuteczniejszym sposobem ograniczenia tego zróżnicowania jest podjęcia działania UE.</w:t>
            </w:r>
          </w:p>
          <w:p w14:paraId="3D657374" w14:textId="353D387C" w:rsidR="00B023CA" w:rsidRPr="00A700E7" w:rsidRDefault="00B023CA" w:rsidP="00187F69">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Przyjęcie rozporządzenia wykonawczego stanowi prawny obowiązek przewidziany</w:t>
            </w:r>
            <w:r w:rsidR="00A700E7" w:rsidRPr="00A700E7">
              <w:rPr>
                <w:rFonts w:ascii="Times New Roman" w:hAnsi="Times New Roman"/>
                <w:noProof/>
                <w:sz w:val="24"/>
              </w:rPr>
              <w:t xml:space="preserve"> w dyr</w:t>
            </w:r>
            <w:r w:rsidRPr="00A700E7">
              <w:rPr>
                <w:rFonts w:ascii="Times New Roman" w:hAnsi="Times New Roman"/>
                <w:noProof/>
                <w:sz w:val="24"/>
              </w:rPr>
              <w:t>ektywie</w:t>
            </w:r>
            <w:r w:rsidR="00A700E7" w:rsidRPr="00A700E7">
              <w:rPr>
                <w:rFonts w:ascii="Times New Roman" w:hAnsi="Times New Roman"/>
                <w:noProof/>
                <w:sz w:val="24"/>
              </w:rPr>
              <w:t xml:space="preserve"> w spr</w:t>
            </w:r>
            <w:r w:rsidRPr="00A700E7">
              <w:rPr>
                <w:rFonts w:ascii="Times New Roman" w:hAnsi="Times New Roman"/>
                <w:noProof/>
                <w:sz w:val="24"/>
              </w:rPr>
              <w:t>awie otwartych danych</w:t>
            </w:r>
            <w:r w:rsidR="00A700E7" w:rsidRPr="00A700E7">
              <w:rPr>
                <w:rFonts w:ascii="Times New Roman" w:hAnsi="Times New Roman"/>
                <w:noProof/>
                <w:sz w:val="24"/>
              </w:rPr>
              <w:t>. W wyn</w:t>
            </w:r>
            <w:r w:rsidRPr="00A700E7">
              <w:rPr>
                <w:rFonts w:ascii="Times New Roman" w:hAnsi="Times New Roman"/>
                <w:noProof/>
                <w:sz w:val="24"/>
              </w:rPr>
              <w:t>iku przeprowadzonej</w:t>
            </w:r>
            <w:r w:rsidR="00A700E7" w:rsidRPr="00A700E7">
              <w:rPr>
                <w:rFonts w:ascii="Times New Roman" w:hAnsi="Times New Roman"/>
                <w:noProof/>
                <w:sz w:val="24"/>
              </w:rPr>
              <w:t xml:space="preserve"> w 2</w:t>
            </w:r>
            <w:r w:rsidRPr="00A700E7">
              <w:rPr>
                <w:rFonts w:ascii="Times New Roman" w:hAnsi="Times New Roman"/>
                <w:noProof/>
                <w:sz w:val="24"/>
              </w:rPr>
              <w:t>018</w:t>
            </w:r>
            <w:r w:rsidR="00A700E7" w:rsidRPr="00A700E7">
              <w:rPr>
                <w:rFonts w:ascii="Times New Roman" w:hAnsi="Times New Roman"/>
                <w:noProof/>
                <w:sz w:val="24"/>
              </w:rPr>
              <w:t> </w:t>
            </w:r>
            <w:r w:rsidRPr="00A700E7">
              <w:rPr>
                <w:rFonts w:ascii="Times New Roman" w:hAnsi="Times New Roman"/>
                <w:noProof/>
                <w:sz w:val="24"/>
              </w:rPr>
              <w:t>r. oceny dyrektywy potwierdzono jej wartość dodaną</w:t>
            </w:r>
            <w:r w:rsidR="00A700E7" w:rsidRPr="00A700E7">
              <w:rPr>
                <w:rFonts w:ascii="Times New Roman" w:hAnsi="Times New Roman"/>
                <w:noProof/>
                <w:sz w:val="24"/>
              </w:rPr>
              <w:t xml:space="preserve"> w pos</w:t>
            </w:r>
            <w:r w:rsidRPr="00A700E7">
              <w:rPr>
                <w:rFonts w:ascii="Times New Roman" w:hAnsi="Times New Roman"/>
                <w:noProof/>
                <w:sz w:val="24"/>
              </w:rPr>
              <w:t>taci poprawy wykorzystania danych publicznych w UE. Ustanowienie wykazu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oraz warunków ich publikacji</w:t>
            </w:r>
            <w:r w:rsidR="00A700E7" w:rsidRPr="00A700E7">
              <w:rPr>
                <w:rFonts w:ascii="Times New Roman" w:hAnsi="Times New Roman"/>
                <w:noProof/>
                <w:sz w:val="24"/>
              </w:rPr>
              <w:t xml:space="preserve"> i pon</w:t>
            </w:r>
            <w:r w:rsidRPr="00A700E7">
              <w:rPr>
                <w:rFonts w:ascii="Times New Roman" w:hAnsi="Times New Roman"/>
                <w:noProof/>
                <w:sz w:val="24"/>
              </w:rPr>
              <w:t>ownego wykorzystywania stanowi kolejny etap długoterminowej unijnej polityki otwartych danych, której celem jest zharmonizowanie</w:t>
            </w:r>
            <w:r w:rsidR="00A700E7" w:rsidRPr="00A700E7">
              <w:rPr>
                <w:rFonts w:ascii="Times New Roman" w:hAnsi="Times New Roman"/>
                <w:noProof/>
                <w:sz w:val="24"/>
              </w:rPr>
              <w:t xml:space="preserve"> i sto</w:t>
            </w:r>
            <w:r w:rsidRPr="00A700E7">
              <w:rPr>
                <w:rFonts w:ascii="Times New Roman" w:hAnsi="Times New Roman"/>
                <w:noProof/>
                <w:sz w:val="24"/>
              </w:rPr>
              <w:t xml:space="preserve">pniowe udostępnienie danych sektora publicznego. Cel ten popierają państwa członkowskie. </w:t>
            </w:r>
          </w:p>
        </w:tc>
      </w:tr>
      <w:tr w:rsidR="006E5B0D" w:rsidRPr="00A700E7" w14:paraId="71A4B0C8" w14:textId="77777777" w:rsidTr="0070778A">
        <w:tc>
          <w:tcPr>
            <w:tcW w:w="10490" w:type="dxa"/>
            <w:tcBorders>
              <w:bottom w:val="single" w:sz="4" w:space="0" w:color="auto"/>
            </w:tcBorders>
            <w:shd w:val="clear" w:color="auto" w:fill="CCCCCC"/>
          </w:tcPr>
          <w:p w14:paraId="58E8AF94" w14:textId="77777777" w:rsidR="006E5B0D" w:rsidRPr="00A700E7" w:rsidRDefault="006E5B0D" w:rsidP="006E5B0D">
            <w:pPr>
              <w:spacing w:after="240" w:line="240" w:lineRule="auto"/>
              <w:jc w:val="both"/>
              <w:rPr>
                <w:rFonts w:ascii="Times New Roman" w:eastAsia="Times New Roman" w:hAnsi="Times New Roman" w:cs="Times New Roman"/>
                <w:b/>
                <w:noProof/>
                <w:sz w:val="24"/>
                <w:szCs w:val="20"/>
              </w:rPr>
            </w:pPr>
            <w:r w:rsidRPr="00A700E7">
              <w:rPr>
                <w:rFonts w:ascii="Times New Roman" w:hAnsi="Times New Roman"/>
                <w:b/>
                <w:noProof/>
                <w:sz w:val="24"/>
              </w:rPr>
              <w:t>B. Rozwiązania</w:t>
            </w:r>
          </w:p>
        </w:tc>
      </w:tr>
      <w:tr w:rsidR="006E5B0D" w:rsidRPr="00A700E7" w14:paraId="7845CF5B" w14:textId="77777777" w:rsidTr="0070778A">
        <w:tc>
          <w:tcPr>
            <w:tcW w:w="10490" w:type="dxa"/>
            <w:tcBorders>
              <w:bottom w:val="single" w:sz="4" w:space="0" w:color="auto"/>
            </w:tcBorders>
            <w:shd w:val="clear" w:color="auto" w:fill="E6E6E6"/>
          </w:tcPr>
          <w:p w14:paraId="561ED7B3" w14:textId="77777777"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Jakie są różne warianty działań służących osiągnięciu celów?</w:t>
            </w:r>
            <w:r w:rsidRPr="00A700E7">
              <w:rPr>
                <w:rFonts w:ascii="Times New Roman" w:hAnsi="Times New Roman"/>
                <w:noProof/>
                <w:sz w:val="24"/>
              </w:rPr>
              <w:t xml:space="preserve"> </w:t>
            </w:r>
            <w:r w:rsidRPr="00A700E7">
              <w:rPr>
                <w:rFonts w:ascii="Times New Roman" w:hAnsi="Times New Roman"/>
                <w:b/>
                <w:noProof/>
                <w:sz w:val="24"/>
              </w:rPr>
              <w:t>Czy wskazano preferowany wariant? Jeżeli nie, dlaczego?</w:t>
            </w:r>
          </w:p>
        </w:tc>
      </w:tr>
      <w:tr w:rsidR="006E5B0D" w:rsidRPr="00A700E7" w14:paraId="217EA6F5" w14:textId="77777777" w:rsidTr="0070778A">
        <w:tc>
          <w:tcPr>
            <w:tcW w:w="10490" w:type="dxa"/>
            <w:tcBorders>
              <w:bottom w:val="single" w:sz="4" w:space="0" w:color="auto"/>
            </w:tcBorders>
            <w:shd w:val="clear" w:color="auto" w:fill="auto"/>
          </w:tcPr>
          <w:p w14:paraId="2930D464" w14:textId="4842AEF8" w:rsidR="00A91738" w:rsidRPr="00A700E7" w:rsidRDefault="00C312F0" w:rsidP="00A91738">
            <w:pPr>
              <w:spacing w:after="240" w:line="240" w:lineRule="auto"/>
              <w:jc w:val="both"/>
              <w:rPr>
                <w:noProof/>
              </w:rPr>
            </w:pPr>
            <w:r w:rsidRPr="00A700E7">
              <w:rPr>
                <w:rFonts w:ascii="Times New Roman" w:hAnsi="Times New Roman"/>
                <w:noProof/>
                <w:sz w:val="24"/>
              </w:rPr>
              <w:t>Zakres stosowania tego rozwiązania</w:t>
            </w:r>
            <w:r w:rsidR="00A700E7" w:rsidRPr="00A700E7">
              <w:rPr>
                <w:rFonts w:ascii="Times New Roman" w:hAnsi="Times New Roman"/>
                <w:noProof/>
                <w:sz w:val="24"/>
              </w:rPr>
              <w:t xml:space="preserve"> w duż</w:t>
            </w:r>
            <w:r w:rsidRPr="00A700E7">
              <w:rPr>
                <w:rFonts w:ascii="Times New Roman" w:hAnsi="Times New Roman"/>
                <w:noProof/>
                <w:sz w:val="24"/>
              </w:rPr>
              <w:t>ym stopniu określono</w:t>
            </w:r>
            <w:r w:rsidR="00A700E7" w:rsidRPr="00A700E7">
              <w:rPr>
                <w:rFonts w:ascii="Times New Roman" w:hAnsi="Times New Roman"/>
                <w:noProof/>
                <w:sz w:val="24"/>
              </w:rPr>
              <w:t xml:space="preserve"> w art</w:t>
            </w:r>
            <w:r w:rsidRPr="00A700E7">
              <w:rPr>
                <w:rFonts w:ascii="Times New Roman" w:hAnsi="Times New Roman"/>
                <w:noProof/>
                <w:sz w:val="24"/>
              </w:rPr>
              <w:t>.</w:t>
            </w:r>
            <w:r w:rsidR="00A700E7" w:rsidRPr="00A700E7">
              <w:rPr>
                <w:rFonts w:ascii="Times New Roman" w:hAnsi="Times New Roman"/>
                <w:noProof/>
                <w:sz w:val="24"/>
              </w:rPr>
              <w:t> </w:t>
            </w:r>
            <w:r w:rsidRPr="00A700E7">
              <w:rPr>
                <w:rFonts w:ascii="Times New Roman" w:hAnsi="Times New Roman"/>
                <w:noProof/>
                <w:sz w:val="24"/>
              </w:rPr>
              <w:t>14 dyrektywy</w:t>
            </w:r>
            <w:r w:rsidR="00A700E7" w:rsidRPr="00A700E7">
              <w:rPr>
                <w:rFonts w:ascii="Times New Roman" w:hAnsi="Times New Roman"/>
                <w:noProof/>
                <w:sz w:val="24"/>
              </w:rPr>
              <w:t xml:space="preserve"> w spr</w:t>
            </w:r>
            <w:r w:rsidRPr="00A700E7">
              <w:rPr>
                <w:rFonts w:ascii="Times New Roman" w:hAnsi="Times New Roman"/>
                <w:noProof/>
                <w:sz w:val="24"/>
              </w:rPr>
              <w:t>awie otwartych danych: dane należy wybierać</w:t>
            </w:r>
            <w:r w:rsidR="00A700E7" w:rsidRPr="00A700E7">
              <w:rPr>
                <w:rFonts w:ascii="Times New Roman" w:hAnsi="Times New Roman"/>
                <w:noProof/>
                <w:sz w:val="24"/>
              </w:rPr>
              <w:t xml:space="preserve"> z sze</w:t>
            </w:r>
            <w:r w:rsidRPr="00A700E7">
              <w:rPr>
                <w:rFonts w:ascii="Times New Roman" w:hAnsi="Times New Roman"/>
                <w:noProof/>
                <w:sz w:val="24"/>
              </w:rPr>
              <w:t>ściu kategorii tematycznych</w:t>
            </w:r>
            <w:r w:rsidR="00A700E7" w:rsidRPr="00A700E7">
              <w:rPr>
                <w:rFonts w:ascii="Times New Roman" w:hAnsi="Times New Roman"/>
                <w:noProof/>
                <w:sz w:val="24"/>
              </w:rPr>
              <w:t xml:space="preserve"> i udo</w:t>
            </w:r>
            <w:r w:rsidRPr="00A700E7">
              <w:rPr>
                <w:rFonts w:ascii="Times New Roman" w:hAnsi="Times New Roman"/>
                <w:noProof/>
                <w:sz w:val="24"/>
              </w:rPr>
              <w:t>stępniać bezpłatnie,</w:t>
            </w:r>
            <w:r w:rsidR="00A700E7" w:rsidRPr="00A700E7">
              <w:rPr>
                <w:rFonts w:ascii="Times New Roman" w:hAnsi="Times New Roman"/>
                <w:noProof/>
                <w:sz w:val="24"/>
              </w:rPr>
              <w:t xml:space="preserve"> w for</w:t>
            </w:r>
            <w:r w:rsidRPr="00A700E7">
              <w:rPr>
                <w:rFonts w:ascii="Times New Roman" w:hAnsi="Times New Roman"/>
                <w:noProof/>
                <w:sz w:val="24"/>
              </w:rPr>
              <w:t>macie nadającym się do odczytu maszynowego i za pośrednictwem interfejsów API. Komisja opracowała zatem warianty dotyczące dwóch innych aspektów: zakresu zidentyfikowanych zbiorów danych oraz wymogów dotyczących ich publikacji</w:t>
            </w:r>
            <w:r w:rsidR="00A700E7" w:rsidRPr="00A700E7">
              <w:rPr>
                <w:rFonts w:ascii="Times New Roman" w:hAnsi="Times New Roman"/>
                <w:noProof/>
                <w:sz w:val="24"/>
              </w:rPr>
              <w:t xml:space="preserve"> i pon</w:t>
            </w:r>
            <w:r w:rsidRPr="00A700E7">
              <w:rPr>
                <w:rFonts w:ascii="Times New Roman" w:hAnsi="Times New Roman"/>
                <w:noProof/>
                <w:sz w:val="24"/>
              </w:rPr>
              <w:t>ownego wykorzystywania.</w:t>
            </w:r>
            <w:r w:rsidRPr="00A700E7">
              <w:rPr>
                <w:noProof/>
              </w:rPr>
              <w:t xml:space="preserve"> </w:t>
            </w:r>
          </w:p>
          <w:p w14:paraId="5150BD65" w14:textId="6E13CE00" w:rsidR="006E5B0D" w:rsidRPr="00A700E7" w:rsidRDefault="00826EF1" w:rsidP="002334B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Warianty dotyczące wyższej</w:t>
            </w:r>
            <w:r w:rsidR="00A700E7" w:rsidRPr="00A700E7">
              <w:rPr>
                <w:rFonts w:ascii="Times New Roman" w:hAnsi="Times New Roman"/>
                <w:noProof/>
                <w:sz w:val="24"/>
              </w:rPr>
              <w:t xml:space="preserve"> i niż</w:t>
            </w:r>
            <w:r w:rsidRPr="00A700E7">
              <w:rPr>
                <w:rFonts w:ascii="Times New Roman" w:hAnsi="Times New Roman"/>
                <w:noProof/>
                <w:sz w:val="24"/>
              </w:rPr>
              <w:t>szej intensywności interwencji</w:t>
            </w:r>
            <w:r w:rsidR="00A700E7" w:rsidRPr="00A700E7">
              <w:rPr>
                <w:rFonts w:ascii="Times New Roman" w:hAnsi="Times New Roman"/>
                <w:noProof/>
                <w:sz w:val="24"/>
              </w:rPr>
              <w:t xml:space="preserve"> w odn</w:t>
            </w:r>
            <w:r w:rsidRPr="00A700E7">
              <w:rPr>
                <w:rFonts w:ascii="Times New Roman" w:hAnsi="Times New Roman"/>
                <w:noProof/>
                <w:sz w:val="24"/>
              </w:rPr>
              <w:t>iesieniu do każdej</w:t>
            </w:r>
            <w:r w:rsidR="00A700E7" w:rsidRPr="00A700E7">
              <w:rPr>
                <w:rFonts w:ascii="Times New Roman" w:hAnsi="Times New Roman"/>
                <w:noProof/>
                <w:sz w:val="24"/>
              </w:rPr>
              <w:t xml:space="preserve"> z sze</w:t>
            </w:r>
            <w:r w:rsidRPr="00A700E7">
              <w:rPr>
                <w:rFonts w:ascii="Times New Roman" w:hAnsi="Times New Roman"/>
                <w:noProof/>
                <w:sz w:val="24"/>
              </w:rPr>
              <w:t>ściu kategorii tematycznych stanowiły przedmiot analizy</w:t>
            </w:r>
            <w:r w:rsidR="00A700E7" w:rsidRPr="00A700E7">
              <w:rPr>
                <w:rFonts w:ascii="Times New Roman" w:hAnsi="Times New Roman"/>
                <w:noProof/>
                <w:sz w:val="24"/>
              </w:rPr>
              <w:t xml:space="preserve"> i kon</w:t>
            </w:r>
            <w:r w:rsidRPr="00A700E7">
              <w:rPr>
                <w:rFonts w:ascii="Times New Roman" w:hAnsi="Times New Roman"/>
                <w:noProof/>
                <w:sz w:val="24"/>
              </w:rPr>
              <w:t>sultacji</w:t>
            </w:r>
            <w:r w:rsidR="00A700E7" w:rsidRPr="00A700E7">
              <w:rPr>
                <w:rFonts w:ascii="Times New Roman" w:hAnsi="Times New Roman"/>
                <w:noProof/>
                <w:sz w:val="24"/>
              </w:rPr>
              <w:t xml:space="preserve"> z zai</w:t>
            </w:r>
            <w:r w:rsidRPr="00A700E7">
              <w:rPr>
                <w:rFonts w:ascii="Times New Roman" w:hAnsi="Times New Roman"/>
                <w:noProof/>
                <w:sz w:val="24"/>
              </w:rPr>
              <w:t>nteresowanymi stronami,</w:t>
            </w:r>
            <w:r w:rsidR="00A700E7" w:rsidRPr="00A700E7">
              <w:rPr>
                <w:rFonts w:ascii="Times New Roman" w:hAnsi="Times New Roman"/>
                <w:noProof/>
                <w:sz w:val="24"/>
              </w:rPr>
              <w:t xml:space="preserve"> a tak</w:t>
            </w:r>
            <w:r w:rsidRPr="00A700E7">
              <w:rPr>
                <w:rFonts w:ascii="Times New Roman" w:hAnsi="Times New Roman"/>
                <w:noProof/>
                <w:sz w:val="24"/>
              </w:rPr>
              <w:t>że przeprowadzono ocenę związanych</w:t>
            </w:r>
            <w:r w:rsidR="00A700E7" w:rsidRPr="00A700E7">
              <w:rPr>
                <w:rFonts w:ascii="Times New Roman" w:hAnsi="Times New Roman"/>
                <w:noProof/>
                <w:sz w:val="24"/>
              </w:rPr>
              <w:t xml:space="preserve"> z nim</w:t>
            </w:r>
            <w:r w:rsidRPr="00A700E7">
              <w:rPr>
                <w:rFonts w:ascii="Times New Roman" w:hAnsi="Times New Roman"/>
                <w:noProof/>
                <w:sz w:val="24"/>
              </w:rPr>
              <w:t>i kosztów</w:t>
            </w:r>
            <w:r w:rsidR="00A700E7" w:rsidRPr="00A700E7">
              <w:rPr>
                <w:rFonts w:ascii="Times New Roman" w:hAnsi="Times New Roman"/>
                <w:noProof/>
                <w:sz w:val="24"/>
              </w:rPr>
              <w:t xml:space="preserve"> i kor</w:t>
            </w:r>
            <w:r w:rsidRPr="00A700E7">
              <w:rPr>
                <w:rFonts w:ascii="Times New Roman" w:hAnsi="Times New Roman"/>
                <w:noProof/>
                <w:sz w:val="24"/>
              </w:rPr>
              <w:t>zyści. Wariantem preferowanym jest interwencja</w:t>
            </w:r>
            <w:r w:rsidR="00A700E7" w:rsidRPr="00A700E7">
              <w:rPr>
                <w:rFonts w:ascii="Times New Roman" w:hAnsi="Times New Roman"/>
                <w:noProof/>
                <w:sz w:val="24"/>
              </w:rPr>
              <w:t xml:space="preserve"> o mie</w:t>
            </w:r>
            <w:r w:rsidRPr="00A700E7">
              <w:rPr>
                <w:rFonts w:ascii="Times New Roman" w:hAnsi="Times New Roman"/>
                <w:noProof/>
                <w:sz w:val="24"/>
              </w:rPr>
              <w:t>szanej intensywności na podstawie wyników analizy opartej na wielu kryteriach. Wariant ten obejmuje optymalizację zakresu danych</w:t>
            </w:r>
            <w:r w:rsidR="00A700E7" w:rsidRPr="00A700E7">
              <w:rPr>
                <w:rFonts w:ascii="Times New Roman" w:hAnsi="Times New Roman"/>
                <w:noProof/>
                <w:sz w:val="24"/>
              </w:rPr>
              <w:t xml:space="preserve"> i met</w:t>
            </w:r>
            <w:r w:rsidRPr="00A700E7">
              <w:rPr>
                <w:rFonts w:ascii="Times New Roman" w:hAnsi="Times New Roman"/>
                <w:noProof/>
                <w:sz w:val="24"/>
              </w:rPr>
              <w:t>ody publikacji</w:t>
            </w:r>
            <w:r w:rsidR="00A700E7" w:rsidRPr="00A700E7">
              <w:rPr>
                <w:rFonts w:ascii="Times New Roman" w:hAnsi="Times New Roman"/>
                <w:noProof/>
                <w:sz w:val="24"/>
              </w:rPr>
              <w:t xml:space="preserve"> w odn</w:t>
            </w:r>
            <w:r w:rsidRPr="00A700E7">
              <w:rPr>
                <w:rFonts w:ascii="Times New Roman" w:hAnsi="Times New Roman"/>
                <w:noProof/>
                <w:sz w:val="24"/>
              </w:rPr>
              <w:t>iesieniu do każdej kategorii tematycznej. Zakłada on niższą intensywność interwencji</w:t>
            </w:r>
            <w:r w:rsidR="00A700E7" w:rsidRPr="00A700E7">
              <w:rPr>
                <w:rFonts w:ascii="Times New Roman" w:hAnsi="Times New Roman"/>
                <w:noProof/>
                <w:sz w:val="24"/>
              </w:rPr>
              <w:t xml:space="preserve"> w prz</w:t>
            </w:r>
            <w:r w:rsidRPr="00A700E7">
              <w:rPr>
                <w:rFonts w:ascii="Times New Roman" w:hAnsi="Times New Roman"/>
                <w:noProof/>
                <w:sz w:val="24"/>
              </w:rPr>
              <w:t>ypadku danych dotyczących przedsiębiorstw, danych geoprzestrzennych</w:t>
            </w:r>
            <w:r w:rsidR="00A700E7" w:rsidRPr="00A700E7">
              <w:rPr>
                <w:rFonts w:ascii="Times New Roman" w:hAnsi="Times New Roman"/>
                <w:noProof/>
                <w:sz w:val="24"/>
              </w:rPr>
              <w:t xml:space="preserve"> i dan</w:t>
            </w:r>
            <w:r w:rsidRPr="00A700E7">
              <w:rPr>
                <w:rFonts w:ascii="Times New Roman" w:hAnsi="Times New Roman"/>
                <w:noProof/>
                <w:sz w:val="24"/>
              </w:rPr>
              <w:t>ych dotyczących mobilności oraz wyższą intensywność</w:t>
            </w:r>
            <w:r w:rsidR="00A700E7" w:rsidRPr="00A700E7">
              <w:rPr>
                <w:rFonts w:ascii="Times New Roman" w:hAnsi="Times New Roman"/>
                <w:noProof/>
                <w:sz w:val="24"/>
              </w:rPr>
              <w:t xml:space="preserve"> w prz</w:t>
            </w:r>
            <w:r w:rsidRPr="00A700E7">
              <w:rPr>
                <w:rFonts w:ascii="Times New Roman" w:hAnsi="Times New Roman"/>
                <w:noProof/>
                <w:sz w:val="24"/>
              </w:rPr>
              <w:t>ypadku danych statystycznych, danych środowiskowych</w:t>
            </w:r>
            <w:r w:rsidR="00A700E7" w:rsidRPr="00A700E7">
              <w:rPr>
                <w:rFonts w:ascii="Times New Roman" w:hAnsi="Times New Roman"/>
                <w:noProof/>
                <w:sz w:val="24"/>
              </w:rPr>
              <w:t xml:space="preserve"> i dan</w:t>
            </w:r>
            <w:r w:rsidRPr="00A700E7">
              <w:rPr>
                <w:rFonts w:ascii="Times New Roman" w:hAnsi="Times New Roman"/>
                <w:noProof/>
                <w:sz w:val="24"/>
              </w:rPr>
              <w:t>ych meteorologicznych.</w:t>
            </w:r>
          </w:p>
        </w:tc>
      </w:tr>
      <w:tr w:rsidR="006E5B0D" w:rsidRPr="00A700E7" w14:paraId="7A2BC893" w14:textId="77777777" w:rsidTr="0070778A">
        <w:tc>
          <w:tcPr>
            <w:tcW w:w="10490" w:type="dxa"/>
            <w:shd w:val="clear" w:color="auto" w:fill="CCCCCC"/>
          </w:tcPr>
          <w:p w14:paraId="12D7C1A0" w14:textId="3D3878AF" w:rsidR="006E5B0D" w:rsidRPr="00A700E7" w:rsidRDefault="006E5B0D" w:rsidP="0057423C">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 xml:space="preserve">Jakie są opinie poszczególnych zainteresowanych stron? Jak kształtuje się poparcie dla poszczególnych wariantów? </w:t>
            </w:r>
          </w:p>
        </w:tc>
      </w:tr>
      <w:tr w:rsidR="006E5B0D" w:rsidRPr="00A700E7" w14:paraId="204326D1" w14:textId="77777777" w:rsidTr="0070778A">
        <w:tc>
          <w:tcPr>
            <w:tcW w:w="10490" w:type="dxa"/>
            <w:shd w:val="clear" w:color="auto" w:fill="auto"/>
          </w:tcPr>
          <w:p w14:paraId="179D749F" w14:textId="52C758BF" w:rsidR="009C0273" w:rsidRPr="00A700E7" w:rsidRDefault="009C0273" w:rsidP="009C0273">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 przypadku wszystkich inicjatyw dotyczących otwartych danych podmioty ponownie wykorzystujące dane (małe przedsiębiorstwa tworzące usługi</w:t>
            </w:r>
            <w:r w:rsidR="00A700E7" w:rsidRPr="00A700E7">
              <w:rPr>
                <w:rFonts w:ascii="Times New Roman" w:hAnsi="Times New Roman"/>
                <w:noProof/>
                <w:sz w:val="24"/>
              </w:rPr>
              <w:t xml:space="preserve"> z zak</w:t>
            </w:r>
            <w:r w:rsidRPr="00A700E7">
              <w:rPr>
                <w:rFonts w:ascii="Times New Roman" w:hAnsi="Times New Roman"/>
                <w:noProof/>
                <w:sz w:val="24"/>
              </w:rPr>
              <w:t>resu danych, naukowcy, NGO) zazwyczaj wykazują duże poparcie, natomiast mniejszy entuzjazm widać</w:t>
            </w:r>
            <w:r w:rsidR="00A700E7" w:rsidRPr="00A700E7">
              <w:rPr>
                <w:rFonts w:ascii="Times New Roman" w:hAnsi="Times New Roman"/>
                <w:noProof/>
                <w:sz w:val="24"/>
              </w:rPr>
              <w:t xml:space="preserve"> w prz</w:t>
            </w:r>
            <w:r w:rsidRPr="00A700E7">
              <w:rPr>
                <w:rFonts w:ascii="Times New Roman" w:hAnsi="Times New Roman"/>
                <w:noProof/>
                <w:sz w:val="24"/>
              </w:rPr>
              <w:t xml:space="preserve">ypadku sektora publicznego (posiadacze danych). Jest to jednak uzależnione od tematu danych (np. urzędy statystyczne wykazują duże poparcie, mimo że są posiadaczami danych). </w:t>
            </w:r>
          </w:p>
          <w:p w14:paraId="7CBAAB1B" w14:textId="6EC2898A" w:rsidR="006E5B0D" w:rsidRPr="00A700E7" w:rsidRDefault="00FF07F9" w:rsidP="002334B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Wszystkie podmioty ponownie wykorzystujące dane opowiadają się za podejściem zakładającym wysoką intensywność interwencji. Organy sektora publicznego obawiają się ewentualnych kosztów (zwłaszcza jednorazowych kosztów ustanowienia interfejsów API)</w:t>
            </w:r>
            <w:r w:rsidR="00A700E7" w:rsidRPr="00A700E7">
              <w:rPr>
                <w:rFonts w:ascii="Times New Roman" w:hAnsi="Times New Roman"/>
                <w:noProof/>
                <w:sz w:val="24"/>
              </w:rPr>
              <w:t>. W ram</w:t>
            </w:r>
            <w:r w:rsidRPr="00A700E7">
              <w:rPr>
                <w:rFonts w:ascii="Times New Roman" w:hAnsi="Times New Roman"/>
                <w:noProof/>
                <w:sz w:val="24"/>
              </w:rPr>
              <w:t>ach preferowanego wariantu zakładającego interwencję</w:t>
            </w:r>
            <w:r w:rsidR="00A700E7" w:rsidRPr="00A700E7">
              <w:rPr>
                <w:rFonts w:ascii="Times New Roman" w:hAnsi="Times New Roman"/>
                <w:noProof/>
                <w:sz w:val="24"/>
              </w:rPr>
              <w:t xml:space="preserve"> o mie</w:t>
            </w:r>
            <w:r w:rsidRPr="00A700E7">
              <w:rPr>
                <w:rFonts w:ascii="Times New Roman" w:hAnsi="Times New Roman"/>
                <w:noProof/>
                <w:sz w:val="24"/>
              </w:rPr>
              <w:t xml:space="preserve">szanej intensywności uwzględniono oba powyższe stanowiska. </w:t>
            </w:r>
          </w:p>
        </w:tc>
      </w:tr>
      <w:tr w:rsidR="006E5B0D" w:rsidRPr="00A700E7" w14:paraId="482B3F39" w14:textId="77777777" w:rsidTr="0070778A">
        <w:tc>
          <w:tcPr>
            <w:tcW w:w="10490" w:type="dxa"/>
            <w:tcBorders>
              <w:bottom w:val="single" w:sz="4" w:space="0" w:color="auto"/>
            </w:tcBorders>
            <w:shd w:val="clear" w:color="auto" w:fill="CCCCCC"/>
          </w:tcPr>
          <w:p w14:paraId="4B34EB14" w14:textId="0A6D1AD6" w:rsidR="006E5B0D" w:rsidRPr="00A700E7" w:rsidRDefault="006E5B0D" w:rsidP="00383722">
            <w:pPr>
              <w:spacing w:after="240" w:line="240" w:lineRule="auto"/>
              <w:jc w:val="both"/>
              <w:rPr>
                <w:rFonts w:ascii="Times New Roman" w:eastAsia="Times New Roman" w:hAnsi="Times New Roman" w:cs="Times New Roman"/>
                <w:b/>
                <w:noProof/>
                <w:sz w:val="24"/>
                <w:szCs w:val="20"/>
              </w:rPr>
            </w:pPr>
            <w:r w:rsidRPr="00A700E7">
              <w:rPr>
                <w:rFonts w:ascii="Times New Roman" w:hAnsi="Times New Roman"/>
                <w:b/>
                <w:noProof/>
                <w:sz w:val="24"/>
              </w:rPr>
              <w:t>C. Skutki wdrożenia preferowanego wariantu</w:t>
            </w:r>
          </w:p>
        </w:tc>
      </w:tr>
      <w:tr w:rsidR="006E5B0D" w:rsidRPr="00A700E7" w14:paraId="3775D4B0" w14:textId="77777777" w:rsidTr="0070778A">
        <w:tc>
          <w:tcPr>
            <w:tcW w:w="10490" w:type="dxa"/>
            <w:tcBorders>
              <w:bottom w:val="single" w:sz="4" w:space="0" w:color="auto"/>
            </w:tcBorders>
            <w:shd w:val="clear" w:color="auto" w:fill="E6E6E6"/>
          </w:tcPr>
          <w:p w14:paraId="3E254932" w14:textId="16AB33C6"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 xml:space="preserve">Jakie korzyści przyniesie wdrożenie preferowanego wariantu lub – jeśli go nie wskazano – głównych wariantów? </w:t>
            </w:r>
          </w:p>
        </w:tc>
      </w:tr>
      <w:tr w:rsidR="006E5B0D" w:rsidRPr="00A700E7" w14:paraId="5720282F" w14:textId="77777777" w:rsidTr="0070778A">
        <w:tc>
          <w:tcPr>
            <w:tcW w:w="10490" w:type="dxa"/>
            <w:tcBorders>
              <w:bottom w:val="single" w:sz="4" w:space="0" w:color="auto"/>
            </w:tcBorders>
            <w:shd w:val="clear" w:color="auto" w:fill="auto"/>
          </w:tcPr>
          <w:p w14:paraId="3E6D2F64" w14:textId="31F150EC" w:rsidR="00D11FE6" w:rsidRPr="00A700E7" w:rsidRDefault="00D11FE6" w:rsidP="00D11FE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 przypadku preferowanego wariantu mieszanego szacunkowa wartość gospodarki informacji sektora publicznego/zbiorów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ma wzrosnąć do</w:t>
            </w:r>
            <w:r w:rsidR="00A700E7" w:rsidRPr="00A700E7">
              <w:rPr>
                <w:rFonts w:ascii="Times New Roman" w:hAnsi="Times New Roman"/>
                <w:noProof/>
                <w:sz w:val="24"/>
              </w:rPr>
              <w:t> </w:t>
            </w:r>
            <w:r w:rsidRPr="00A700E7">
              <w:rPr>
                <w:rFonts w:ascii="Times New Roman" w:hAnsi="Times New Roman"/>
                <w:noProof/>
                <w:sz w:val="24"/>
              </w:rPr>
              <w:t>276 mld EUR</w:t>
            </w:r>
            <w:r w:rsidR="00A700E7" w:rsidRPr="00A700E7">
              <w:rPr>
                <w:rFonts w:ascii="Times New Roman" w:hAnsi="Times New Roman"/>
                <w:noProof/>
                <w:sz w:val="24"/>
              </w:rPr>
              <w:t xml:space="preserve"> w 2</w:t>
            </w:r>
            <w:r w:rsidRPr="00A700E7">
              <w:rPr>
                <w:rFonts w:ascii="Times New Roman" w:hAnsi="Times New Roman"/>
                <w:noProof/>
                <w:sz w:val="24"/>
              </w:rPr>
              <w:t>028</w:t>
            </w:r>
            <w:r w:rsidR="00A700E7" w:rsidRPr="00A700E7">
              <w:rPr>
                <w:rFonts w:ascii="Times New Roman" w:hAnsi="Times New Roman"/>
                <w:noProof/>
                <w:sz w:val="24"/>
              </w:rPr>
              <w:t> </w:t>
            </w:r>
            <w:r w:rsidRPr="00A700E7">
              <w:rPr>
                <w:rFonts w:ascii="Times New Roman" w:hAnsi="Times New Roman"/>
                <w:noProof/>
                <w:sz w:val="24"/>
              </w:rPr>
              <w:t>r. Wskaźnik</w:t>
            </w:r>
            <w:r w:rsidR="00A700E7" w:rsidRPr="00A700E7">
              <w:rPr>
                <w:rFonts w:ascii="Times New Roman" w:hAnsi="Times New Roman"/>
                <w:noProof/>
                <w:sz w:val="24"/>
              </w:rPr>
              <w:t xml:space="preserve"> w rel</w:t>
            </w:r>
            <w:r w:rsidRPr="00A700E7">
              <w:rPr>
                <w:rFonts w:ascii="Times New Roman" w:hAnsi="Times New Roman"/>
                <w:noProof/>
                <w:sz w:val="24"/>
              </w:rPr>
              <w:t>acji do PKB</w:t>
            </w:r>
            <w:r w:rsidR="00A700E7" w:rsidRPr="00A700E7">
              <w:rPr>
                <w:rFonts w:ascii="Times New Roman" w:hAnsi="Times New Roman"/>
                <w:noProof/>
                <w:sz w:val="24"/>
              </w:rPr>
              <w:t xml:space="preserve"> w 2</w:t>
            </w:r>
            <w:r w:rsidRPr="00A700E7">
              <w:rPr>
                <w:rFonts w:ascii="Times New Roman" w:hAnsi="Times New Roman"/>
                <w:noProof/>
                <w:sz w:val="24"/>
              </w:rPr>
              <w:t>028</w:t>
            </w:r>
            <w:r w:rsidR="00A700E7" w:rsidRPr="00A700E7">
              <w:rPr>
                <w:rFonts w:ascii="Times New Roman" w:hAnsi="Times New Roman"/>
                <w:noProof/>
                <w:sz w:val="24"/>
              </w:rPr>
              <w:t> </w:t>
            </w:r>
            <w:r w:rsidRPr="00A700E7">
              <w:rPr>
                <w:rFonts w:ascii="Times New Roman" w:hAnsi="Times New Roman"/>
                <w:noProof/>
                <w:sz w:val="24"/>
              </w:rPr>
              <w:t>r. ma wzrosnąć do</w:t>
            </w:r>
            <w:r w:rsidR="00A700E7" w:rsidRPr="00A700E7">
              <w:rPr>
                <w:rFonts w:ascii="Times New Roman" w:hAnsi="Times New Roman"/>
                <w:noProof/>
                <w:sz w:val="24"/>
              </w:rPr>
              <w:t> </w:t>
            </w:r>
            <w:r w:rsidRPr="00A700E7">
              <w:rPr>
                <w:rFonts w:ascii="Times New Roman" w:hAnsi="Times New Roman"/>
                <w:noProof/>
                <w:sz w:val="24"/>
              </w:rPr>
              <w:t>2,00</w:t>
            </w:r>
            <w:r w:rsidR="00A700E7" w:rsidRPr="00A700E7">
              <w:rPr>
                <w:rFonts w:ascii="Times New Roman" w:hAnsi="Times New Roman"/>
                <w:noProof/>
                <w:sz w:val="24"/>
              </w:rPr>
              <w:t> </w:t>
            </w:r>
            <w:r w:rsidRPr="00A700E7">
              <w:rPr>
                <w:rFonts w:ascii="Times New Roman" w:hAnsi="Times New Roman"/>
                <w:noProof/>
                <w:sz w:val="24"/>
              </w:rPr>
              <w:t>%</w:t>
            </w:r>
            <w:r w:rsidR="00A700E7" w:rsidRPr="00A700E7">
              <w:rPr>
                <w:rFonts w:ascii="Times New Roman" w:hAnsi="Times New Roman"/>
                <w:noProof/>
                <w:sz w:val="24"/>
              </w:rPr>
              <w:t xml:space="preserve"> w por</w:t>
            </w:r>
            <w:r w:rsidRPr="00A700E7">
              <w:rPr>
                <w:rFonts w:ascii="Times New Roman" w:hAnsi="Times New Roman"/>
                <w:noProof/>
                <w:sz w:val="24"/>
              </w:rPr>
              <w:t>ównaniu</w:t>
            </w:r>
            <w:r w:rsidR="00A700E7" w:rsidRPr="00A700E7">
              <w:rPr>
                <w:rFonts w:ascii="Times New Roman" w:hAnsi="Times New Roman"/>
                <w:noProof/>
                <w:sz w:val="24"/>
              </w:rPr>
              <w:t xml:space="preserve"> z poz</w:t>
            </w:r>
            <w:r w:rsidRPr="00A700E7">
              <w:rPr>
                <w:rFonts w:ascii="Times New Roman" w:hAnsi="Times New Roman"/>
                <w:noProof/>
                <w:sz w:val="24"/>
              </w:rPr>
              <w:t>iomem 1,85</w:t>
            </w:r>
            <w:r w:rsidR="00A700E7" w:rsidRPr="00A700E7">
              <w:rPr>
                <w:rFonts w:ascii="Times New Roman" w:hAnsi="Times New Roman"/>
                <w:noProof/>
                <w:sz w:val="24"/>
              </w:rPr>
              <w:t> </w:t>
            </w:r>
            <w:r w:rsidRPr="00A700E7">
              <w:rPr>
                <w:rFonts w:ascii="Times New Roman" w:hAnsi="Times New Roman"/>
                <w:noProof/>
                <w:sz w:val="24"/>
              </w:rPr>
              <w:t>%</w:t>
            </w:r>
            <w:r w:rsidR="00A700E7" w:rsidRPr="00A700E7">
              <w:rPr>
                <w:rFonts w:ascii="Times New Roman" w:hAnsi="Times New Roman"/>
                <w:noProof/>
                <w:sz w:val="24"/>
              </w:rPr>
              <w:t xml:space="preserve"> w prz</w:t>
            </w:r>
            <w:r w:rsidRPr="00A700E7">
              <w:rPr>
                <w:rFonts w:ascii="Times New Roman" w:hAnsi="Times New Roman"/>
                <w:noProof/>
                <w:sz w:val="24"/>
              </w:rPr>
              <w:t>ypadku braku działania (scenariusz bazowy). Oznacza to, że</w:t>
            </w:r>
            <w:r w:rsidR="00A700E7" w:rsidRPr="00A700E7">
              <w:rPr>
                <w:rFonts w:ascii="Times New Roman" w:hAnsi="Times New Roman"/>
                <w:noProof/>
                <w:sz w:val="24"/>
              </w:rPr>
              <w:t xml:space="preserve"> w por</w:t>
            </w:r>
            <w:r w:rsidRPr="00A700E7">
              <w:rPr>
                <w:rFonts w:ascii="Times New Roman" w:hAnsi="Times New Roman"/>
                <w:noProof/>
                <w:sz w:val="24"/>
              </w:rPr>
              <w:t>ównaniu</w:t>
            </w:r>
            <w:r w:rsidR="00A700E7" w:rsidRPr="00A700E7">
              <w:rPr>
                <w:rFonts w:ascii="Times New Roman" w:hAnsi="Times New Roman"/>
                <w:noProof/>
                <w:sz w:val="24"/>
              </w:rPr>
              <w:t xml:space="preserve"> z sce</w:t>
            </w:r>
            <w:r w:rsidRPr="00A700E7">
              <w:rPr>
                <w:rFonts w:ascii="Times New Roman" w:hAnsi="Times New Roman"/>
                <w:noProof/>
                <w:sz w:val="24"/>
              </w:rPr>
              <w:t>nariuszem bazowym wariant preferowany ma dodatkowy wpływ na poziomie 21 mld EUR. Oznacza to również wartość</w:t>
            </w:r>
            <w:r w:rsidR="00A700E7" w:rsidRPr="00A700E7">
              <w:rPr>
                <w:rFonts w:ascii="Times New Roman" w:hAnsi="Times New Roman"/>
                <w:noProof/>
                <w:sz w:val="24"/>
              </w:rPr>
              <w:t xml:space="preserve"> o 8</w:t>
            </w:r>
            <w:r w:rsidRPr="00A700E7">
              <w:rPr>
                <w:rFonts w:ascii="Times New Roman" w:hAnsi="Times New Roman"/>
                <w:noProof/>
                <w:sz w:val="24"/>
              </w:rPr>
              <w:t xml:space="preserve"> mld EUR wyższą od wartości uzyskanej</w:t>
            </w:r>
            <w:r w:rsidR="00A700E7" w:rsidRPr="00A700E7">
              <w:rPr>
                <w:rFonts w:ascii="Times New Roman" w:hAnsi="Times New Roman"/>
                <w:noProof/>
                <w:sz w:val="24"/>
              </w:rPr>
              <w:t xml:space="preserve"> w prz</w:t>
            </w:r>
            <w:r w:rsidRPr="00A700E7">
              <w:rPr>
                <w:rFonts w:ascii="Times New Roman" w:hAnsi="Times New Roman"/>
                <w:noProof/>
                <w:sz w:val="24"/>
              </w:rPr>
              <w:t>ypadku wdrożenia wariantu zakładającego interwencję</w:t>
            </w:r>
            <w:r w:rsidR="00A700E7" w:rsidRPr="00A700E7">
              <w:rPr>
                <w:rFonts w:ascii="Times New Roman" w:hAnsi="Times New Roman"/>
                <w:noProof/>
                <w:sz w:val="24"/>
              </w:rPr>
              <w:t xml:space="preserve"> o niż</w:t>
            </w:r>
            <w:r w:rsidRPr="00A700E7">
              <w:rPr>
                <w:rFonts w:ascii="Times New Roman" w:hAnsi="Times New Roman"/>
                <w:noProof/>
                <w:sz w:val="24"/>
              </w:rPr>
              <w:t>szej intensywności (268 mld EUR).</w:t>
            </w:r>
          </w:p>
          <w:p w14:paraId="7DBFE5CB" w14:textId="53248A40" w:rsidR="006E5B0D" w:rsidRPr="00A700E7" w:rsidRDefault="00D11FE6" w:rsidP="00D11FE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Na całkowity wpływ składają się skutki bezpośrednie</w:t>
            </w:r>
            <w:r w:rsidR="00A700E7" w:rsidRPr="00A700E7">
              <w:rPr>
                <w:rFonts w:ascii="Times New Roman" w:hAnsi="Times New Roman"/>
                <w:noProof/>
                <w:sz w:val="24"/>
              </w:rPr>
              <w:t xml:space="preserve"> i poś</w:t>
            </w:r>
            <w:r w:rsidRPr="00A700E7">
              <w:rPr>
                <w:rFonts w:ascii="Times New Roman" w:hAnsi="Times New Roman"/>
                <w:noProof/>
                <w:sz w:val="24"/>
              </w:rPr>
              <w:t>rednie. W 2028</w:t>
            </w:r>
            <w:r w:rsidR="00A700E7" w:rsidRPr="00A700E7">
              <w:rPr>
                <w:rFonts w:ascii="Times New Roman" w:hAnsi="Times New Roman"/>
                <w:noProof/>
                <w:sz w:val="24"/>
              </w:rPr>
              <w:t> </w:t>
            </w:r>
            <w:r w:rsidRPr="00A700E7">
              <w:rPr>
                <w:rFonts w:ascii="Times New Roman" w:hAnsi="Times New Roman"/>
                <w:noProof/>
                <w:sz w:val="24"/>
              </w:rPr>
              <w:t>r. pośredni wpływ wdrożenia wariantu preferowanego wyniósłby 201 mld EUR. Jest to wartość</w:t>
            </w:r>
            <w:r w:rsidR="00A700E7" w:rsidRPr="00A700E7">
              <w:rPr>
                <w:rFonts w:ascii="Times New Roman" w:hAnsi="Times New Roman"/>
                <w:noProof/>
                <w:sz w:val="24"/>
              </w:rPr>
              <w:t xml:space="preserve"> o 1</w:t>
            </w:r>
            <w:r w:rsidRPr="00A700E7">
              <w:rPr>
                <w:rFonts w:ascii="Times New Roman" w:hAnsi="Times New Roman"/>
                <w:noProof/>
                <w:sz w:val="24"/>
              </w:rPr>
              <w:t>6 mld EUR przekraczająca wartość, którą uzyskano by</w:t>
            </w:r>
            <w:r w:rsidR="00A700E7" w:rsidRPr="00A700E7">
              <w:rPr>
                <w:rFonts w:ascii="Times New Roman" w:hAnsi="Times New Roman"/>
                <w:noProof/>
                <w:sz w:val="24"/>
              </w:rPr>
              <w:t xml:space="preserve"> w prz</w:t>
            </w:r>
            <w:r w:rsidRPr="00A700E7">
              <w:rPr>
                <w:rFonts w:ascii="Times New Roman" w:hAnsi="Times New Roman"/>
                <w:noProof/>
                <w:sz w:val="24"/>
              </w:rPr>
              <w:t>ypadku scenariusza bazowego (185 mld EUR). Bezpośrednia wartość wpływu wariantu preferowanego wynosi 75 mld EUR, co oznacza dodatkowe 6 mld EUR</w:t>
            </w:r>
            <w:r w:rsidR="00A700E7" w:rsidRPr="00A700E7">
              <w:rPr>
                <w:rFonts w:ascii="Times New Roman" w:hAnsi="Times New Roman"/>
                <w:noProof/>
                <w:sz w:val="24"/>
              </w:rPr>
              <w:t xml:space="preserve"> w por</w:t>
            </w:r>
            <w:r w:rsidRPr="00A700E7">
              <w:rPr>
                <w:rFonts w:ascii="Times New Roman" w:hAnsi="Times New Roman"/>
                <w:noProof/>
                <w:sz w:val="24"/>
              </w:rPr>
              <w:t>ównaniu</w:t>
            </w:r>
            <w:r w:rsidR="00A700E7" w:rsidRPr="00A700E7">
              <w:rPr>
                <w:rFonts w:ascii="Times New Roman" w:hAnsi="Times New Roman"/>
                <w:noProof/>
                <w:sz w:val="24"/>
              </w:rPr>
              <w:t xml:space="preserve"> z sce</w:t>
            </w:r>
            <w:r w:rsidRPr="00A700E7">
              <w:rPr>
                <w:rFonts w:ascii="Times New Roman" w:hAnsi="Times New Roman"/>
                <w:noProof/>
                <w:sz w:val="24"/>
              </w:rPr>
              <w:t>nariuszem bazowym</w:t>
            </w:r>
            <w:r w:rsidR="00A700E7" w:rsidRPr="00A700E7">
              <w:rPr>
                <w:rFonts w:ascii="Times New Roman" w:hAnsi="Times New Roman"/>
                <w:noProof/>
                <w:sz w:val="24"/>
              </w:rPr>
              <w:t xml:space="preserve"> w 2</w:t>
            </w:r>
            <w:r w:rsidRPr="00A700E7">
              <w:rPr>
                <w:rFonts w:ascii="Times New Roman" w:hAnsi="Times New Roman"/>
                <w:noProof/>
                <w:sz w:val="24"/>
              </w:rPr>
              <w:t>028</w:t>
            </w:r>
            <w:r w:rsidR="00A700E7" w:rsidRPr="00A700E7">
              <w:rPr>
                <w:rFonts w:ascii="Times New Roman" w:hAnsi="Times New Roman"/>
                <w:noProof/>
                <w:sz w:val="24"/>
              </w:rPr>
              <w:t> </w:t>
            </w:r>
            <w:r w:rsidRPr="00A700E7">
              <w:rPr>
                <w:rFonts w:ascii="Times New Roman" w:hAnsi="Times New Roman"/>
                <w:noProof/>
                <w:sz w:val="24"/>
              </w:rPr>
              <w:t>r.</w:t>
            </w:r>
          </w:p>
          <w:p w14:paraId="45DF8E1D" w14:textId="7B35AD9F" w:rsidR="00F04859" w:rsidRPr="00A700E7" w:rsidRDefault="009513B0" w:rsidP="00D11FE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Wyżej podane dane stanowią dane szacunkowe, ponieważ trudno jest określić konkretne korzyści odpowiadające jednemu zbiorowi danych – ich wartość często lepiej wyrazić</w:t>
            </w:r>
            <w:r w:rsidR="00A700E7" w:rsidRPr="00A700E7">
              <w:rPr>
                <w:rFonts w:ascii="Times New Roman" w:hAnsi="Times New Roman"/>
                <w:noProof/>
                <w:sz w:val="24"/>
              </w:rPr>
              <w:t xml:space="preserve"> w poł</w:t>
            </w:r>
            <w:r w:rsidRPr="00A700E7">
              <w:rPr>
                <w:rFonts w:ascii="Times New Roman" w:hAnsi="Times New Roman"/>
                <w:noProof/>
                <w:sz w:val="24"/>
              </w:rPr>
              <w:t>ączeniu</w:t>
            </w:r>
            <w:r w:rsidR="00A700E7" w:rsidRPr="00A700E7">
              <w:rPr>
                <w:rFonts w:ascii="Times New Roman" w:hAnsi="Times New Roman"/>
                <w:noProof/>
                <w:sz w:val="24"/>
              </w:rPr>
              <w:t xml:space="preserve"> z inn</w:t>
            </w:r>
            <w:r w:rsidRPr="00A700E7">
              <w:rPr>
                <w:rFonts w:ascii="Times New Roman" w:hAnsi="Times New Roman"/>
                <w:noProof/>
                <w:sz w:val="24"/>
              </w:rPr>
              <w:t>ymi zbiorami danych</w:t>
            </w:r>
            <w:r w:rsidR="00A700E7" w:rsidRPr="00A700E7">
              <w:rPr>
                <w:rFonts w:ascii="Times New Roman" w:hAnsi="Times New Roman"/>
                <w:noProof/>
                <w:sz w:val="24"/>
              </w:rPr>
              <w:t>. Z wyk</w:t>
            </w:r>
            <w:r w:rsidRPr="00A700E7">
              <w:rPr>
                <w:rFonts w:ascii="Times New Roman" w:hAnsi="Times New Roman"/>
                <w:noProof/>
                <w:sz w:val="24"/>
              </w:rPr>
              <w:t>orzystaniem ram opracowanych wraz</w:t>
            </w:r>
            <w:r w:rsidR="00A700E7" w:rsidRPr="00A700E7">
              <w:rPr>
                <w:rFonts w:ascii="Times New Roman" w:hAnsi="Times New Roman"/>
                <w:noProof/>
                <w:sz w:val="24"/>
              </w:rPr>
              <w:t xml:space="preserve"> z bad</w:t>
            </w:r>
            <w:r w:rsidRPr="00A700E7">
              <w:rPr>
                <w:rFonts w:ascii="Times New Roman" w:hAnsi="Times New Roman"/>
                <w:noProof/>
                <w:sz w:val="24"/>
              </w:rPr>
              <w:t>aniem przeprowadzonym na potrzeby oceny skutków zbiory danych powiązano</w:t>
            </w:r>
            <w:r w:rsidR="00A700E7" w:rsidRPr="00A700E7">
              <w:rPr>
                <w:rFonts w:ascii="Times New Roman" w:hAnsi="Times New Roman"/>
                <w:noProof/>
                <w:sz w:val="24"/>
              </w:rPr>
              <w:t xml:space="preserve"> z zes</w:t>
            </w:r>
            <w:r w:rsidRPr="00A700E7">
              <w:rPr>
                <w:rFonts w:ascii="Times New Roman" w:hAnsi="Times New Roman"/>
                <w:noProof/>
                <w:sz w:val="24"/>
              </w:rPr>
              <w:t>tawem wskaźników</w:t>
            </w:r>
            <w:r w:rsidR="00A700E7" w:rsidRPr="00A700E7">
              <w:rPr>
                <w:rFonts w:ascii="Times New Roman" w:hAnsi="Times New Roman"/>
                <w:noProof/>
                <w:sz w:val="24"/>
              </w:rPr>
              <w:t xml:space="preserve"> z róż</w:t>
            </w:r>
            <w:r w:rsidRPr="00A700E7">
              <w:rPr>
                <w:rFonts w:ascii="Times New Roman" w:hAnsi="Times New Roman"/>
                <w:noProof/>
                <w:sz w:val="24"/>
              </w:rPr>
              <w:t>nych obszarów makroekonomicznych wraz</w:t>
            </w:r>
            <w:r w:rsidR="00A700E7" w:rsidRPr="00A700E7">
              <w:rPr>
                <w:rFonts w:ascii="Times New Roman" w:hAnsi="Times New Roman"/>
                <w:noProof/>
                <w:sz w:val="24"/>
              </w:rPr>
              <w:t xml:space="preserve"> z wyn</w:t>
            </w:r>
            <w:r w:rsidRPr="00A700E7">
              <w:rPr>
                <w:rFonts w:ascii="Times New Roman" w:hAnsi="Times New Roman"/>
                <w:noProof/>
                <w:sz w:val="24"/>
              </w:rPr>
              <w:t>ikami badania źródeł wtórnych</w:t>
            </w:r>
            <w:r w:rsidR="00A700E7" w:rsidRPr="00A700E7">
              <w:rPr>
                <w:rFonts w:ascii="Times New Roman" w:hAnsi="Times New Roman"/>
                <w:noProof/>
                <w:sz w:val="24"/>
              </w:rPr>
              <w:t xml:space="preserve"> i uwa</w:t>
            </w:r>
            <w:r w:rsidRPr="00A700E7">
              <w:rPr>
                <w:rFonts w:ascii="Times New Roman" w:hAnsi="Times New Roman"/>
                <w:noProof/>
                <w:sz w:val="24"/>
              </w:rPr>
              <w:t>gami różnych zainteresowanych stron.</w:t>
            </w:r>
          </w:p>
          <w:p w14:paraId="2C5BC1A2" w14:textId="6466B118" w:rsidR="00F04859" w:rsidRPr="00A700E7" w:rsidRDefault="009513B0" w:rsidP="00666C47">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Oprócz szacunkowego wpływu gospodarczego inicjatywa ta powinna również przynieść korzyści społeczne</w:t>
            </w:r>
            <w:r w:rsidR="00A700E7" w:rsidRPr="00A700E7">
              <w:rPr>
                <w:rFonts w:ascii="Times New Roman" w:hAnsi="Times New Roman"/>
                <w:noProof/>
                <w:sz w:val="24"/>
              </w:rPr>
              <w:t xml:space="preserve"> i kor</w:t>
            </w:r>
            <w:r w:rsidRPr="00A700E7">
              <w:rPr>
                <w:rFonts w:ascii="Times New Roman" w:hAnsi="Times New Roman"/>
                <w:noProof/>
                <w:sz w:val="24"/>
              </w:rPr>
              <w:t>zyści dla środowiska. Dostępność większej ilości informacji</w:t>
            </w:r>
            <w:r w:rsidR="00A700E7" w:rsidRPr="00A700E7">
              <w:rPr>
                <w:rFonts w:ascii="Times New Roman" w:hAnsi="Times New Roman"/>
                <w:noProof/>
                <w:sz w:val="24"/>
              </w:rPr>
              <w:t xml:space="preserve"> o prz</w:t>
            </w:r>
            <w:r w:rsidRPr="00A700E7">
              <w:rPr>
                <w:rFonts w:ascii="Times New Roman" w:hAnsi="Times New Roman"/>
                <w:noProof/>
                <w:sz w:val="24"/>
              </w:rPr>
              <w:t>edsiębiorstwach ma wyraźne korzyści społeczne między innymi</w:t>
            </w:r>
            <w:r w:rsidR="00A700E7" w:rsidRPr="00A700E7">
              <w:rPr>
                <w:rFonts w:ascii="Times New Roman" w:hAnsi="Times New Roman"/>
                <w:noProof/>
                <w:sz w:val="24"/>
              </w:rPr>
              <w:t xml:space="preserve"> w zak</w:t>
            </w:r>
            <w:r w:rsidRPr="00A700E7">
              <w:rPr>
                <w:rFonts w:ascii="Times New Roman" w:hAnsi="Times New Roman"/>
                <w:noProof/>
                <w:sz w:val="24"/>
              </w:rPr>
              <w:t>resie zwalczania przestępczości (w tym przestępstw finansowych), większego zaangażowania społecznego</w:t>
            </w:r>
            <w:r w:rsidR="00A700E7" w:rsidRPr="00A700E7">
              <w:rPr>
                <w:rFonts w:ascii="Times New Roman" w:hAnsi="Times New Roman"/>
                <w:noProof/>
                <w:sz w:val="24"/>
              </w:rPr>
              <w:t xml:space="preserve"> i roz</w:t>
            </w:r>
            <w:r w:rsidRPr="00A700E7">
              <w:rPr>
                <w:rFonts w:ascii="Times New Roman" w:hAnsi="Times New Roman"/>
                <w:noProof/>
                <w:sz w:val="24"/>
              </w:rPr>
              <w:t>liczalności sektora instytucji rządowych</w:t>
            </w:r>
            <w:r w:rsidR="00A700E7" w:rsidRPr="00A700E7">
              <w:rPr>
                <w:rFonts w:ascii="Times New Roman" w:hAnsi="Times New Roman"/>
                <w:noProof/>
                <w:sz w:val="24"/>
              </w:rPr>
              <w:t xml:space="preserve"> i sam</w:t>
            </w:r>
            <w:r w:rsidRPr="00A700E7">
              <w:rPr>
                <w:rFonts w:ascii="Times New Roman" w:hAnsi="Times New Roman"/>
                <w:noProof/>
                <w:sz w:val="24"/>
              </w:rPr>
              <w:t>orządowych (np.</w:t>
            </w:r>
            <w:r w:rsidR="00A700E7" w:rsidRPr="00A700E7">
              <w:rPr>
                <w:rFonts w:ascii="Times New Roman" w:hAnsi="Times New Roman"/>
                <w:noProof/>
                <w:sz w:val="24"/>
              </w:rPr>
              <w:t xml:space="preserve"> w kon</w:t>
            </w:r>
            <w:r w:rsidRPr="00A700E7">
              <w:rPr>
                <w:rFonts w:ascii="Times New Roman" w:hAnsi="Times New Roman"/>
                <w:noProof/>
                <w:sz w:val="24"/>
              </w:rPr>
              <w:t>tekście wsparcia publicznego dla przedsiębiorstw). Oczekuje się, że ponowne wykorzystywanie danych dotyczących środowiska, danych przestrzennych dotyczących mobilności</w:t>
            </w:r>
            <w:r w:rsidR="00A700E7" w:rsidRPr="00A700E7">
              <w:rPr>
                <w:rFonts w:ascii="Times New Roman" w:hAnsi="Times New Roman"/>
                <w:noProof/>
                <w:sz w:val="24"/>
              </w:rPr>
              <w:t xml:space="preserve"> i dan</w:t>
            </w:r>
            <w:r w:rsidRPr="00A700E7">
              <w:rPr>
                <w:rFonts w:ascii="Times New Roman" w:hAnsi="Times New Roman"/>
                <w:noProof/>
                <w:sz w:val="24"/>
              </w:rPr>
              <w:t>ych meteorologicznych przyczyni się między innymi do rozwoju badań nad zmianą klimatu, ograniczenia zanieczyszczenia powietrza na obszarach miejskich</w:t>
            </w:r>
            <w:r w:rsidR="00A700E7" w:rsidRPr="00A700E7">
              <w:rPr>
                <w:rFonts w:ascii="Times New Roman" w:hAnsi="Times New Roman"/>
                <w:noProof/>
                <w:sz w:val="24"/>
              </w:rPr>
              <w:t xml:space="preserve"> i pop</w:t>
            </w:r>
            <w:r w:rsidRPr="00A700E7">
              <w:rPr>
                <w:rFonts w:ascii="Times New Roman" w:hAnsi="Times New Roman"/>
                <w:noProof/>
                <w:sz w:val="24"/>
              </w:rPr>
              <w:t>rawy infrastruktury transportowej. Środki</w:t>
            </w:r>
            <w:r w:rsidR="00A700E7" w:rsidRPr="00A700E7">
              <w:rPr>
                <w:rFonts w:ascii="Times New Roman" w:hAnsi="Times New Roman"/>
                <w:noProof/>
                <w:sz w:val="24"/>
              </w:rPr>
              <w:t xml:space="preserve"> w zak</w:t>
            </w:r>
            <w:r w:rsidRPr="00A700E7">
              <w:rPr>
                <w:rFonts w:ascii="Times New Roman" w:hAnsi="Times New Roman"/>
                <w:noProof/>
                <w:sz w:val="24"/>
              </w:rPr>
              <w:t>resie zarządzania pandemią COVID-19 uwidoczniły ponadto znaczenie geolokalizacji szpitali, odpowiedniej infrastruktury</w:t>
            </w:r>
            <w:r w:rsidR="00A700E7" w:rsidRPr="00A700E7">
              <w:rPr>
                <w:rFonts w:ascii="Times New Roman" w:hAnsi="Times New Roman"/>
                <w:noProof/>
                <w:sz w:val="24"/>
              </w:rPr>
              <w:t xml:space="preserve"> i osó</w:t>
            </w:r>
            <w:r w:rsidRPr="00A700E7">
              <w:rPr>
                <w:rFonts w:ascii="Times New Roman" w:hAnsi="Times New Roman"/>
                <w:noProof/>
                <w:sz w:val="24"/>
              </w:rPr>
              <w:t>b.</w:t>
            </w:r>
          </w:p>
        </w:tc>
      </w:tr>
      <w:tr w:rsidR="006E5B0D" w:rsidRPr="00A700E7" w14:paraId="66CEF339" w14:textId="77777777" w:rsidTr="0070778A">
        <w:tc>
          <w:tcPr>
            <w:tcW w:w="10490" w:type="dxa"/>
            <w:tcBorders>
              <w:bottom w:val="single" w:sz="4" w:space="0" w:color="auto"/>
            </w:tcBorders>
            <w:shd w:val="clear" w:color="auto" w:fill="E6E6E6"/>
          </w:tcPr>
          <w:p w14:paraId="07B28618" w14:textId="2B9B4DB0" w:rsidR="006E5B0D" w:rsidRPr="00A700E7" w:rsidRDefault="006E5B0D" w:rsidP="00187F69">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Jakie są ewentualne koszty wdrożenia preferowanego wariantu (oprócz kosztów podstawowych)?</w:t>
            </w:r>
            <w:r w:rsidRPr="00A700E7">
              <w:rPr>
                <w:rFonts w:ascii="Times New Roman" w:hAnsi="Times New Roman"/>
                <w:noProof/>
                <w:sz w:val="24"/>
              </w:rPr>
              <w:t xml:space="preserve"> </w:t>
            </w:r>
          </w:p>
        </w:tc>
      </w:tr>
      <w:tr w:rsidR="006E5B0D" w:rsidRPr="00A700E7" w14:paraId="6D08B2CD" w14:textId="77777777" w:rsidTr="0070778A">
        <w:tc>
          <w:tcPr>
            <w:tcW w:w="10490" w:type="dxa"/>
            <w:tcBorders>
              <w:bottom w:val="single" w:sz="4" w:space="0" w:color="auto"/>
            </w:tcBorders>
            <w:shd w:val="clear" w:color="auto" w:fill="auto"/>
          </w:tcPr>
          <w:p w14:paraId="2C55CDDD" w14:textId="7EF3266C" w:rsidR="006E5B0D" w:rsidRPr="00A700E7" w:rsidRDefault="008F0546" w:rsidP="008F054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Koszty są różne</w:t>
            </w:r>
            <w:r w:rsidR="00A700E7" w:rsidRPr="00A700E7">
              <w:rPr>
                <w:rFonts w:ascii="Times New Roman" w:hAnsi="Times New Roman"/>
                <w:noProof/>
                <w:sz w:val="24"/>
              </w:rPr>
              <w:t xml:space="preserve"> w zal</w:t>
            </w:r>
            <w:r w:rsidRPr="00A700E7">
              <w:rPr>
                <w:rFonts w:ascii="Times New Roman" w:hAnsi="Times New Roman"/>
                <w:noProof/>
                <w:sz w:val="24"/>
              </w:rPr>
              <w:t>eżności od tematu danych. Ocena kosztów jest również skomplikowana</w:t>
            </w:r>
            <w:r w:rsidR="00A700E7" w:rsidRPr="00A700E7">
              <w:rPr>
                <w:rFonts w:ascii="Times New Roman" w:hAnsi="Times New Roman"/>
                <w:noProof/>
                <w:sz w:val="24"/>
              </w:rPr>
              <w:t xml:space="preserve"> z kil</w:t>
            </w:r>
            <w:r w:rsidRPr="00A700E7">
              <w:rPr>
                <w:rFonts w:ascii="Times New Roman" w:hAnsi="Times New Roman"/>
                <w:noProof/>
                <w:sz w:val="24"/>
              </w:rPr>
              <w:t>ku powodów. Trudność stanowi oddzielenie kosztów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od kosztów ponownego wykorzystywania innych zbiorów danych, ponieważ niektórych infrastruktur informatycznych nie można używać wyłącznie do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(np. jeżeli modernizację infrastruktury przewidziano</w:t>
            </w:r>
            <w:r w:rsidR="00A700E7" w:rsidRPr="00A700E7">
              <w:rPr>
                <w:rFonts w:ascii="Times New Roman" w:hAnsi="Times New Roman"/>
                <w:noProof/>
                <w:sz w:val="24"/>
              </w:rPr>
              <w:t xml:space="preserve"> w inn</w:t>
            </w:r>
            <w:r w:rsidRPr="00A700E7">
              <w:rPr>
                <w:rFonts w:ascii="Times New Roman" w:hAnsi="Times New Roman"/>
                <w:noProof/>
                <w:sz w:val="24"/>
              </w:rPr>
              <w:t>ych przepisach, np.</w:t>
            </w:r>
            <w:r w:rsidR="00A700E7" w:rsidRPr="00A700E7">
              <w:rPr>
                <w:rFonts w:ascii="Times New Roman" w:hAnsi="Times New Roman"/>
                <w:noProof/>
                <w:sz w:val="24"/>
              </w:rPr>
              <w:t xml:space="preserve"> w dyr</w:t>
            </w:r>
            <w:r w:rsidRPr="00A700E7">
              <w:rPr>
                <w:rFonts w:ascii="Times New Roman" w:hAnsi="Times New Roman"/>
                <w:noProof/>
                <w:sz w:val="24"/>
              </w:rPr>
              <w:t>ektywie INSPIRE, lub jeżeli stanowi ona element inicjatywy</w:t>
            </w:r>
            <w:r w:rsidR="00A700E7" w:rsidRPr="00A700E7">
              <w:rPr>
                <w:rFonts w:ascii="Times New Roman" w:hAnsi="Times New Roman"/>
                <w:noProof/>
                <w:sz w:val="24"/>
              </w:rPr>
              <w:t xml:space="preserve"> w zak</w:t>
            </w:r>
            <w:r w:rsidRPr="00A700E7">
              <w:rPr>
                <w:rFonts w:ascii="Times New Roman" w:hAnsi="Times New Roman"/>
                <w:noProof/>
                <w:sz w:val="24"/>
              </w:rPr>
              <w:t>resie dygitalizacji). Znaczne różnice występowałyby również pod względem ilości zmian, jakich wymagałyby poszczególne zbiory danych</w:t>
            </w:r>
            <w:r w:rsidR="00A700E7" w:rsidRPr="00A700E7">
              <w:rPr>
                <w:rFonts w:ascii="Times New Roman" w:hAnsi="Times New Roman"/>
                <w:noProof/>
                <w:sz w:val="24"/>
              </w:rPr>
              <w:t xml:space="preserve"> i pos</w:t>
            </w:r>
            <w:r w:rsidRPr="00A700E7">
              <w:rPr>
                <w:rFonts w:ascii="Times New Roman" w:hAnsi="Times New Roman"/>
                <w:noProof/>
                <w:sz w:val="24"/>
              </w:rPr>
              <w:t>zczególne zainteresowane organy sektora publicznego.</w:t>
            </w:r>
          </w:p>
          <w:p w14:paraId="72C7704C" w14:textId="2107F371" w:rsidR="008F0546" w:rsidRPr="00A700E7" w:rsidRDefault="003E5E82" w:rsidP="008F0546">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Na podstawie ogólnych szacunków można jednak przyjąć następujące założenia:</w:t>
            </w:r>
          </w:p>
          <w:p w14:paraId="682C0BB8" w14:textId="3632654D" w:rsidR="003E5E82" w:rsidRPr="00A700E7" w:rsidRDefault="003E5E82" w:rsidP="0048448C">
            <w:pPr>
              <w:pStyle w:val="ListParagraph"/>
              <w:numPr>
                <w:ilvl w:val="0"/>
                <w:numId w:val="1"/>
              </w:num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koszty jednorazowe (np. ustanowienie interfejsu API) wahają się od</w:t>
            </w:r>
            <w:r w:rsidR="00A700E7" w:rsidRPr="00A700E7">
              <w:rPr>
                <w:rFonts w:ascii="Times New Roman" w:hAnsi="Times New Roman"/>
                <w:noProof/>
                <w:sz w:val="24"/>
              </w:rPr>
              <w:t> </w:t>
            </w:r>
            <w:r w:rsidRPr="00A700E7">
              <w:rPr>
                <w:rFonts w:ascii="Times New Roman" w:hAnsi="Times New Roman"/>
                <w:noProof/>
                <w:sz w:val="24"/>
              </w:rPr>
              <w:t>24,9 mln EUR (szacunek optymistyczny) do</w:t>
            </w:r>
            <w:r w:rsidR="00A700E7" w:rsidRPr="00A700E7">
              <w:rPr>
                <w:rFonts w:ascii="Times New Roman" w:hAnsi="Times New Roman"/>
                <w:noProof/>
                <w:sz w:val="24"/>
              </w:rPr>
              <w:t> </w:t>
            </w:r>
            <w:r w:rsidRPr="00A700E7">
              <w:rPr>
                <w:rFonts w:ascii="Times New Roman" w:hAnsi="Times New Roman"/>
                <w:noProof/>
                <w:sz w:val="24"/>
              </w:rPr>
              <w:t xml:space="preserve">435,9 mln EUR (szacunek pesymistyczny), przy czym średni szacunek wynosi 122,3 mln EUR; </w:t>
            </w:r>
          </w:p>
          <w:p w14:paraId="7CCA7246" w14:textId="05DC01D1" w:rsidR="003C09AF" w:rsidRPr="00A700E7" w:rsidRDefault="00666C47" w:rsidP="0048448C">
            <w:pPr>
              <w:pStyle w:val="ListParagraph"/>
              <w:numPr>
                <w:ilvl w:val="0"/>
                <w:numId w:val="1"/>
              </w:num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koszty powtarzające się (np. uszczuplenie dochodów</w:t>
            </w:r>
            <w:r w:rsidR="00A700E7" w:rsidRPr="00A700E7">
              <w:rPr>
                <w:rFonts w:ascii="Times New Roman" w:hAnsi="Times New Roman"/>
                <w:noProof/>
                <w:sz w:val="24"/>
              </w:rPr>
              <w:t xml:space="preserve"> i zas</w:t>
            </w:r>
            <w:r w:rsidRPr="00A700E7">
              <w:rPr>
                <w:rFonts w:ascii="Times New Roman" w:hAnsi="Times New Roman"/>
                <w:noProof/>
                <w:sz w:val="24"/>
              </w:rPr>
              <w:t>obów potrzebnych do podwyższenia jakości danych do</w:t>
            </w:r>
            <w:r w:rsidR="00A700E7" w:rsidRPr="00A700E7">
              <w:rPr>
                <w:rFonts w:ascii="Times New Roman" w:hAnsi="Times New Roman"/>
                <w:noProof/>
                <w:sz w:val="24"/>
              </w:rPr>
              <w:t> </w:t>
            </w:r>
            <w:r w:rsidRPr="00A700E7">
              <w:rPr>
                <w:rFonts w:ascii="Times New Roman" w:hAnsi="Times New Roman"/>
                <w:noProof/>
                <w:sz w:val="24"/>
              </w:rPr>
              <w:t>2028</w:t>
            </w:r>
            <w:r w:rsidR="00A700E7" w:rsidRPr="00A700E7">
              <w:rPr>
                <w:rFonts w:ascii="Times New Roman" w:hAnsi="Times New Roman"/>
                <w:noProof/>
                <w:sz w:val="24"/>
              </w:rPr>
              <w:t> </w:t>
            </w:r>
            <w:r w:rsidRPr="00A700E7">
              <w:rPr>
                <w:rFonts w:ascii="Times New Roman" w:hAnsi="Times New Roman"/>
                <w:noProof/>
                <w:sz w:val="24"/>
              </w:rPr>
              <w:t>r.) szacuje się na</w:t>
            </w:r>
            <w:r w:rsidR="00A700E7" w:rsidRPr="00A700E7">
              <w:rPr>
                <w:rFonts w:ascii="Times New Roman" w:hAnsi="Times New Roman"/>
                <w:noProof/>
                <w:sz w:val="24"/>
              </w:rPr>
              <w:t> </w:t>
            </w:r>
            <w:r w:rsidRPr="00A700E7">
              <w:rPr>
                <w:rFonts w:ascii="Times New Roman" w:hAnsi="Times New Roman"/>
                <w:noProof/>
                <w:sz w:val="24"/>
              </w:rPr>
              <w:t>473,6 mln EUR.</w:t>
            </w:r>
          </w:p>
          <w:p w14:paraId="7D8EDEDD" w14:textId="1B025AAC" w:rsidR="00082FBE" w:rsidRPr="00A700E7" w:rsidRDefault="00187F69" w:rsidP="00666C47">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Niektóre koszty można kompensować finansowaniem</w:t>
            </w:r>
            <w:r w:rsidR="00A700E7" w:rsidRPr="00A700E7">
              <w:rPr>
                <w:rFonts w:ascii="Times New Roman" w:hAnsi="Times New Roman"/>
                <w:noProof/>
                <w:sz w:val="24"/>
              </w:rPr>
              <w:t xml:space="preserve"> w ram</w:t>
            </w:r>
            <w:r w:rsidRPr="00A700E7">
              <w:rPr>
                <w:rFonts w:ascii="Times New Roman" w:hAnsi="Times New Roman"/>
                <w:noProof/>
                <w:sz w:val="24"/>
              </w:rPr>
              <w:t>ach programu „Cyfrowa Europa” opracowanego właśnie po to, aby ograniczyć obciążenie związane</w:t>
            </w:r>
            <w:r w:rsidR="00A700E7" w:rsidRPr="00A700E7">
              <w:rPr>
                <w:rFonts w:ascii="Times New Roman" w:hAnsi="Times New Roman"/>
                <w:noProof/>
                <w:sz w:val="24"/>
              </w:rPr>
              <w:t xml:space="preserve"> z pub</w:t>
            </w:r>
            <w:r w:rsidRPr="00A700E7">
              <w:rPr>
                <w:rFonts w:ascii="Times New Roman" w:hAnsi="Times New Roman"/>
                <w:noProof/>
                <w:sz w:val="24"/>
              </w:rPr>
              <w:t>likacją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w:t>
            </w:r>
          </w:p>
        </w:tc>
      </w:tr>
      <w:tr w:rsidR="006E5B0D" w:rsidRPr="00A700E7" w14:paraId="4C235DC4" w14:textId="77777777" w:rsidTr="0070778A">
        <w:tc>
          <w:tcPr>
            <w:tcW w:w="10490" w:type="dxa"/>
            <w:tcBorders>
              <w:bottom w:val="single" w:sz="4" w:space="0" w:color="auto"/>
            </w:tcBorders>
            <w:shd w:val="clear" w:color="auto" w:fill="E6E6E6"/>
          </w:tcPr>
          <w:p w14:paraId="01C05FAF" w14:textId="3B5C8654" w:rsidR="006E5B0D" w:rsidRPr="00A700E7" w:rsidRDefault="006E5B0D" w:rsidP="003E5E82">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Jaki jest wpływ na małe przedsiębiorstwa</w:t>
            </w:r>
            <w:r w:rsidR="00A700E7" w:rsidRPr="00A700E7">
              <w:rPr>
                <w:rFonts w:ascii="Times New Roman" w:hAnsi="Times New Roman"/>
                <w:b/>
                <w:noProof/>
                <w:sz w:val="24"/>
              </w:rPr>
              <w:t xml:space="preserve"> i kon</w:t>
            </w:r>
            <w:r w:rsidRPr="00A700E7">
              <w:rPr>
                <w:rFonts w:ascii="Times New Roman" w:hAnsi="Times New Roman"/>
                <w:b/>
                <w:noProof/>
                <w:sz w:val="24"/>
              </w:rPr>
              <w:t xml:space="preserve">kurencyjność? </w:t>
            </w:r>
          </w:p>
        </w:tc>
      </w:tr>
      <w:tr w:rsidR="006E5B0D" w:rsidRPr="00A700E7" w14:paraId="389BBAB6" w14:textId="77777777" w:rsidTr="0070778A">
        <w:tc>
          <w:tcPr>
            <w:tcW w:w="10490" w:type="dxa"/>
            <w:tcBorders>
              <w:bottom w:val="single" w:sz="4" w:space="0" w:color="auto"/>
            </w:tcBorders>
            <w:shd w:val="clear" w:color="auto" w:fill="auto"/>
          </w:tcPr>
          <w:p w14:paraId="03D113F5" w14:textId="78928673" w:rsidR="00600EB8" w:rsidRPr="00A700E7" w:rsidRDefault="003E5E82" w:rsidP="0057423C">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Większa dostępność danych przyczyni się do rozwoju przedsiębiorczości</w:t>
            </w:r>
            <w:r w:rsidR="00A700E7" w:rsidRPr="00A700E7">
              <w:rPr>
                <w:rFonts w:ascii="Times New Roman" w:hAnsi="Times New Roman"/>
                <w:noProof/>
                <w:sz w:val="24"/>
              </w:rPr>
              <w:t xml:space="preserve"> i two</w:t>
            </w:r>
            <w:r w:rsidRPr="00A700E7">
              <w:rPr>
                <w:rFonts w:ascii="Times New Roman" w:hAnsi="Times New Roman"/>
                <w:noProof/>
                <w:sz w:val="24"/>
              </w:rPr>
              <w:t>rzenia nowych przedsiębiorstw, chociaż</w:t>
            </w:r>
            <w:r w:rsidR="00A700E7" w:rsidRPr="00A700E7">
              <w:rPr>
                <w:rFonts w:ascii="Times New Roman" w:hAnsi="Times New Roman"/>
                <w:noProof/>
                <w:sz w:val="24"/>
              </w:rPr>
              <w:t xml:space="preserve"> w róż</w:t>
            </w:r>
            <w:r w:rsidRPr="00A700E7">
              <w:rPr>
                <w:rFonts w:ascii="Times New Roman" w:hAnsi="Times New Roman"/>
                <w:noProof/>
                <w:sz w:val="24"/>
              </w:rPr>
              <w:t>nym stopniu</w:t>
            </w:r>
            <w:r w:rsidR="00A700E7" w:rsidRPr="00A700E7">
              <w:rPr>
                <w:rFonts w:ascii="Times New Roman" w:hAnsi="Times New Roman"/>
                <w:noProof/>
                <w:sz w:val="24"/>
              </w:rPr>
              <w:t xml:space="preserve"> w prz</w:t>
            </w:r>
            <w:r w:rsidRPr="00A700E7">
              <w:rPr>
                <w:rFonts w:ascii="Times New Roman" w:hAnsi="Times New Roman"/>
                <w:noProof/>
                <w:sz w:val="24"/>
              </w:rPr>
              <w:t>ypadku poszczególnych tematów danych (co zależy na przykład od obecnego stopnia dostępności danych</w:t>
            </w:r>
            <w:r w:rsidR="00A700E7" w:rsidRPr="00A700E7">
              <w:rPr>
                <w:rFonts w:ascii="Times New Roman" w:hAnsi="Times New Roman"/>
                <w:noProof/>
                <w:sz w:val="24"/>
              </w:rPr>
              <w:t xml:space="preserve"> w pos</w:t>
            </w:r>
            <w:r w:rsidRPr="00A700E7">
              <w:rPr>
                <w:rFonts w:ascii="Times New Roman" w:hAnsi="Times New Roman"/>
                <w:noProof/>
                <w:sz w:val="24"/>
              </w:rPr>
              <w:t>zczególnych tematach</w:t>
            </w:r>
            <w:r w:rsidR="00A700E7" w:rsidRPr="00A700E7">
              <w:rPr>
                <w:rFonts w:ascii="Times New Roman" w:hAnsi="Times New Roman"/>
                <w:noProof/>
                <w:sz w:val="24"/>
              </w:rPr>
              <w:t xml:space="preserve"> i ich</w:t>
            </w:r>
            <w:r w:rsidRPr="00A700E7">
              <w:rPr>
                <w:rFonts w:ascii="Times New Roman" w:hAnsi="Times New Roman"/>
                <w:noProof/>
                <w:sz w:val="24"/>
              </w:rPr>
              <w:t xml:space="preserve"> dojrzałości). Zasadniczo otwarta dostępność zbiorów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powinna przyczynić się do utworzenia 537 000 nowych przedsiębiorstw</w:t>
            </w:r>
            <w:r w:rsidR="00A700E7" w:rsidRPr="00A700E7">
              <w:rPr>
                <w:rFonts w:ascii="Times New Roman" w:hAnsi="Times New Roman"/>
                <w:noProof/>
                <w:sz w:val="24"/>
              </w:rPr>
              <w:t xml:space="preserve"> w 2</w:t>
            </w:r>
            <w:r w:rsidRPr="00A700E7">
              <w:rPr>
                <w:rFonts w:ascii="Times New Roman" w:hAnsi="Times New Roman"/>
                <w:noProof/>
                <w:sz w:val="24"/>
              </w:rPr>
              <w:t>028</w:t>
            </w:r>
            <w:r w:rsidR="00A700E7" w:rsidRPr="00A700E7">
              <w:rPr>
                <w:rFonts w:ascii="Times New Roman" w:hAnsi="Times New Roman"/>
                <w:noProof/>
                <w:sz w:val="24"/>
              </w:rPr>
              <w:t> </w:t>
            </w:r>
            <w:r w:rsidRPr="00A700E7">
              <w:rPr>
                <w:rFonts w:ascii="Times New Roman" w:hAnsi="Times New Roman"/>
                <w:noProof/>
                <w:sz w:val="24"/>
              </w:rPr>
              <w:t>r., co będzie oznaczało wzrost</w:t>
            </w:r>
            <w:r w:rsidR="00A700E7" w:rsidRPr="00A700E7">
              <w:rPr>
                <w:rFonts w:ascii="Times New Roman" w:hAnsi="Times New Roman"/>
                <w:noProof/>
                <w:sz w:val="24"/>
              </w:rPr>
              <w:t xml:space="preserve"> z 4</w:t>
            </w:r>
            <w:r w:rsidRPr="00A700E7">
              <w:rPr>
                <w:rFonts w:ascii="Times New Roman" w:hAnsi="Times New Roman"/>
                <w:noProof/>
                <w:sz w:val="24"/>
              </w:rPr>
              <w:t>85 000</w:t>
            </w:r>
            <w:r w:rsidR="00A700E7" w:rsidRPr="00A700E7">
              <w:rPr>
                <w:rFonts w:ascii="Times New Roman" w:hAnsi="Times New Roman"/>
                <w:noProof/>
                <w:sz w:val="24"/>
              </w:rPr>
              <w:t xml:space="preserve"> w 2</w:t>
            </w:r>
            <w:r w:rsidRPr="00A700E7">
              <w:rPr>
                <w:rFonts w:ascii="Times New Roman" w:hAnsi="Times New Roman"/>
                <w:noProof/>
                <w:sz w:val="24"/>
              </w:rPr>
              <w:t>024</w:t>
            </w:r>
            <w:r w:rsidR="00A700E7" w:rsidRPr="00A700E7">
              <w:rPr>
                <w:rFonts w:ascii="Times New Roman" w:hAnsi="Times New Roman"/>
                <w:noProof/>
                <w:sz w:val="24"/>
              </w:rPr>
              <w:t> </w:t>
            </w:r>
            <w:r w:rsidRPr="00A700E7">
              <w:rPr>
                <w:rFonts w:ascii="Times New Roman" w:hAnsi="Times New Roman"/>
                <w:noProof/>
                <w:sz w:val="24"/>
              </w:rPr>
              <w:t xml:space="preserve">r. </w:t>
            </w:r>
          </w:p>
          <w:p w14:paraId="06F749C4" w14:textId="60392E94" w:rsidR="003E5E82" w:rsidRPr="00A700E7" w:rsidRDefault="00600EB8" w:rsidP="0057423C">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Oprócz tego, że zbiory danych</w:t>
            </w:r>
            <w:r w:rsidR="00A700E7" w:rsidRPr="00A700E7">
              <w:rPr>
                <w:rFonts w:ascii="Times New Roman" w:hAnsi="Times New Roman"/>
                <w:noProof/>
                <w:sz w:val="24"/>
              </w:rPr>
              <w:t xml:space="preserve"> o wys</w:t>
            </w:r>
            <w:r w:rsidRPr="00A700E7">
              <w:rPr>
                <w:rFonts w:ascii="Times New Roman" w:hAnsi="Times New Roman"/>
                <w:noProof/>
                <w:sz w:val="24"/>
              </w:rPr>
              <w:t>okiej wartości sprzyjają tworzeniu nowych przedsiębiorstw mogą również stanowić istotne czynniki umożliwiające przedsiębiorstwom typu start-up potwierdzenie uzasadnienia biznesowego</w:t>
            </w:r>
            <w:r w:rsidR="00A700E7" w:rsidRPr="00A700E7">
              <w:rPr>
                <w:rFonts w:ascii="Times New Roman" w:hAnsi="Times New Roman"/>
                <w:noProof/>
                <w:sz w:val="24"/>
              </w:rPr>
              <w:t xml:space="preserve"> i prz</w:t>
            </w:r>
            <w:r w:rsidRPr="00A700E7">
              <w:rPr>
                <w:rFonts w:ascii="Times New Roman" w:hAnsi="Times New Roman"/>
                <w:noProof/>
                <w:sz w:val="24"/>
              </w:rPr>
              <w:t>yciągnięcie inwestorów. Wyniki programów inkubatorów danych wskazują na związek między zdecydowaną</w:t>
            </w:r>
            <w:r w:rsidR="00A700E7" w:rsidRPr="00A700E7">
              <w:rPr>
                <w:rFonts w:ascii="Times New Roman" w:hAnsi="Times New Roman"/>
                <w:noProof/>
                <w:sz w:val="24"/>
              </w:rPr>
              <w:t xml:space="preserve"> i akt</w:t>
            </w:r>
            <w:r w:rsidRPr="00A700E7">
              <w:rPr>
                <w:rFonts w:ascii="Times New Roman" w:hAnsi="Times New Roman"/>
                <w:noProof/>
                <w:sz w:val="24"/>
              </w:rPr>
              <w:t>ywną polityką otwartych danych</w:t>
            </w:r>
            <w:r w:rsidR="00A700E7" w:rsidRPr="00A700E7">
              <w:rPr>
                <w:rFonts w:ascii="Times New Roman" w:hAnsi="Times New Roman"/>
                <w:noProof/>
                <w:sz w:val="24"/>
              </w:rPr>
              <w:t xml:space="preserve"> w pań</w:t>
            </w:r>
            <w:r w:rsidRPr="00A700E7">
              <w:rPr>
                <w:rFonts w:ascii="Times New Roman" w:hAnsi="Times New Roman"/>
                <w:noProof/>
                <w:sz w:val="24"/>
              </w:rPr>
              <w:t>stwach członkowskich</w:t>
            </w:r>
            <w:r w:rsidR="00A700E7" w:rsidRPr="00A700E7">
              <w:rPr>
                <w:rFonts w:ascii="Times New Roman" w:hAnsi="Times New Roman"/>
                <w:noProof/>
                <w:sz w:val="24"/>
              </w:rPr>
              <w:t xml:space="preserve"> a lic</w:t>
            </w:r>
            <w:r w:rsidRPr="00A700E7">
              <w:rPr>
                <w:rFonts w:ascii="Times New Roman" w:hAnsi="Times New Roman"/>
                <w:noProof/>
                <w:sz w:val="24"/>
              </w:rPr>
              <w:t>zbą przedsiębiorstw typu start-up</w:t>
            </w:r>
            <w:r w:rsidR="00A700E7" w:rsidRPr="00A700E7">
              <w:rPr>
                <w:rFonts w:ascii="Times New Roman" w:hAnsi="Times New Roman"/>
                <w:noProof/>
                <w:sz w:val="24"/>
              </w:rPr>
              <w:t xml:space="preserve"> z pow</w:t>
            </w:r>
            <w:r w:rsidRPr="00A700E7">
              <w:rPr>
                <w:rFonts w:ascii="Times New Roman" w:hAnsi="Times New Roman"/>
                <w:noProof/>
                <w:sz w:val="24"/>
              </w:rPr>
              <w:t>odzeniem świadczących</w:t>
            </w:r>
            <w:r w:rsidR="00A700E7" w:rsidRPr="00A700E7">
              <w:rPr>
                <w:rFonts w:ascii="Times New Roman" w:hAnsi="Times New Roman"/>
                <w:noProof/>
                <w:sz w:val="24"/>
              </w:rPr>
              <w:t xml:space="preserve"> w tyc</w:t>
            </w:r>
            <w:r w:rsidRPr="00A700E7">
              <w:rPr>
                <w:rFonts w:ascii="Times New Roman" w:hAnsi="Times New Roman"/>
                <w:noProof/>
                <w:sz w:val="24"/>
              </w:rPr>
              <w:t>h krajach usługi</w:t>
            </w:r>
            <w:r w:rsidR="00A700E7" w:rsidRPr="00A700E7">
              <w:rPr>
                <w:rFonts w:ascii="Times New Roman" w:hAnsi="Times New Roman"/>
                <w:noProof/>
                <w:sz w:val="24"/>
              </w:rPr>
              <w:t xml:space="preserve"> w zak</w:t>
            </w:r>
            <w:r w:rsidRPr="00A700E7">
              <w:rPr>
                <w:rFonts w:ascii="Times New Roman" w:hAnsi="Times New Roman"/>
                <w:noProof/>
                <w:sz w:val="24"/>
              </w:rPr>
              <w:t>resie danych. Dzięki otwartym danym może również pośrednio umocnić się pozycja małych przedsiębiorstw: niektóre małe przedsiębiorstwa rozwinęły tak zaawansowane umiejętności przetwarzania otartych danych, że rozwiązania programowe</w:t>
            </w:r>
            <w:r w:rsidR="00A700E7" w:rsidRPr="00A700E7">
              <w:rPr>
                <w:rFonts w:ascii="Times New Roman" w:hAnsi="Times New Roman"/>
                <w:noProof/>
                <w:sz w:val="24"/>
              </w:rPr>
              <w:t xml:space="preserve"> w zak</w:t>
            </w:r>
            <w:r w:rsidRPr="00A700E7">
              <w:rPr>
                <w:rFonts w:ascii="Times New Roman" w:hAnsi="Times New Roman"/>
                <w:noProof/>
                <w:sz w:val="24"/>
              </w:rPr>
              <w:t>resie danych stały się jednymi</w:t>
            </w:r>
            <w:r w:rsidR="00A700E7" w:rsidRPr="00A700E7">
              <w:rPr>
                <w:rFonts w:ascii="Times New Roman" w:hAnsi="Times New Roman"/>
                <w:noProof/>
                <w:sz w:val="24"/>
              </w:rPr>
              <w:t xml:space="preserve"> z głó</w:t>
            </w:r>
            <w:r w:rsidRPr="00A700E7">
              <w:rPr>
                <w:rFonts w:ascii="Times New Roman" w:hAnsi="Times New Roman"/>
                <w:noProof/>
                <w:sz w:val="24"/>
              </w:rPr>
              <w:t xml:space="preserve">wnych oferowanych przez nie produktów. </w:t>
            </w:r>
          </w:p>
          <w:p w14:paraId="57D59AAD" w14:textId="085F6B23" w:rsidR="006E5B0D" w:rsidRPr="00A700E7" w:rsidRDefault="00600EB8" w:rsidP="00600EB8">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Dostępność bezpłatnych danych może ponadto przyczynić się do zrównoważenia pozycji małych przedsiębiorstw</w:t>
            </w:r>
            <w:r w:rsidR="00A700E7" w:rsidRPr="00A700E7">
              <w:rPr>
                <w:rFonts w:ascii="Times New Roman" w:hAnsi="Times New Roman"/>
                <w:noProof/>
                <w:sz w:val="24"/>
              </w:rPr>
              <w:t xml:space="preserve"> i duż</w:t>
            </w:r>
            <w:r w:rsidRPr="00A700E7">
              <w:rPr>
                <w:rFonts w:ascii="Times New Roman" w:hAnsi="Times New Roman"/>
                <w:noProof/>
                <w:sz w:val="24"/>
              </w:rPr>
              <w:t>ych przedsiębiorstw technologicznych (dla których koszt pozyskania danych nie stanowi istotnej przeszkody).</w:t>
            </w:r>
          </w:p>
        </w:tc>
      </w:tr>
      <w:tr w:rsidR="006E5B0D" w:rsidRPr="00A700E7" w14:paraId="1C2FAA1D" w14:textId="77777777" w:rsidTr="0070778A">
        <w:tc>
          <w:tcPr>
            <w:tcW w:w="10490" w:type="dxa"/>
            <w:tcBorders>
              <w:bottom w:val="single" w:sz="4" w:space="0" w:color="auto"/>
            </w:tcBorders>
            <w:shd w:val="clear" w:color="auto" w:fill="E6E6E6"/>
          </w:tcPr>
          <w:p w14:paraId="4956A61E" w14:textId="18766036" w:rsidR="006E5B0D" w:rsidRPr="00A700E7" w:rsidRDefault="006E5B0D" w:rsidP="006E5B0D">
            <w:pPr>
              <w:spacing w:after="240" w:line="240" w:lineRule="auto"/>
              <w:jc w:val="both"/>
              <w:rPr>
                <w:rFonts w:ascii="Times New Roman" w:eastAsia="Times New Roman" w:hAnsi="Times New Roman" w:cs="Times New Roman"/>
                <w:b/>
                <w:i/>
                <w:noProof/>
                <w:sz w:val="24"/>
                <w:szCs w:val="20"/>
              </w:rPr>
            </w:pPr>
            <w:r w:rsidRPr="00A700E7">
              <w:rPr>
                <w:rFonts w:ascii="Times New Roman" w:hAnsi="Times New Roman"/>
                <w:noProof/>
                <w:sz w:val="24"/>
              </w:rPr>
              <w:t>Czy przewiduje się znaczące skutki dla budżetów</w:t>
            </w:r>
            <w:r w:rsidR="00A700E7" w:rsidRPr="00A700E7">
              <w:rPr>
                <w:rFonts w:ascii="Times New Roman" w:hAnsi="Times New Roman"/>
                <w:noProof/>
                <w:sz w:val="24"/>
              </w:rPr>
              <w:t xml:space="preserve"> i adm</w:t>
            </w:r>
            <w:r w:rsidRPr="00A700E7">
              <w:rPr>
                <w:rFonts w:ascii="Times New Roman" w:hAnsi="Times New Roman"/>
                <w:noProof/>
                <w:sz w:val="24"/>
              </w:rPr>
              <w:t xml:space="preserve">inistracji krajowych? </w:t>
            </w:r>
          </w:p>
        </w:tc>
      </w:tr>
      <w:tr w:rsidR="006E5B0D" w:rsidRPr="00A700E7" w14:paraId="1FBB9D5A" w14:textId="77777777" w:rsidTr="0070778A">
        <w:tc>
          <w:tcPr>
            <w:tcW w:w="10490" w:type="dxa"/>
            <w:shd w:val="clear" w:color="auto" w:fill="auto"/>
          </w:tcPr>
          <w:p w14:paraId="6B9DCC83" w14:textId="5319A84C" w:rsidR="006E5B0D" w:rsidRPr="00A700E7" w:rsidRDefault="005D30AE" w:rsidP="00DC3667">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 xml:space="preserve">Wszystkie wskazane powyżej koszty zostaną poniesione przez administracje publiczne, przy czym koszty jednorazowe (ustanowienie interfejsów API) będą </w:t>
            </w:r>
            <w:r w:rsidR="00DC077B" w:rsidRPr="00A700E7">
              <w:rPr>
                <w:rFonts w:ascii="Times New Roman" w:hAnsi="Times New Roman"/>
                <w:noProof/>
                <w:sz w:val="24"/>
              </w:rPr>
              <w:t xml:space="preserve">najistotniejsze.. </w:t>
            </w:r>
            <w:r w:rsidRPr="00A700E7">
              <w:rPr>
                <w:rFonts w:ascii="Times New Roman" w:hAnsi="Times New Roman"/>
                <w:noProof/>
                <w:sz w:val="24"/>
              </w:rPr>
              <w:t>Jeżeli chodzi</w:t>
            </w:r>
            <w:r w:rsidR="00A700E7" w:rsidRPr="00A700E7">
              <w:rPr>
                <w:rFonts w:ascii="Times New Roman" w:hAnsi="Times New Roman"/>
                <w:noProof/>
                <w:sz w:val="24"/>
              </w:rPr>
              <w:t xml:space="preserve"> o nie</w:t>
            </w:r>
            <w:r w:rsidRPr="00A700E7">
              <w:rPr>
                <w:rFonts w:ascii="Times New Roman" w:hAnsi="Times New Roman"/>
                <w:noProof/>
                <w:sz w:val="24"/>
              </w:rPr>
              <w:t>które dane, za których uzyskanie obecnie podmioty ponownie je wykorzystujące muszą płacić (w szczególności dane dotyczące przedsiębiorstw, dane pogodowe</w:t>
            </w:r>
            <w:r w:rsidR="00A700E7" w:rsidRPr="00A700E7">
              <w:rPr>
                <w:rFonts w:ascii="Times New Roman" w:hAnsi="Times New Roman"/>
                <w:noProof/>
                <w:sz w:val="24"/>
              </w:rPr>
              <w:t xml:space="preserve"> i dan</w:t>
            </w:r>
            <w:r w:rsidRPr="00A700E7">
              <w:rPr>
                <w:rFonts w:ascii="Times New Roman" w:hAnsi="Times New Roman"/>
                <w:noProof/>
                <w:sz w:val="24"/>
              </w:rPr>
              <w:t>e dotyczące działek katastralnych), na koszty będzie miało wpływ bezpłatne udostępnianie tych danych. Dyrektywa stanowi jednak, że państwa członkowskie mają dwa lata na dostosowanie się. Ponadto ze względu na dostępność bezpłatnych danych</w:t>
            </w:r>
            <w:r w:rsidR="00A700E7" w:rsidRPr="00A700E7">
              <w:rPr>
                <w:rFonts w:ascii="Times New Roman" w:hAnsi="Times New Roman"/>
                <w:noProof/>
                <w:sz w:val="24"/>
              </w:rPr>
              <w:t xml:space="preserve"> i moż</w:t>
            </w:r>
            <w:r w:rsidRPr="00A700E7">
              <w:rPr>
                <w:rFonts w:ascii="Times New Roman" w:hAnsi="Times New Roman"/>
                <w:noProof/>
                <w:sz w:val="24"/>
              </w:rPr>
              <w:t>liwość ich odczytu maszynowego powinny spaść koszty przetwarzania danych (brak faktur, brak przetwarzania wniosków),</w:t>
            </w:r>
            <w:r w:rsidR="00A700E7" w:rsidRPr="00A700E7">
              <w:rPr>
                <w:rFonts w:ascii="Times New Roman" w:hAnsi="Times New Roman"/>
                <w:noProof/>
                <w:sz w:val="24"/>
              </w:rPr>
              <w:t xml:space="preserve"> a zar</w:t>
            </w:r>
            <w:r w:rsidRPr="00A700E7">
              <w:rPr>
                <w:rFonts w:ascii="Times New Roman" w:hAnsi="Times New Roman"/>
                <w:noProof/>
                <w:sz w:val="24"/>
              </w:rPr>
              <w:t>ządzanie danymi powinno przebiegać sprawniej, co spowoduje spadek ogólnych kosztów</w:t>
            </w:r>
            <w:r w:rsidR="00A700E7" w:rsidRPr="00A700E7">
              <w:rPr>
                <w:rFonts w:ascii="Times New Roman" w:hAnsi="Times New Roman"/>
                <w:noProof/>
                <w:sz w:val="24"/>
              </w:rPr>
              <w:t xml:space="preserve"> w per</w:t>
            </w:r>
            <w:r w:rsidRPr="00A700E7">
              <w:rPr>
                <w:rFonts w:ascii="Times New Roman" w:hAnsi="Times New Roman"/>
                <w:noProof/>
                <w:sz w:val="24"/>
              </w:rPr>
              <w:t>spektywie średnioterminowej.</w:t>
            </w:r>
          </w:p>
        </w:tc>
      </w:tr>
      <w:tr w:rsidR="006E5B0D" w:rsidRPr="00A700E7" w14:paraId="67BD1558" w14:textId="77777777" w:rsidTr="0070778A">
        <w:tc>
          <w:tcPr>
            <w:tcW w:w="10490" w:type="dxa"/>
            <w:tcBorders>
              <w:bottom w:val="single" w:sz="4" w:space="0" w:color="auto"/>
            </w:tcBorders>
            <w:shd w:val="clear" w:color="auto" w:fill="E6E6E6"/>
          </w:tcPr>
          <w:p w14:paraId="7B903E90" w14:textId="77777777"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Czy wystąpią inne znaczące skutki?</w:t>
            </w:r>
            <w:r w:rsidRPr="00A700E7">
              <w:rPr>
                <w:rFonts w:ascii="Times New Roman" w:hAnsi="Times New Roman"/>
                <w:noProof/>
                <w:sz w:val="24"/>
              </w:rPr>
              <w:t xml:space="preserve"> </w:t>
            </w:r>
          </w:p>
        </w:tc>
      </w:tr>
      <w:tr w:rsidR="006E5B0D" w:rsidRPr="00A700E7" w14:paraId="096907CE" w14:textId="77777777" w:rsidTr="0070778A">
        <w:tc>
          <w:tcPr>
            <w:tcW w:w="10490" w:type="dxa"/>
            <w:tcBorders>
              <w:bottom w:val="single" w:sz="4" w:space="0" w:color="auto"/>
            </w:tcBorders>
            <w:shd w:val="clear" w:color="auto" w:fill="auto"/>
          </w:tcPr>
          <w:p w14:paraId="5BE8B4B2" w14:textId="77777777" w:rsidR="006E5B0D" w:rsidRPr="00A700E7" w:rsidRDefault="004F6F36"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 xml:space="preserve">Nie zidentyfikowano żadnych innych znaczących skutków. </w:t>
            </w:r>
          </w:p>
        </w:tc>
      </w:tr>
      <w:tr w:rsidR="006E5B0D" w:rsidRPr="00A700E7" w14:paraId="1720A469" w14:textId="77777777" w:rsidTr="0070778A">
        <w:tc>
          <w:tcPr>
            <w:tcW w:w="10490" w:type="dxa"/>
            <w:tcBorders>
              <w:bottom w:val="single" w:sz="4" w:space="0" w:color="auto"/>
            </w:tcBorders>
            <w:shd w:val="clear" w:color="auto" w:fill="D9D9D9"/>
          </w:tcPr>
          <w:p w14:paraId="1D5D15F9" w14:textId="77777777"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Proporcjonalność?</w:t>
            </w:r>
            <w:r w:rsidRPr="00A700E7">
              <w:rPr>
                <w:rFonts w:ascii="Times New Roman" w:hAnsi="Times New Roman"/>
                <w:noProof/>
                <w:sz w:val="24"/>
              </w:rPr>
              <w:t xml:space="preserve"> </w:t>
            </w:r>
          </w:p>
        </w:tc>
      </w:tr>
      <w:tr w:rsidR="006E5B0D" w:rsidRPr="00A700E7" w14:paraId="4D9E9A4B" w14:textId="77777777" w:rsidTr="0070778A">
        <w:tc>
          <w:tcPr>
            <w:tcW w:w="10490" w:type="dxa"/>
            <w:tcBorders>
              <w:bottom w:val="single" w:sz="4" w:space="0" w:color="auto"/>
            </w:tcBorders>
            <w:shd w:val="clear" w:color="auto" w:fill="auto"/>
          </w:tcPr>
          <w:p w14:paraId="5A501766" w14:textId="0AF941A6" w:rsidR="006E5B0D" w:rsidRPr="00A700E7" w:rsidRDefault="005D30AE" w:rsidP="00DC3667">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W ramach wariantu preferowanego uwzględniono wymogi</w:t>
            </w:r>
            <w:r w:rsidR="00A700E7" w:rsidRPr="00A700E7">
              <w:rPr>
                <w:rFonts w:ascii="Times New Roman" w:hAnsi="Times New Roman"/>
                <w:noProof/>
                <w:sz w:val="24"/>
              </w:rPr>
              <w:t xml:space="preserve"> w zak</w:t>
            </w:r>
            <w:r w:rsidRPr="00A700E7">
              <w:rPr>
                <w:rFonts w:ascii="Times New Roman" w:hAnsi="Times New Roman"/>
                <w:noProof/>
                <w:sz w:val="24"/>
              </w:rPr>
              <w:t>resie wykonalności</w:t>
            </w:r>
            <w:r w:rsidR="00A700E7" w:rsidRPr="00A700E7">
              <w:rPr>
                <w:rFonts w:ascii="Times New Roman" w:hAnsi="Times New Roman"/>
                <w:noProof/>
                <w:sz w:val="24"/>
              </w:rPr>
              <w:t xml:space="preserve"> i pro</w:t>
            </w:r>
            <w:r w:rsidRPr="00A700E7">
              <w:rPr>
                <w:rFonts w:ascii="Times New Roman" w:hAnsi="Times New Roman"/>
                <w:noProof/>
                <w:sz w:val="24"/>
              </w:rPr>
              <w:t>porcjonalności. Aby zminimalizować trudności prawne (np. związane</w:t>
            </w:r>
            <w:r w:rsidR="00A700E7" w:rsidRPr="00A700E7">
              <w:rPr>
                <w:rFonts w:ascii="Times New Roman" w:hAnsi="Times New Roman"/>
                <w:noProof/>
                <w:sz w:val="24"/>
              </w:rPr>
              <w:t xml:space="preserve"> z zap</w:t>
            </w:r>
            <w:r w:rsidRPr="00A700E7">
              <w:rPr>
                <w:rFonts w:ascii="Times New Roman" w:hAnsi="Times New Roman"/>
                <w:noProof/>
                <w:sz w:val="24"/>
              </w:rPr>
              <w:t>ewnieniem zgodności</w:t>
            </w:r>
            <w:r w:rsidR="00A700E7" w:rsidRPr="00A700E7">
              <w:rPr>
                <w:rFonts w:ascii="Times New Roman" w:hAnsi="Times New Roman"/>
                <w:noProof/>
                <w:sz w:val="24"/>
              </w:rPr>
              <w:t xml:space="preserve"> z uni</w:t>
            </w:r>
            <w:r w:rsidRPr="00A700E7">
              <w:rPr>
                <w:rFonts w:ascii="Times New Roman" w:hAnsi="Times New Roman"/>
                <w:noProof/>
                <w:sz w:val="24"/>
              </w:rPr>
              <w:t>jnymi przepisami dotyczącymi ochrony danych)</w:t>
            </w:r>
            <w:r w:rsidR="00A700E7" w:rsidRPr="00A700E7">
              <w:rPr>
                <w:rFonts w:ascii="Times New Roman" w:hAnsi="Times New Roman"/>
                <w:noProof/>
                <w:sz w:val="24"/>
              </w:rPr>
              <w:t xml:space="preserve"> i ogr</w:t>
            </w:r>
            <w:r w:rsidRPr="00A700E7">
              <w:rPr>
                <w:rFonts w:ascii="Times New Roman" w:hAnsi="Times New Roman"/>
                <w:noProof/>
                <w:sz w:val="24"/>
              </w:rPr>
              <w:t>aniczyć koszty,</w:t>
            </w:r>
            <w:r w:rsidR="00A700E7" w:rsidRPr="00A700E7">
              <w:rPr>
                <w:rFonts w:ascii="Times New Roman" w:hAnsi="Times New Roman"/>
                <w:noProof/>
                <w:sz w:val="24"/>
              </w:rPr>
              <w:t xml:space="preserve"> w ram</w:t>
            </w:r>
            <w:r w:rsidRPr="00A700E7">
              <w:rPr>
                <w:rFonts w:ascii="Times New Roman" w:hAnsi="Times New Roman"/>
                <w:noProof/>
                <w:sz w:val="24"/>
              </w:rPr>
              <w:t>ach wariantu preferowanego przewidziano niższą intensywność interwencji</w:t>
            </w:r>
            <w:r w:rsidR="00A700E7" w:rsidRPr="00A700E7">
              <w:rPr>
                <w:rFonts w:ascii="Times New Roman" w:hAnsi="Times New Roman"/>
                <w:noProof/>
                <w:sz w:val="24"/>
              </w:rPr>
              <w:t xml:space="preserve"> w prz</w:t>
            </w:r>
            <w:r w:rsidRPr="00A700E7">
              <w:rPr>
                <w:rFonts w:ascii="Times New Roman" w:hAnsi="Times New Roman"/>
                <w:noProof/>
                <w:sz w:val="24"/>
              </w:rPr>
              <w:t>ypadku następujących tematów: dane geoprzestrzenne, dane dotyczące mobilności</w:t>
            </w:r>
            <w:r w:rsidR="00A700E7" w:rsidRPr="00A700E7">
              <w:rPr>
                <w:rFonts w:ascii="Times New Roman" w:hAnsi="Times New Roman"/>
                <w:noProof/>
                <w:sz w:val="24"/>
              </w:rPr>
              <w:t xml:space="preserve"> i dan</w:t>
            </w:r>
            <w:r w:rsidRPr="00A700E7">
              <w:rPr>
                <w:rFonts w:ascii="Times New Roman" w:hAnsi="Times New Roman"/>
                <w:noProof/>
                <w:sz w:val="24"/>
              </w:rPr>
              <w:t>e dotyczące przedsiębiorstwa.</w:t>
            </w:r>
          </w:p>
        </w:tc>
      </w:tr>
      <w:tr w:rsidR="006E5B0D" w:rsidRPr="00A700E7" w14:paraId="73513B3C" w14:textId="77777777" w:rsidTr="0070778A">
        <w:tc>
          <w:tcPr>
            <w:tcW w:w="10490" w:type="dxa"/>
            <w:tcBorders>
              <w:bottom w:val="single" w:sz="4" w:space="0" w:color="auto"/>
            </w:tcBorders>
            <w:shd w:val="clear" w:color="auto" w:fill="C0C0C0"/>
          </w:tcPr>
          <w:p w14:paraId="5891FAD9" w14:textId="77777777" w:rsidR="006E5B0D" w:rsidRPr="00A700E7" w:rsidRDefault="006E5B0D" w:rsidP="006E5B0D">
            <w:pPr>
              <w:spacing w:after="240" w:line="240" w:lineRule="auto"/>
              <w:jc w:val="both"/>
              <w:rPr>
                <w:rFonts w:ascii="Times New Roman" w:eastAsia="Times New Roman" w:hAnsi="Times New Roman" w:cs="Times New Roman"/>
                <w:b/>
                <w:noProof/>
                <w:sz w:val="24"/>
                <w:szCs w:val="20"/>
              </w:rPr>
            </w:pPr>
            <w:r w:rsidRPr="00A700E7">
              <w:rPr>
                <w:rFonts w:ascii="Times New Roman" w:hAnsi="Times New Roman"/>
                <w:b/>
                <w:noProof/>
                <w:sz w:val="24"/>
              </w:rPr>
              <w:t>D. Działania następcze</w:t>
            </w:r>
          </w:p>
        </w:tc>
      </w:tr>
      <w:tr w:rsidR="006E5B0D" w:rsidRPr="00A700E7" w14:paraId="3A9F1294" w14:textId="77777777" w:rsidTr="0070778A">
        <w:tc>
          <w:tcPr>
            <w:tcW w:w="10490" w:type="dxa"/>
            <w:tcBorders>
              <w:bottom w:val="single" w:sz="4" w:space="0" w:color="auto"/>
            </w:tcBorders>
            <w:shd w:val="clear" w:color="auto" w:fill="E6E6E6"/>
          </w:tcPr>
          <w:p w14:paraId="0E5A55ED" w14:textId="77777777" w:rsidR="006E5B0D" w:rsidRPr="00A700E7" w:rsidRDefault="006E5B0D" w:rsidP="006E5B0D">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b/>
                <w:noProof/>
                <w:sz w:val="24"/>
              </w:rPr>
              <w:t xml:space="preserve">Kiedy nastąpi przegląd przyjętej polityki? </w:t>
            </w:r>
          </w:p>
        </w:tc>
      </w:tr>
      <w:tr w:rsidR="006E5B0D" w:rsidRPr="00A700E7" w14:paraId="108F480B" w14:textId="77777777" w:rsidTr="0070778A">
        <w:tc>
          <w:tcPr>
            <w:tcW w:w="10490" w:type="dxa"/>
            <w:tcBorders>
              <w:bottom w:val="single" w:sz="4" w:space="0" w:color="auto"/>
            </w:tcBorders>
            <w:shd w:val="clear" w:color="auto" w:fill="auto"/>
          </w:tcPr>
          <w:p w14:paraId="03989B6D" w14:textId="7A6BB6C4" w:rsidR="006E5B0D" w:rsidRPr="00A700E7" w:rsidRDefault="00757617" w:rsidP="00DC3667">
            <w:pPr>
              <w:spacing w:after="240" w:line="240" w:lineRule="auto"/>
              <w:jc w:val="both"/>
              <w:rPr>
                <w:rFonts w:ascii="Times New Roman" w:eastAsia="Times New Roman" w:hAnsi="Times New Roman" w:cs="Times New Roman"/>
                <w:noProof/>
                <w:sz w:val="24"/>
                <w:szCs w:val="20"/>
              </w:rPr>
            </w:pPr>
            <w:r w:rsidRPr="00A700E7">
              <w:rPr>
                <w:rFonts w:ascii="Times New Roman" w:hAnsi="Times New Roman"/>
                <w:noProof/>
                <w:sz w:val="24"/>
              </w:rPr>
              <w:t>Przegląd aktu podstawowego (dyrektywa 2019/1024) można rozpocząć</w:t>
            </w:r>
            <w:r w:rsidR="00A700E7" w:rsidRPr="00A700E7">
              <w:rPr>
                <w:rFonts w:ascii="Times New Roman" w:hAnsi="Times New Roman"/>
                <w:noProof/>
                <w:sz w:val="24"/>
              </w:rPr>
              <w:t xml:space="preserve"> w 2</w:t>
            </w:r>
            <w:r w:rsidRPr="00A700E7">
              <w:rPr>
                <w:rFonts w:ascii="Times New Roman" w:hAnsi="Times New Roman"/>
                <w:noProof/>
                <w:sz w:val="24"/>
              </w:rPr>
              <w:t>025</w:t>
            </w:r>
            <w:r w:rsidR="00A700E7" w:rsidRPr="00A700E7">
              <w:rPr>
                <w:rFonts w:ascii="Times New Roman" w:hAnsi="Times New Roman"/>
                <w:noProof/>
                <w:sz w:val="24"/>
              </w:rPr>
              <w:t> </w:t>
            </w:r>
            <w:r w:rsidRPr="00A700E7">
              <w:rPr>
                <w:rFonts w:ascii="Times New Roman" w:hAnsi="Times New Roman"/>
                <w:noProof/>
                <w:sz w:val="24"/>
              </w:rPr>
              <w:t>r</w:t>
            </w:r>
            <w:r w:rsidR="00A700E7" w:rsidRPr="00A700E7">
              <w:rPr>
                <w:rFonts w:ascii="Times New Roman" w:hAnsi="Times New Roman"/>
                <w:noProof/>
                <w:sz w:val="24"/>
              </w:rPr>
              <w:t>. W dow</w:t>
            </w:r>
            <w:r w:rsidRPr="00A700E7">
              <w:rPr>
                <w:rFonts w:ascii="Times New Roman" w:hAnsi="Times New Roman"/>
                <w:noProof/>
                <w:sz w:val="24"/>
              </w:rPr>
              <w:t>olnym czasie można jednak dodać sześć tematów wymienionych</w:t>
            </w:r>
            <w:r w:rsidR="00A700E7" w:rsidRPr="00A700E7">
              <w:rPr>
                <w:rFonts w:ascii="Times New Roman" w:hAnsi="Times New Roman"/>
                <w:noProof/>
                <w:sz w:val="24"/>
              </w:rPr>
              <w:t xml:space="preserve"> w dyr</w:t>
            </w:r>
            <w:r w:rsidRPr="00A700E7">
              <w:rPr>
                <w:rFonts w:ascii="Times New Roman" w:hAnsi="Times New Roman"/>
                <w:noProof/>
                <w:sz w:val="24"/>
              </w:rPr>
              <w:t>ektywie</w:t>
            </w:r>
            <w:r w:rsidR="00A700E7" w:rsidRPr="00A700E7">
              <w:rPr>
                <w:rFonts w:ascii="Times New Roman" w:hAnsi="Times New Roman"/>
                <w:noProof/>
                <w:sz w:val="24"/>
              </w:rPr>
              <w:t xml:space="preserve"> w dro</w:t>
            </w:r>
            <w:r w:rsidRPr="00A700E7">
              <w:rPr>
                <w:rFonts w:ascii="Times New Roman" w:hAnsi="Times New Roman"/>
                <w:noProof/>
                <w:sz w:val="24"/>
              </w:rPr>
              <w:t>dze aktu delegowanego,</w:t>
            </w:r>
            <w:r w:rsidR="00A700E7" w:rsidRPr="00A700E7">
              <w:rPr>
                <w:rFonts w:ascii="Times New Roman" w:hAnsi="Times New Roman"/>
                <w:noProof/>
                <w:sz w:val="24"/>
              </w:rPr>
              <w:t xml:space="preserve"> a szc</w:t>
            </w:r>
            <w:r w:rsidRPr="00A700E7">
              <w:rPr>
                <w:rFonts w:ascii="Times New Roman" w:hAnsi="Times New Roman"/>
                <w:noProof/>
                <w:sz w:val="24"/>
              </w:rPr>
              <w:t>zególne zbiory danych można zmieniać</w:t>
            </w:r>
            <w:r w:rsidR="00A700E7" w:rsidRPr="00A700E7">
              <w:rPr>
                <w:rFonts w:ascii="Times New Roman" w:hAnsi="Times New Roman"/>
                <w:noProof/>
                <w:sz w:val="24"/>
              </w:rPr>
              <w:t xml:space="preserve"> w dro</w:t>
            </w:r>
            <w:r w:rsidRPr="00A700E7">
              <w:rPr>
                <w:rFonts w:ascii="Times New Roman" w:hAnsi="Times New Roman"/>
                <w:noProof/>
                <w:sz w:val="24"/>
              </w:rPr>
              <w:t>dze aktów wykonawczych.</w:t>
            </w:r>
          </w:p>
        </w:tc>
      </w:tr>
    </w:tbl>
    <w:p w14:paraId="63CB7E40" w14:textId="77777777" w:rsidR="00F31280" w:rsidRPr="00A700E7" w:rsidRDefault="00F31280">
      <w:pPr>
        <w:rPr>
          <w:noProof/>
        </w:rPr>
      </w:pPr>
    </w:p>
    <w:sectPr w:rsidR="00F31280" w:rsidRPr="00A700E7" w:rsidSect="0026613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8CFD" w14:textId="77777777" w:rsidR="0070778A" w:rsidRPr="00A700E7" w:rsidRDefault="0070778A" w:rsidP="0026613F">
      <w:pPr>
        <w:spacing w:after="0" w:line="240" w:lineRule="auto"/>
      </w:pPr>
      <w:r w:rsidRPr="00A700E7">
        <w:separator/>
      </w:r>
    </w:p>
  </w:endnote>
  <w:endnote w:type="continuationSeparator" w:id="0">
    <w:p w14:paraId="3AB164E2" w14:textId="77777777" w:rsidR="0070778A" w:rsidRPr="00A700E7" w:rsidRDefault="0070778A" w:rsidP="0026613F">
      <w:pPr>
        <w:spacing w:after="0" w:line="240" w:lineRule="auto"/>
      </w:pPr>
      <w:r w:rsidRPr="00A70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AE66" w14:textId="77777777" w:rsidR="007B6017" w:rsidRPr="007B6017" w:rsidRDefault="007B6017" w:rsidP="007B6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62A4" w14:textId="6128684C" w:rsidR="00A700E7" w:rsidRPr="007B6017" w:rsidRDefault="007B6017" w:rsidP="007B6017">
    <w:pPr>
      <w:pStyle w:val="FooterCoverPage"/>
      <w:rPr>
        <w:rFonts w:ascii="Arial" w:hAnsi="Arial" w:cs="Arial"/>
        <w:b/>
        <w:sz w:val="48"/>
      </w:rPr>
    </w:pPr>
    <w:r w:rsidRPr="007B6017">
      <w:rPr>
        <w:rFonts w:ascii="Arial" w:hAnsi="Arial" w:cs="Arial"/>
        <w:b/>
        <w:sz w:val="48"/>
      </w:rPr>
      <w:t>PL</w:t>
    </w:r>
    <w:r w:rsidRPr="007B6017">
      <w:rPr>
        <w:rFonts w:ascii="Arial" w:hAnsi="Arial" w:cs="Arial"/>
        <w:b/>
        <w:sz w:val="48"/>
      </w:rPr>
      <w:tab/>
    </w:r>
    <w:r w:rsidRPr="007B6017">
      <w:rPr>
        <w:rFonts w:ascii="Arial" w:hAnsi="Arial" w:cs="Arial"/>
        <w:b/>
        <w:sz w:val="48"/>
      </w:rPr>
      <w:tab/>
    </w:r>
    <w:r w:rsidRPr="007B6017">
      <w:tab/>
    </w:r>
    <w:r w:rsidRPr="007B6017">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B450" w14:textId="77777777" w:rsidR="007B6017" w:rsidRPr="007B6017" w:rsidRDefault="007B6017" w:rsidP="007B601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E24D" w14:textId="77777777" w:rsidR="0070778A" w:rsidRPr="0057423C" w:rsidRDefault="007077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sdtContent>
      <w:p w14:paraId="472A2A00" w14:textId="2C7ECD0A" w:rsidR="0070778A" w:rsidRPr="0057423C" w:rsidRDefault="0070778A">
        <w:pPr>
          <w:pStyle w:val="Footer"/>
          <w:jc w:val="center"/>
        </w:pPr>
        <w:r>
          <w:fldChar w:fldCharType="begin"/>
        </w:r>
        <w:r>
          <w:instrText xml:space="preserve"> PAGE   \* MERGEFORMAT </w:instrText>
        </w:r>
        <w:r>
          <w:fldChar w:fldCharType="separate"/>
        </w:r>
        <w:r w:rsidR="007B6017">
          <w:rPr>
            <w:noProof/>
          </w:rPr>
          <w:t>1</w:t>
        </w:r>
        <w:r>
          <w:fldChar w:fldCharType="end"/>
        </w:r>
      </w:p>
    </w:sdtContent>
  </w:sdt>
  <w:p w14:paraId="379A267B" w14:textId="77777777" w:rsidR="0070778A" w:rsidRPr="0057423C" w:rsidRDefault="007077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009F" w14:textId="77777777" w:rsidR="0070778A" w:rsidRPr="0057423C" w:rsidRDefault="0070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12DD" w14:textId="77777777" w:rsidR="0070778A" w:rsidRPr="00A700E7" w:rsidRDefault="0070778A" w:rsidP="0026613F">
      <w:pPr>
        <w:spacing w:after="0" w:line="240" w:lineRule="auto"/>
      </w:pPr>
      <w:r w:rsidRPr="00A700E7">
        <w:separator/>
      </w:r>
    </w:p>
  </w:footnote>
  <w:footnote w:type="continuationSeparator" w:id="0">
    <w:p w14:paraId="3DC33581" w14:textId="77777777" w:rsidR="0070778A" w:rsidRPr="00A700E7" w:rsidRDefault="0070778A" w:rsidP="0026613F">
      <w:pPr>
        <w:spacing w:after="0" w:line="240" w:lineRule="auto"/>
      </w:pPr>
      <w:r w:rsidRPr="00A70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46E6" w14:textId="77777777" w:rsidR="007B6017" w:rsidRPr="007B6017" w:rsidRDefault="007B6017" w:rsidP="007B6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FA23" w14:textId="77777777" w:rsidR="007B6017" w:rsidRPr="007B6017" w:rsidRDefault="007B6017" w:rsidP="007B601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625E" w14:textId="77777777" w:rsidR="007B6017" w:rsidRPr="007B6017" w:rsidRDefault="007B6017" w:rsidP="007B601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4838" w14:textId="77777777" w:rsidR="0070778A" w:rsidRPr="0057423C" w:rsidRDefault="007077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518" w14:textId="77777777" w:rsidR="0070778A" w:rsidRPr="0057423C" w:rsidRDefault="0070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E028" w14:textId="77777777" w:rsidR="0070778A" w:rsidRPr="0057423C" w:rsidRDefault="0070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97181"/>
    <w:multiLevelType w:val="hybridMultilevel"/>
    <w:tmpl w:val="3E82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warzyszący dokumentowi:"/>
    <w:docVar w:name="LW_CORRIGENDUM" w:val="&lt;UNUSED&gt;"/>
    <w:docVar w:name="LW_COVERPAGE_EXISTS" w:val="True"/>
    <w:docVar w:name="LW_COVERPAGE_GUID" w:val="304C6418-8FEA-479A-997C-CFA4BF2983A6"/>
    <w:docVar w:name="LW_COVERPAGE_TYPE" w:val="1"/>
    <w:docVar w:name="LW_CROSSREFERENCE" w:val="{C(2022) 9562 final} - {SEC(2022) 450 final} - {SWD(2022) 431 final} - {SWD(2022) 432 final}"/>
    <w:docVar w:name="LW_DocType" w:val="NORMAL"/>
    <w:docVar w:name="LW_EMISSION" w:val="21.12.2022"/>
    <w:docVar w:name="LW_EMISSION_ISODATE" w:val="2022-12-21"/>
    <w:docVar w:name="LW_EMISSION_LOCATION" w:val="BRX"/>
    <w:docVar w:name="LW_EMISSION_PREFIX" w:val="Bruksela, dnia "/>
    <w:docVar w:name="LW_EMISSION_SUFFIX" w:val=" r."/>
    <w:docVar w:name="LW_ID_DOCTYPE_NONLW" w:val="CP-027"/>
    <w:docVar w:name="LW_LANGUE" w:val="PL"/>
    <w:docVar w:name="LW_LEVEL_OF_SENSITIVITY" w:val="Standard treatment"/>
    <w:docVar w:name="LW_NOM.INST" w:val="KOMISJA EUROPEJSKA"/>
    <w:docVar w:name="LW_NOM.INST_JOINTDOC" w:val="&lt;EMPTY&gt;"/>
    <w:docVar w:name="LW_OBJETACTEPRINCIPAL.CP" w:val="ustanawiające wykaz szczegółowych zbiorów danych o wysokiej wartości oraz warunki _x000d__x000d__x000d__x000b_ich publikacji i ponownego wykorzystania"/>
    <w:docVar w:name="LW_PART_NBR" w:val="1"/>
    <w:docVar w:name="LW_PART_NBR_TOTAL" w:val="1"/>
    <w:docVar w:name="LW_REF.INST.NEW" w:val="SWD"/>
    <w:docVar w:name="LW_REF.INST.NEW_ADOPTED" w:val="final"/>
    <w:docVar w:name="LW_REF.INST.NEW_TEXT" w:val="(2022) 4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KUMENT ROBOCZY SŁUŻB KOMISJI_x000b__x000b_STRESZCZENIE SPRAWOZDANIA Z OCENY SKUTKÓW_x000b_"/>
    <w:docVar w:name="LW_TYPEACTEPRINCIPAL.CP" w:val="ROZPORZĄDZENIE WYKONAWCZE KOMISJI"/>
    <w:docVar w:name="LwApiVersions" w:val="LW4CoDe 1.23.2.0; LW 8.0, Build 20211117"/>
    <w:docVar w:name="Stamp" w:val="\\dossiers.dgt.cec.eu.int\dossiers\CNECT\CNECT-2022-00201\CNECT-2022-00201-00-01-EN-EDT-00.202203301423316547398.DOCX"/>
  </w:docVars>
  <w:rsids>
    <w:rsidRoot w:val="0026613F"/>
    <w:rsid w:val="00021532"/>
    <w:rsid w:val="00031BE5"/>
    <w:rsid w:val="00036868"/>
    <w:rsid w:val="000717F2"/>
    <w:rsid w:val="00082FBE"/>
    <w:rsid w:val="000A0411"/>
    <w:rsid w:val="000D33B0"/>
    <w:rsid w:val="000F1910"/>
    <w:rsid w:val="001008B7"/>
    <w:rsid w:val="0012258B"/>
    <w:rsid w:val="00187F69"/>
    <w:rsid w:val="001A3052"/>
    <w:rsid w:val="001A661D"/>
    <w:rsid w:val="001A7E24"/>
    <w:rsid w:val="001B298F"/>
    <w:rsid w:val="001D46C7"/>
    <w:rsid w:val="002334B6"/>
    <w:rsid w:val="0026613F"/>
    <w:rsid w:val="002A4C5B"/>
    <w:rsid w:val="00354D3F"/>
    <w:rsid w:val="00380860"/>
    <w:rsid w:val="00383722"/>
    <w:rsid w:val="003C09AF"/>
    <w:rsid w:val="003D20D8"/>
    <w:rsid w:val="003D5A75"/>
    <w:rsid w:val="003E5E82"/>
    <w:rsid w:val="004152E2"/>
    <w:rsid w:val="0042254F"/>
    <w:rsid w:val="0048448C"/>
    <w:rsid w:val="0048467B"/>
    <w:rsid w:val="004A3979"/>
    <w:rsid w:val="004A404A"/>
    <w:rsid w:val="004D1F08"/>
    <w:rsid w:val="004F6F36"/>
    <w:rsid w:val="00505B74"/>
    <w:rsid w:val="0057423C"/>
    <w:rsid w:val="00574E37"/>
    <w:rsid w:val="005778DA"/>
    <w:rsid w:val="00591A8E"/>
    <w:rsid w:val="005C71C7"/>
    <w:rsid w:val="005D30AE"/>
    <w:rsid w:val="00600EB8"/>
    <w:rsid w:val="00614D62"/>
    <w:rsid w:val="00624693"/>
    <w:rsid w:val="00643F5A"/>
    <w:rsid w:val="00644073"/>
    <w:rsid w:val="006454A9"/>
    <w:rsid w:val="00651B6E"/>
    <w:rsid w:val="006531AE"/>
    <w:rsid w:val="00666C47"/>
    <w:rsid w:val="00696000"/>
    <w:rsid w:val="006E233C"/>
    <w:rsid w:val="006E5B0D"/>
    <w:rsid w:val="0070778A"/>
    <w:rsid w:val="00746D57"/>
    <w:rsid w:val="00757617"/>
    <w:rsid w:val="007732C1"/>
    <w:rsid w:val="00786B29"/>
    <w:rsid w:val="007B6017"/>
    <w:rsid w:val="007F4286"/>
    <w:rsid w:val="00826EF1"/>
    <w:rsid w:val="00832F07"/>
    <w:rsid w:val="00871790"/>
    <w:rsid w:val="00886520"/>
    <w:rsid w:val="008B3BE8"/>
    <w:rsid w:val="008F0546"/>
    <w:rsid w:val="00942FB9"/>
    <w:rsid w:val="009443D9"/>
    <w:rsid w:val="009513B0"/>
    <w:rsid w:val="009536CC"/>
    <w:rsid w:val="00975054"/>
    <w:rsid w:val="0097718F"/>
    <w:rsid w:val="00977B53"/>
    <w:rsid w:val="009C0273"/>
    <w:rsid w:val="00A07ACA"/>
    <w:rsid w:val="00A56D26"/>
    <w:rsid w:val="00A700E7"/>
    <w:rsid w:val="00A83125"/>
    <w:rsid w:val="00A91738"/>
    <w:rsid w:val="00A9271B"/>
    <w:rsid w:val="00A92D56"/>
    <w:rsid w:val="00AE4A97"/>
    <w:rsid w:val="00B023CA"/>
    <w:rsid w:val="00B02EB9"/>
    <w:rsid w:val="00B15F4B"/>
    <w:rsid w:val="00B30183"/>
    <w:rsid w:val="00B36AFD"/>
    <w:rsid w:val="00B56675"/>
    <w:rsid w:val="00B5671C"/>
    <w:rsid w:val="00BB029A"/>
    <w:rsid w:val="00BD6C9F"/>
    <w:rsid w:val="00C222EB"/>
    <w:rsid w:val="00C312F0"/>
    <w:rsid w:val="00C70C10"/>
    <w:rsid w:val="00CB1D05"/>
    <w:rsid w:val="00CD64BF"/>
    <w:rsid w:val="00CE6283"/>
    <w:rsid w:val="00CF47E3"/>
    <w:rsid w:val="00D11FE6"/>
    <w:rsid w:val="00D20AF7"/>
    <w:rsid w:val="00D20FD1"/>
    <w:rsid w:val="00D30139"/>
    <w:rsid w:val="00D92397"/>
    <w:rsid w:val="00D95532"/>
    <w:rsid w:val="00DA4039"/>
    <w:rsid w:val="00DC077B"/>
    <w:rsid w:val="00DC3667"/>
    <w:rsid w:val="00DD713B"/>
    <w:rsid w:val="00E10C8F"/>
    <w:rsid w:val="00E71BEE"/>
    <w:rsid w:val="00E907B7"/>
    <w:rsid w:val="00ED23A3"/>
    <w:rsid w:val="00F04859"/>
    <w:rsid w:val="00F22A44"/>
    <w:rsid w:val="00F31280"/>
    <w:rsid w:val="00F43734"/>
    <w:rsid w:val="00F54CAF"/>
    <w:rsid w:val="00F64348"/>
    <w:rsid w:val="00F84C30"/>
    <w:rsid w:val="00FC4001"/>
    <w:rsid w:val="00FF07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01FA13F"/>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character" w:styleId="CommentReference">
    <w:name w:val="annotation reference"/>
    <w:basedOn w:val="DefaultParagraphFont"/>
    <w:uiPriority w:val="99"/>
    <w:semiHidden/>
    <w:unhideWhenUsed/>
    <w:rsid w:val="00D92397"/>
    <w:rPr>
      <w:sz w:val="16"/>
      <w:szCs w:val="16"/>
    </w:rPr>
  </w:style>
  <w:style w:type="paragraph" w:styleId="CommentText">
    <w:name w:val="annotation text"/>
    <w:basedOn w:val="Normal"/>
    <w:link w:val="CommentTextChar"/>
    <w:uiPriority w:val="99"/>
    <w:unhideWhenUsed/>
    <w:rsid w:val="00D92397"/>
    <w:pPr>
      <w:spacing w:line="240" w:lineRule="auto"/>
    </w:pPr>
    <w:rPr>
      <w:sz w:val="20"/>
      <w:szCs w:val="20"/>
    </w:rPr>
  </w:style>
  <w:style w:type="character" w:customStyle="1" w:styleId="CommentTextChar">
    <w:name w:val="Comment Text Char"/>
    <w:basedOn w:val="DefaultParagraphFont"/>
    <w:link w:val="CommentText"/>
    <w:uiPriority w:val="99"/>
    <w:rsid w:val="00D92397"/>
    <w:rPr>
      <w:sz w:val="20"/>
      <w:szCs w:val="20"/>
    </w:rPr>
  </w:style>
  <w:style w:type="paragraph" w:styleId="CommentSubject">
    <w:name w:val="annotation subject"/>
    <w:basedOn w:val="CommentText"/>
    <w:next w:val="CommentText"/>
    <w:link w:val="CommentSubjectChar"/>
    <w:uiPriority w:val="99"/>
    <w:semiHidden/>
    <w:unhideWhenUsed/>
    <w:rsid w:val="00D92397"/>
    <w:rPr>
      <w:b/>
      <w:bCs/>
    </w:rPr>
  </w:style>
  <w:style w:type="character" w:customStyle="1" w:styleId="CommentSubjectChar">
    <w:name w:val="Comment Subject Char"/>
    <w:basedOn w:val="CommentTextChar"/>
    <w:link w:val="CommentSubject"/>
    <w:uiPriority w:val="99"/>
    <w:semiHidden/>
    <w:rsid w:val="00D92397"/>
    <w:rPr>
      <w:b/>
      <w:bCs/>
      <w:sz w:val="20"/>
      <w:szCs w:val="20"/>
    </w:rPr>
  </w:style>
  <w:style w:type="paragraph" w:styleId="BalloonText">
    <w:name w:val="Balloon Text"/>
    <w:basedOn w:val="Normal"/>
    <w:link w:val="BalloonTextChar"/>
    <w:uiPriority w:val="99"/>
    <w:semiHidden/>
    <w:unhideWhenUsed/>
    <w:rsid w:val="00D92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397"/>
    <w:rPr>
      <w:rFonts w:ascii="Segoe UI" w:hAnsi="Segoe UI" w:cs="Segoe UI"/>
      <w:sz w:val="18"/>
      <w:szCs w:val="18"/>
    </w:rPr>
  </w:style>
  <w:style w:type="character" w:styleId="Hyperlink">
    <w:name w:val="Hyperlink"/>
    <w:basedOn w:val="DefaultParagraphFont"/>
    <w:uiPriority w:val="99"/>
    <w:unhideWhenUsed/>
    <w:rsid w:val="0057423C"/>
    <w:rPr>
      <w:color w:val="0000FF" w:themeColor="hyperlink"/>
      <w:u w:val="single"/>
    </w:rPr>
  </w:style>
  <w:style w:type="paragraph" w:styleId="ListParagraph">
    <w:name w:val="List Paragraph"/>
    <w:basedOn w:val="Normal"/>
    <w:uiPriority w:val="34"/>
    <w:qFormat/>
    <w:rsid w:val="003E5E82"/>
    <w:pPr>
      <w:ind w:left="720"/>
      <w:contextualSpacing/>
    </w:pPr>
  </w:style>
  <w:style w:type="paragraph" w:styleId="Revision">
    <w:name w:val="Revision"/>
    <w:hidden/>
    <w:uiPriority w:val="99"/>
    <w:semiHidden/>
    <w:rsid w:val="00233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2D5C-0B0B-4E50-9754-D27740E9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1669</Words>
  <Characters>11673</Characters>
  <Application>Microsoft Office Word</Application>
  <DocSecurity>0</DocSecurity>
  <Lines>166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2022-05-23T10:13:00Z</dcterms:created>
  <dcterms:modified xsi:type="dcterms:W3CDTF">2022-12-16T10:10:00Z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8.1, Build 20220902</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2022-04-07T07:44:30Z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a7f7dab7-5926-4ff8-bb59-c874341c11fe</vt:lpwstr>
  </property>
  <property fmtid="{D5CDD505-2E9C-101B-9397-08002B2CF9AE}" pid="15" name="MSIP_Label_6bd9ddd1-4d20-43f6-abfa-fc3c07406f94_ContentBits">
    <vt:lpwstr>0</vt:lpwstr>
  </property>
  <property name="OP_sanitized" fmtid="{D5CDD505-2E9C-101B-9397-08002B2CF9AE}" pid="16">
    <vt:lpwstr>True</vt:lpwstr>
  </property>
</Properties>
</file>