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D57" w14:textId="07E2A15D" w:rsidR="00F3612F" w:rsidRPr="00C47230" w:rsidRDefault="00523072" w:rsidP="00523072">
      <w:pPr>
        <w:pStyle w:val="Pagedecouverture"/>
        <w:rPr>
          <w:noProof/>
        </w:rPr>
      </w:pPr>
      <w:r>
        <w:rPr>
          <w:noProof/>
        </w:rPr>
        <w:pict w14:anchorId="78E09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C8CEBC4-D9A2-498B-A185-503B34E2F143" style="width:455.25pt;height:383.25pt">
            <v:imagedata r:id="rId11" o:title=""/>
          </v:shape>
        </w:pict>
      </w:r>
    </w:p>
    <w:p w14:paraId="0778CBD0" w14:textId="77777777" w:rsidR="007B5C08" w:rsidRPr="00C47230" w:rsidRDefault="007B5C08" w:rsidP="007B5C08">
      <w:pPr>
        <w:rPr>
          <w:noProof/>
        </w:rPr>
        <w:sectPr w:rsidR="007B5C08" w:rsidRPr="00C47230" w:rsidSect="00523072">
          <w:footerReference w:type="default" r:id="rId12"/>
          <w:pgSz w:w="11907" w:h="16839"/>
          <w:pgMar w:top="1134" w:right="1417" w:bottom="1134" w:left="1417" w:header="709" w:footer="709" w:gutter="0"/>
          <w:pgNumType w:start="0"/>
          <w:cols w:space="720"/>
          <w:docGrid w:linePitch="326"/>
        </w:sectPr>
      </w:pPr>
    </w:p>
    <w:p w14:paraId="402FAFCC" w14:textId="77777777" w:rsidR="00F3612F" w:rsidRPr="00C47230" w:rsidRDefault="00F3612F" w:rsidP="00D942B1">
      <w:pPr>
        <w:pStyle w:val="Exposdesmotifstitre"/>
        <w:rPr>
          <w:noProof/>
        </w:rPr>
      </w:pPr>
      <w:bookmarkStart w:id="0" w:name="_GoBack"/>
      <w:bookmarkEnd w:id="0"/>
      <w:r w:rsidRPr="00C47230">
        <w:rPr>
          <w:noProof/>
        </w:rPr>
        <w:lastRenderedPageBreak/>
        <w:t>UZASADNIENIE</w:t>
      </w:r>
    </w:p>
    <w:p w14:paraId="0077F8A9" w14:textId="77777777" w:rsidR="00F3612F" w:rsidRPr="00C47230" w:rsidRDefault="00F3612F" w:rsidP="00D942B1">
      <w:pPr>
        <w:widowControl w:val="0"/>
        <w:shd w:val="clear" w:color="auto" w:fill="FFFFFF"/>
        <w:autoSpaceDE w:val="0"/>
        <w:autoSpaceDN w:val="0"/>
        <w:adjustRightInd w:val="0"/>
        <w:spacing w:before="230" w:after="0" w:line="269" w:lineRule="exact"/>
        <w:ind w:right="86"/>
        <w:rPr>
          <w:noProof/>
          <w:color w:val="008000"/>
        </w:rPr>
      </w:pPr>
    </w:p>
    <w:p w14:paraId="158B0CD1" w14:textId="77777777" w:rsidR="00F3612F" w:rsidRPr="00C47230" w:rsidRDefault="00F3612F" w:rsidP="00D942B1">
      <w:pPr>
        <w:pStyle w:val="ManualHeading1"/>
        <w:rPr>
          <w:noProof/>
        </w:rPr>
      </w:pPr>
      <w:r w:rsidRPr="00C47230">
        <w:rPr>
          <w:noProof/>
        </w:rPr>
        <w:t>1.</w:t>
      </w:r>
      <w:r w:rsidRPr="00C47230">
        <w:rPr>
          <w:noProof/>
        </w:rPr>
        <w:tab/>
        <w:t>KONTEKST WNIOSKU</w:t>
      </w:r>
    </w:p>
    <w:p w14:paraId="127761DB" w14:textId="759B6E87" w:rsidR="00F3612F" w:rsidRPr="00C47230" w:rsidRDefault="00F3612F" w:rsidP="00D942B1">
      <w:pPr>
        <w:pStyle w:val="ManualHeading2"/>
        <w:rPr>
          <w:rFonts w:eastAsia="Arial Unicode MS"/>
          <w:noProof/>
        </w:rPr>
      </w:pPr>
      <w:r w:rsidRPr="00C47230">
        <w:rPr>
          <w:noProof/>
          <w:color w:val="000000"/>
          <w:u w:color="000000"/>
          <w:bdr w:val="nil"/>
        </w:rPr>
        <w:t>•</w:t>
      </w:r>
      <w:r w:rsidRPr="00C47230">
        <w:rPr>
          <w:noProof/>
        </w:rPr>
        <w:tab/>
        <w:t>Przyczyny</w:t>
      </w:r>
      <w:r w:rsidR="00C47230" w:rsidRPr="00C47230">
        <w:rPr>
          <w:noProof/>
        </w:rPr>
        <w:t xml:space="preserve"> i cel</w:t>
      </w:r>
      <w:r w:rsidRPr="00C47230">
        <w:rPr>
          <w:noProof/>
        </w:rPr>
        <w:t>e wniosku</w:t>
      </w:r>
    </w:p>
    <w:p w14:paraId="08F1C8D2" w14:textId="6D907C15" w:rsidR="0090337C" w:rsidRPr="00C47230" w:rsidRDefault="0069547A" w:rsidP="0069547A">
      <w:pPr>
        <w:spacing w:before="0" w:after="240"/>
        <w:rPr>
          <w:rFonts w:eastAsia="Times New Roman"/>
          <w:noProof/>
          <w:szCs w:val="20"/>
        </w:rPr>
      </w:pPr>
      <w:r w:rsidRPr="00C47230">
        <w:rPr>
          <w:noProof/>
        </w:rPr>
        <w:t>Umowa między Wspólnotą Europejską</w:t>
      </w:r>
      <w:r w:rsidR="00C47230" w:rsidRPr="00C47230">
        <w:rPr>
          <w:noProof/>
        </w:rPr>
        <w:t xml:space="preserve"> a Fed</w:t>
      </w:r>
      <w:r w:rsidRPr="00C47230">
        <w:rPr>
          <w:noProof/>
        </w:rPr>
        <w:t>eracją Rosyjską</w:t>
      </w:r>
      <w:r w:rsidR="00C47230" w:rsidRPr="00C47230">
        <w:rPr>
          <w:noProof/>
        </w:rPr>
        <w:t xml:space="preserve"> o uła</w:t>
      </w:r>
      <w:r w:rsidRPr="00C47230">
        <w:rPr>
          <w:noProof/>
        </w:rPr>
        <w:t>twieniach</w:t>
      </w:r>
      <w:r w:rsidR="00C47230" w:rsidRPr="00C47230">
        <w:rPr>
          <w:noProof/>
        </w:rPr>
        <w:t xml:space="preserve"> w wyd</w:t>
      </w:r>
      <w:r w:rsidRPr="00C47230">
        <w:rPr>
          <w:noProof/>
        </w:rPr>
        <w:t>awaniu wiz obywatelom Unii Europejskiej</w:t>
      </w:r>
      <w:r w:rsidR="00C47230" w:rsidRPr="00C47230">
        <w:rPr>
          <w:noProof/>
        </w:rPr>
        <w:t xml:space="preserve"> i Fed</w:t>
      </w:r>
      <w:r w:rsidRPr="00C47230">
        <w:rPr>
          <w:noProof/>
        </w:rPr>
        <w:t>eracji Rosyjskiej (zwana dalej „umową</w:t>
      </w:r>
      <w:r w:rsidR="00C47230" w:rsidRPr="00C47230">
        <w:rPr>
          <w:noProof/>
        </w:rPr>
        <w:t xml:space="preserve"> o uła</w:t>
      </w:r>
      <w:r w:rsidRPr="00C47230">
        <w:rPr>
          <w:noProof/>
        </w:rPr>
        <w:t>twieniach wizowych”) weszła</w:t>
      </w:r>
      <w:r w:rsidR="00C47230" w:rsidRPr="00C47230">
        <w:rPr>
          <w:noProof/>
        </w:rPr>
        <w:t xml:space="preserve"> w życ</w:t>
      </w:r>
      <w:r w:rsidRPr="00C47230">
        <w:rPr>
          <w:noProof/>
        </w:rPr>
        <w:t>ie 1 czerwca 2007</w:t>
      </w:r>
      <w:r w:rsidR="00C47230" w:rsidRPr="00C47230">
        <w:rPr>
          <w:noProof/>
        </w:rPr>
        <w:t> </w:t>
      </w:r>
      <w:r w:rsidRPr="00C47230">
        <w:rPr>
          <w:noProof/>
        </w:rPr>
        <w:t>r.</w:t>
      </w:r>
      <w:r w:rsidRPr="00C47230">
        <w:rPr>
          <w:rStyle w:val="FootnoteReference"/>
          <w:rFonts w:eastAsia="Times New Roman"/>
          <w:noProof/>
          <w:szCs w:val="20"/>
        </w:rPr>
        <w:footnoteReference w:id="2"/>
      </w:r>
      <w:r w:rsidRPr="00C47230">
        <w:rPr>
          <w:noProof/>
        </w:rPr>
        <w:t xml:space="preserve"> Celem umowy</w:t>
      </w:r>
      <w:r w:rsidR="00C47230" w:rsidRPr="00C47230">
        <w:rPr>
          <w:noProof/>
        </w:rPr>
        <w:t xml:space="preserve"> o uła</w:t>
      </w:r>
      <w:r w:rsidRPr="00C47230">
        <w:rPr>
          <w:noProof/>
        </w:rPr>
        <w:t>twieniach wizowych jest wprowadzenie, na zasadzie wzajemności, ułatwień</w:t>
      </w:r>
      <w:r w:rsidR="00C47230" w:rsidRPr="00C47230">
        <w:rPr>
          <w:noProof/>
        </w:rPr>
        <w:t xml:space="preserve"> w wyd</w:t>
      </w:r>
      <w:r w:rsidRPr="00C47230">
        <w:rPr>
          <w:noProof/>
        </w:rPr>
        <w:t>awaniu wiz obywatelom Unii Europejskiej</w:t>
      </w:r>
      <w:r w:rsidR="00C47230" w:rsidRPr="00C47230">
        <w:rPr>
          <w:noProof/>
        </w:rPr>
        <w:t xml:space="preserve"> i Fed</w:t>
      </w:r>
      <w:r w:rsidRPr="00C47230">
        <w:rPr>
          <w:noProof/>
        </w:rPr>
        <w:t>eracji Rosyjskiej planującym pobyt nie dłuższy niż 90 dni</w:t>
      </w:r>
      <w:r w:rsidR="00C47230" w:rsidRPr="00C47230">
        <w:rPr>
          <w:noProof/>
        </w:rPr>
        <w:t xml:space="preserve"> w okr</w:t>
      </w:r>
      <w:r w:rsidRPr="00C47230">
        <w:rPr>
          <w:noProof/>
        </w:rPr>
        <w:t>esie 180 dni. Unia Europejska zawarła umowy</w:t>
      </w:r>
      <w:r w:rsidR="00C47230" w:rsidRPr="00C47230">
        <w:rPr>
          <w:noProof/>
        </w:rPr>
        <w:t xml:space="preserve"> o uła</w:t>
      </w:r>
      <w:r w:rsidRPr="00C47230">
        <w:rPr>
          <w:noProof/>
        </w:rPr>
        <w:t>twieniach wizowych jedynie</w:t>
      </w:r>
      <w:r w:rsidR="00C47230" w:rsidRPr="00C47230">
        <w:rPr>
          <w:noProof/>
        </w:rPr>
        <w:t xml:space="preserve"> z ogr</w:t>
      </w:r>
      <w:r w:rsidRPr="00C47230">
        <w:rPr>
          <w:noProof/>
        </w:rPr>
        <w:t>aniczoną liczbą wybranych państw trzecich. Umowy takie mają być dowodem wzajemnego partnerstwa między UE</w:t>
      </w:r>
      <w:r w:rsidR="00C47230" w:rsidRPr="00C47230">
        <w:rPr>
          <w:noProof/>
        </w:rPr>
        <w:t xml:space="preserve"> a dan</w:t>
      </w:r>
      <w:r w:rsidRPr="00C47230">
        <w:rPr>
          <w:noProof/>
        </w:rPr>
        <w:t>ym państwem</w:t>
      </w:r>
      <w:r w:rsidR="00C47230" w:rsidRPr="00C47230">
        <w:rPr>
          <w:noProof/>
        </w:rPr>
        <w:t xml:space="preserve"> i opi</w:t>
      </w:r>
      <w:r w:rsidRPr="00C47230">
        <w:rPr>
          <w:noProof/>
        </w:rPr>
        <w:t>erają się na wzajemnym poszanowaniu wspólnych wartości.</w:t>
      </w:r>
    </w:p>
    <w:p w14:paraId="3EB1C93D" w14:textId="05FFEC46" w:rsidR="00FB623B" w:rsidRPr="00C47230" w:rsidRDefault="00FB623B" w:rsidP="0069547A">
      <w:pPr>
        <w:spacing w:before="0" w:after="240"/>
        <w:rPr>
          <w:rFonts w:eastAsia="Times New Roman"/>
          <w:noProof/>
          <w:szCs w:val="20"/>
        </w:rPr>
      </w:pPr>
      <w:r w:rsidRPr="00C47230">
        <w:rPr>
          <w:noProof/>
        </w:rPr>
        <w:t>W 2011</w:t>
      </w:r>
      <w:r w:rsidR="00C47230" w:rsidRPr="00C47230">
        <w:rPr>
          <w:noProof/>
        </w:rPr>
        <w:t> </w:t>
      </w:r>
      <w:r w:rsidRPr="00C47230">
        <w:rPr>
          <w:noProof/>
        </w:rPr>
        <w:t>r. podjęto negocjacje</w:t>
      </w:r>
      <w:r w:rsidR="00C47230" w:rsidRPr="00C47230">
        <w:rPr>
          <w:noProof/>
        </w:rPr>
        <w:t xml:space="preserve"> w spr</w:t>
      </w:r>
      <w:r w:rsidRPr="00C47230">
        <w:rPr>
          <w:noProof/>
        </w:rPr>
        <w:t>awie rewizji umowy</w:t>
      </w:r>
      <w:r w:rsidR="00C47230" w:rsidRPr="00C47230">
        <w:rPr>
          <w:noProof/>
        </w:rPr>
        <w:t xml:space="preserve"> o uła</w:t>
      </w:r>
      <w:r w:rsidRPr="00C47230">
        <w:rPr>
          <w:noProof/>
        </w:rPr>
        <w:t>twieniach wizowych</w:t>
      </w:r>
      <w:r w:rsidR="00C47230" w:rsidRPr="00C47230">
        <w:rPr>
          <w:noProof/>
        </w:rPr>
        <w:t xml:space="preserve"> w cel</w:t>
      </w:r>
      <w:r w:rsidRPr="00C47230">
        <w:rPr>
          <w:noProof/>
        </w:rPr>
        <w:t>u uwzględnienia zmian</w:t>
      </w:r>
      <w:r w:rsidR="00C47230" w:rsidRPr="00C47230">
        <w:rPr>
          <w:noProof/>
        </w:rPr>
        <w:t xml:space="preserve"> w ram</w:t>
      </w:r>
      <w:r w:rsidRPr="00C47230">
        <w:rPr>
          <w:noProof/>
        </w:rPr>
        <w:t>ach prawnych UE</w:t>
      </w:r>
      <w:r w:rsidR="00C47230" w:rsidRPr="00C47230">
        <w:rPr>
          <w:noProof/>
        </w:rPr>
        <w:t xml:space="preserve"> i doś</w:t>
      </w:r>
      <w:r w:rsidRPr="00C47230">
        <w:rPr>
          <w:noProof/>
        </w:rPr>
        <w:t>wiadczeń zdobytych przy wprowadzaniu</w:t>
      </w:r>
      <w:r w:rsidR="00C47230" w:rsidRPr="00C47230">
        <w:rPr>
          <w:noProof/>
        </w:rPr>
        <w:t xml:space="preserve"> w życ</w:t>
      </w:r>
      <w:r w:rsidRPr="00C47230">
        <w:rPr>
          <w:noProof/>
        </w:rPr>
        <w:t>ie umowy</w:t>
      </w:r>
      <w:r w:rsidR="00C47230" w:rsidRPr="00C47230">
        <w:rPr>
          <w:noProof/>
        </w:rPr>
        <w:t xml:space="preserve"> o uła</w:t>
      </w:r>
      <w:r w:rsidRPr="00C47230">
        <w:rPr>
          <w:noProof/>
        </w:rPr>
        <w:t>twieniach wizowych. Jednocześnie rozpoczęto dialog</w:t>
      </w:r>
      <w:r w:rsidR="00C47230" w:rsidRPr="00C47230">
        <w:rPr>
          <w:noProof/>
        </w:rPr>
        <w:t xml:space="preserve"> w spr</w:t>
      </w:r>
      <w:r w:rsidRPr="00C47230">
        <w:rPr>
          <w:noProof/>
        </w:rPr>
        <w:t>awie wspólnych działań na rzecz liberalizacji reżimu wizowego. Negocjacje te</w:t>
      </w:r>
      <w:r w:rsidR="00C47230" w:rsidRPr="00C47230">
        <w:rPr>
          <w:noProof/>
        </w:rPr>
        <w:t xml:space="preserve"> w obu</w:t>
      </w:r>
      <w:r w:rsidRPr="00C47230">
        <w:rPr>
          <w:noProof/>
        </w:rPr>
        <w:t xml:space="preserve"> przypadkach wstrzymano na skutek nielegalnej aneksji przez Rosję Republiki Autonomicznej Krymu</w:t>
      </w:r>
      <w:r w:rsidR="00C47230" w:rsidRPr="00C47230">
        <w:rPr>
          <w:noProof/>
        </w:rPr>
        <w:t xml:space="preserve"> i mia</w:t>
      </w:r>
      <w:r w:rsidRPr="00C47230">
        <w:rPr>
          <w:noProof/>
        </w:rPr>
        <w:t>sta Sewastopol</w:t>
      </w:r>
      <w:r w:rsidR="00C47230" w:rsidRPr="00C47230">
        <w:rPr>
          <w:noProof/>
        </w:rPr>
        <w:t xml:space="preserve"> w 2</w:t>
      </w:r>
      <w:r w:rsidRPr="00C47230">
        <w:rPr>
          <w:noProof/>
        </w:rPr>
        <w:t>014</w:t>
      </w:r>
      <w:r w:rsidR="00C47230" w:rsidRPr="00C47230">
        <w:rPr>
          <w:noProof/>
        </w:rPr>
        <w:t> </w:t>
      </w:r>
      <w:r w:rsidRPr="00C47230">
        <w:rPr>
          <w:noProof/>
        </w:rPr>
        <w:t>r.</w:t>
      </w:r>
      <w:r w:rsidRPr="00C47230">
        <w:rPr>
          <w:rStyle w:val="FootnoteReference"/>
          <w:rFonts w:eastAsia="Times New Roman"/>
          <w:noProof/>
          <w:szCs w:val="20"/>
        </w:rPr>
        <w:footnoteReference w:id="3"/>
      </w:r>
      <w:r w:rsidRPr="00C47230">
        <w:rPr>
          <w:noProof/>
        </w:rPr>
        <w:t xml:space="preserve"> </w:t>
      </w:r>
    </w:p>
    <w:p w14:paraId="4581FA0C" w14:textId="14430454" w:rsidR="00434A03" w:rsidRPr="00C47230" w:rsidRDefault="00E63309" w:rsidP="00183C6A">
      <w:pPr>
        <w:rPr>
          <w:noProof/>
        </w:rPr>
      </w:pPr>
      <w:r w:rsidRPr="00C47230">
        <w:rPr>
          <w:noProof/>
        </w:rPr>
        <w:t>W odpowiedzi na tę nielegalną aneksję</w:t>
      </w:r>
      <w:r w:rsidR="00C47230" w:rsidRPr="00C47230">
        <w:rPr>
          <w:noProof/>
        </w:rPr>
        <w:t xml:space="preserve"> w 2</w:t>
      </w:r>
      <w:r w:rsidRPr="00C47230">
        <w:rPr>
          <w:noProof/>
        </w:rPr>
        <w:t>014</w:t>
      </w:r>
      <w:r w:rsidR="00C47230" w:rsidRPr="00C47230">
        <w:rPr>
          <w:noProof/>
        </w:rPr>
        <w:t> </w:t>
      </w:r>
      <w:r w:rsidRPr="00C47230">
        <w:rPr>
          <w:noProof/>
        </w:rPr>
        <w:t>r. oraz ciągłe destabilizujące działania Rosji we wschodniej Ukrainie Unia Europejska wprowadziła: (i) sankcje gospodarcze</w:t>
      </w:r>
      <w:r w:rsidR="00C47230" w:rsidRPr="00C47230">
        <w:rPr>
          <w:noProof/>
        </w:rPr>
        <w:t xml:space="preserve"> w obl</w:t>
      </w:r>
      <w:r w:rsidRPr="00C47230">
        <w:rPr>
          <w:noProof/>
        </w:rPr>
        <w:t>iczu działań Rosji destabilizujących sytuację na Ukrainie,</w:t>
      </w:r>
      <w:r w:rsidR="00C47230" w:rsidRPr="00C47230">
        <w:rPr>
          <w:noProof/>
        </w:rPr>
        <w:t xml:space="preserve"> w zwi</w:t>
      </w:r>
      <w:r w:rsidRPr="00C47230">
        <w:rPr>
          <w:noProof/>
        </w:rPr>
        <w:t>ązku</w:t>
      </w:r>
      <w:r w:rsidR="00C47230" w:rsidRPr="00C47230">
        <w:rPr>
          <w:noProof/>
        </w:rPr>
        <w:t xml:space="preserve"> z nie</w:t>
      </w:r>
      <w:r w:rsidRPr="00C47230">
        <w:rPr>
          <w:noProof/>
        </w:rPr>
        <w:t>pełnym wdrożeniem porozumień mińskich; (ii) sankcje</w:t>
      </w:r>
      <w:r w:rsidR="00C47230" w:rsidRPr="00C47230">
        <w:rPr>
          <w:noProof/>
        </w:rPr>
        <w:t xml:space="preserve"> w odn</w:t>
      </w:r>
      <w:r w:rsidRPr="00C47230">
        <w:rPr>
          <w:noProof/>
        </w:rPr>
        <w:t>iesieniu do działań podważających integralność terytorialną, suwerenność</w:t>
      </w:r>
      <w:r w:rsidR="00C47230" w:rsidRPr="00C47230">
        <w:rPr>
          <w:noProof/>
        </w:rPr>
        <w:t xml:space="preserve"> i nie</w:t>
      </w:r>
      <w:r w:rsidRPr="00C47230">
        <w:rPr>
          <w:noProof/>
        </w:rPr>
        <w:t>zależność Ukrainy lub im zagrażających; (iii)</w:t>
      </w:r>
      <w:r w:rsidR="00C47230" w:rsidRPr="00C47230">
        <w:rPr>
          <w:noProof/>
        </w:rPr>
        <w:t xml:space="preserve"> a tak</w:t>
      </w:r>
      <w:r w:rsidRPr="00C47230">
        <w:rPr>
          <w:noProof/>
        </w:rPr>
        <w:t>że sankcje</w:t>
      </w:r>
      <w:r w:rsidR="00C47230" w:rsidRPr="00C47230">
        <w:rPr>
          <w:noProof/>
        </w:rPr>
        <w:t xml:space="preserve"> w odp</w:t>
      </w:r>
      <w:r w:rsidRPr="00C47230">
        <w:rPr>
          <w:noProof/>
        </w:rPr>
        <w:t>owiedzi na bezprawną aneksję Autonomicznej Republiki Krymu</w:t>
      </w:r>
      <w:r w:rsidR="00C47230" w:rsidRPr="00C47230">
        <w:rPr>
          <w:noProof/>
        </w:rPr>
        <w:t xml:space="preserve"> i mia</w:t>
      </w:r>
      <w:r w:rsidRPr="00C47230">
        <w:rPr>
          <w:noProof/>
        </w:rPr>
        <w:t xml:space="preserve">sta Sewastopol przez Federację Rosyjską. </w:t>
      </w:r>
    </w:p>
    <w:p w14:paraId="26626817" w14:textId="5B1083D7" w:rsidR="00E63309" w:rsidRPr="00C47230" w:rsidRDefault="00E63309" w:rsidP="00183C6A">
      <w:pPr>
        <w:rPr>
          <w:noProof/>
        </w:rPr>
      </w:pPr>
      <w:r w:rsidRPr="00C47230">
        <w:rPr>
          <w:noProof/>
        </w:rPr>
        <w:t>Decyzja Federacji Rosyjskiej</w:t>
      </w:r>
      <w:r w:rsidR="00C47230" w:rsidRPr="00C47230">
        <w:rPr>
          <w:noProof/>
        </w:rPr>
        <w:t xml:space="preserve"> o uzn</w:t>
      </w:r>
      <w:r w:rsidRPr="00C47230">
        <w:rPr>
          <w:noProof/>
        </w:rPr>
        <w:t>aniu niekontrolowanych przez rząd obszarów obwodów donieckiego</w:t>
      </w:r>
      <w:r w:rsidR="00C47230" w:rsidRPr="00C47230">
        <w:rPr>
          <w:noProof/>
        </w:rPr>
        <w:t xml:space="preserve"> i ług</w:t>
      </w:r>
      <w:r w:rsidRPr="00C47230">
        <w:rPr>
          <w:noProof/>
        </w:rPr>
        <w:t>ańskiego Ukrainy za niepodległe podmioty oraz decyzja</w:t>
      </w:r>
      <w:r w:rsidR="00C47230" w:rsidRPr="00C47230">
        <w:rPr>
          <w:noProof/>
        </w:rPr>
        <w:t xml:space="preserve"> o wpr</w:t>
      </w:r>
      <w:r w:rsidRPr="00C47230">
        <w:rPr>
          <w:noProof/>
        </w:rPr>
        <w:t>owadzeniu rosyjskich wojsk do Ukrainy – nieuzasadniona</w:t>
      </w:r>
      <w:r w:rsidR="00C47230" w:rsidRPr="00C47230">
        <w:rPr>
          <w:noProof/>
        </w:rPr>
        <w:t xml:space="preserve"> i nic</w:t>
      </w:r>
      <w:r w:rsidRPr="00C47230">
        <w:rPr>
          <w:noProof/>
        </w:rPr>
        <w:t>zym niesprowokowana agresja wojskowa skierowana przeciwko integralności terytorialnej, suwerenności</w:t>
      </w:r>
      <w:r w:rsidR="00C47230" w:rsidRPr="00C47230">
        <w:rPr>
          <w:noProof/>
        </w:rPr>
        <w:t xml:space="preserve"> i nie</w:t>
      </w:r>
      <w:r w:rsidRPr="00C47230">
        <w:rPr>
          <w:noProof/>
        </w:rPr>
        <w:t>zależności Ukrainy – stanowi poważne naruszenie prawa międzynarodowego</w:t>
      </w:r>
      <w:r w:rsidR="00C47230" w:rsidRPr="00C47230">
        <w:rPr>
          <w:noProof/>
        </w:rPr>
        <w:t xml:space="preserve"> i umó</w:t>
      </w:r>
      <w:r w:rsidRPr="00C47230">
        <w:rPr>
          <w:noProof/>
        </w:rPr>
        <w:t>w międzynarodowych,</w:t>
      </w:r>
      <w:r w:rsidR="00C47230" w:rsidRPr="00C47230">
        <w:rPr>
          <w:noProof/>
        </w:rPr>
        <w:t xml:space="preserve"> w tym</w:t>
      </w:r>
      <w:r w:rsidRPr="00C47230">
        <w:rPr>
          <w:noProof/>
        </w:rPr>
        <w:t xml:space="preserve"> Karty Narodów Zjednoczonych, aktu końcowego</w:t>
      </w:r>
      <w:r w:rsidR="00C47230" w:rsidRPr="00C47230">
        <w:rPr>
          <w:noProof/>
        </w:rPr>
        <w:t xml:space="preserve"> z Hel</w:t>
      </w:r>
      <w:r w:rsidRPr="00C47230">
        <w:rPr>
          <w:noProof/>
        </w:rPr>
        <w:t>sinek, Karty paryskiej</w:t>
      </w:r>
      <w:r w:rsidR="00C47230" w:rsidRPr="00C47230">
        <w:rPr>
          <w:noProof/>
        </w:rPr>
        <w:t xml:space="preserve"> i mem</w:t>
      </w:r>
      <w:r w:rsidRPr="00C47230">
        <w:rPr>
          <w:noProof/>
        </w:rPr>
        <w:t xml:space="preserve">orandum budapeszteńskiego. </w:t>
      </w:r>
    </w:p>
    <w:p w14:paraId="28400A02" w14:textId="6BC92C20" w:rsidR="00E63309" w:rsidRPr="00C47230" w:rsidRDefault="00E63309" w:rsidP="00183C6A">
      <w:pPr>
        <w:rPr>
          <w:noProof/>
        </w:rPr>
      </w:pPr>
      <w:r w:rsidRPr="00C47230">
        <w:rPr>
          <w:noProof/>
        </w:rPr>
        <w:t>Jako sygnatariusz porozumień mińskich Federacja Rosyjska ponosi wyraźną</w:t>
      </w:r>
      <w:r w:rsidR="00C47230" w:rsidRPr="00C47230">
        <w:rPr>
          <w:noProof/>
        </w:rPr>
        <w:t xml:space="preserve"> i bez</w:t>
      </w:r>
      <w:r w:rsidRPr="00C47230">
        <w:rPr>
          <w:noProof/>
        </w:rPr>
        <w:t>pośrednią odpowiedzialność za działania na rzecz pokojowego rozwiązania konfliktu. Podejmując decyzję</w:t>
      </w:r>
      <w:r w:rsidR="00C47230" w:rsidRPr="00C47230">
        <w:rPr>
          <w:noProof/>
        </w:rPr>
        <w:t xml:space="preserve"> o uzn</w:t>
      </w:r>
      <w:r w:rsidRPr="00C47230">
        <w:rPr>
          <w:noProof/>
        </w:rPr>
        <w:t>aniu niekontrolowanych przez rząd regionów wschodniej Ukrainy za niepodległe podmioty, Rosja wyraźnie naruszyła porozumienia mińskie, które przewidują całkowity powrót tych obszarów pod kontrolę rządu Ukrainy.</w:t>
      </w:r>
    </w:p>
    <w:p w14:paraId="3BCCA56D" w14:textId="70AA7C02" w:rsidR="00DF4CFF" w:rsidRPr="00C47230" w:rsidRDefault="00DF4CFF" w:rsidP="00183C6A">
      <w:pPr>
        <w:rPr>
          <w:noProof/>
        </w:rPr>
      </w:pPr>
      <w:r w:rsidRPr="00C47230">
        <w:rPr>
          <w:noProof/>
        </w:rPr>
        <w:t>23 lutego 2022</w:t>
      </w:r>
      <w:r w:rsidR="00C47230" w:rsidRPr="00C47230">
        <w:rPr>
          <w:noProof/>
        </w:rPr>
        <w:t> </w:t>
      </w:r>
      <w:r w:rsidRPr="00C47230">
        <w:rPr>
          <w:noProof/>
        </w:rPr>
        <w:t>r. UE jednomyślnie uzgodniła pierwszy pakiet sankcji, na mocy którego obarczono Rosję dodatkowym kosztem</w:t>
      </w:r>
      <w:r w:rsidR="00C47230" w:rsidRPr="00C47230">
        <w:rPr>
          <w:noProof/>
        </w:rPr>
        <w:t xml:space="preserve"> w odp</w:t>
      </w:r>
      <w:r w:rsidRPr="00C47230">
        <w:rPr>
          <w:noProof/>
        </w:rPr>
        <w:t>owiedzi na jej działania. Pakiet obejmował sankcje indywidualne, finansowe środki ograniczające oraz środki ograniczające</w:t>
      </w:r>
      <w:r w:rsidR="00C47230" w:rsidRPr="00C47230">
        <w:rPr>
          <w:noProof/>
        </w:rPr>
        <w:t xml:space="preserve"> w zak</w:t>
      </w:r>
      <w:r w:rsidRPr="00C47230">
        <w:rPr>
          <w:noProof/>
        </w:rPr>
        <w:t>resie stosunków gospodarczych między UE</w:t>
      </w:r>
      <w:r w:rsidR="00C47230" w:rsidRPr="00C47230">
        <w:rPr>
          <w:noProof/>
        </w:rPr>
        <w:t xml:space="preserve"> a nie</w:t>
      </w:r>
      <w:r w:rsidRPr="00C47230">
        <w:rPr>
          <w:noProof/>
        </w:rPr>
        <w:t>kontrolowanymi przez rząd obszarami obwodów donieckiego</w:t>
      </w:r>
      <w:r w:rsidR="00C47230" w:rsidRPr="00C47230">
        <w:rPr>
          <w:noProof/>
        </w:rPr>
        <w:t xml:space="preserve"> i ług</w:t>
      </w:r>
      <w:r w:rsidRPr="00C47230">
        <w:rPr>
          <w:noProof/>
        </w:rPr>
        <w:t>ańskiego Ukrainy.</w:t>
      </w:r>
    </w:p>
    <w:p w14:paraId="34F31101" w14:textId="49BB91D1" w:rsidR="00191ECE" w:rsidRPr="00C47230" w:rsidRDefault="00191ECE" w:rsidP="00183C6A">
      <w:pPr>
        <w:rPr>
          <w:noProof/>
        </w:rPr>
      </w:pPr>
      <w:r w:rsidRPr="00C47230">
        <w:rPr>
          <w:noProof/>
        </w:rPr>
        <w:t>24 lutego 2022</w:t>
      </w:r>
      <w:r w:rsidR="00C47230" w:rsidRPr="00C47230">
        <w:rPr>
          <w:noProof/>
        </w:rPr>
        <w:t> </w:t>
      </w:r>
      <w:r w:rsidRPr="00C47230">
        <w:rPr>
          <w:noProof/>
        </w:rPr>
        <w:t>r. Rada Europejska</w:t>
      </w:r>
      <w:r w:rsidR="00C47230" w:rsidRPr="00C47230">
        <w:rPr>
          <w:noProof/>
        </w:rPr>
        <w:t xml:space="preserve"> z cał</w:t>
      </w:r>
      <w:r w:rsidRPr="00C47230">
        <w:rPr>
          <w:noProof/>
        </w:rPr>
        <w:t>ą mocą potępiła niczym niesprowokowaną</w:t>
      </w:r>
      <w:r w:rsidR="00C47230" w:rsidRPr="00C47230">
        <w:rPr>
          <w:noProof/>
        </w:rPr>
        <w:t xml:space="preserve"> i nie</w:t>
      </w:r>
      <w:r w:rsidRPr="00C47230">
        <w:rPr>
          <w:noProof/>
        </w:rPr>
        <w:t>uzasadnioną agresję wojskową Rosji wobec Ukrainy</w:t>
      </w:r>
      <w:r w:rsidR="00C47230" w:rsidRPr="00C47230">
        <w:rPr>
          <w:noProof/>
        </w:rPr>
        <w:t xml:space="preserve"> i wyr</w:t>
      </w:r>
      <w:r w:rsidRPr="00C47230">
        <w:rPr>
          <w:noProof/>
        </w:rPr>
        <w:t>aziła wraz ze swoimi partnerami międzynarodowymi pełną solidarność Unii</w:t>
      </w:r>
      <w:r w:rsidR="00C47230" w:rsidRPr="00C47230">
        <w:rPr>
          <w:noProof/>
        </w:rPr>
        <w:t xml:space="preserve"> z Ukr</w:t>
      </w:r>
      <w:r w:rsidRPr="00C47230">
        <w:rPr>
          <w:noProof/>
        </w:rPr>
        <w:t>ainą</w:t>
      </w:r>
      <w:r w:rsidR="00C47230" w:rsidRPr="00C47230">
        <w:rPr>
          <w:noProof/>
        </w:rPr>
        <w:t xml:space="preserve"> i jej</w:t>
      </w:r>
      <w:r w:rsidRPr="00C47230">
        <w:rPr>
          <w:noProof/>
        </w:rPr>
        <w:t xml:space="preserve"> obywatelami. Poprzez swoje bezprawne działania wojskowe Rosja nadal rażąco narusza prawo międzynarodowe, dopuszczając się aktów okrucieństwa wobec ukraińskiej ludności oraz podważając bezpieczeństwo</w:t>
      </w:r>
      <w:r w:rsidR="00C47230" w:rsidRPr="00C47230">
        <w:rPr>
          <w:noProof/>
        </w:rPr>
        <w:t xml:space="preserve"> i sta</w:t>
      </w:r>
      <w:r w:rsidRPr="00C47230">
        <w:rPr>
          <w:noProof/>
        </w:rPr>
        <w:t>bilność</w:t>
      </w:r>
      <w:r w:rsidR="00C47230" w:rsidRPr="00C47230">
        <w:rPr>
          <w:noProof/>
        </w:rPr>
        <w:t xml:space="preserve"> w Eur</w:t>
      </w:r>
      <w:r w:rsidRPr="00C47230">
        <w:rPr>
          <w:noProof/>
        </w:rPr>
        <w:t>opie i na świecie. Ponadto Rada Europejska zażądała od Rosji niezwłocznego zaprzestania działań wojskowych, bezwarunkowego wycofania wszystkich sił</w:t>
      </w:r>
      <w:r w:rsidR="00C47230" w:rsidRPr="00C47230">
        <w:rPr>
          <w:noProof/>
        </w:rPr>
        <w:t xml:space="preserve"> i spr</w:t>
      </w:r>
      <w:r w:rsidRPr="00C47230">
        <w:rPr>
          <w:noProof/>
        </w:rPr>
        <w:t>zętu wojskowego</w:t>
      </w:r>
      <w:r w:rsidR="00C47230" w:rsidRPr="00C47230">
        <w:rPr>
          <w:noProof/>
        </w:rPr>
        <w:t xml:space="preserve"> z cał</w:t>
      </w:r>
      <w:r w:rsidRPr="00C47230">
        <w:rPr>
          <w:noProof/>
        </w:rPr>
        <w:t>ego terytorium Ukrainy oraz pełnego respektowania jej integralności terytorialnej, suwerenności</w:t>
      </w:r>
      <w:r w:rsidR="00C47230" w:rsidRPr="00C47230">
        <w:rPr>
          <w:noProof/>
        </w:rPr>
        <w:t xml:space="preserve"> i nie</w:t>
      </w:r>
      <w:r w:rsidRPr="00C47230">
        <w:rPr>
          <w:noProof/>
        </w:rPr>
        <w:t>zależności</w:t>
      </w:r>
      <w:r w:rsidR="00C47230" w:rsidRPr="00C47230">
        <w:rPr>
          <w:noProof/>
        </w:rPr>
        <w:t xml:space="preserve"> w ram</w:t>
      </w:r>
      <w:r w:rsidRPr="00C47230">
        <w:rPr>
          <w:noProof/>
        </w:rPr>
        <w:t>ach jej granic uznanych przez społeczność międzynarodową.</w:t>
      </w:r>
      <w:r w:rsidRPr="00C47230">
        <w:rPr>
          <w:rStyle w:val="FootnoteReference"/>
          <w:noProof/>
        </w:rPr>
        <w:t xml:space="preserve"> </w:t>
      </w:r>
      <w:r w:rsidRPr="00C47230">
        <w:rPr>
          <w:rStyle w:val="FootnoteReference"/>
          <w:noProof/>
        </w:rPr>
        <w:footnoteReference w:id="4"/>
      </w:r>
    </w:p>
    <w:p w14:paraId="6BE01500" w14:textId="734F2EEE" w:rsidR="00456107" w:rsidRPr="00C47230" w:rsidRDefault="00456107" w:rsidP="009772AE">
      <w:pPr>
        <w:rPr>
          <w:noProof/>
        </w:rPr>
      </w:pPr>
      <w:r w:rsidRPr="00C47230">
        <w:rPr>
          <w:noProof/>
        </w:rPr>
        <w:t>Unia zareagowała następnie przyjęciem kolejnych pakietów sankcji obejmujących m.in. zamrożenie aktywów</w:t>
      </w:r>
      <w:r w:rsidR="00C47230" w:rsidRPr="00C47230">
        <w:rPr>
          <w:noProof/>
        </w:rPr>
        <w:t xml:space="preserve"> i zak</w:t>
      </w:r>
      <w:r w:rsidRPr="00C47230">
        <w:rPr>
          <w:noProof/>
        </w:rPr>
        <w:t>az wjazdu poszczególnych osób na terytorium Unii Europejskiej. Unia przyjęła również środki ograniczające dotyczące branży finansowej, energetycznej, transportowej</w:t>
      </w:r>
      <w:r w:rsidR="00C47230" w:rsidRPr="00C47230">
        <w:rPr>
          <w:noProof/>
        </w:rPr>
        <w:t xml:space="preserve"> i tec</w:t>
      </w:r>
      <w:r w:rsidRPr="00C47230">
        <w:rPr>
          <w:noProof/>
        </w:rPr>
        <w:t>hnologicznej. Wprowadziła również dodatkowe środki, skutkujące przede wszystkim częściowym zawieszeniem stosowania umowy</w:t>
      </w:r>
      <w:r w:rsidR="00C47230" w:rsidRPr="00C47230">
        <w:rPr>
          <w:noProof/>
        </w:rPr>
        <w:t xml:space="preserve"> o uła</w:t>
      </w:r>
      <w:r w:rsidRPr="00C47230">
        <w:rPr>
          <w:noProof/>
        </w:rPr>
        <w:t>twieniach wizowych</w:t>
      </w:r>
      <w:r w:rsidRPr="00C47230">
        <w:rPr>
          <w:rStyle w:val="FootnoteReference"/>
          <w:noProof/>
        </w:rPr>
        <w:footnoteReference w:id="5"/>
      </w:r>
      <w:r w:rsidRPr="00C47230">
        <w:rPr>
          <w:noProof/>
        </w:rPr>
        <w:t>. Zawieszono przy tym ułatwienia dotyczące dokumentów potwierdzających, wysokości opłaty wizowej, wydawania wiz wielokrotnego wjazdu oraz czasu trwania procedur rozpatrywania wniosków wizowych. Środki te dotyczyły obywateli Rosji posiadających paszporty dyplomatyczne, urzędników rządowych, przedsiębiorców</w:t>
      </w:r>
      <w:r w:rsidR="00C47230" w:rsidRPr="00C47230">
        <w:rPr>
          <w:noProof/>
        </w:rPr>
        <w:t xml:space="preserve"> i prz</w:t>
      </w:r>
      <w:r w:rsidRPr="00C47230">
        <w:rPr>
          <w:noProof/>
        </w:rPr>
        <w:t>edstawicieli organizacji przedsiębiorców.</w:t>
      </w:r>
    </w:p>
    <w:p w14:paraId="0E927F57" w14:textId="57DBBBC0" w:rsidR="00F22D4E" w:rsidRPr="00C47230" w:rsidRDefault="00F22D4E" w:rsidP="00183C6A">
      <w:pPr>
        <w:rPr>
          <w:noProof/>
        </w:rPr>
      </w:pPr>
      <w:r w:rsidRPr="00C47230">
        <w:rPr>
          <w:noProof/>
        </w:rPr>
        <w:t>Od początku prowadzonej na pełną skalę rosyjskiej agresji wobec Ukrainy sytuacja znacznie się pogorszyła, wywołując katastrofalne skutki humanitarne dla ludności cywilnej oraz infrastruktury,</w:t>
      </w:r>
      <w:r w:rsidR="00C47230" w:rsidRPr="00C47230">
        <w:rPr>
          <w:noProof/>
        </w:rPr>
        <w:t xml:space="preserve"> a Ros</w:t>
      </w:r>
      <w:r w:rsidRPr="00C47230">
        <w:rPr>
          <w:noProof/>
        </w:rPr>
        <w:t>ja dodatkowo rozszerzyła swoją pełną lub częściową okupację wschodnich</w:t>
      </w:r>
      <w:r w:rsidR="00C47230" w:rsidRPr="00C47230">
        <w:rPr>
          <w:noProof/>
        </w:rPr>
        <w:t xml:space="preserve"> i poł</w:t>
      </w:r>
      <w:r w:rsidRPr="00C47230">
        <w:rPr>
          <w:noProof/>
        </w:rPr>
        <w:t>udniowych regionów Ukrainy. Miliony Ukraińców było zmuszonych do ucieczki i to wyłącznie przez granice lądowe, ponieważ połączenia lotnicze nie są możliwe</w:t>
      </w:r>
      <w:r w:rsidR="00C47230" w:rsidRPr="00C47230">
        <w:rPr>
          <w:noProof/>
        </w:rPr>
        <w:t>. W bez</w:t>
      </w:r>
      <w:r w:rsidRPr="00C47230">
        <w:rPr>
          <w:noProof/>
        </w:rPr>
        <w:t>pośredniej konsekwencji inwazji na dużą skalę liczba osób przekraczających granicę Ukrainy</w:t>
      </w:r>
      <w:r w:rsidR="00C47230" w:rsidRPr="00C47230">
        <w:rPr>
          <w:noProof/>
        </w:rPr>
        <w:t xml:space="preserve"> z pań</w:t>
      </w:r>
      <w:r w:rsidRPr="00C47230">
        <w:rPr>
          <w:noProof/>
        </w:rPr>
        <w:t>stwami sąsiadującymi stale rośnie. Zgodnie</w:t>
      </w:r>
      <w:r w:rsidR="00C47230" w:rsidRPr="00C47230">
        <w:rPr>
          <w:noProof/>
        </w:rPr>
        <w:t xml:space="preserve"> z dan</w:t>
      </w:r>
      <w:r w:rsidRPr="00C47230">
        <w:rPr>
          <w:noProof/>
        </w:rPr>
        <w:t>ymi UNHCR 23 sierpnia przekroczyła ona</w:t>
      </w:r>
      <w:r w:rsidR="00C47230" w:rsidRPr="00C47230">
        <w:rPr>
          <w:noProof/>
        </w:rPr>
        <w:t> </w:t>
      </w:r>
      <w:r w:rsidRPr="00C47230">
        <w:rPr>
          <w:noProof/>
        </w:rPr>
        <w:t>11 mln osób,</w:t>
      </w:r>
      <w:r w:rsidR="00C47230" w:rsidRPr="00C47230">
        <w:rPr>
          <w:noProof/>
        </w:rPr>
        <w:t xml:space="preserve"> z cze</w:t>
      </w:r>
      <w:r w:rsidRPr="00C47230">
        <w:rPr>
          <w:noProof/>
        </w:rPr>
        <w:t>go 10 mln osób przedostało się przez granicę</w:t>
      </w:r>
      <w:r w:rsidR="00C47230" w:rsidRPr="00C47230">
        <w:rPr>
          <w:noProof/>
        </w:rPr>
        <w:t xml:space="preserve"> z jed</w:t>
      </w:r>
      <w:r w:rsidRPr="00C47230">
        <w:rPr>
          <w:noProof/>
        </w:rPr>
        <w:t>nym</w:t>
      </w:r>
      <w:r w:rsidR="00C47230" w:rsidRPr="00C47230">
        <w:rPr>
          <w:noProof/>
        </w:rPr>
        <w:t xml:space="preserve"> z pań</w:t>
      </w:r>
      <w:r w:rsidRPr="00C47230">
        <w:rPr>
          <w:noProof/>
        </w:rPr>
        <w:t>stw UE.</w:t>
      </w:r>
    </w:p>
    <w:p w14:paraId="252BD418" w14:textId="15DD3BD4" w:rsidR="00DC0689" w:rsidRPr="00C47230" w:rsidRDefault="00DC0689" w:rsidP="00183C6A">
      <w:pPr>
        <w:rPr>
          <w:noProof/>
        </w:rPr>
      </w:pPr>
      <w:r w:rsidRPr="00C47230">
        <w:rPr>
          <w:noProof/>
        </w:rPr>
        <w:t>31 sierpnia, podczas nieformalnego spotkania ministrów spraw zagranicznych państwa członkowskie uznały za konieczne zawieszenie całości umowy</w:t>
      </w:r>
      <w:r w:rsidR="00C47230" w:rsidRPr="00C47230">
        <w:rPr>
          <w:noProof/>
        </w:rPr>
        <w:t xml:space="preserve"> o uła</w:t>
      </w:r>
      <w:r w:rsidRPr="00C47230">
        <w:rPr>
          <w:noProof/>
        </w:rPr>
        <w:t>twieniach wizowych,</w:t>
      </w:r>
      <w:r w:rsidR="00C47230" w:rsidRPr="00C47230">
        <w:rPr>
          <w:noProof/>
        </w:rPr>
        <w:t xml:space="preserve"> w cel</w:t>
      </w:r>
      <w:r w:rsidRPr="00C47230">
        <w:rPr>
          <w:noProof/>
        </w:rPr>
        <w:t>u znacznego zmniejszenia liczby nowych wiz wydawanych obywatelom Rosji przez państwa członkowskie</w:t>
      </w:r>
      <w:r w:rsidR="00C47230" w:rsidRPr="00C47230">
        <w:rPr>
          <w:noProof/>
        </w:rPr>
        <w:t xml:space="preserve"> i zap</w:t>
      </w:r>
      <w:r w:rsidRPr="00C47230">
        <w:rPr>
          <w:noProof/>
        </w:rPr>
        <w:t xml:space="preserve">obieżenia wykorzystywaniu mniej rygorystycznych procedur wizowych przez tych obywateli. </w:t>
      </w:r>
    </w:p>
    <w:p w14:paraId="1D746BFF" w14:textId="69533517" w:rsidR="00D24567" w:rsidRPr="00C47230" w:rsidRDefault="00E77952" w:rsidP="00D24567">
      <w:pPr>
        <w:rPr>
          <w:noProof/>
          <w:color w:val="1F497D"/>
          <w:sz w:val="22"/>
        </w:rPr>
      </w:pPr>
      <w:r w:rsidRPr="00C47230">
        <w:rPr>
          <w:noProof/>
        </w:rPr>
        <w:t>UE nie może uznawać Rosji, prowadzącej wojnę napastniczą, za stronę umowy</w:t>
      </w:r>
      <w:r w:rsidR="00C47230" w:rsidRPr="00C47230">
        <w:rPr>
          <w:noProof/>
        </w:rPr>
        <w:t xml:space="preserve"> o uła</w:t>
      </w:r>
      <w:r w:rsidRPr="00C47230">
        <w:rPr>
          <w:noProof/>
        </w:rPr>
        <w:t>twieniach wizowych tak długo, jak państwo to prowadzi destrukcyjną politykę zagraniczną</w:t>
      </w:r>
      <w:r w:rsidR="00C47230" w:rsidRPr="00C47230">
        <w:rPr>
          <w:noProof/>
        </w:rPr>
        <w:t xml:space="preserve"> i agr</w:t>
      </w:r>
      <w:r w:rsidRPr="00C47230">
        <w:rPr>
          <w:noProof/>
        </w:rPr>
        <w:t>esję wojskową wobec kraju kandydującego do UE, okazując całkowite lekceważenie międzynarodowego ładu opartego na zasadach.</w:t>
      </w:r>
    </w:p>
    <w:p w14:paraId="165FCFDC" w14:textId="77777777" w:rsidR="00C03E52" w:rsidRPr="00C47230" w:rsidRDefault="00C03E52" w:rsidP="0069547A">
      <w:pPr>
        <w:rPr>
          <w:noProof/>
        </w:rPr>
      </w:pPr>
    </w:p>
    <w:p w14:paraId="74B5E391" w14:textId="77777777" w:rsidR="000241BB" w:rsidRPr="00C47230" w:rsidRDefault="0069547A" w:rsidP="000241BB">
      <w:pPr>
        <w:rPr>
          <w:noProof/>
        </w:rPr>
      </w:pPr>
      <w:r w:rsidRPr="00C47230">
        <w:rPr>
          <w:b/>
          <w:noProof/>
        </w:rPr>
        <w:t>2.</w:t>
      </w:r>
      <w:r w:rsidRPr="00C47230">
        <w:rPr>
          <w:noProof/>
        </w:rPr>
        <w:tab/>
      </w:r>
      <w:r w:rsidRPr="00C47230">
        <w:rPr>
          <w:b/>
          <w:noProof/>
        </w:rPr>
        <w:t>PROPONOWANE ŚRODKI</w:t>
      </w:r>
    </w:p>
    <w:p w14:paraId="00E817CF" w14:textId="6D9253FF" w:rsidR="0069547A" w:rsidRPr="00C47230" w:rsidRDefault="00BE7D0E" w:rsidP="00CC4D75">
      <w:pPr>
        <w:rPr>
          <w:noProof/>
        </w:rPr>
      </w:pPr>
      <w:r w:rsidRPr="00C47230">
        <w:rPr>
          <w:noProof/>
        </w:rPr>
        <w:t>Agresja wojskowa wobec państwa graniczącego</w:t>
      </w:r>
      <w:r w:rsidR="00C47230" w:rsidRPr="00C47230">
        <w:rPr>
          <w:noProof/>
        </w:rPr>
        <w:t xml:space="preserve"> z Uni</w:t>
      </w:r>
      <w:r w:rsidRPr="00C47230">
        <w:rPr>
          <w:noProof/>
        </w:rPr>
        <w:t>ą Europejską uzasadnia przyjęcie środków mających na celu ochronę podstawowych interesów bezpieczeństwa Unii</w:t>
      </w:r>
      <w:r w:rsidR="00C47230" w:rsidRPr="00C47230">
        <w:rPr>
          <w:noProof/>
        </w:rPr>
        <w:t xml:space="preserve"> i jej</w:t>
      </w:r>
      <w:r w:rsidRPr="00C47230">
        <w:rPr>
          <w:noProof/>
        </w:rPr>
        <w:t xml:space="preserve"> państw członkowskich. </w:t>
      </w:r>
    </w:p>
    <w:p w14:paraId="62E6037D" w14:textId="30BC0A9B" w:rsidR="00165246" w:rsidRPr="00C47230" w:rsidRDefault="00BE7D0E" w:rsidP="00CC4D75">
      <w:pPr>
        <w:rPr>
          <w:noProof/>
        </w:rPr>
      </w:pPr>
      <w:r w:rsidRPr="00C47230">
        <w:rPr>
          <w:noProof/>
        </w:rPr>
        <w:t>Federacja Rosyjska nie tylko naraziła na szwank stosunki</w:t>
      </w:r>
      <w:r w:rsidR="00C47230" w:rsidRPr="00C47230">
        <w:rPr>
          <w:noProof/>
        </w:rPr>
        <w:t xml:space="preserve"> z Uni</w:t>
      </w:r>
      <w:r w:rsidRPr="00C47230">
        <w:rPr>
          <w:noProof/>
        </w:rPr>
        <w:t>ą Europejską</w:t>
      </w:r>
      <w:r w:rsidR="00C47230" w:rsidRPr="00C47230">
        <w:rPr>
          <w:noProof/>
        </w:rPr>
        <w:t xml:space="preserve"> i jej</w:t>
      </w:r>
      <w:r w:rsidRPr="00C47230">
        <w:rPr>
          <w:noProof/>
        </w:rPr>
        <w:t xml:space="preserve"> państwami członkowskimi, ale również pogwałciła porozumienia mińskie, podważając integralność terytorialną, suwerenność</w:t>
      </w:r>
      <w:r w:rsidR="00C47230" w:rsidRPr="00C47230">
        <w:rPr>
          <w:noProof/>
        </w:rPr>
        <w:t xml:space="preserve"> i nie</w:t>
      </w:r>
      <w:r w:rsidRPr="00C47230">
        <w:rPr>
          <w:noProof/>
        </w:rPr>
        <w:t>zależność Ukrainy, co jest sprzeczne</w:t>
      </w:r>
      <w:r w:rsidR="00C47230" w:rsidRPr="00C47230">
        <w:rPr>
          <w:noProof/>
        </w:rPr>
        <w:t xml:space="preserve"> z zob</w:t>
      </w:r>
      <w:r w:rsidRPr="00C47230">
        <w:rPr>
          <w:noProof/>
        </w:rPr>
        <w:t xml:space="preserve">owiązaniami międzynarodowymi Rosji. </w:t>
      </w:r>
    </w:p>
    <w:p w14:paraId="2D20C175" w14:textId="52BDEFF3" w:rsidR="00905803" w:rsidRPr="00C47230" w:rsidRDefault="00905803" w:rsidP="00CC4D75">
      <w:pPr>
        <w:rPr>
          <w:noProof/>
        </w:rPr>
      </w:pPr>
      <w:r w:rsidRPr="00C47230">
        <w:rPr>
          <w:noProof/>
        </w:rPr>
        <w:t>Co więcej Federacja Rosyjska prowadzi aktywną politykę,</w:t>
      </w:r>
      <w:r w:rsidR="00C47230" w:rsidRPr="00C47230">
        <w:rPr>
          <w:noProof/>
        </w:rPr>
        <w:t xml:space="preserve"> w myś</w:t>
      </w:r>
      <w:r w:rsidRPr="00C47230">
        <w:rPr>
          <w:noProof/>
        </w:rPr>
        <w:t>l której wymaga, aby obywatele Ukrainy zamieszkujący regiony tego państwa okupowane przez wojska rosyjskie posługiwali się międzynarodowymi paszportami rosyjskimi.</w:t>
      </w:r>
    </w:p>
    <w:p w14:paraId="5CAA6BC9" w14:textId="0559713D" w:rsidR="00E22BE8" w:rsidRPr="00C47230" w:rsidRDefault="00E22BE8" w:rsidP="00E22BE8">
      <w:pPr>
        <w:rPr>
          <w:noProof/>
        </w:rPr>
      </w:pPr>
      <w:r w:rsidRPr="00C47230">
        <w:rPr>
          <w:noProof/>
        </w:rPr>
        <w:t>Zgodnie</w:t>
      </w:r>
      <w:r w:rsidR="00C47230" w:rsidRPr="00C47230">
        <w:rPr>
          <w:noProof/>
        </w:rPr>
        <w:t xml:space="preserve"> z art</w:t>
      </w:r>
      <w:r w:rsidRPr="00C47230">
        <w:rPr>
          <w:noProof/>
        </w:rPr>
        <w:t>.</w:t>
      </w:r>
      <w:r w:rsidR="00C47230" w:rsidRPr="00C47230">
        <w:rPr>
          <w:noProof/>
        </w:rPr>
        <w:t> </w:t>
      </w:r>
      <w:r w:rsidRPr="00C47230">
        <w:rPr>
          <w:noProof/>
        </w:rPr>
        <w:t>15 ust.</w:t>
      </w:r>
      <w:r w:rsidR="00C47230" w:rsidRPr="00C47230">
        <w:rPr>
          <w:noProof/>
        </w:rPr>
        <w:t> </w:t>
      </w:r>
      <w:r w:rsidRPr="00C47230">
        <w:rPr>
          <w:noProof/>
        </w:rPr>
        <w:t>5 umowy</w:t>
      </w:r>
      <w:r w:rsidR="00C47230" w:rsidRPr="00C47230">
        <w:rPr>
          <w:noProof/>
        </w:rPr>
        <w:t xml:space="preserve"> o uła</w:t>
      </w:r>
      <w:r w:rsidRPr="00C47230">
        <w:rPr>
          <w:noProof/>
        </w:rPr>
        <w:t>twieniach wizowych każda ze stron może zawiesić stosowanie części lub wszystkich postanowień umowy ze względu na porządek publiczny, ochronę bezpieczeństwa narodowego lub ochronę zdrowia obywateli</w:t>
      </w:r>
      <w:r w:rsidR="00C47230" w:rsidRPr="00C47230">
        <w:rPr>
          <w:noProof/>
        </w:rPr>
        <w:t>. W zwi</w:t>
      </w:r>
      <w:r w:rsidRPr="00C47230">
        <w:rPr>
          <w:noProof/>
        </w:rPr>
        <w:t>ązku</w:t>
      </w:r>
      <w:r w:rsidR="00C47230" w:rsidRPr="00C47230">
        <w:rPr>
          <w:noProof/>
        </w:rPr>
        <w:t xml:space="preserve"> z ros</w:t>
      </w:r>
      <w:r w:rsidRPr="00C47230">
        <w:rPr>
          <w:noProof/>
        </w:rPr>
        <w:t>yjską agresją wobec Ukrainy każdy</w:t>
      </w:r>
      <w:r w:rsidR="00C47230" w:rsidRPr="00C47230">
        <w:rPr>
          <w:noProof/>
        </w:rPr>
        <w:t xml:space="preserve"> z tyc</w:t>
      </w:r>
      <w:r w:rsidRPr="00C47230">
        <w:rPr>
          <w:noProof/>
        </w:rPr>
        <w:t>h warunków został spełniony. Całkowite lekceważenie przez Rosję międzynarodowego ładu opartego na zasadach jest poważnym zagrożeniem porządku publicznego. Występują też szczególne zagrożenia takie jak przemieszczanie się mieszkańców okupowanych regionów Ukrainy, którzy są blisko związani</w:t>
      </w:r>
      <w:r w:rsidR="00C47230" w:rsidRPr="00C47230">
        <w:rPr>
          <w:noProof/>
        </w:rPr>
        <w:t xml:space="preserve"> z reż</w:t>
      </w:r>
      <w:r w:rsidRPr="00C47230">
        <w:rPr>
          <w:noProof/>
        </w:rPr>
        <w:t>imem</w:t>
      </w:r>
      <w:r w:rsidR="00C47230" w:rsidRPr="00C47230">
        <w:rPr>
          <w:noProof/>
        </w:rPr>
        <w:t xml:space="preserve"> i któ</w:t>
      </w:r>
      <w:r w:rsidRPr="00C47230">
        <w:rPr>
          <w:noProof/>
        </w:rPr>
        <w:t>rzy mogą otrzymać międzynarodowe paszporty Federacji Rosyjskiej. Agresja wojskowa stanowi przyczynek do rozwoju przestępczości zorganizowanej</w:t>
      </w:r>
      <w:r w:rsidR="00C47230" w:rsidRPr="00C47230">
        <w:rPr>
          <w:noProof/>
        </w:rPr>
        <w:t xml:space="preserve"> i obr</w:t>
      </w:r>
      <w:r w:rsidRPr="00C47230">
        <w:rPr>
          <w:noProof/>
        </w:rPr>
        <w:t>otu nielegalną bronią, zagrażając przez to interesom bezpieczeństwa Unii</w:t>
      </w:r>
      <w:r w:rsidR="00C47230" w:rsidRPr="00C47230">
        <w:rPr>
          <w:noProof/>
        </w:rPr>
        <w:t xml:space="preserve"> i bez</w:t>
      </w:r>
      <w:r w:rsidRPr="00C47230">
        <w:rPr>
          <w:noProof/>
        </w:rPr>
        <w:t>pieczeństwa narodowego państw członkowskich. Zwiększone ryzyko wykorzystywania Zaporoskiej Elektrowni Jądrowej przez Federację Rosyjską jako obiektu wojskowego stanowi poważne zagrożenie ludzkiego życia.</w:t>
      </w:r>
    </w:p>
    <w:p w14:paraId="10F5E666" w14:textId="3C991ECC" w:rsidR="00180C2C" w:rsidRPr="00C47230" w:rsidRDefault="00BE7D0E" w:rsidP="001448BC">
      <w:pPr>
        <w:rPr>
          <w:noProof/>
        </w:rPr>
      </w:pPr>
      <w:r w:rsidRPr="00C47230">
        <w:rPr>
          <w:noProof/>
        </w:rPr>
        <w:t>W ujęciu ogólnym decyzja</w:t>
      </w:r>
      <w:r w:rsidR="00C47230" w:rsidRPr="00C47230">
        <w:rPr>
          <w:noProof/>
        </w:rPr>
        <w:t xml:space="preserve"> o nap</w:t>
      </w:r>
      <w:r w:rsidRPr="00C47230">
        <w:rPr>
          <w:noProof/>
        </w:rPr>
        <w:t>aści na Ukrainę</w:t>
      </w:r>
      <w:r w:rsidR="00C47230" w:rsidRPr="00C47230">
        <w:rPr>
          <w:noProof/>
        </w:rPr>
        <w:t xml:space="preserve"> i kon</w:t>
      </w:r>
      <w:r w:rsidRPr="00C47230">
        <w:rPr>
          <w:noProof/>
        </w:rPr>
        <w:t>tynuowaniu agresji wojskowej jest niemożliwa do pogodzenia</w:t>
      </w:r>
      <w:r w:rsidR="00C47230" w:rsidRPr="00C47230">
        <w:rPr>
          <w:noProof/>
        </w:rPr>
        <w:t xml:space="preserve"> z opa</w:t>
      </w:r>
      <w:r w:rsidRPr="00C47230">
        <w:rPr>
          <w:noProof/>
        </w:rPr>
        <w:t>rtymi na zaufaniu stosunkami między UE</w:t>
      </w:r>
      <w:r w:rsidR="00C47230" w:rsidRPr="00C47230">
        <w:rPr>
          <w:noProof/>
        </w:rPr>
        <w:t xml:space="preserve"> a Fed</w:t>
      </w:r>
      <w:r w:rsidRPr="00C47230">
        <w:rPr>
          <w:noProof/>
        </w:rPr>
        <w:t>eracją Rosyjską. Umowy</w:t>
      </w:r>
      <w:r w:rsidR="00C47230" w:rsidRPr="00C47230">
        <w:rPr>
          <w:noProof/>
        </w:rPr>
        <w:t xml:space="preserve"> o uła</w:t>
      </w:r>
      <w:r w:rsidRPr="00C47230">
        <w:rPr>
          <w:noProof/>
        </w:rPr>
        <w:t>twieniach wizowych zawarto jedynie</w:t>
      </w:r>
      <w:r w:rsidR="00C47230" w:rsidRPr="00C47230">
        <w:rPr>
          <w:noProof/>
        </w:rPr>
        <w:t xml:space="preserve"> z ogr</w:t>
      </w:r>
      <w:r w:rsidRPr="00C47230">
        <w:rPr>
          <w:noProof/>
        </w:rPr>
        <w:t>aniczoną liczbą wybranych państw trzecich; są one konsekwencją wzajemnego partnerstwa między UE</w:t>
      </w:r>
      <w:r w:rsidR="00C47230" w:rsidRPr="00C47230">
        <w:rPr>
          <w:noProof/>
        </w:rPr>
        <w:t xml:space="preserve"> a dan</w:t>
      </w:r>
      <w:r w:rsidRPr="00C47230">
        <w:rPr>
          <w:noProof/>
        </w:rPr>
        <w:t>ym państwem. Państwo prowadzące niczym niesprowokowaną</w:t>
      </w:r>
      <w:r w:rsidR="00C47230" w:rsidRPr="00C47230">
        <w:rPr>
          <w:noProof/>
        </w:rPr>
        <w:t xml:space="preserve"> i nie</w:t>
      </w:r>
      <w:r w:rsidRPr="00C47230">
        <w:rPr>
          <w:noProof/>
        </w:rPr>
        <w:t>uzasadnioną wojnę napastniczą nie powinno móc nadal korzystać</w:t>
      </w:r>
      <w:r w:rsidR="00C47230" w:rsidRPr="00C47230">
        <w:rPr>
          <w:noProof/>
        </w:rPr>
        <w:t xml:space="preserve"> z uła</w:t>
      </w:r>
      <w:r w:rsidRPr="00C47230">
        <w:rPr>
          <w:noProof/>
        </w:rPr>
        <w:t>twień wizowych. Uzasadnione jest zatem zawieszenie całości umowy</w:t>
      </w:r>
      <w:r w:rsidR="00C47230" w:rsidRPr="00C47230">
        <w:rPr>
          <w:noProof/>
        </w:rPr>
        <w:t xml:space="preserve"> o uła</w:t>
      </w:r>
      <w:r w:rsidRPr="00C47230">
        <w:rPr>
          <w:noProof/>
        </w:rPr>
        <w:t>twieniach wizowych</w:t>
      </w:r>
      <w:r w:rsidR="00C47230" w:rsidRPr="00C47230">
        <w:rPr>
          <w:noProof/>
        </w:rPr>
        <w:t xml:space="preserve"> w odn</w:t>
      </w:r>
      <w:r w:rsidRPr="00C47230">
        <w:rPr>
          <w:noProof/>
        </w:rPr>
        <w:t xml:space="preserve">iesieniu do wszystkich obywateli Federacji Rosyjskiej. </w:t>
      </w:r>
    </w:p>
    <w:p w14:paraId="44948B81" w14:textId="3E6D255A" w:rsidR="004A1DF1" w:rsidRPr="00C47230" w:rsidRDefault="00670BC2" w:rsidP="001448BC">
      <w:pPr>
        <w:rPr>
          <w:noProof/>
        </w:rPr>
      </w:pPr>
      <w:r w:rsidRPr="00C47230">
        <w:rPr>
          <w:noProof/>
        </w:rPr>
        <w:t>Zawieszenie to będzie również dotyczyć takich kategorii podróżnych, jak dziennikarze, uczniowie, studenci</w:t>
      </w:r>
      <w:r w:rsidR="00C47230" w:rsidRPr="00C47230">
        <w:rPr>
          <w:noProof/>
        </w:rPr>
        <w:t xml:space="preserve"> i nau</w:t>
      </w:r>
      <w:r w:rsidRPr="00C47230">
        <w:rPr>
          <w:noProof/>
        </w:rPr>
        <w:t>kowcy, którzy nie będą już mogli korzystać</w:t>
      </w:r>
      <w:r w:rsidR="00C47230" w:rsidRPr="00C47230">
        <w:rPr>
          <w:noProof/>
        </w:rPr>
        <w:t xml:space="preserve"> z uła</w:t>
      </w:r>
      <w:r w:rsidRPr="00C47230">
        <w:rPr>
          <w:noProof/>
        </w:rPr>
        <w:t>twień na podstawie zawieszonej umowy</w:t>
      </w:r>
      <w:r w:rsidR="00C47230" w:rsidRPr="00C47230">
        <w:rPr>
          <w:noProof/>
        </w:rPr>
        <w:t xml:space="preserve"> o uła</w:t>
      </w:r>
      <w:r w:rsidRPr="00C47230">
        <w:rPr>
          <w:noProof/>
        </w:rPr>
        <w:t>twieniach wizowych. Ze względu na znaczenie tych kategorii podróżnych dla UE oraz znaczenie kontynuowania kontaktów międzyludzkich kwestia ta zostanie poruszona</w:t>
      </w:r>
      <w:r w:rsidR="00C47230" w:rsidRPr="00C47230">
        <w:rPr>
          <w:noProof/>
        </w:rPr>
        <w:t xml:space="preserve"> w pla</w:t>
      </w:r>
      <w:r w:rsidRPr="00C47230">
        <w:rPr>
          <w:noProof/>
        </w:rPr>
        <w:t>nowanych wytycznych, które ma przyjąć Komisja, dotyczących ogólnych kwestii wizowych</w:t>
      </w:r>
      <w:r w:rsidR="00C47230" w:rsidRPr="00C47230">
        <w:rPr>
          <w:noProof/>
        </w:rPr>
        <w:t xml:space="preserve"> w sto</w:t>
      </w:r>
      <w:r w:rsidRPr="00C47230">
        <w:rPr>
          <w:noProof/>
        </w:rPr>
        <w:t>sunkach</w:t>
      </w:r>
      <w:r w:rsidR="00C47230" w:rsidRPr="00C47230">
        <w:rPr>
          <w:noProof/>
        </w:rPr>
        <w:t xml:space="preserve"> z Ros</w:t>
      </w:r>
      <w:r w:rsidRPr="00C47230">
        <w:rPr>
          <w:noProof/>
        </w:rPr>
        <w:t xml:space="preserve">ją. </w:t>
      </w:r>
    </w:p>
    <w:p w14:paraId="11B8B366" w14:textId="21110767" w:rsidR="0069547A" w:rsidRPr="00556B48" w:rsidRDefault="0069547A" w:rsidP="0069547A">
      <w:r w:rsidRPr="00C47230">
        <w:rPr>
          <w:noProof/>
        </w:rPr>
        <w:t>Po wejściu</w:t>
      </w:r>
      <w:r w:rsidR="00C47230" w:rsidRPr="00C47230">
        <w:rPr>
          <w:noProof/>
        </w:rPr>
        <w:t xml:space="preserve"> w życ</w:t>
      </w:r>
      <w:r w:rsidRPr="00C47230">
        <w:rPr>
          <w:noProof/>
        </w:rPr>
        <w:t>ie decyzji Rady postanowienia umowy</w:t>
      </w:r>
      <w:r w:rsidR="00C47230" w:rsidRPr="00C47230">
        <w:rPr>
          <w:noProof/>
        </w:rPr>
        <w:t xml:space="preserve"> o uła</w:t>
      </w:r>
      <w:r w:rsidRPr="00C47230">
        <w:rPr>
          <w:noProof/>
        </w:rPr>
        <w:t xml:space="preserve">twieniach wizowych zostaną zawieszone. Co za tym idzie, zastosowanie będą miały ogólne przepisy kodeksu wizowego. </w:t>
      </w:r>
    </w:p>
    <w:p w14:paraId="75C71A3B" w14:textId="2E0CEAB0" w:rsidR="0069547A" w:rsidRPr="00C47230" w:rsidRDefault="004A11F3" w:rsidP="0069547A">
      <w:pPr>
        <w:pStyle w:val="ManualHeading1"/>
        <w:rPr>
          <w:noProof/>
        </w:rPr>
      </w:pPr>
      <w:r w:rsidRPr="00C47230">
        <w:rPr>
          <w:noProof/>
        </w:rPr>
        <w:t>3.</w:t>
      </w:r>
      <w:r w:rsidRPr="00C47230">
        <w:rPr>
          <w:noProof/>
        </w:rPr>
        <w:tab/>
        <w:t>PODSTAWA PRAWNA, POMOCNICZOŚĆ I PROPORCJONALNOŚĆ</w:t>
      </w:r>
    </w:p>
    <w:p w14:paraId="724642E4" w14:textId="77777777" w:rsidR="0069547A" w:rsidRPr="00C47230" w:rsidRDefault="0069547A" w:rsidP="0069547A">
      <w:pPr>
        <w:pStyle w:val="ManualHeading2"/>
        <w:rPr>
          <w:rFonts w:eastAsia="Arial Unicode MS"/>
          <w:noProof/>
          <w:bdr w:val="none" w:sz="0" w:space="0" w:color="auto" w:frame="1"/>
        </w:rPr>
      </w:pPr>
      <w:r w:rsidRPr="00C47230">
        <w:rPr>
          <w:noProof/>
          <w:bdr w:val="none" w:sz="0" w:space="0" w:color="auto" w:frame="1"/>
        </w:rPr>
        <w:t>•</w:t>
      </w:r>
      <w:r w:rsidRPr="00C47230">
        <w:rPr>
          <w:noProof/>
        </w:rPr>
        <w:tab/>
      </w:r>
      <w:r w:rsidRPr="00C47230">
        <w:rPr>
          <w:noProof/>
          <w:bdr w:val="none" w:sz="0" w:space="0" w:color="auto" w:frame="1"/>
        </w:rPr>
        <w:t>Podstawa prawna</w:t>
      </w:r>
    </w:p>
    <w:p w14:paraId="79600133" w14:textId="7CBA4C0B" w:rsidR="00485DF9" w:rsidRPr="00C47230" w:rsidRDefault="0069547A" w:rsidP="00485DF9">
      <w:pPr>
        <w:pStyle w:val="Text1"/>
        <w:ind w:left="0"/>
        <w:rPr>
          <w:noProof/>
        </w:rPr>
      </w:pPr>
      <w:r w:rsidRPr="00C47230">
        <w:rPr>
          <w:noProof/>
        </w:rPr>
        <w:t>Materialną podstawą prawną niniejszego wniosku jest art.</w:t>
      </w:r>
      <w:r w:rsidR="00C47230" w:rsidRPr="00C47230">
        <w:rPr>
          <w:noProof/>
        </w:rPr>
        <w:t> </w:t>
      </w:r>
      <w:r w:rsidRPr="00C47230">
        <w:rPr>
          <w:noProof/>
        </w:rPr>
        <w:t>77 ust.</w:t>
      </w:r>
      <w:r w:rsidR="00C47230" w:rsidRPr="00C47230">
        <w:rPr>
          <w:noProof/>
        </w:rPr>
        <w:t> </w:t>
      </w:r>
      <w:r w:rsidRPr="00C47230">
        <w:rPr>
          <w:noProof/>
        </w:rPr>
        <w:t>2 lit.</w:t>
      </w:r>
      <w:r w:rsidR="00C47230" w:rsidRPr="00C47230">
        <w:rPr>
          <w:noProof/>
        </w:rPr>
        <w:t> </w:t>
      </w:r>
      <w:r w:rsidRPr="00C47230">
        <w:rPr>
          <w:noProof/>
        </w:rPr>
        <w:t>a) Traktatu</w:t>
      </w:r>
      <w:r w:rsidR="00C47230" w:rsidRPr="00C47230">
        <w:rPr>
          <w:noProof/>
        </w:rPr>
        <w:t xml:space="preserve"> o fun</w:t>
      </w:r>
      <w:r w:rsidRPr="00C47230">
        <w:rPr>
          <w:noProof/>
        </w:rPr>
        <w:t xml:space="preserve">kcjonowaniu Unii Europejskiej. </w:t>
      </w:r>
    </w:p>
    <w:p w14:paraId="0C810F9B" w14:textId="731AF3DD" w:rsidR="0069547A" w:rsidRPr="00C47230" w:rsidRDefault="0069547A" w:rsidP="0069547A">
      <w:pPr>
        <w:pStyle w:val="Text1"/>
        <w:ind w:left="0"/>
        <w:rPr>
          <w:noProof/>
          <w:lang w:eastAsia="en-GB"/>
        </w:rPr>
      </w:pPr>
    </w:p>
    <w:p w14:paraId="4E405AA4" w14:textId="7BA60B9C" w:rsidR="0069547A" w:rsidRPr="00C47230" w:rsidRDefault="0069547A" w:rsidP="0069547A">
      <w:pPr>
        <w:pStyle w:val="Text1"/>
        <w:ind w:left="0"/>
        <w:rPr>
          <w:noProof/>
        </w:rPr>
      </w:pPr>
      <w:r w:rsidRPr="00C47230">
        <w:rPr>
          <w:noProof/>
        </w:rPr>
        <w:t>Ponadto art.</w:t>
      </w:r>
      <w:r w:rsidR="00C47230" w:rsidRPr="00C47230">
        <w:rPr>
          <w:noProof/>
        </w:rPr>
        <w:t> </w:t>
      </w:r>
      <w:r w:rsidRPr="00C47230">
        <w:rPr>
          <w:noProof/>
        </w:rPr>
        <w:t>15 ust.</w:t>
      </w:r>
      <w:r w:rsidR="00C47230" w:rsidRPr="00C47230">
        <w:rPr>
          <w:noProof/>
        </w:rPr>
        <w:t> </w:t>
      </w:r>
      <w:r w:rsidRPr="00C47230">
        <w:rPr>
          <w:noProof/>
        </w:rPr>
        <w:t>5 umowy</w:t>
      </w:r>
      <w:r w:rsidR="00C47230" w:rsidRPr="00C47230">
        <w:rPr>
          <w:noProof/>
        </w:rPr>
        <w:t xml:space="preserve"> o uła</w:t>
      </w:r>
      <w:r w:rsidRPr="00C47230">
        <w:rPr>
          <w:noProof/>
        </w:rPr>
        <w:t>twieniach wizowych stanowi, że „[k]ażda ze stron może zawiesić stosowanie części lub wszystkich postanowień niniejszej umowy ze względu na porządek publiczny, ochronę bezpieczeństwa narodowego lub ochronę zdrowia obywateli</w:t>
      </w:r>
      <w:r w:rsidR="00C47230" w:rsidRPr="00C47230">
        <w:rPr>
          <w:noProof/>
        </w:rPr>
        <w:t>.</w:t>
      </w:r>
      <w:r w:rsidR="00C47230" w:rsidRPr="00C47230">
        <w:rPr>
          <w:i/>
          <w:noProof/>
        </w:rPr>
        <w:t xml:space="preserve"> </w:t>
      </w:r>
      <w:r w:rsidR="00C47230" w:rsidRPr="00C47230">
        <w:rPr>
          <w:noProof/>
        </w:rPr>
        <w:t>O dec</w:t>
      </w:r>
      <w:r w:rsidRPr="00C47230">
        <w:rPr>
          <w:noProof/>
        </w:rPr>
        <w:t>yzji</w:t>
      </w:r>
      <w:r w:rsidR="00C47230" w:rsidRPr="00C47230">
        <w:rPr>
          <w:noProof/>
        </w:rPr>
        <w:t xml:space="preserve"> w spr</w:t>
      </w:r>
      <w:r w:rsidRPr="00C47230">
        <w:rPr>
          <w:noProof/>
        </w:rPr>
        <w:t>awie zawieszenia stosowania niniejszej umowy należy zawiadomić drugą stronę nie później niż 48 godzin przed jej wejściem</w:t>
      </w:r>
      <w:r w:rsidR="00C47230" w:rsidRPr="00C47230">
        <w:rPr>
          <w:noProof/>
        </w:rPr>
        <w:t xml:space="preserve"> w życ</w:t>
      </w:r>
      <w:r w:rsidRPr="00C47230">
        <w:rPr>
          <w:noProof/>
        </w:rPr>
        <w:t>ie</w:t>
      </w:r>
      <w:r w:rsidR="00C47230" w:rsidRPr="00C47230">
        <w:rPr>
          <w:noProof/>
        </w:rPr>
        <w:t>. Z chw</w:t>
      </w:r>
      <w:r w:rsidRPr="00C47230">
        <w:rPr>
          <w:noProof/>
        </w:rPr>
        <w:t>ilą ustania powodów zawieszenia stosowania umowy, strona, która zawiesiła stosowanie niniejszej umowy, bezzwłocznie zawiadamia</w:t>
      </w:r>
      <w:r w:rsidR="00C47230" w:rsidRPr="00C47230">
        <w:rPr>
          <w:noProof/>
        </w:rPr>
        <w:t xml:space="preserve"> o tym</w:t>
      </w:r>
      <w:r w:rsidRPr="00C47230">
        <w:rPr>
          <w:noProof/>
        </w:rPr>
        <w:t xml:space="preserve"> drugą stronę”.</w:t>
      </w:r>
      <w:r w:rsidRPr="00C47230">
        <w:rPr>
          <w:i/>
          <w:noProof/>
        </w:rPr>
        <w:t xml:space="preserve"> </w:t>
      </w:r>
    </w:p>
    <w:p w14:paraId="1E3E04A9" w14:textId="77777777" w:rsidR="0069547A" w:rsidRPr="00C47230" w:rsidRDefault="0069547A" w:rsidP="0069547A">
      <w:pPr>
        <w:pStyle w:val="ManualHeading2"/>
        <w:rPr>
          <w:rFonts w:eastAsia="Arial Unicode MS"/>
          <w:noProof/>
          <w:bdr w:val="none" w:sz="0" w:space="0" w:color="auto" w:frame="1"/>
        </w:rPr>
      </w:pPr>
      <w:r w:rsidRPr="00C47230">
        <w:rPr>
          <w:noProof/>
          <w:bdr w:val="none" w:sz="0" w:space="0" w:color="auto" w:frame="1"/>
        </w:rPr>
        <w:t>•</w:t>
      </w:r>
      <w:r w:rsidRPr="00C47230">
        <w:rPr>
          <w:noProof/>
        </w:rPr>
        <w:tab/>
      </w:r>
      <w:r w:rsidRPr="00C47230">
        <w:rPr>
          <w:noProof/>
          <w:bdr w:val="none" w:sz="0" w:space="0" w:color="auto" w:frame="1"/>
        </w:rPr>
        <w:t xml:space="preserve">Pomocniczość (w przypadku kompetencji niewyłącznych) </w:t>
      </w:r>
    </w:p>
    <w:p w14:paraId="1FEF358A" w14:textId="1859EB6B" w:rsidR="0069547A" w:rsidRPr="00C47230" w:rsidRDefault="00485DF9" w:rsidP="0069547A">
      <w:pPr>
        <w:spacing w:before="0" w:after="240"/>
        <w:rPr>
          <w:noProof/>
          <w:color w:val="008000"/>
        </w:rPr>
      </w:pPr>
      <w:r w:rsidRPr="00C47230">
        <w:rPr>
          <w:noProof/>
        </w:rPr>
        <w:t>nie dotyczy</w:t>
      </w:r>
    </w:p>
    <w:p w14:paraId="36E5BCC2" w14:textId="77777777" w:rsidR="0069547A" w:rsidRPr="00C47230" w:rsidRDefault="0069547A" w:rsidP="0069547A">
      <w:pPr>
        <w:pStyle w:val="ManualHeading2"/>
        <w:rPr>
          <w:rFonts w:eastAsia="Arial Unicode MS"/>
          <w:noProof/>
          <w:bdr w:val="none" w:sz="0" w:space="0" w:color="auto" w:frame="1"/>
        </w:rPr>
      </w:pPr>
      <w:r w:rsidRPr="00C47230">
        <w:rPr>
          <w:noProof/>
          <w:bdr w:val="none" w:sz="0" w:space="0" w:color="auto" w:frame="1"/>
        </w:rPr>
        <w:t>•</w:t>
      </w:r>
      <w:r w:rsidRPr="00C47230">
        <w:rPr>
          <w:noProof/>
        </w:rPr>
        <w:tab/>
      </w:r>
      <w:r w:rsidRPr="00C47230">
        <w:rPr>
          <w:noProof/>
          <w:bdr w:val="none" w:sz="0" w:space="0" w:color="auto" w:frame="1"/>
        </w:rPr>
        <w:t>Proporcjonalność</w:t>
      </w:r>
    </w:p>
    <w:p w14:paraId="26873F36" w14:textId="34CC2A2E" w:rsidR="0069547A" w:rsidRPr="00C47230" w:rsidRDefault="0069547A" w:rsidP="0069547A">
      <w:pPr>
        <w:spacing w:before="0" w:after="240"/>
        <w:rPr>
          <w:rFonts w:eastAsia="Arial Unicode MS"/>
          <w:noProof/>
        </w:rPr>
      </w:pPr>
      <w:r w:rsidRPr="00C47230">
        <w:rPr>
          <w:noProof/>
        </w:rPr>
        <w:t>Niniejszy wniosek jest proporcjonalny do potrzeby ochrony bezpieczeństwa Unii</w:t>
      </w:r>
      <w:r w:rsidR="00C47230" w:rsidRPr="00C47230">
        <w:rPr>
          <w:noProof/>
        </w:rPr>
        <w:t xml:space="preserve"> i pań</w:t>
      </w:r>
      <w:r w:rsidRPr="00C47230">
        <w:rPr>
          <w:noProof/>
        </w:rPr>
        <w:t>stw członkowskich oraz potrzeby zareagowania na niczym niesprowokowaną</w:t>
      </w:r>
      <w:r w:rsidR="00C47230" w:rsidRPr="00C47230">
        <w:rPr>
          <w:noProof/>
        </w:rPr>
        <w:t xml:space="preserve"> i nie</w:t>
      </w:r>
      <w:r w:rsidRPr="00C47230">
        <w:rPr>
          <w:noProof/>
        </w:rPr>
        <w:t xml:space="preserve">uzasadnioną agresję wojskową Rosji wobec Ukrainy. Biorąc pod uwagę pogorszenie się </w:t>
      </w:r>
      <w:bookmarkStart w:id="1" w:name="_Hlk112675283"/>
      <w:r w:rsidRPr="00C47230">
        <w:rPr>
          <w:noProof/>
        </w:rPr>
        <w:t>sytuacji</w:t>
      </w:r>
      <w:r w:rsidR="00C47230" w:rsidRPr="00C47230">
        <w:rPr>
          <w:noProof/>
        </w:rPr>
        <w:t xml:space="preserve"> w zak</w:t>
      </w:r>
      <w:r w:rsidRPr="00C47230">
        <w:rPr>
          <w:noProof/>
        </w:rPr>
        <w:t>resie bezpieczeństwa na Ukrainie spowodowane działaniami wojskowymi Federacji Rosyjskiej</w:t>
      </w:r>
      <w:bookmarkEnd w:id="1"/>
      <w:r w:rsidRPr="00C47230">
        <w:rPr>
          <w:noProof/>
        </w:rPr>
        <w:t xml:space="preserve"> oraz zwiększone ryzyko, jakie działania te stwarzają dla Unii Europejskiej, proporcjonalne jest zawieszenie umowy</w:t>
      </w:r>
      <w:r w:rsidR="00C47230" w:rsidRPr="00C47230">
        <w:rPr>
          <w:noProof/>
        </w:rPr>
        <w:t xml:space="preserve"> o uła</w:t>
      </w:r>
      <w:r w:rsidRPr="00C47230">
        <w:rPr>
          <w:noProof/>
        </w:rPr>
        <w:t>twieniach wizowych</w:t>
      </w:r>
      <w:r w:rsidR="00C47230" w:rsidRPr="00C47230">
        <w:rPr>
          <w:noProof/>
        </w:rPr>
        <w:t xml:space="preserve"> w cał</w:t>
      </w:r>
      <w:r w:rsidRPr="00C47230">
        <w:rPr>
          <w:noProof/>
        </w:rPr>
        <w:t>ości.</w:t>
      </w:r>
    </w:p>
    <w:p w14:paraId="2D90C133" w14:textId="1D01B3C1" w:rsidR="0069547A" w:rsidRPr="00C47230" w:rsidRDefault="004A11F3" w:rsidP="0069547A">
      <w:pPr>
        <w:pStyle w:val="ManualHeading1"/>
        <w:rPr>
          <w:noProof/>
        </w:rPr>
      </w:pPr>
      <w:r w:rsidRPr="00C47230">
        <w:rPr>
          <w:noProof/>
        </w:rPr>
        <w:t>4.</w:t>
      </w:r>
      <w:r w:rsidRPr="00C47230">
        <w:rPr>
          <w:noProof/>
        </w:rPr>
        <w:tab/>
        <w:t xml:space="preserve">WYNIKI OCEN </w:t>
      </w:r>
      <w:r w:rsidRPr="00C47230">
        <w:rPr>
          <w:i/>
          <w:noProof/>
        </w:rPr>
        <w:t>EX POST</w:t>
      </w:r>
      <w:r w:rsidRPr="00C47230">
        <w:rPr>
          <w:noProof/>
        </w:rPr>
        <w:t>, KONSULTACJI Z ZAINTERESOWANYMI STRONAMI I OCEN SKUTKÓW</w:t>
      </w:r>
    </w:p>
    <w:p w14:paraId="25509F6A" w14:textId="2D91D89F" w:rsidR="0069547A" w:rsidRPr="00C47230" w:rsidRDefault="009772AE" w:rsidP="0069547A">
      <w:pPr>
        <w:pStyle w:val="Text1"/>
        <w:ind w:left="0"/>
        <w:rPr>
          <w:noProof/>
        </w:rPr>
      </w:pPr>
      <w:r w:rsidRPr="00C47230">
        <w:rPr>
          <w:noProof/>
        </w:rPr>
        <w:t>Państwa członkowskie omówiły zawieszenie</w:t>
      </w:r>
      <w:r w:rsidR="00C47230" w:rsidRPr="00C47230">
        <w:rPr>
          <w:noProof/>
        </w:rPr>
        <w:t xml:space="preserve"> w cał</w:t>
      </w:r>
      <w:r w:rsidRPr="00C47230">
        <w:rPr>
          <w:noProof/>
        </w:rPr>
        <w:t>ości umowy</w:t>
      </w:r>
      <w:r w:rsidR="00C47230" w:rsidRPr="00C47230">
        <w:rPr>
          <w:noProof/>
        </w:rPr>
        <w:t xml:space="preserve"> o uła</w:t>
      </w:r>
      <w:r w:rsidRPr="00C47230">
        <w:rPr>
          <w:noProof/>
        </w:rPr>
        <w:t>twieniach wizowych na posiedzeniu Grupy Roboczej ds. Wiz 13 lipca 2022</w:t>
      </w:r>
      <w:r w:rsidR="00C47230" w:rsidRPr="00C47230">
        <w:rPr>
          <w:noProof/>
        </w:rPr>
        <w:t> </w:t>
      </w:r>
      <w:r w:rsidRPr="00C47230">
        <w:rPr>
          <w:noProof/>
        </w:rPr>
        <w:t>r. Państwa członkowskie wyraziły również swoje poglądy na temat zawieszenia tej umowy na nieformalnym posiedzeniu ministrów spraw zagranicznych (spotkaniu Gymnich) 31 sierpnia 2022</w:t>
      </w:r>
      <w:r w:rsidR="00C47230" w:rsidRPr="00C47230">
        <w:rPr>
          <w:noProof/>
        </w:rPr>
        <w:t> </w:t>
      </w:r>
      <w:r w:rsidRPr="00C47230">
        <w:rPr>
          <w:noProof/>
        </w:rPr>
        <w:t>r. oraz osiągnęły porozumienie polityczne</w:t>
      </w:r>
      <w:r w:rsidR="00C47230" w:rsidRPr="00C47230">
        <w:rPr>
          <w:noProof/>
        </w:rPr>
        <w:t xml:space="preserve"> w spr</w:t>
      </w:r>
      <w:r w:rsidRPr="00C47230">
        <w:rPr>
          <w:noProof/>
        </w:rPr>
        <w:t>awie zawieszenia tej umowy</w:t>
      </w:r>
      <w:r w:rsidR="00C47230" w:rsidRPr="00C47230">
        <w:rPr>
          <w:noProof/>
        </w:rPr>
        <w:t xml:space="preserve"> w cał</w:t>
      </w:r>
      <w:r w:rsidRPr="00C47230">
        <w:rPr>
          <w:noProof/>
        </w:rPr>
        <w:t>ości.</w:t>
      </w:r>
    </w:p>
    <w:p w14:paraId="21006FD7" w14:textId="2215F201" w:rsidR="0069547A" w:rsidRPr="00C47230" w:rsidRDefault="004A11F3" w:rsidP="0069547A">
      <w:pPr>
        <w:pStyle w:val="ManualHeading1"/>
        <w:rPr>
          <w:noProof/>
        </w:rPr>
      </w:pPr>
      <w:r w:rsidRPr="00C47230">
        <w:rPr>
          <w:noProof/>
        </w:rPr>
        <w:t>5.</w:t>
      </w:r>
      <w:r w:rsidRPr="00C47230">
        <w:rPr>
          <w:noProof/>
        </w:rPr>
        <w:tab/>
        <w:t>WPŁYW NA BUDŻET</w:t>
      </w:r>
    </w:p>
    <w:p w14:paraId="28CF45C7" w14:textId="1012F137" w:rsidR="0069547A" w:rsidRPr="00C47230" w:rsidRDefault="0069547A" w:rsidP="0069547A">
      <w:pPr>
        <w:pStyle w:val="Text1"/>
        <w:ind w:left="0"/>
        <w:rPr>
          <w:noProof/>
        </w:rPr>
      </w:pPr>
      <w:r w:rsidRPr="00C47230">
        <w:rPr>
          <w:noProof/>
        </w:rPr>
        <w:t>Niniejszy wniosek nie wiąże się</w:t>
      </w:r>
      <w:r w:rsidR="00C47230" w:rsidRPr="00C47230">
        <w:rPr>
          <w:noProof/>
        </w:rPr>
        <w:t xml:space="preserve"> z dod</w:t>
      </w:r>
      <w:r w:rsidRPr="00C47230">
        <w:rPr>
          <w:noProof/>
        </w:rPr>
        <w:t>atkowymi obciążeniami dla budżetu UE.</w:t>
      </w:r>
    </w:p>
    <w:p w14:paraId="32B49F63" w14:textId="02879107" w:rsidR="0069547A" w:rsidRPr="00C47230" w:rsidRDefault="004A11F3" w:rsidP="0069547A">
      <w:pPr>
        <w:pStyle w:val="ManualHeading1"/>
        <w:rPr>
          <w:noProof/>
        </w:rPr>
      </w:pPr>
      <w:r w:rsidRPr="00C47230">
        <w:rPr>
          <w:noProof/>
        </w:rPr>
        <w:t>6.</w:t>
      </w:r>
      <w:r w:rsidRPr="00C47230">
        <w:rPr>
          <w:noProof/>
        </w:rPr>
        <w:tab/>
        <w:t>ELEMENTY FAKULTATYWNE</w:t>
      </w:r>
    </w:p>
    <w:p w14:paraId="5653665D" w14:textId="5E28C870" w:rsidR="0069547A" w:rsidRPr="00C47230" w:rsidRDefault="0069547A" w:rsidP="0069547A">
      <w:pPr>
        <w:pStyle w:val="ManualHeading2"/>
        <w:rPr>
          <w:rFonts w:eastAsia="Arial Unicode MS"/>
          <w:noProof/>
          <w:bdr w:val="none" w:sz="0" w:space="0" w:color="auto" w:frame="1"/>
        </w:rPr>
      </w:pPr>
      <w:r w:rsidRPr="00C47230">
        <w:rPr>
          <w:noProof/>
          <w:bdr w:val="none" w:sz="0" w:space="0" w:color="auto" w:frame="1"/>
        </w:rPr>
        <w:t>•</w:t>
      </w:r>
      <w:r w:rsidRPr="00C47230">
        <w:rPr>
          <w:noProof/>
        </w:rPr>
        <w:tab/>
      </w:r>
      <w:r w:rsidRPr="00C47230">
        <w:rPr>
          <w:noProof/>
          <w:bdr w:val="none" w:sz="0" w:space="0" w:color="auto" w:frame="1"/>
        </w:rPr>
        <w:t>Plany wdrożenia</w:t>
      </w:r>
      <w:r w:rsidR="00C47230" w:rsidRPr="00C47230">
        <w:rPr>
          <w:noProof/>
          <w:bdr w:val="none" w:sz="0" w:space="0" w:color="auto" w:frame="1"/>
        </w:rPr>
        <w:t xml:space="preserve"> i mon</w:t>
      </w:r>
      <w:r w:rsidRPr="00C47230">
        <w:rPr>
          <w:noProof/>
          <w:bdr w:val="none" w:sz="0" w:space="0" w:color="auto" w:frame="1"/>
        </w:rPr>
        <w:t>itorowanie, ocena</w:t>
      </w:r>
      <w:r w:rsidR="00C47230" w:rsidRPr="00C47230">
        <w:rPr>
          <w:noProof/>
          <w:bdr w:val="none" w:sz="0" w:space="0" w:color="auto" w:frame="1"/>
        </w:rPr>
        <w:t xml:space="preserve"> i spr</w:t>
      </w:r>
      <w:r w:rsidRPr="00C47230">
        <w:rPr>
          <w:noProof/>
          <w:bdr w:val="none" w:sz="0" w:space="0" w:color="auto" w:frame="1"/>
        </w:rPr>
        <w:t>awozdania</w:t>
      </w:r>
    </w:p>
    <w:p w14:paraId="588AEFFA" w14:textId="274B80F3" w:rsidR="00415758" w:rsidRPr="00C47230" w:rsidRDefault="00415758" w:rsidP="00183C6A">
      <w:pPr>
        <w:spacing w:before="0" w:after="240"/>
        <w:rPr>
          <w:noProof/>
        </w:rPr>
      </w:pPr>
      <w:r w:rsidRPr="00C47230">
        <w:rPr>
          <w:noProof/>
        </w:rPr>
        <w:t>Wdrażanie tego środka będzie monitorowane przez Komisję,</w:t>
      </w:r>
      <w:r w:rsidR="00C47230" w:rsidRPr="00C47230">
        <w:rPr>
          <w:noProof/>
        </w:rPr>
        <w:t xml:space="preserve"> w szc</w:t>
      </w:r>
      <w:r w:rsidRPr="00C47230">
        <w:rPr>
          <w:noProof/>
        </w:rPr>
        <w:t>zególności</w:t>
      </w:r>
      <w:r w:rsidR="00C47230" w:rsidRPr="00C47230">
        <w:rPr>
          <w:noProof/>
        </w:rPr>
        <w:t xml:space="preserve"> w kon</w:t>
      </w:r>
      <w:r w:rsidRPr="00C47230">
        <w:rPr>
          <w:noProof/>
        </w:rPr>
        <w:t xml:space="preserve">tekście ocen stosowania dorobku Schengen. </w:t>
      </w:r>
    </w:p>
    <w:p w14:paraId="65251CC4" w14:textId="77777777" w:rsidR="0069547A" w:rsidRPr="00C47230" w:rsidRDefault="0069547A" w:rsidP="0069547A">
      <w:pPr>
        <w:pStyle w:val="ManualHeading2"/>
        <w:rPr>
          <w:noProof/>
          <w:bdr w:val="none" w:sz="0" w:space="0" w:color="auto" w:frame="1"/>
        </w:rPr>
      </w:pPr>
      <w:r w:rsidRPr="00C47230">
        <w:rPr>
          <w:noProof/>
          <w:bdr w:val="none" w:sz="0" w:space="0" w:color="auto" w:frame="1"/>
        </w:rPr>
        <w:t>•</w:t>
      </w:r>
      <w:r w:rsidRPr="00C47230">
        <w:rPr>
          <w:noProof/>
        </w:rPr>
        <w:tab/>
      </w:r>
      <w:r w:rsidRPr="00C47230">
        <w:rPr>
          <w:noProof/>
          <w:bdr w:val="none" w:sz="0" w:space="0" w:color="auto" w:frame="1"/>
        </w:rPr>
        <w:t>Szczegółowe objaśnienia poszczególnych przepisów wniosku</w:t>
      </w:r>
    </w:p>
    <w:p w14:paraId="5BCD67F7" w14:textId="7BE574F0" w:rsidR="0069547A" w:rsidRPr="00C47230" w:rsidRDefault="008C1A6F" w:rsidP="00183C6A">
      <w:pPr>
        <w:spacing w:before="0" w:after="240"/>
        <w:rPr>
          <w:noProof/>
        </w:rPr>
      </w:pPr>
      <w:r w:rsidRPr="00C47230">
        <w:rPr>
          <w:noProof/>
        </w:rPr>
        <w:t>Wniosek ma na celu całkowite zawieszenie ułatwień przewidzianych</w:t>
      </w:r>
      <w:r w:rsidR="00C47230" w:rsidRPr="00C47230">
        <w:rPr>
          <w:noProof/>
        </w:rPr>
        <w:t xml:space="preserve"> w umo</w:t>
      </w:r>
      <w:r w:rsidRPr="00C47230">
        <w:rPr>
          <w:noProof/>
        </w:rPr>
        <w:t>wie</w:t>
      </w:r>
      <w:r w:rsidR="00C47230" w:rsidRPr="00C47230">
        <w:rPr>
          <w:noProof/>
        </w:rPr>
        <w:t xml:space="preserve"> o uła</w:t>
      </w:r>
      <w:r w:rsidRPr="00C47230">
        <w:rPr>
          <w:noProof/>
        </w:rPr>
        <w:t>twieniach wizowych</w:t>
      </w:r>
      <w:r w:rsidR="00C47230" w:rsidRPr="00C47230">
        <w:rPr>
          <w:noProof/>
        </w:rPr>
        <w:t xml:space="preserve"> w odn</w:t>
      </w:r>
      <w:r w:rsidRPr="00C47230">
        <w:rPr>
          <w:noProof/>
        </w:rPr>
        <w:t>iesieniu do obywateli rosyjskich. Dotyczy to dokumentów potwierdzających, które wnioskodawca musi przedstawić przed podróżą, wysokości opłaty wizowej, wydawania wiz wielokrotnego wjazdu oraz czasu trwania procedur rozpatrywania wniosków wizowych</w:t>
      </w:r>
      <w:r w:rsidR="00C47230" w:rsidRPr="00C47230">
        <w:rPr>
          <w:noProof/>
        </w:rPr>
        <w:t>. W sto</w:t>
      </w:r>
      <w:r w:rsidRPr="00C47230">
        <w:rPr>
          <w:noProof/>
        </w:rPr>
        <w:t>sunku do obywateli rosyjskich przestaną obowiązywać ułatwienia związane</w:t>
      </w:r>
      <w:r w:rsidR="00C47230" w:rsidRPr="00C47230">
        <w:rPr>
          <w:noProof/>
        </w:rPr>
        <w:t xml:space="preserve"> z wym</w:t>
      </w:r>
      <w:r w:rsidRPr="00C47230">
        <w:rPr>
          <w:noProof/>
        </w:rPr>
        <w:t>ienionymi poszczególnymi elementami, zaczną natomiast obowiązywać standardowe przepisy kodeksu wizowego</w:t>
      </w:r>
      <w:r w:rsidR="00C47230" w:rsidRPr="00C47230">
        <w:rPr>
          <w:noProof/>
        </w:rPr>
        <w:t xml:space="preserve"> w odn</w:t>
      </w:r>
      <w:r w:rsidRPr="00C47230">
        <w:rPr>
          <w:noProof/>
        </w:rPr>
        <w:t>iesieniu do: opłaty wizowej (art.</w:t>
      </w:r>
      <w:r w:rsidR="00C47230" w:rsidRPr="00C47230">
        <w:rPr>
          <w:noProof/>
        </w:rPr>
        <w:t> </w:t>
      </w:r>
      <w:r w:rsidRPr="00C47230">
        <w:rPr>
          <w:noProof/>
        </w:rPr>
        <w:t>16 kodeksu wizowego), maksymalnego okresu rozpatrywania wniosków wizowych (art.</w:t>
      </w:r>
      <w:r w:rsidR="00C47230" w:rsidRPr="00C47230">
        <w:rPr>
          <w:noProof/>
        </w:rPr>
        <w:t> </w:t>
      </w:r>
      <w:r w:rsidRPr="00C47230">
        <w:rPr>
          <w:noProof/>
        </w:rPr>
        <w:t>23), wydawania wiz wielokrotnego wjazdu (art.</w:t>
      </w:r>
      <w:r w:rsidR="00C47230" w:rsidRPr="00C47230">
        <w:rPr>
          <w:noProof/>
        </w:rPr>
        <w:t> </w:t>
      </w:r>
      <w:r w:rsidRPr="00C47230">
        <w:rPr>
          <w:noProof/>
        </w:rPr>
        <w:t>24 ust.</w:t>
      </w:r>
      <w:r w:rsidR="00C47230" w:rsidRPr="00C47230">
        <w:rPr>
          <w:noProof/>
        </w:rPr>
        <w:t> </w:t>
      </w:r>
      <w:r w:rsidRPr="00C47230">
        <w:rPr>
          <w:noProof/>
        </w:rPr>
        <w:t>2) oraz dokumentów potwierdzających, które wnioskodawca musi przedstawić przed podróżą (art.</w:t>
      </w:r>
      <w:r w:rsidR="00C47230" w:rsidRPr="00C47230">
        <w:rPr>
          <w:noProof/>
        </w:rPr>
        <w:t> </w:t>
      </w:r>
      <w:r w:rsidRPr="00C47230">
        <w:rPr>
          <w:noProof/>
        </w:rPr>
        <w:t>14)</w:t>
      </w:r>
      <w:r w:rsidRPr="00C47230">
        <w:rPr>
          <w:rStyle w:val="FootnoteReference"/>
          <w:noProof/>
        </w:rPr>
        <w:footnoteReference w:id="6"/>
      </w:r>
      <w:r w:rsidRPr="00C47230">
        <w:rPr>
          <w:noProof/>
        </w:rPr>
        <w:t>.</w:t>
      </w:r>
    </w:p>
    <w:p w14:paraId="721A439F" w14:textId="77777777" w:rsidR="0069547A" w:rsidRPr="00556B48" w:rsidRDefault="0069547A" w:rsidP="0069547A">
      <w:pPr>
        <w:spacing w:before="0" w:after="240"/>
      </w:pPr>
      <w:r w:rsidRPr="00C47230">
        <w:rPr>
          <w:noProof/>
        </w:rPr>
        <w:t xml:space="preserve"> </w:t>
      </w:r>
    </w:p>
    <w:p w14:paraId="74A1233E" w14:textId="77777777" w:rsidR="0069547A" w:rsidRPr="00C47230" w:rsidRDefault="0069547A" w:rsidP="0069547A">
      <w:pPr>
        <w:spacing w:before="0" w:after="0"/>
        <w:jc w:val="left"/>
        <w:rPr>
          <w:noProof/>
        </w:rPr>
        <w:sectPr w:rsidR="0069547A" w:rsidRPr="00C47230" w:rsidSect="00523072">
          <w:footerReference w:type="default" r:id="rId13"/>
          <w:footerReference w:type="first" r:id="rId14"/>
          <w:pgSz w:w="11907" w:h="16839"/>
          <w:pgMar w:top="1134" w:right="1417" w:bottom="1134" w:left="1417" w:header="709" w:footer="709" w:gutter="0"/>
          <w:cols w:space="720"/>
          <w:docGrid w:linePitch="326"/>
        </w:sectPr>
      </w:pPr>
    </w:p>
    <w:p w14:paraId="3B951083" w14:textId="77777777" w:rsidR="00A573EC" w:rsidRPr="00A573EC" w:rsidRDefault="00A573EC" w:rsidP="00A573EC">
      <w:pPr>
        <w:pStyle w:val="Rfrenceinterinstitutionnelle"/>
      </w:pPr>
      <w:r w:rsidRPr="00A573EC">
        <w:t>2022/0273 (NLE)</w:t>
      </w:r>
    </w:p>
    <w:p w14:paraId="64D204B9" w14:textId="3279B60F" w:rsidR="0069547A" w:rsidRPr="00C47230" w:rsidRDefault="008B63C5" w:rsidP="008B63C5">
      <w:pPr>
        <w:pStyle w:val="Statut"/>
        <w:rPr>
          <w:noProof/>
        </w:rPr>
      </w:pPr>
      <w:r w:rsidRPr="008B63C5">
        <w:rPr>
          <w:noProof/>
        </w:rPr>
        <w:t>Wniosek</w:t>
      </w:r>
    </w:p>
    <w:p w14:paraId="680C0924" w14:textId="5445FAC0" w:rsidR="0069547A" w:rsidRPr="00C47230" w:rsidRDefault="008B63C5" w:rsidP="008B63C5">
      <w:pPr>
        <w:pStyle w:val="Typedudocument"/>
        <w:rPr>
          <w:noProof/>
        </w:rPr>
      </w:pPr>
      <w:r w:rsidRPr="008B63C5">
        <w:rPr>
          <w:noProof/>
        </w:rPr>
        <w:t>DECYZJA RADY</w:t>
      </w:r>
    </w:p>
    <w:p w14:paraId="30C7A569" w14:textId="3A2C0A50" w:rsidR="0069547A" w:rsidRPr="00C47230" w:rsidRDefault="008B63C5" w:rsidP="008B63C5">
      <w:pPr>
        <w:pStyle w:val="Titreobjet"/>
        <w:rPr>
          <w:noProof/>
        </w:rPr>
      </w:pPr>
      <w:r w:rsidRPr="008B63C5">
        <w:rPr>
          <w:noProof/>
        </w:rPr>
        <w:t xml:space="preserve">w sprawie całkowitego zawieszenia stosowania Umowy między Wspólnotą Europejską a Federacją Rosyjską o ułatwieniach w wydawaniu wiz obywatelom Unii Europejskiej i Federacji Rosyjskiej </w:t>
      </w:r>
      <w:r w:rsidRPr="008B63C5">
        <w:rPr>
          <w:noProof/>
        </w:rPr>
        <w:br/>
      </w:r>
    </w:p>
    <w:p w14:paraId="07265CD6" w14:textId="77777777" w:rsidR="00A573EC" w:rsidRDefault="00A573EC" w:rsidP="00A573EC">
      <w:pPr>
        <w:pStyle w:val="Rfrenceinterinstitutionnelle"/>
        <w:rPr>
          <w:noProof/>
        </w:rPr>
      </w:pPr>
      <w:r>
        <w:rPr>
          <w:noProof/>
        </w:rPr>
        <w:t xml:space="preserve"> </w:t>
      </w:r>
    </w:p>
    <w:p w14:paraId="7621863B" w14:textId="02E45565" w:rsidR="0069547A" w:rsidRPr="00C47230" w:rsidRDefault="0069547A" w:rsidP="0069547A">
      <w:pPr>
        <w:pStyle w:val="Institutionquiagit"/>
        <w:rPr>
          <w:noProof/>
        </w:rPr>
      </w:pPr>
      <w:r w:rsidRPr="00C47230">
        <w:rPr>
          <w:noProof/>
        </w:rPr>
        <w:t>RADA UNII EUROPEJSKIEJ,</w:t>
      </w:r>
    </w:p>
    <w:p w14:paraId="7F278482" w14:textId="1927ABF4" w:rsidR="0069547A" w:rsidRPr="00C47230" w:rsidRDefault="0069547A" w:rsidP="0069547A">
      <w:pPr>
        <w:rPr>
          <w:noProof/>
        </w:rPr>
      </w:pPr>
      <w:r w:rsidRPr="00C47230">
        <w:rPr>
          <w:noProof/>
        </w:rPr>
        <w:t>uwzględniając Traktat</w:t>
      </w:r>
      <w:r w:rsidR="00C47230" w:rsidRPr="00C47230">
        <w:rPr>
          <w:noProof/>
        </w:rPr>
        <w:t xml:space="preserve"> o fun</w:t>
      </w:r>
      <w:r w:rsidRPr="00C47230">
        <w:rPr>
          <w:noProof/>
        </w:rPr>
        <w:t>kcjonowaniu Unii Europejskiej,</w:t>
      </w:r>
      <w:r w:rsidR="00C47230" w:rsidRPr="00C47230">
        <w:rPr>
          <w:noProof/>
        </w:rPr>
        <w:t xml:space="preserve"> w szc</w:t>
      </w:r>
      <w:r w:rsidRPr="00C47230">
        <w:rPr>
          <w:noProof/>
        </w:rPr>
        <w:t>zególności jego art.</w:t>
      </w:r>
      <w:r w:rsidR="00C47230" w:rsidRPr="00C47230">
        <w:rPr>
          <w:noProof/>
        </w:rPr>
        <w:t> </w:t>
      </w:r>
      <w:r w:rsidRPr="00C47230">
        <w:rPr>
          <w:noProof/>
        </w:rPr>
        <w:t>77 ust.</w:t>
      </w:r>
      <w:r w:rsidR="00C47230" w:rsidRPr="00C47230">
        <w:rPr>
          <w:noProof/>
        </w:rPr>
        <w:t> </w:t>
      </w:r>
      <w:r w:rsidRPr="00C47230">
        <w:rPr>
          <w:noProof/>
        </w:rPr>
        <w:t>2 lit.</w:t>
      </w:r>
      <w:r w:rsidR="00C47230" w:rsidRPr="00C47230">
        <w:rPr>
          <w:noProof/>
        </w:rPr>
        <w:t> </w:t>
      </w:r>
      <w:r w:rsidRPr="00C47230">
        <w:rPr>
          <w:noProof/>
        </w:rPr>
        <w:t>a) oraz art.</w:t>
      </w:r>
      <w:r w:rsidR="00C47230" w:rsidRPr="00C47230">
        <w:rPr>
          <w:noProof/>
        </w:rPr>
        <w:t> </w:t>
      </w:r>
      <w:r w:rsidRPr="00C47230">
        <w:rPr>
          <w:noProof/>
        </w:rPr>
        <w:t>218 ust.</w:t>
      </w:r>
      <w:r w:rsidR="00C47230" w:rsidRPr="00C47230">
        <w:rPr>
          <w:noProof/>
        </w:rPr>
        <w:t> </w:t>
      </w:r>
      <w:r w:rsidRPr="00C47230">
        <w:rPr>
          <w:noProof/>
        </w:rPr>
        <w:t>9,</w:t>
      </w:r>
    </w:p>
    <w:p w14:paraId="2A1371D4" w14:textId="77777777" w:rsidR="00941A78" w:rsidRPr="00C47230" w:rsidRDefault="00941A78" w:rsidP="0069547A">
      <w:pPr>
        <w:rPr>
          <w:noProof/>
        </w:rPr>
      </w:pPr>
    </w:p>
    <w:p w14:paraId="47029C92" w14:textId="77777777" w:rsidR="0069547A" w:rsidRPr="00C47230" w:rsidRDefault="0069547A" w:rsidP="0069547A">
      <w:pPr>
        <w:rPr>
          <w:noProof/>
        </w:rPr>
      </w:pPr>
      <w:r w:rsidRPr="00C47230">
        <w:rPr>
          <w:noProof/>
        </w:rPr>
        <w:t>uwzględniając wniosek Komisji Europejskiej,</w:t>
      </w:r>
    </w:p>
    <w:p w14:paraId="4A3D5C9D" w14:textId="77777777" w:rsidR="0069547A" w:rsidRPr="00C47230" w:rsidRDefault="0069547A" w:rsidP="0069547A">
      <w:pPr>
        <w:rPr>
          <w:noProof/>
        </w:rPr>
      </w:pPr>
    </w:p>
    <w:p w14:paraId="2F16C921" w14:textId="77777777" w:rsidR="0069547A" w:rsidRPr="00C47230" w:rsidRDefault="0069547A" w:rsidP="0069547A">
      <w:pPr>
        <w:rPr>
          <w:noProof/>
        </w:rPr>
      </w:pPr>
      <w:r w:rsidRPr="00C47230">
        <w:rPr>
          <w:noProof/>
        </w:rPr>
        <w:t>a także mając na uwadze, co następuje:</w:t>
      </w:r>
    </w:p>
    <w:p w14:paraId="182EC584" w14:textId="48266648" w:rsidR="0069547A" w:rsidRPr="00C47230" w:rsidRDefault="00F84892" w:rsidP="00F84892">
      <w:pPr>
        <w:pStyle w:val="ManualConsidrant"/>
        <w:rPr>
          <w:noProof/>
        </w:rPr>
      </w:pPr>
      <w:r w:rsidRPr="00F84892">
        <w:t>(1)</w:t>
      </w:r>
      <w:r w:rsidRPr="00F84892">
        <w:tab/>
      </w:r>
      <w:r w:rsidR="0096383B" w:rsidRPr="00C47230">
        <w:rPr>
          <w:noProof/>
        </w:rPr>
        <w:t>Umowa między Wspólnotą Europejską</w:t>
      </w:r>
      <w:r w:rsidR="00C47230" w:rsidRPr="00C47230">
        <w:rPr>
          <w:noProof/>
        </w:rPr>
        <w:t xml:space="preserve"> a Fed</w:t>
      </w:r>
      <w:r w:rsidR="0096383B" w:rsidRPr="00C47230">
        <w:rPr>
          <w:noProof/>
        </w:rPr>
        <w:t>eracją Rosyjską</w:t>
      </w:r>
      <w:r w:rsidR="00C47230" w:rsidRPr="00C47230">
        <w:rPr>
          <w:noProof/>
        </w:rPr>
        <w:t xml:space="preserve"> o uła</w:t>
      </w:r>
      <w:r w:rsidR="0096383B" w:rsidRPr="00C47230">
        <w:rPr>
          <w:noProof/>
        </w:rPr>
        <w:t>twieniach</w:t>
      </w:r>
      <w:r w:rsidR="00C47230" w:rsidRPr="00C47230">
        <w:rPr>
          <w:noProof/>
        </w:rPr>
        <w:t xml:space="preserve"> w wyd</w:t>
      </w:r>
      <w:r w:rsidR="0096383B" w:rsidRPr="00C47230">
        <w:rPr>
          <w:noProof/>
        </w:rPr>
        <w:t>awaniu wiz obywatelom Unii Europejskiej</w:t>
      </w:r>
      <w:r w:rsidR="00C47230" w:rsidRPr="00C47230">
        <w:rPr>
          <w:noProof/>
        </w:rPr>
        <w:t xml:space="preserve"> i Fed</w:t>
      </w:r>
      <w:r w:rsidR="0096383B" w:rsidRPr="00C47230">
        <w:rPr>
          <w:noProof/>
        </w:rPr>
        <w:t>eracji Rosyjskiej</w:t>
      </w:r>
      <w:r w:rsidR="0096383B" w:rsidRPr="00C47230">
        <w:rPr>
          <w:rStyle w:val="FootnoteReference"/>
          <w:noProof/>
        </w:rPr>
        <w:footnoteReference w:id="7"/>
      </w:r>
      <w:r w:rsidR="0096383B" w:rsidRPr="00C47230">
        <w:rPr>
          <w:noProof/>
        </w:rPr>
        <w:t xml:space="preserve"> (zwana dalej „Umową”) weszła</w:t>
      </w:r>
      <w:r w:rsidR="00C47230" w:rsidRPr="00C47230">
        <w:rPr>
          <w:noProof/>
        </w:rPr>
        <w:t xml:space="preserve"> w życ</w:t>
      </w:r>
      <w:r w:rsidR="0096383B" w:rsidRPr="00C47230">
        <w:rPr>
          <w:noProof/>
        </w:rPr>
        <w:t>ie</w:t>
      </w:r>
      <w:r w:rsidR="00C47230" w:rsidRPr="00C47230">
        <w:rPr>
          <w:noProof/>
        </w:rPr>
        <w:t xml:space="preserve"> w dni</w:t>
      </w:r>
      <w:r w:rsidR="0096383B" w:rsidRPr="00C47230">
        <w:rPr>
          <w:noProof/>
        </w:rPr>
        <w:t>u 1 czerwca 2007</w:t>
      </w:r>
      <w:r w:rsidR="00C47230" w:rsidRPr="00C47230">
        <w:rPr>
          <w:noProof/>
        </w:rPr>
        <w:t> </w:t>
      </w:r>
      <w:r w:rsidR="0096383B" w:rsidRPr="00C47230">
        <w:rPr>
          <w:noProof/>
        </w:rPr>
        <w:t>r., równolegle</w:t>
      </w:r>
      <w:r w:rsidR="00C47230" w:rsidRPr="00C47230">
        <w:rPr>
          <w:noProof/>
        </w:rPr>
        <w:t xml:space="preserve"> z Umo</w:t>
      </w:r>
      <w:r w:rsidR="0096383B" w:rsidRPr="00C47230">
        <w:rPr>
          <w:noProof/>
        </w:rPr>
        <w:t>wą</w:t>
      </w:r>
      <w:r w:rsidR="00C47230" w:rsidRPr="00C47230">
        <w:rPr>
          <w:noProof/>
        </w:rPr>
        <w:t xml:space="preserve"> o rea</w:t>
      </w:r>
      <w:r w:rsidR="0096383B" w:rsidRPr="00C47230">
        <w:rPr>
          <w:noProof/>
        </w:rPr>
        <w:t>dmisji między Federacją Rosyjską</w:t>
      </w:r>
      <w:r w:rsidR="00C47230" w:rsidRPr="00C47230">
        <w:rPr>
          <w:noProof/>
        </w:rPr>
        <w:t xml:space="preserve"> a Wsp</w:t>
      </w:r>
      <w:r w:rsidR="0096383B" w:rsidRPr="00C47230">
        <w:rPr>
          <w:noProof/>
        </w:rPr>
        <w:t>ólnotą Europejską</w:t>
      </w:r>
      <w:r w:rsidR="0096383B" w:rsidRPr="00C47230">
        <w:rPr>
          <w:rStyle w:val="FootnoteReference"/>
          <w:noProof/>
        </w:rPr>
        <w:footnoteReference w:id="8"/>
      </w:r>
      <w:r w:rsidR="0096383B" w:rsidRPr="00C47230">
        <w:rPr>
          <w:noProof/>
        </w:rPr>
        <w:t xml:space="preserve">. </w:t>
      </w:r>
    </w:p>
    <w:p w14:paraId="555C1A37" w14:textId="36071110" w:rsidR="0069547A" w:rsidRPr="00C47230" w:rsidRDefault="00F84892" w:rsidP="00F84892">
      <w:pPr>
        <w:pStyle w:val="ManualConsidrant"/>
        <w:rPr>
          <w:noProof/>
        </w:rPr>
      </w:pPr>
      <w:r w:rsidRPr="00F84892">
        <w:t>(2)</w:t>
      </w:r>
      <w:r w:rsidRPr="00F84892">
        <w:tab/>
      </w:r>
      <w:r w:rsidR="0096383B" w:rsidRPr="00C47230">
        <w:rPr>
          <w:noProof/>
        </w:rPr>
        <w:t>Celem Umowy jest ułatwienie, na zasadzie wzajemności, wydawania wiz obywatelom Unii Europejskiej</w:t>
      </w:r>
      <w:r w:rsidR="00C47230" w:rsidRPr="00C47230">
        <w:rPr>
          <w:noProof/>
        </w:rPr>
        <w:t xml:space="preserve"> i Fed</w:t>
      </w:r>
      <w:r w:rsidR="0096383B" w:rsidRPr="00C47230">
        <w:rPr>
          <w:noProof/>
        </w:rPr>
        <w:t>eracji Rosyjskiej planującym pobyt nie dłuższy niż 90 dni</w:t>
      </w:r>
      <w:r w:rsidR="00C47230" w:rsidRPr="00C47230">
        <w:rPr>
          <w:noProof/>
        </w:rPr>
        <w:t xml:space="preserve"> w cią</w:t>
      </w:r>
      <w:r w:rsidR="0096383B" w:rsidRPr="00C47230">
        <w:rPr>
          <w:noProof/>
        </w:rPr>
        <w:t>gu każdego 180-dniowego okresu</w:t>
      </w:r>
      <w:r w:rsidR="00C47230" w:rsidRPr="00C47230">
        <w:rPr>
          <w:noProof/>
        </w:rPr>
        <w:t>. W pre</w:t>
      </w:r>
      <w:r w:rsidR="0096383B" w:rsidRPr="00C47230">
        <w:rPr>
          <w:noProof/>
        </w:rPr>
        <w:t>ambule Umowy podkreślono pragnienie ułatwiania bezpośrednich kontaktów między ludźmi, będących ważnym warunkiem stałego rozwoju związków gospodarczych, humanitarnych, kulturalnych, naukowych</w:t>
      </w:r>
      <w:r w:rsidR="00C47230" w:rsidRPr="00C47230">
        <w:rPr>
          <w:noProof/>
        </w:rPr>
        <w:t xml:space="preserve"> i inn</w:t>
      </w:r>
      <w:r w:rsidR="0096383B" w:rsidRPr="00C47230">
        <w:rPr>
          <w:noProof/>
        </w:rPr>
        <w:t xml:space="preserve">ych. </w:t>
      </w:r>
    </w:p>
    <w:p w14:paraId="496691D6" w14:textId="232AA4F5" w:rsidR="0069547A" w:rsidRPr="00C47230" w:rsidRDefault="00F84892" w:rsidP="00F84892">
      <w:pPr>
        <w:pStyle w:val="ManualConsidrant"/>
        <w:rPr>
          <w:noProof/>
        </w:rPr>
      </w:pPr>
      <w:r w:rsidRPr="00F84892">
        <w:t>(3)</w:t>
      </w:r>
      <w:r w:rsidRPr="00F84892">
        <w:tab/>
      </w:r>
      <w:r w:rsidR="00A90A96" w:rsidRPr="00C47230">
        <w:rPr>
          <w:noProof/>
        </w:rPr>
        <w:t>Ponadto art.</w:t>
      </w:r>
      <w:r w:rsidR="00C47230" w:rsidRPr="00C47230">
        <w:rPr>
          <w:noProof/>
        </w:rPr>
        <w:t> </w:t>
      </w:r>
      <w:r w:rsidR="00A90A96" w:rsidRPr="00C47230">
        <w:rPr>
          <w:noProof/>
        </w:rPr>
        <w:t>15 ust.</w:t>
      </w:r>
      <w:r w:rsidR="00C47230" w:rsidRPr="00C47230">
        <w:rPr>
          <w:noProof/>
        </w:rPr>
        <w:t> </w:t>
      </w:r>
      <w:r w:rsidR="00A90A96" w:rsidRPr="00C47230">
        <w:rPr>
          <w:noProof/>
        </w:rPr>
        <w:t>5 Umowy stanowi, że „[k]ażda ze stron może zawiesić stosowanie części lub wszystkich postanowień niniejszej umowy ze względu na porządek publiczny, ochronę bezpieczeństwa narodowego lub ochronę zdrowia obywateli”</w:t>
      </w:r>
      <w:r w:rsidR="00C47230" w:rsidRPr="00C47230">
        <w:rPr>
          <w:noProof/>
        </w:rPr>
        <w:t>. O dec</w:t>
      </w:r>
      <w:r w:rsidR="00A90A96" w:rsidRPr="00C47230">
        <w:rPr>
          <w:noProof/>
        </w:rPr>
        <w:t>yzji</w:t>
      </w:r>
      <w:r w:rsidR="00C47230" w:rsidRPr="00C47230">
        <w:rPr>
          <w:noProof/>
        </w:rPr>
        <w:t xml:space="preserve"> w spr</w:t>
      </w:r>
      <w:r w:rsidR="00A90A96" w:rsidRPr="00C47230">
        <w:rPr>
          <w:noProof/>
        </w:rPr>
        <w:t>awie zawieszenia stosowania niniejszej umowy należy zawiadomić drugą stronę nie później niż 48 godzin przed jej wejściem</w:t>
      </w:r>
      <w:r w:rsidR="00C47230" w:rsidRPr="00C47230">
        <w:rPr>
          <w:noProof/>
        </w:rPr>
        <w:t xml:space="preserve"> w życ</w:t>
      </w:r>
      <w:r w:rsidR="00A90A96" w:rsidRPr="00C47230">
        <w:rPr>
          <w:noProof/>
        </w:rPr>
        <w:t>ie</w:t>
      </w:r>
      <w:r w:rsidR="00C47230" w:rsidRPr="00C47230">
        <w:rPr>
          <w:noProof/>
        </w:rPr>
        <w:t>. Z chw</w:t>
      </w:r>
      <w:r w:rsidR="00A90A96" w:rsidRPr="00C47230">
        <w:rPr>
          <w:noProof/>
        </w:rPr>
        <w:t>ilą ustania powodów zawieszenia stosowania umowy, strona, która zawiesiła stosowanie niniejszej umowy, bezzwłocznie zawiadamia</w:t>
      </w:r>
      <w:r w:rsidR="00C47230" w:rsidRPr="00C47230">
        <w:rPr>
          <w:noProof/>
        </w:rPr>
        <w:t xml:space="preserve"> o tym</w:t>
      </w:r>
      <w:r w:rsidR="00A90A96" w:rsidRPr="00C47230">
        <w:rPr>
          <w:noProof/>
        </w:rPr>
        <w:t xml:space="preserve"> drugą stronę. </w:t>
      </w:r>
    </w:p>
    <w:p w14:paraId="7EF5A11F" w14:textId="71D56904" w:rsidR="0069547A" w:rsidRPr="00C47230" w:rsidRDefault="00F84892" w:rsidP="00F84892">
      <w:pPr>
        <w:pStyle w:val="ManualConsidrant"/>
        <w:rPr>
          <w:noProof/>
        </w:rPr>
      </w:pPr>
      <w:r w:rsidRPr="00F84892">
        <w:t>(4)</w:t>
      </w:r>
      <w:r w:rsidRPr="00F84892">
        <w:tab/>
      </w:r>
      <w:r w:rsidR="009D7C0A" w:rsidRPr="00C47230">
        <w:rPr>
          <w:noProof/>
        </w:rPr>
        <w:t>W związku</w:t>
      </w:r>
      <w:r w:rsidR="00C47230" w:rsidRPr="00C47230">
        <w:rPr>
          <w:noProof/>
        </w:rPr>
        <w:t xml:space="preserve"> z nie</w:t>
      </w:r>
      <w:r w:rsidR="009D7C0A" w:rsidRPr="00C47230">
        <w:rPr>
          <w:noProof/>
        </w:rPr>
        <w:t>legalną aneksją Autonomicznej Republiki Krymu</w:t>
      </w:r>
      <w:r w:rsidR="00C47230" w:rsidRPr="00C47230">
        <w:rPr>
          <w:noProof/>
        </w:rPr>
        <w:t xml:space="preserve"> i mia</w:t>
      </w:r>
      <w:r w:rsidR="009D7C0A" w:rsidRPr="00C47230">
        <w:rPr>
          <w:noProof/>
        </w:rPr>
        <w:t>sta Sewastopol przez Federację Rosyjską</w:t>
      </w:r>
      <w:r w:rsidR="00C47230" w:rsidRPr="00C47230">
        <w:rPr>
          <w:noProof/>
        </w:rPr>
        <w:t xml:space="preserve"> w 2</w:t>
      </w:r>
      <w:r w:rsidR="009D7C0A" w:rsidRPr="00C47230">
        <w:rPr>
          <w:noProof/>
        </w:rPr>
        <w:t>014</w:t>
      </w:r>
      <w:r w:rsidR="00C47230" w:rsidRPr="00C47230">
        <w:rPr>
          <w:noProof/>
        </w:rPr>
        <w:t> </w:t>
      </w:r>
      <w:r w:rsidR="009D7C0A" w:rsidRPr="00C47230">
        <w:rPr>
          <w:noProof/>
        </w:rPr>
        <w:t>r. oraz ciągłymi destabilizującymi działaniami Rosji we wschodniej Ukrainie Unia Europejska wprowadziła sankcje gospodarcze</w:t>
      </w:r>
      <w:r w:rsidR="00C47230" w:rsidRPr="00C47230">
        <w:rPr>
          <w:noProof/>
        </w:rPr>
        <w:t xml:space="preserve"> w odp</w:t>
      </w:r>
      <w:r w:rsidR="009D7C0A" w:rsidRPr="00C47230">
        <w:rPr>
          <w:noProof/>
        </w:rPr>
        <w:t>owiedzi na działania Rosji destabilizujące sytuację na Ukrainie,</w:t>
      </w:r>
      <w:r w:rsidR="00C47230" w:rsidRPr="00C47230">
        <w:rPr>
          <w:noProof/>
        </w:rPr>
        <w:t xml:space="preserve"> w zwi</w:t>
      </w:r>
      <w:r w:rsidR="009D7C0A" w:rsidRPr="00C47230">
        <w:rPr>
          <w:noProof/>
        </w:rPr>
        <w:t>ązku</w:t>
      </w:r>
      <w:r w:rsidR="00C47230" w:rsidRPr="00C47230">
        <w:rPr>
          <w:noProof/>
        </w:rPr>
        <w:t xml:space="preserve"> z nie</w:t>
      </w:r>
      <w:r w:rsidR="009D7C0A" w:rsidRPr="00C47230">
        <w:rPr>
          <w:noProof/>
        </w:rPr>
        <w:t>pełnym wdrożeniem porozumień mińskich; sankcje</w:t>
      </w:r>
      <w:r w:rsidR="00C47230" w:rsidRPr="00C47230">
        <w:rPr>
          <w:noProof/>
        </w:rPr>
        <w:t xml:space="preserve"> w odn</w:t>
      </w:r>
      <w:r w:rsidR="009D7C0A" w:rsidRPr="00C47230">
        <w:rPr>
          <w:noProof/>
        </w:rPr>
        <w:t>iesieniu do działań podważających integralność terytorialną, suwerenność</w:t>
      </w:r>
      <w:r w:rsidR="00C47230" w:rsidRPr="00C47230">
        <w:rPr>
          <w:noProof/>
        </w:rPr>
        <w:t xml:space="preserve"> i nie</w:t>
      </w:r>
      <w:r w:rsidR="009D7C0A" w:rsidRPr="00C47230">
        <w:rPr>
          <w:noProof/>
        </w:rPr>
        <w:t>zależność Ukrainy lub im zagrażających;</w:t>
      </w:r>
      <w:r w:rsidR="00C47230" w:rsidRPr="00C47230">
        <w:rPr>
          <w:noProof/>
        </w:rPr>
        <w:t xml:space="preserve"> a tak</w:t>
      </w:r>
      <w:r w:rsidR="009D7C0A" w:rsidRPr="00C47230">
        <w:rPr>
          <w:noProof/>
        </w:rPr>
        <w:t>że sankcje</w:t>
      </w:r>
      <w:r w:rsidR="00C47230" w:rsidRPr="00C47230">
        <w:rPr>
          <w:noProof/>
        </w:rPr>
        <w:t xml:space="preserve"> w odp</w:t>
      </w:r>
      <w:r w:rsidR="009D7C0A" w:rsidRPr="00C47230">
        <w:rPr>
          <w:noProof/>
        </w:rPr>
        <w:t>owiedzi na bezprawną aneksję Autonomicznej Republiki Krymu</w:t>
      </w:r>
      <w:r w:rsidR="00C47230" w:rsidRPr="00C47230">
        <w:rPr>
          <w:noProof/>
        </w:rPr>
        <w:t xml:space="preserve"> i mia</w:t>
      </w:r>
      <w:r w:rsidR="009D7C0A" w:rsidRPr="00C47230">
        <w:rPr>
          <w:noProof/>
        </w:rPr>
        <w:t xml:space="preserve">sta Sewastopol przez Federację Rosyjską. </w:t>
      </w:r>
    </w:p>
    <w:p w14:paraId="30330F0F" w14:textId="4EA38295" w:rsidR="00683752" w:rsidRPr="00C47230" w:rsidRDefault="00F84892" w:rsidP="00F84892">
      <w:pPr>
        <w:pStyle w:val="ManualConsidrant"/>
        <w:rPr>
          <w:noProof/>
        </w:rPr>
      </w:pPr>
      <w:r w:rsidRPr="00F84892">
        <w:t>(5)</w:t>
      </w:r>
      <w:r w:rsidRPr="00F84892">
        <w:tab/>
      </w:r>
      <w:r w:rsidR="00683752" w:rsidRPr="00C47230">
        <w:rPr>
          <w:noProof/>
        </w:rPr>
        <w:t>Jako sygnatariusz porozumień mińskich Federacja Rosyjska ponosi wyraźną</w:t>
      </w:r>
      <w:r w:rsidR="00C47230" w:rsidRPr="00C47230">
        <w:rPr>
          <w:noProof/>
        </w:rPr>
        <w:t xml:space="preserve"> i bez</w:t>
      </w:r>
      <w:r w:rsidR="00683752" w:rsidRPr="00C47230">
        <w:rPr>
          <w:noProof/>
        </w:rPr>
        <w:t>pośrednią odpowiedzialność za działania na rzecz pokojowego rozwiązania konfliktu zgodnie</w:t>
      </w:r>
      <w:r w:rsidR="00C47230" w:rsidRPr="00C47230">
        <w:rPr>
          <w:noProof/>
        </w:rPr>
        <w:t xml:space="preserve"> z tym</w:t>
      </w:r>
      <w:r w:rsidR="00683752" w:rsidRPr="00C47230">
        <w:rPr>
          <w:noProof/>
        </w:rPr>
        <w:t>i zasadami. Podejmując decyzję</w:t>
      </w:r>
      <w:r w:rsidR="00C47230" w:rsidRPr="00C47230">
        <w:rPr>
          <w:noProof/>
        </w:rPr>
        <w:t xml:space="preserve"> o uzn</w:t>
      </w:r>
      <w:r w:rsidR="00683752" w:rsidRPr="00C47230">
        <w:rPr>
          <w:noProof/>
        </w:rPr>
        <w:t>aniu niekontrolowanych przez rząd regionów wschodniej Ukrainy za niepodległe podmioty, Federacja Rosyjska wyraźnie naruszyła porozumienia mińskie, które przewidują całkowity powrót tych obszarów pod kontrolę rządu Ukrainy.</w:t>
      </w:r>
    </w:p>
    <w:p w14:paraId="31D58266" w14:textId="3D0046A8" w:rsidR="00683752" w:rsidRPr="00C47230" w:rsidRDefault="00F84892" w:rsidP="00F84892">
      <w:pPr>
        <w:pStyle w:val="ManualConsidrant"/>
        <w:rPr>
          <w:noProof/>
        </w:rPr>
      </w:pPr>
      <w:r w:rsidRPr="00F84892">
        <w:t>(6)</w:t>
      </w:r>
      <w:r w:rsidRPr="00F84892">
        <w:tab/>
      </w:r>
      <w:r w:rsidR="00683752" w:rsidRPr="00C47230">
        <w:rPr>
          <w:noProof/>
        </w:rPr>
        <w:t>Decyzja Federacji Rosyjskiej</w:t>
      </w:r>
      <w:r w:rsidR="00C47230" w:rsidRPr="00C47230">
        <w:rPr>
          <w:noProof/>
        </w:rPr>
        <w:t xml:space="preserve"> o uzn</w:t>
      </w:r>
      <w:r w:rsidR="00683752" w:rsidRPr="00C47230">
        <w:rPr>
          <w:noProof/>
        </w:rPr>
        <w:t>aniu niekontrolowanych przez rząd obszarów obwodów donieckiego</w:t>
      </w:r>
      <w:r w:rsidR="00C47230" w:rsidRPr="00C47230">
        <w:rPr>
          <w:noProof/>
        </w:rPr>
        <w:t xml:space="preserve"> i ług</w:t>
      </w:r>
      <w:r w:rsidR="00683752" w:rsidRPr="00C47230">
        <w:rPr>
          <w:noProof/>
        </w:rPr>
        <w:t>ańskiego Ukrainy za niepodległe podmioty oraz kolejna decyzja</w:t>
      </w:r>
      <w:r w:rsidR="00C47230" w:rsidRPr="00C47230">
        <w:rPr>
          <w:noProof/>
        </w:rPr>
        <w:t xml:space="preserve"> o wpr</w:t>
      </w:r>
      <w:r w:rsidR="00683752" w:rsidRPr="00C47230">
        <w:rPr>
          <w:noProof/>
        </w:rPr>
        <w:t>owadzeniu rosyjskich wojsk do Ukrainy dodatkowo podważyła integralność terytorialną, suwerenność</w:t>
      </w:r>
      <w:r w:rsidR="00C47230" w:rsidRPr="00C47230">
        <w:rPr>
          <w:noProof/>
        </w:rPr>
        <w:t xml:space="preserve"> i nie</w:t>
      </w:r>
      <w:r w:rsidR="00683752" w:rsidRPr="00C47230">
        <w:rPr>
          <w:noProof/>
        </w:rPr>
        <w:t>zależność Ukrainy oraz stanowi poważne naruszenie prawa międzynarodowego</w:t>
      </w:r>
      <w:r w:rsidR="00C47230" w:rsidRPr="00C47230">
        <w:rPr>
          <w:noProof/>
        </w:rPr>
        <w:t xml:space="preserve"> i umó</w:t>
      </w:r>
      <w:r w:rsidR="00683752" w:rsidRPr="00C47230">
        <w:rPr>
          <w:noProof/>
        </w:rPr>
        <w:t>w międzynarodowych,</w:t>
      </w:r>
      <w:r w:rsidR="00C47230" w:rsidRPr="00C47230">
        <w:rPr>
          <w:noProof/>
        </w:rPr>
        <w:t xml:space="preserve"> w tym</w:t>
      </w:r>
      <w:r w:rsidR="00683752" w:rsidRPr="00C47230">
        <w:rPr>
          <w:noProof/>
        </w:rPr>
        <w:t xml:space="preserve"> Karty Narodów Zjednoczonych, aktu końcowego</w:t>
      </w:r>
      <w:r w:rsidR="00C47230" w:rsidRPr="00C47230">
        <w:rPr>
          <w:noProof/>
        </w:rPr>
        <w:t xml:space="preserve"> z Hel</w:t>
      </w:r>
      <w:r w:rsidR="00683752" w:rsidRPr="00C47230">
        <w:rPr>
          <w:noProof/>
        </w:rPr>
        <w:t>sinek, Karty paryskiej</w:t>
      </w:r>
      <w:r w:rsidR="00C47230" w:rsidRPr="00C47230">
        <w:rPr>
          <w:noProof/>
        </w:rPr>
        <w:t xml:space="preserve"> i mem</w:t>
      </w:r>
      <w:r w:rsidR="00683752" w:rsidRPr="00C47230">
        <w:rPr>
          <w:noProof/>
        </w:rPr>
        <w:t xml:space="preserve">orandum budapeszteńskiego. </w:t>
      </w:r>
    </w:p>
    <w:p w14:paraId="66F855A0" w14:textId="256F619B" w:rsidR="00F231C2" w:rsidRPr="00C47230" w:rsidRDefault="00F84892" w:rsidP="00F84892">
      <w:pPr>
        <w:pStyle w:val="ManualConsidrant"/>
        <w:rPr>
          <w:noProof/>
        </w:rPr>
      </w:pPr>
      <w:r w:rsidRPr="00F84892">
        <w:t>(7)</w:t>
      </w:r>
      <w:r w:rsidRPr="00F84892">
        <w:tab/>
      </w:r>
      <w:r w:rsidR="00F231C2" w:rsidRPr="00C47230">
        <w:rPr>
          <w:noProof/>
        </w:rPr>
        <w:t>Od początku niczym niesprowokowanej</w:t>
      </w:r>
      <w:r w:rsidR="00C47230" w:rsidRPr="00C47230">
        <w:rPr>
          <w:noProof/>
        </w:rPr>
        <w:t xml:space="preserve"> i nie</w:t>
      </w:r>
      <w:r w:rsidR="00F231C2" w:rsidRPr="00C47230">
        <w:rPr>
          <w:noProof/>
        </w:rPr>
        <w:t>uzasadnionej agresji wojskowej Rosji wobec Ukrainy, czyli od</w:t>
      </w:r>
      <w:r w:rsidR="00C47230" w:rsidRPr="00C47230">
        <w:rPr>
          <w:noProof/>
        </w:rPr>
        <w:t> </w:t>
      </w:r>
      <w:r w:rsidR="00F231C2" w:rsidRPr="00C47230">
        <w:rPr>
          <w:noProof/>
        </w:rPr>
        <w:t>24 lutego 2022</w:t>
      </w:r>
      <w:r w:rsidR="00C47230" w:rsidRPr="00C47230">
        <w:rPr>
          <w:noProof/>
        </w:rPr>
        <w:t> </w:t>
      </w:r>
      <w:r w:rsidR="00F231C2" w:rsidRPr="00C47230">
        <w:rPr>
          <w:noProof/>
        </w:rPr>
        <w:t>r., sytuacja uległa pogorszeniu,</w:t>
      </w:r>
      <w:r w:rsidR="00C47230" w:rsidRPr="00C47230">
        <w:rPr>
          <w:noProof/>
        </w:rPr>
        <w:t xml:space="preserve"> a Ros</w:t>
      </w:r>
      <w:r w:rsidR="00F231C2" w:rsidRPr="00C47230">
        <w:rPr>
          <w:noProof/>
        </w:rPr>
        <w:t>ja rozszerzyła swoją pełną lub częściową okupację wschodnich</w:t>
      </w:r>
      <w:r w:rsidR="00C47230" w:rsidRPr="00C47230">
        <w:rPr>
          <w:noProof/>
        </w:rPr>
        <w:t xml:space="preserve"> i poł</w:t>
      </w:r>
      <w:r w:rsidR="00F231C2" w:rsidRPr="00C47230">
        <w:rPr>
          <w:noProof/>
        </w:rPr>
        <w:t>udniowych regionów Ukrainy. Rosja wykorzystuje również największą ukraińską elektrownię jądrową</w:t>
      </w:r>
      <w:r w:rsidR="00C47230" w:rsidRPr="00C47230">
        <w:rPr>
          <w:noProof/>
        </w:rPr>
        <w:t xml:space="preserve"> w Zap</w:t>
      </w:r>
      <w:r w:rsidR="00F231C2" w:rsidRPr="00C47230">
        <w:rPr>
          <w:noProof/>
        </w:rPr>
        <w:t>orożu jako obiekt wojskowy, stwarzając ryzyko poważnego incydentu jądrowego, którego skutki uboczne zagrażają państwom sąsiadującym,</w:t>
      </w:r>
      <w:r w:rsidR="00C47230" w:rsidRPr="00C47230">
        <w:rPr>
          <w:noProof/>
        </w:rPr>
        <w:t xml:space="preserve"> w tym</w:t>
      </w:r>
      <w:r w:rsidR="00F231C2" w:rsidRPr="00C47230">
        <w:rPr>
          <w:noProof/>
        </w:rPr>
        <w:t xml:space="preserve"> państwom członkowskim.</w:t>
      </w:r>
    </w:p>
    <w:p w14:paraId="5FF9BB68" w14:textId="7164070D" w:rsidR="00D3079F" w:rsidRPr="00C47230" w:rsidRDefault="00F84892" w:rsidP="00F84892">
      <w:pPr>
        <w:pStyle w:val="ManualConsidrant"/>
        <w:rPr>
          <w:noProof/>
        </w:rPr>
      </w:pPr>
      <w:r w:rsidRPr="00F84892">
        <w:t>(8)</w:t>
      </w:r>
      <w:r w:rsidRPr="00F84892">
        <w:tab/>
      </w:r>
      <w:r w:rsidR="00D3079F" w:rsidRPr="00C47230">
        <w:rPr>
          <w:noProof/>
        </w:rPr>
        <w:t>24 lutego 2022</w:t>
      </w:r>
      <w:r w:rsidR="00C47230" w:rsidRPr="00C47230">
        <w:rPr>
          <w:noProof/>
        </w:rPr>
        <w:t> </w:t>
      </w:r>
      <w:r w:rsidR="00D3079F" w:rsidRPr="00C47230">
        <w:rPr>
          <w:noProof/>
        </w:rPr>
        <w:t>r. Rada Europejska</w:t>
      </w:r>
      <w:r w:rsidR="00C47230" w:rsidRPr="00C47230">
        <w:rPr>
          <w:noProof/>
        </w:rPr>
        <w:t xml:space="preserve"> z cał</w:t>
      </w:r>
      <w:r w:rsidR="00D3079F" w:rsidRPr="00C47230">
        <w:rPr>
          <w:noProof/>
        </w:rPr>
        <w:t>ą mocą potępiła niczym niesprowokowaną</w:t>
      </w:r>
      <w:r w:rsidR="00C47230" w:rsidRPr="00C47230">
        <w:rPr>
          <w:noProof/>
        </w:rPr>
        <w:t xml:space="preserve"> i nie</w:t>
      </w:r>
      <w:r w:rsidR="00D3079F" w:rsidRPr="00C47230">
        <w:rPr>
          <w:noProof/>
        </w:rPr>
        <w:t>uzasadnioną agresję wojskową Rosji wobec Ukrainy</w:t>
      </w:r>
      <w:r w:rsidR="00C47230" w:rsidRPr="00C47230">
        <w:rPr>
          <w:noProof/>
        </w:rPr>
        <w:t xml:space="preserve"> i wyr</w:t>
      </w:r>
      <w:r w:rsidR="00D3079F" w:rsidRPr="00C47230">
        <w:rPr>
          <w:noProof/>
        </w:rPr>
        <w:t>aziła wraz ze swoimi partnerami międzynarodowymi pełną solidarność</w:t>
      </w:r>
      <w:r w:rsidR="00C47230" w:rsidRPr="00C47230">
        <w:rPr>
          <w:noProof/>
        </w:rPr>
        <w:t xml:space="preserve"> z Ukr</w:t>
      </w:r>
      <w:r w:rsidR="00D3079F" w:rsidRPr="00C47230">
        <w:rPr>
          <w:noProof/>
        </w:rPr>
        <w:t>ainą</w:t>
      </w:r>
      <w:r w:rsidR="00C47230" w:rsidRPr="00C47230">
        <w:rPr>
          <w:noProof/>
        </w:rPr>
        <w:t xml:space="preserve"> i jej</w:t>
      </w:r>
      <w:r w:rsidR="00D3079F" w:rsidRPr="00C47230">
        <w:rPr>
          <w:noProof/>
        </w:rPr>
        <w:t xml:space="preserve"> obywatelami. Poprzez nielegalne działania wojskowe Rosja rażąco narusza prawo międzynarodowe oraz podważa bezpieczeństwo</w:t>
      </w:r>
      <w:r w:rsidR="00C47230" w:rsidRPr="00C47230">
        <w:rPr>
          <w:noProof/>
        </w:rPr>
        <w:t xml:space="preserve"> i sta</w:t>
      </w:r>
      <w:r w:rsidR="00D3079F" w:rsidRPr="00C47230">
        <w:rPr>
          <w:noProof/>
        </w:rPr>
        <w:t>bilność</w:t>
      </w:r>
      <w:r w:rsidR="00C47230" w:rsidRPr="00C47230">
        <w:rPr>
          <w:noProof/>
        </w:rPr>
        <w:t xml:space="preserve"> w Eur</w:t>
      </w:r>
      <w:r w:rsidR="00D3079F" w:rsidRPr="00C47230">
        <w:rPr>
          <w:noProof/>
        </w:rPr>
        <w:t>opie i na świecie. Następnie 25 lutego –</w:t>
      </w:r>
      <w:r w:rsidR="00C47230" w:rsidRPr="00C47230">
        <w:rPr>
          <w:noProof/>
        </w:rPr>
        <w:t xml:space="preserve"> w odp</w:t>
      </w:r>
      <w:r w:rsidR="00D3079F" w:rsidRPr="00C47230">
        <w:rPr>
          <w:noProof/>
        </w:rPr>
        <w:t>owiedzi na niczym niesprowokowaną</w:t>
      </w:r>
      <w:r w:rsidR="00C47230" w:rsidRPr="00C47230">
        <w:rPr>
          <w:noProof/>
        </w:rPr>
        <w:t xml:space="preserve"> i nie</w:t>
      </w:r>
      <w:r w:rsidR="00D3079F" w:rsidRPr="00C47230">
        <w:rPr>
          <w:noProof/>
        </w:rPr>
        <w:t>uzasadnioną agresję wojskową Rosji – Unia przyjęła dalsze środki ograniczające zawieszające częściowo stosowanie Umowy</w:t>
      </w:r>
      <w:r w:rsidR="00D3079F" w:rsidRPr="00C47230">
        <w:rPr>
          <w:rStyle w:val="FootnoteReference"/>
          <w:noProof/>
        </w:rPr>
        <w:footnoteReference w:id="9"/>
      </w:r>
      <w:r w:rsidR="00D3079F" w:rsidRPr="00C47230">
        <w:rPr>
          <w:noProof/>
        </w:rPr>
        <w:t>.</w:t>
      </w:r>
    </w:p>
    <w:p w14:paraId="0A976E49" w14:textId="02BB9587" w:rsidR="00670BC2" w:rsidRPr="00C47230" w:rsidRDefault="00F84892" w:rsidP="00F84892">
      <w:pPr>
        <w:pStyle w:val="ManualConsidrant"/>
        <w:rPr>
          <w:noProof/>
        </w:rPr>
      </w:pPr>
      <w:r w:rsidRPr="00F84892">
        <w:t>(9)</w:t>
      </w:r>
      <w:r w:rsidRPr="00F84892">
        <w:tab/>
      </w:r>
      <w:r w:rsidR="00485D09" w:rsidRPr="00C47230">
        <w:rPr>
          <w:noProof/>
        </w:rPr>
        <w:t>Agresja wojskowa, która ma miejsce</w:t>
      </w:r>
      <w:r w:rsidR="00C47230" w:rsidRPr="00C47230">
        <w:rPr>
          <w:noProof/>
        </w:rPr>
        <w:t xml:space="preserve"> w pań</w:t>
      </w:r>
      <w:r w:rsidR="00485D09" w:rsidRPr="00C47230">
        <w:rPr>
          <w:noProof/>
        </w:rPr>
        <w:t>stwie graniczącym</w:t>
      </w:r>
      <w:r w:rsidR="00C47230" w:rsidRPr="00C47230">
        <w:rPr>
          <w:noProof/>
        </w:rPr>
        <w:t xml:space="preserve"> z Uni</w:t>
      </w:r>
      <w:r w:rsidR="00485D09" w:rsidRPr="00C47230">
        <w:rPr>
          <w:noProof/>
        </w:rPr>
        <w:t>ą Europejską, taka jak ta, do której doszło</w:t>
      </w:r>
      <w:r w:rsidR="00C47230" w:rsidRPr="00C47230">
        <w:rPr>
          <w:noProof/>
        </w:rPr>
        <w:t xml:space="preserve"> w Ukr</w:t>
      </w:r>
      <w:r w:rsidR="00485D09" w:rsidRPr="00C47230">
        <w:rPr>
          <w:noProof/>
        </w:rPr>
        <w:t>ainie</w:t>
      </w:r>
      <w:r w:rsidR="00C47230" w:rsidRPr="00C47230">
        <w:rPr>
          <w:noProof/>
        </w:rPr>
        <w:t xml:space="preserve"> i któ</w:t>
      </w:r>
      <w:r w:rsidR="00485D09" w:rsidRPr="00C47230">
        <w:rPr>
          <w:noProof/>
        </w:rPr>
        <w:t>ra doprowadziła do zastosowania środków ograniczających, uzasadnia przyjęcie środków mających na celu ochronę podstawowych interesów bezpieczeństwa Unii</w:t>
      </w:r>
      <w:r w:rsidR="00C47230" w:rsidRPr="00C47230">
        <w:rPr>
          <w:noProof/>
        </w:rPr>
        <w:t xml:space="preserve"> i jej</w:t>
      </w:r>
      <w:r w:rsidR="00485D09" w:rsidRPr="00C47230">
        <w:rPr>
          <w:noProof/>
        </w:rPr>
        <w:t xml:space="preserve"> państw członkowskich.</w:t>
      </w:r>
    </w:p>
    <w:p w14:paraId="6E6E9067" w14:textId="3766EDBF" w:rsidR="00D24567" w:rsidRPr="00C47230" w:rsidRDefault="00F84892" w:rsidP="00F84892">
      <w:pPr>
        <w:pStyle w:val="ManualConsidrant"/>
        <w:rPr>
          <w:noProof/>
        </w:rPr>
      </w:pPr>
      <w:r w:rsidRPr="00F84892">
        <w:t>(10)</w:t>
      </w:r>
      <w:r w:rsidRPr="00F84892">
        <w:tab/>
      </w:r>
      <w:r w:rsidR="00D24567" w:rsidRPr="00C47230">
        <w:rPr>
          <w:noProof/>
        </w:rPr>
        <w:t>Federacja Rosyjska naruszyła również porozumienia mińskie, podważając integralność terytorialną, suwerenność</w:t>
      </w:r>
      <w:r w:rsidR="00C47230" w:rsidRPr="00C47230">
        <w:rPr>
          <w:noProof/>
        </w:rPr>
        <w:t xml:space="preserve"> i nie</w:t>
      </w:r>
      <w:r w:rsidR="00D24567" w:rsidRPr="00C47230">
        <w:rPr>
          <w:noProof/>
        </w:rPr>
        <w:t>zależność Ukrainy. Jest to sprzeczne</w:t>
      </w:r>
      <w:r w:rsidR="00C47230" w:rsidRPr="00C47230">
        <w:rPr>
          <w:noProof/>
        </w:rPr>
        <w:t xml:space="preserve"> z mię</w:t>
      </w:r>
      <w:r w:rsidR="00D24567" w:rsidRPr="00C47230">
        <w:rPr>
          <w:noProof/>
        </w:rPr>
        <w:t>dzynarodowymi zobowiązaniami Federacji Rosyjskiej.</w:t>
      </w:r>
    </w:p>
    <w:p w14:paraId="22A6ADDD" w14:textId="4D8D0E35" w:rsidR="00D24567" w:rsidRPr="00C47230" w:rsidRDefault="00F84892" w:rsidP="00F84892">
      <w:pPr>
        <w:pStyle w:val="ManualConsidrant"/>
        <w:rPr>
          <w:noProof/>
        </w:rPr>
      </w:pPr>
      <w:r w:rsidRPr="00F84892">
        <w:t>(11)</w:t>
      </w:r>
      <w:r w:rsidRPr="00F84892">
        <w:tab/>
      </w:r>
      <w:r w:rsidR="00670BC2" w:rsidRPr="00C47230">
        <w:rPr>
          <w:noProof/>
        </w:rPr>
        <w:t>Działania wojskowe Federacji Rosyjskiej</w:t>
      </w:r>
      <w:r w:rsidR="00C47230" w:rsidRPr="00C47230">
        <w:rPr>
          <w:noProof/>
        </w:rPr>
        <w:t xml:space="preserve"> w Ukr</w:t>
      </w:r>
      <w:r w:rsidR="00670BC2" w:rsidRPr="00C47230">
        <w:rPr>
          <w:noProof/>
        </w:rPr>
        <w:t>ainie zwiększyły zagrożenie dla porządku publicznego, bezpieczeństwa narodowego</w:t>
      </w:r>
      <w:r w:rsidR="00C47230" w:rsidRPr="00C47230">
        <w:rPr>
          <w:noProof/>
        </w:rPr>
        <w:t xml:space="preserve"> i zdr</w:t>
      </w:r>
      <w:r w:rsidR="00670BC2" w:rsidRPr="00C47230">
        <w:rPr>
          <w:noProof/>
        </w:rPr>
        <w:t xml:space="preserve">owia publicznego państw członkowskich. </w:t>
      </w:r>
    </w:p>
    <w:p w14:paraId="6F68C73B" w14:textId="06C4F8E5" w:rsidR="0069547A" w:rsidRPr="00C47230" w:rsidRDefault="00F84892" w:rsidP="00F84892">
      <w:pPr>
        <w:pStyle w:val="ManualConsidrant"/>
        <w:rPr>
          <w:noProof/>
        </w:rPr>
      </w:pPr>
      <w:r w:rsidRPr="00F84892">
        <w:t>(12)</w:t>
      </w:r>
      <w:r w:rsidRPr="00F84892">
        <w:tab/>
      </w:r>
      <w:r w:rsidR="0069547A" w:rsidRPr="00C47230">
        <w:rPr>
          <w:noProof/>
        </w:rPr>
        <w:t>W związku</w:t>
      </w:r>
      <w:r w:rsidR="00C47230" w:rsidRPr="00C47230">
        <w:rPr>
          <w:noProof/>
        </w:rPr>
        <w:t xml:space="preserve"> z tym</w:t>
      </w:r>
      <w:r w:rsidR="0069547A" w:rsidRPr="00C47230">
        <w:rPr>
          <w:noProof/>
        </w:rPr>
        <w:t>, biorąc pod uwagę pogarszającą się sytuację spowodowaną rosyjską agresją na Ukrainę, Rada uważa, że należy</w:t>
      </w:r>
      <w:r w:rsidR="00C47230" w:rsidRPr="00C47230">
        <w:rPr>
          <w:noProof/>
        </w:rPr>
        <w:t xml:space="preserve"> w cał</w:t>
      </w:r>
      <w:r w:rsidR="0069547A" w:rsidRPr="00C47230">
        <w:rPr>
          <w:noProof/>
        </w:rPr>
        <w:t>ości zawiesić stosowanie postanowień Umowy dotyczących ułatwień dla obywateli Federacji Rosyjskiej ubiegających się</w:t>
      </w:r>
      <w:r w:rsidR="00C47230" w:rsidRPr="00C47230">
        <w:rPr>
          <w:noProof/>
        </w:rPr>
        <w:t xml:space="preserve"> o wiz</w:t>
      </w:r>
      <w:r w:rsidR="0069547A" w:rsidRPr="00C47230">
        <w:rPr>
          <w:noProof/>
        </w:rPr>
        <w:t xml:space="preserve">ę krótkoterminową. </w:t>
      </w:r>
    </w:p>
    <w:p w14:paraId="21B01B5F" w14:textId="01ADE208" w:rsidR="00392EDD" w:rsidRPr="00C47230" w:rsidRDefault="00F84892" w:rsidP="00F84892">
      <w:pPr>
        <w:pStyle w:val="ManualConsidrant"/>
        <w:rPr>
          <w:noProof/>
        </w:rPr>
      </w:pPr>
      <w:r w:rsidRPr="00F84892">
        <w:t>(13)</w:t>
      </w:r>
      <w:r w:rsidRPr="00F84892">
        <w:tab/>
      </w:r>
      <w:r w:rsidR="00392EDD" w:rsidRPr="00C47230">
        <w:rPr>
          <w:noProof/>
        </w:rPr>
        <w:t>Niniejsza decyzja stanowi rozwinięcie przepisów dorobku Schengen, które nie mają zastosowania do Irlandii zgodnie</w:t>
      </w:r>
      <w:r w:rsidR="00C47230" w:rsidRPr="00C47230">
        <w:rPr>
          <w:noProof/>
        </w:rPr>
        <w:t xml:space="preserve"> z dec</w:t>
      </w:r>
      <w:r w:rsidR="00392EDD" w:rsidRPr="00C47230">
        <w:rPr>
          <w:noProof/>
        </w:rPr>
        <w:t>yzją Rady 2002/192/WE; Irlandia nie uczestniczy</w:t>
      </w:r>
      <w:r w:rsidR="00C47230" w:rsidRPr="00C47230">
        <w:rPr>
          <w:noProof/>
        </w:rPr>
        <w:t xml:space="preserve"> w zwi</w:t>
      </w:r>
      <w:r w:rsidR="00392EDD" w:rsidRPr="00C47230">
        <w:rPr>
          <w:noProof/>
        </w:rPr>
        <w:t>ązku</w:t>
      </w:r>
      <w:r w:rsidR="00C47230" w:rsidRPr="00C47230">
        <w:rPr>
          <w:noProof/>
        </w:rPr>
        <w:t xml:space="preserve"> z tym w jej</w:t>
      </w:r>
      <w:r w:rsidR="00392EDD" w:rsidRPr="00C47230">
        <w:rPr>
          <w:noProof/>
        </w:rPr>
        <w:t xml:space="preserve"> przyjęciu</w:t>
      </w:r>
      <w:r w:rsidR="00C47230" w:rsidRPr="00C47230">
        <w:rPr>
          <w:noProof/>
        </w:rPr>
        <w:t xml:space="preserve"> i nie</w:t>
      </w:r>
      <w:r w:rsidR="00392EDD" w:rsidRPr="00C47230">
        <w:rPr>
          <w:noProof/>
        </w:rPr>
        <w:t xml:space="preserve"> jest nią związana ani jej nie stosuje.</w:t>
      </w:r>
    </w:p>
    <w:p w14:paraId="7C16C594" w14:textId="3AD7BE57" w:rsidR="0069547A" w:rsidRPr="00C47230" w:rsidRDefault="00F84892" w:rsidP="00F84892">
      <w:pPr>
        <w:pStyle w:val="ManualConsidrant"/>
        <w:rPr>
          <w:noProof/>
        </w:rPr>
      </w:pPr>
      <w:r w:rsidRPr="00F84892">
        <w:t>(14)</w:t>
      </w:r>
      <w:r w:rsidRPr="00F84892">
        <w:tab/>
      </w:r>
      <w:r w:rsidR="00392EDD" w:rsidRPr="00C47230">
        <w:rPr>
          <w:noProof/>
        </w:rPr>
        <w:t>Zgodnie</w:t>
      </w:r>
      <w:r w:rsidR="00C47230" w:rsidRPr="00C47230">
        <w:rPr>
          <w:noProof/>
        </w:rPr>
        <w:t xml:space="preserve"> z art</w:t>
      </w:r>
      <w:r w:rsidR="00392EDD" w:rsidRPr="00C47230">
        <w:rPr>
          <w:noProof/>
        </w:rPr>
        <w:t>.</w:t>
      </w:r>
      <w:r w:rsidR="00C47230" w:rsidRPr="00C47230">
        <w:rPr>
          <w:noProof/>
        </w:rPr>
        <w:t> </w:t>
      </w:r>
      <w:r w:rsidR="00392EDD" w:rsidRPr="00C47230">
        <w:rPr>
          <w:noProof/>
        </w:rPr>
        <w:t>1</w:t>
      </w:r>
      <w:r w:rsidR="00C47230" w:rsidRPr="00C47230">
        <w:rPr>
          <w:noProof/>
        </w:rPr>
        <w:t xml:space="preserve"> i 2</w:t>
      </w:r>
      <w:r w:rsidR="00392EDD" w:rsidRPr="00C47230">
        <w:rPr>
          <w:noProof/>
        </w:rPr>
        <w:t xml:space="preserve"> Protokołu nr</w:t>
      </w:r>
      <w:r w:rsidR="00C47230" w:rsidRPr="00C47230">
        <w:rPr>
          <w:noProof/>
        </w:rPr>
        <w:t> </w:t>
      </w:r>
      <w:r w:rsidR="00392EDD" w:rsidRPr="00C47230">
        <w:rPr>
          <w:noProof/>
        </w:rPr>
        <w:t>22</w:t>
      </w:r>
      <w:r w:rsidR="00C47230" w:rsidRPr="00C47230">
        <w:rPr>
          <w:noProof/>
        </w:rPr>
        <w:t xml:space="preserve"> w spr</w:t>
      </w:r>
      <w:r w:rsidR="00392EDD" w:rsidRPr="00C47230">
        <w:rPr>
          <w:noProof/>
        </w:rPr>
        <w:t>awie stanowiska Danii, załączonego do Traktatu</w:t>
      </w:r>
      <w:r w:rsidR="00C47230" w:rsidRPr="00C47230">
        <w:rPr>
          <w:noProof/>
        </w:rPr>
        <w:t xml:space="preserve"> o Uni</w:t>
      </w:r>
      <w:r w:rsidR="00392EDD" w:rsidRPr="00C47230">
        <w:rPr>
          <w:noProof/>
        </w:rPr>
        <w:t>i Europejskiej i do Traktatu</w:t>
      </w:r>
      <w:r w:rsidR="00C47230" w:rsidRPr="00C47230">
        <w:rPr>
          <w:noProof/>
        </w:rPr>
        <w:t xml:space="preserve"> o fun</w:t>
      </w:r>
      <w:r w:rsidR="00392EDD" w:rsidRPr="00C47230">
        <w:rPr>
          <w:noProof/>
        </w:rPr>
        <w:t>kcjonowaniu Unii Europejskiej, Dania nie uczestniczy</w:t>
      </w:r>
      <w:r w:rsidR="00C47230" w:rsidRPr="00C47230">
        <w:rPr>
          <w:noProof/>
        </w:rPr>
        <w:t xml:space="preserve"> w prz</w:t>
      </w:r>
      <w:r w:rsidR="00392EDD" w:rsidRPr="00C47230">
        <w:rPr>
          <w:noProof/>
        </w:rPr>
        <w:t>yjęciu niniejszej decyzji</w:t>
      </w:r>
      <w:r w:rsidR="00C47230" w:rsidRPr="00C47230">
        <w:rPr>
          <w:noProof/>
        </w:rPr>
        <w:t xml:space="preserve"> i nie</w:t>
      </w:r>
      <w:r w:rsidR="00392EDD" w:rsidRPr="00C47230">
        <w:rPr>
          <w:noProof/>
        </w:rPr>
        <w:t xml:space="preserve"> jest nią związana ani jej nie stosuje,</w:t>
      </w:r>
    </w:p>
    <w:p w14:paraId="10A6B634" w14:textId="77777777" w:rsidR="00552A56" w:rsidRPr="00C47230" w:rsidRDefault="00552A56" w:rsidP="00933131">
      <w:pPr>
        <w:rPr>
          <w:noProof/>
        </w:rPr>
      </w:pPr>
    </w:p>
    <w:p w14:paraId="66A8B10B" w14:textId="77777777" w:rsidR="0069547A" w:rsidRPr="00C47230" w:rsidRDefault="0069547A" w:rsidP="0069547A">
      <w:pPr>
        <w:pStyle w:val="Formuledadoption"/>
        <w:rPr>
          <w:noProof/>
        </w:rPr>
      </w:pPr>
      <w:r w:rsidRPr="00C47230">
        <w:rPr>
          <w:noProof/>
        </w:rPr>
        <w:t xml:space="preserve">PRZYJMUJE NINIEJSZĄ DECYZJĘ: </w:t>
      </w:r>
    </w:p>
    <w:p w14:paraId="709CF020" w14:textId="77777777" w:rsidR="0069547A" w:rsidRPr="00C47230" w:rsidRDefault="0069547A" w:rsidP="0069547A">
      <w:pPr>
        <w:pStyle w:val="Titrearticle"/>
        <w:rPr>
          <w:noProof/>
        </w:rPr>
      </w:pPr>
      <w:r w:rsidRPr="00C47230">
        <w:rPr>
          <w:noProof/>
        </w:rPr>
        <w:t>Artykuł 1</w:t>
      </w:r>
    </w:p>
    <w:p w14:paraId="4FB4E280" w14:textId="32F905FC" w:rsidR="00BE0DA3" w:rsidRPr="00C47230" w:rsidRDefault="0069547A" w:rsidP="00BE0DA3">
      <w:pPr>
        <w:rPr>
          <w:noProof/>
        </w:rPr>
      </w:pPr>
      <w:r w:rsidRPr="00C47230">
        <w:rPr>
          <w:noProof/>
        </w:rPr>
        <w:t>Zawiesza się</w:t>
      </w:r>
      <w:r w:rsidR="00C47230" w:rsidRPr="00C47230">
        <w:rPr>
          <w:noProof/>
        </w:rPr>
        <w:t xml:space="preserve"> w cał</w:t>
      </w:r>
      <w:r w:rsidRPr="00C47230">
        <w:rPr>
          <w:noProof/>
        </w:rPr>
        <w:t>ości stosowanie postanowień Umowy</w:t>
      </w:r>
      <w:r w:rsidR="00C47230" w:rsidRPr="00C47230">
        <w:rPr>
          <w:noProof/>
        </w:rPr>
        <w:t xml:space="preserve"> w odn</w:t>
      </w:r>
      <w:r w:rsidRPr="00C47230">
        <w:rPr>
          <w:noProof/>
        </w:rPr>
        <w:t>iesieniu do obywateli Federacji Rosyjskiej.</w:t>
      </w:r>
      <w:r w:rsidR="000D1DD8" w:rsidRPr="00C47230">
        <w:rPr>
          <w:noProof/>
        </w:rPr>
        <w:t xml:space="preserve"> </w:t>
      </w:r>
    </w:p>
    <w:p w14:paraId="69623179" w14:textId="77777777" w:rsidR="00322A11" w:rsidRPr="00C47230" w:rsidRDefault="00322A11" w:rsidP="00590D5C">
      <w:pPr>
        <w:rPr>
          <w:noProof/>
        </w:rPr>
      </w:pPr>
    </w:p>
    <w:p w14:paraId="7710DB27" w14:textId="77777777" w:rsidR="0069547A" w:rsidRPr="00C47230" w:rsidRDefault="0069547A" w:rsidP="0069547A">
      <w:pPr>
        <w:pStyle w:val="Titrearticle"/>
        <w:keepNext w:val="0"/>
        <w:rPr>
          <w:noProof/>
        </w:rPr>
      </w:pPr>
      <w:r w:rsidRPr="00C47230">
        <w:rPr>
          <w:noProof/>
        </w:rPr>
        <w:t>Artykuł 2</w:t>
      </w:r>
    </w:p>
    <w:p w14:paraId="5CB44C18" w14:textId="5201C3BB" w:rsidR="00687AE3" w:rsidRPr="00C47230" w:rsidRDefault="00320F25" w:rsidP="00040BFE">
      <w:pPr>
        <w:rPr>
          <w:noProof/>
        </w:rPr>
      </w:pPr>
      <w:r w:rsidRPr="00C47230">
        <w:rPr>
          <w:noProof/>
        </w:rPr>
        <w:t>Niniejsza decyzja zastępuje decyzję Rady (UE) 2022/333.</w:t>
      </w:r>
    </w:p>
    <w:p w14:paraId="0BD82856" w14:textId="1A5F62FA" w:rsidR="00040BFE" w:rsidRPr="00C47230" w:rsidRDefault="00040BFE" w:rsidP="00040BFE">
      <w:pPr>
        <w:rPr>
          <w:noProof/>
        </w:rPr>
      </w:pPr>
      <w:r w:rsidRPr="00C47230">
        <w:rPr>
          <w:noProof/>
        </w:rPr>
        <w:t>Niniejsza decyzja wchodzi</w:t>
      </w:r>
      <w:r w:rsidR="00C47230" w:rsidRPr="00C47230">
        <w:rPr>
          <w:noProof/>
        </w:rPr>
        <w:t xml:space="preserve"> w życ</w:t>
      </w:r>
      <w:r w:rsidRPr="00C47230">
        <w:rPr>
          <w:noProof/>
        </w:rPr>
        <w:t>ie drugiego dnia po jej opublikowaniu</w:t>
      </w:r>
      <w:r w:rsidR="00C47230" w:rsidRPr="00C47230">
        <w:rPr>
          <w:noProof/>
        </w:rPr>
        <w:t xml:space="preserve"> w </w:t>
      </w:r>
      <w:r w:rsidR="00C47230" w:rsidRPr="00C47230">
        <w:rPr>
          <w:i/>
          <w:noProof/>
        </w:rPr>
        <w:t>Dzi</w:t>
      </w:r>
      <w:r w:rsidRPr="00C47230">
        <w:rPr>
          <w:i/>
          <w:noProof/>
        </w:rPr>
        <w:t>enniku Urzędowym Unii Europejskiej</w:t>
      </w:r>
      <w:r w:rsidRPr="00C47230">
        <w:rPr>
          <w:noProof/>
        </w:rPr>
        <w:t xml:space="preserve"> oraz powiadomieniu Federacji Rosyjskiej.</w:t>
      </w:r>
    </w:p>
    <w:p w14:paraId="7E902921" w14:textId="6A1575F1" w:rsidR="00040BFE" w:rsidRPr="00C47230" w:rsidRDefault="00747752" w:rsidP="00EE02F9">
      <w:pPr>
        <w:pStyle w:val="Fait"/>
        <w:rPr>
          <w:noProof/>
        </w:rPr>
      </w:pPr>
      <w:r w:rsidRPr="00747752">
        <w:t xml:space="preserve">Sporządzono w Brukseli dnia </w:t>
      </w:r>
      <w:r w:rsidRPr="00747752">
        <w:rPr>
          <w:rStyle w:val="Marker"/>
        </w:rPr>
        <w:t>[…]</w:t>
      </w:r>
      <w:r w:rsidRPr="00747752">
        <w:t xml:space="preserve"> r.</w:t>
      </w:r>
    </w:p>
    <w:p w14:paraId="7B86D889" w14:textId="77777777" w:rsidR="00F3612F" w:rsidRPr="00C47230" w:rsidRDefault="00F3612F" w:rsidP="00EE02F9">
      <w:pPr>
        <w:pStyle w:val="Institutionquisigne"/>
        <w:rPr>
          <w:noProof/>
        </w:rPr>
      </w:pPr>
      <w:r w:rsidRPr="00C47230">
        <w:rPr>
          <w:noProof/>
        </w:rPr>
        <w:tab/>
        <w:t>W imieniu Rady</w:t>
      </w:r>
    </w:p>
    <w:p w14:paraId="7F2E0237" w14:textId="77777777" w:rsidR="00F3612F" w:rsidRPr="00C47230" w:rsidRDefault="00F3612F" w:rsidP="00351994">
      <w:pPr>
        <w:pStyle w:val="Personnequisigne"/>
        <w:rPr>
          <w:noProof/>
        </w:rPr>
      </w:pPr>
      <w:r w:rsidRPr="00C47230">
        <w:rPr>
          <w:noProof/>
        </w:rPr>
        <w:tab/>
        <w:t>Przewodniczący</w:t>
      </w:r>
    </w:p>
    <w:sectPr w:rsidR="00F3612F" w:rsidRPr="00C47230" w:rsidSect="00523072">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1AAE" w14:textId="77777777" w:rsidR="00EA715D" w:rsidRPr="00C47230" w:rsidRDefault="00EA715D" w:rsidP="00F3612F">
      <w:pPr>
        <w:spacing w:before="0" w:after="0"/>
      </w:pPr>
      <w:r w:rsidRPr="00C47230">
        <w:separator/>
      </w:r>
    </w:p>
  </w:endnote>
  <w:endnote w:type="continuationSeparator" w:id="0">
    <w:p w14:paraId="5591B899" w14:textId="77777777" w:rsidR="00EA715D" w:rsidRPr="00C47230" w:rsidRDefault="00EA715D" w:rsidP="00F3612F">
      <w:pPr>
        <w:spacing w:before="0" w:after="0"/>
      </w:pPr>
      <w:r w:rsidRPr="00C47230">
        <w:continuationSeparator/>
      </w:r>
    </w:p>
  </w:endnote>
  <w:endnote w:type="continuationNotice" w:id="1">
    <w:p w14:paraId="54F8AC1C" w14:textId="77777777" w:rsidR="00EA715D" w:rsidRPr="00C47230" w:rsidRDefault="00EA71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5AB4" w14:textId="5EE5646C" w:rsidR="008B63C5" w:rsidRPr="00523072" w:rsidRDefault="00523072" w:rsidP="00523072">
    <w:pPr>
      <w:pStyle w:val="Footer"/>
      <w:rPr>
        <w:rFonts w:ascii="Arial" w:hAnsi="Arial" w:cs="Arial"/>
        <w:b/>
        <w:sz w:val="48"/>
      </w:rPr>
    </w:pPr>
    <w:r w:rsidRPr="00523072">
      <w:rPr>
        <w:rFonts w:ascii="Arial" w:hAnsi="Arial" w:cs="Arial"/>
        <w:b/>
        <w:sz w:val="48"/>
      </w:rPr>
      <w:t>PL</w:t>
    </w:r>
    <w:r w:rsidRPr="00523072">
      <w:rPr>
        <w:rFonts w:ascii="Arial" w:hAnsi="Arial" w:cs="Arial"/>
        <w:b/>
        <w:sz w:val="48"/>
      </w:rPr>
      <w:tab/>
    </w:r>
    <w:r w:rsidRPr="00523072">
      <w:rPr>
        <w:rFonts w:ascii="Arial" w:hAnsi="Arial" w:cs="Arial"/>
        <w:b/>
        <w:sz w:val="48"/>
      </w:rPr>
      <w:tab/>
    </w:r>
    <w:r w:rsidRPr="00523072">
      <w:tab/>
    </w:r>
    <w:r w:rsidRPr="00523072">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9E2D" w14:textId="2A7AACC8" w:rsidR="00523072" w:rsidRPr="00523072" w:rsidRDefault="00523072" w:rsidP="00523072">
    <w:pPr>
      <w:pStyle w:val="Footer"/>
      <w:rPr>
        <w:rFonts w:ascii="Arial" w:hAnsi="Arial" w:cs="Arial"/>
        <w:b/>
        <w:sz w:val="48"/>
      </w:rPr>
    </w:pPr>
    <w:r w:rsidRPr="00523072">
      <w:rPr>
        <w:rFonts w:ascii="Arial" w:hAnsi="Arial" w:cs="Arial"/>
        <w:b/>
        <w:sz w:val="48"/>
      </w:rPr>
      <w:t>PL</w:t>
    </w:r>
    <w:r w:rsidRPr="00523072">
      <w:rPr>
        <w:rFonts w:ascii="Arial" w:hAnsi="Arial" w:cs="Arial"/>
        <w:b/>
        <w:sz w:val="48"/>
      </w:rPr>
      <w:tab/>
    </w:r>
    <w:r>
      <w:fldChar w:fldCharType="begin"/>
    </w:r>
    <w:r>
      <w:instrText xml:space="preserve"> PAGE  \* MERGEFORMAT </w:instrText>
    </w:r>
    <w:r>
      <w:fldChar w:fldCharType="separate"/>
    </w:r>
    <w:r w:rsidR="00EE02F9">
      <w:rPr>
        <w:noProof/>
      </w:rPr>
      <w:t>8</w:t>
    </w:r>
    <w:r>
      <w:fldChar w:fldCharType="end"/>
    </w:r>
    <w:r>
      <w:tab/>
    </w:r>
    <w:r w:rsidRPr="00523072">
      <w:tab/>
    </w:r>
    <w:r w:rsidRPr="0052307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11C0E" w14:textId="77777777" w:rsidR="00523072" w:rsidRPr="00523072" w:rsidRDefault="00523072" w:rsidP="0052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78D94" w14:textId="77777777" w:rsidR="00EA715D" w:rsidRPr="00C47230" w:rsidRDefault="00EA715D" w:rsidP="00F3612F">
      <w:pPr>
        <w:spacing w:before="0" w:after="0"/>
      </w:pPr>
      <w:r w:rsidRPr="00C47230">
        <w:separator/>
      </w:r>
    </w:p>
  </w:footnote>
  <w:footnote w:type="continuationSeparator" w:id="0">
    <w:p w14:paraId="6005C12C" w14:textId="77777777" w:rsidR="00EA715D" w:rsidRPr="00C47230" w:rsidRDefault="00EA715D" w:rsidP="00F3612F">
      <w:pPr>
        <w:spacing w:before="0" w:after="0"/>
      </w:pPr>
      <w:r w:rsidRPr="00C47230">
        <w:continuationSeparator/>
      </w:r>
    </w:p>
  </w:footnote>
  <w:footnote w:type="continuationNotice" w:id="1">
    <w:p w14:paraId="797F49BD" w14:textId="77777777" w:rsidR="00EA715D" w:rsidRPr="00C47230" w:rsidRDefault="00EA715D">
      <w:pPr>
        <w:spacing w:before="0" w:after="0"/>
      </w:pPr>
    </w:p>
  </w:footnote>
  <w:footnote w:id="2">
    <w:p w14:paraId="39DE577C" w14:textId="22ABC847" w:rsidR="00361C1D" w:rsidRPr="00C47230" w:rsidRDefault="00361C1D" w:rsidP="007B5C08">
      <w:pPr>
        <w:pStyle w:val="FootnoteText"/>
        <w:ind w:left="0" w:firstLine="0"/>
      </w:pPr>
      <w:r w:rsidRPr="00C47230">
        <w:rPr>
          <w:rStyle w:val="FootnoteReference"/>
        </w:rPr>
        <w:footnoteRef/>
      </w:r>
      <w:r w:rsidRPr="00C47230">
        <w:tab/>
        <w:t>Umowa między Wspólnotą Europejską</w:t>
      </w:r>
      <w:r w:rsidR="00C47230" w:rsidRPr="00C47230">
        <w:t xml:space="preserve"> a Fed</w:t>
      </w:r>
      <w:r w:rsidRPr="00C47230">
        <w:t>eracją Rosyjską</w:t>
      </w:r>
      <w:r w:rsidR="00C47230" w:rsidRPr="00C47230">
        <w:t xml:space="preserve"> o uła</w:t>
      </w:r>
      <w:r w:rsidRPr="00C47230">
        <w:t>twieniach</w:t>
      </w:r>
      <w:r w:rsidR="00C47230" w:rsidRPr="00C47230">
        <w:t xml:space="preserve"> w wyd</w:t>
      </w:r>
      <w:r w:rsidRPr="00C47230">
        <w:t>awaniu wiz obywatelom Unii Europejskiej</w:t>
      </w:r>
      <w:r w:rsidR="00C47230" w:rsidRPr="00C47230">
        <w:t xml:space="preserve"> i Fed</w:t>
      </w:r>
      <w:r w:rsidRPr="00C47230">
        <w:t>eracji Rosyjskiej (Dz.U. L 129</w:t>
      </w:r>
      <w:r w:rsidR="00C47230" w:rsidRPr="00C47230">
        <w:t xml:space="preserve"> z 1</w:t>
      </w:r>
      <w:r w:rsidRPr="00C47230">
        <w:t>7.5.2007).</w:t>
      </w:r>
    </w:p>
  </w:footnote>
  <w:footnote w:id="3">
    <w:p w14:paraId="21CEF402" w14:textId="3CDF0CEC" w:rsidR="00361C1D" w:rsidRPr="00C47230" w:rsidRDefault="00361C1D" w:rsidP="007B5C08">
      <w:pPr>
        <w:pStyle w:val="FootnoteText"/>
        <w:ind w:left="0" w:firstLine="0"/>
      </w:pPr>
      <w:r w:rsidRPr="00C47230">
        <w:rPr>
          <w:rStyle w:val="FootnoteReference"/>
        </w:rPr>
        <w:footnoteRef/>
      </w:r>
      <w:r w:rsidRPr="00C47230">
        <w:tab/>
        <w:t>Konkluzje Rady</w:t>
      </w:r>
      <w:r w:rsidR="00C47230" w:rsidRPr="00C47230">
        <w:t xml:space="preserve"> w spr</w:t>
      </w:r>
      <w:r w:rsidRPr="00C47230">
        <w:t>awie Ukrainy, posiedzenie Rady do Spraw Zagranicznych, Bruksela, 3 marca 2014</w:t>
      </w:r>
      <w:r w:rsidR="00C47230" w:rsidRPr="00C47230">
        <w:t> </w:t>
      </w:r>
      <w:r w:rsidRPr="00C47230">
        <w:t xml:space="preserve">r. </w:t>
      </w:r>
    </w:p>
  </w:footnote>
  <w:footnote w:id="4">
    <w:p w14:paraId="1B73C0E7" w14:textId="48A02ADB" w:rsidR="00D12AF4" w:rsidRPr="00C47230" w:rsidRDefault="00D12AF4" w:rsidP="00D12AF4">
      <w:pPr>
        <w:pStyle w:val="FootnoteText"/>
      </w:pPr>
      <w:r w:rsidRPr="00C47230">
        <w:rPr>
          <w:rStyle w:val="FootnoteReference"/>
        </w:rPr>
        <w:footnoteRef/>
      </w:r>
      <w:r w:rsidRPr="00C47230">
        <w:tab/>
        <w:t>Konkluzje Rady Europejskiej</w:t>
      </w:r>
      <w:r w:rsidR="00C47230" w:rsidRPr="00C47230">
        <w:t xml:space="preserve"> z dni</w:t>
      </w:r>
      <w:r w:rsidRPr="00C47230">
        <w:t>a 24 lutego 2022</w:t>
      </w:r>
      <w:r w:rsidR="00C47230" w:rsidRPr="00C47230">
        <w:t> </w:t>
      </w:r>
      <w:r w:rsidRPr="00C47230">
        <w:t>r.</w:t>
      </w:r>
    </w:p>
  </w:footnote>
  <w:footnote w:id="5">
    <w:p w14:paraId="42BC1F08" w14:textId="16903B33" w:rsidR="00AA4F73" w:rsidRPr="00C47230" w:rsidRDefault="00AA4F73">
      <w:pPr>
        <w:pStyle w:val="FootnoteText"/>
      </w:pPr>
      <w:r w:rsidRPr="00C47230">
        <w:rPr>
          <w:rStyle w:val="FootnoteReference"/>
        </w:rPr>
        <w:footnoteRef/>
      </w:r>
      <w:r w:rsidRPr="00C47230">
        <w:tab/>
        <w:t>Decyzja Rady (UE) 2022/333.</w:t>
      </w:r>
    </w:p>
  </w:footnote>
  <w:footnote w:id="6">
    <w:p w14:paraId="3949E2A9" w14:textId="6C9649D0" w:rsidR="00FA1EF1" w:rsidRPr="00C47230" w:rsidRDefault="00FA1EF1" w:rsidP="00FA1EF1">
      <w:pPr>
        <w:pStyle w:val="FootnoteText"/>
        <w:ind w:left="0" w:firstLine="0"/>
      </w:pPr>
      <w:r w:rsidRPr="00C47230">
        <w:rPr>
          <w:rStyle w:val="FootnoteReference"/>
        </w:rPr>
        <w:footnoteRef/>
      </w:r>
      <w:r w:rsidRPr="00C47230">
        <w:tab/>
        <w:t>Decyzja wykonawcza Komisji C(2016) 3347 final</w:t>
      </w:r>
      <w:r w:rsidR="00C47230" w:rsidRPr="00C47230">
        <w:t xml:space="preserve"> z dni</w:t>
      </w:r>
      <w:r w:rsidRPr="00C47230">
        <w:t>a 6.6.2016</w:t>
      </w:r>
      <w:r w:rsidR="00C47230" w:rsidRPr="00C47230">
        <w:t> </w:t>
      </w:r>
      <w:r w:rsidRPr="00C47230">
        <w:t>r. ustanawiająca wykaz dokumentów uzupełniających, które muszą być przedstawione przez osoby ubiegające się</w:t>
      </w:r>
      <w:r w:rsidR="00C47230" w:rsidRPr="00C47230">
        <w:t xml:space="preserve"> o wiz</w:t>
      </w:r>
      <w:r w:rsidRPr="00C47230">
        <w:t>ę</w:t>
      </w:r>
      <w:r w:rsidR="00C47230" w:rsidRPr="00C47230">
        <w:t xml:space="preserve"> w Ira</w:t>
      </w:r>
      <w:r w:rsidRPr="00C47230">
        <w:t>nie, Iraku</w:t>
      </w:r>
      <w:r w:rsidR="00C47230" w:rsidRPr="00C47230">
        <w:t xml:space="preserve"> i Fed</w:t>
      </w:r>
      <w:r w:rsidRPr="00C47230">
        <w:t>eracji Rosyjskiej.</w:t>
      </w:r>
    </w:p>
    <w:p w14:paraId="0448240F" w14:textId="229A5114" w:rsidR="00FA1EF1" w:rsidRPr="00C47230" w:rsidRDefault="00FA1EF1">
      <w:pPr>
        <w:pStyle w:val="FootnoteText"/>
      </w:pPr>
    </w:p>
  </w:footnote>
  <w:footnote w:id="7">
    <w:p w14:paraId="45FF49D3" w14:textId="2F7DDC02" w:rsidR="00E7198D" w:rsidRPr="00C47230" w:rsidRDefault="00E7198D" w:rsidP="007B5C08">
      <w:pPr>
        <w:pStyle w:val="FootnoteText"/>
        <w:ind w:left="0" w:firstLine="0"/>
      </w:pPr>
      <w:r w:rsidRPr="00C47230">
        <w:rPr>
          <w:rStyle w:val="FootnoteReference"/>
        </w:rPr>
        <w:footnoteRef/>
      </w:r>
      <w:r w:rsidRPr="00C47230">
        <w:tab/>
        <w:t>Dz.U. L 129</w:t>
      </w:r>
      <w:r w:rsidR="00C47230" w:rsidRPr="00C47230">
        <w:t xml:space="preserve"> z 1</w:t>
      </w:r>
      <w:r w:rsidRPr="00C47230">
        <w:t>7.5.2007.</w:t>
      </w:r>
    </w:p>
  </w:footnote>
  <w:footnote w:id="8">
    <w:p w14:paraId="6DC00E46" w14:textId="0F49DB9C" w:rsidR="00361C1D" w:rsidRPr="00C47230" w:rsidRDefault="00361C1D" w:rsidP="007B5C08">
      <w:pPr>
        <w:pStyle w:val="FootnoteText"/>
        <w:ind w:left="0" w:firstLine="0"/>
      </w:pPr>
      <w:r w:rsidRPr="00C47230">
        <w:rPr>
          <w:rStyle w:val="FootnoteReference"/>
        </w:rPr>
        <w:footnoteRef/>
      </w:r>
      <w:r w:rsidRPr="00C47230">
        <w:tab/>
        <w:t>Umowa</w:t>
      </w:r>
      <w:r w:rsidR="00C47230" w:rsidRPr="00C47230">
        <w:t xml:space="preserve"> o rea</w:t>
      </w:r>
      <w:r w:rsidRPr="00C47230">
        <w:t>dmisji między Federacją Rosyjską</w:t>
      </w:r>
      <w:r w:rsidR="00C47230" w:rsidRPr="00C47230">
        <w:t xml:space="preserve"> a Wsp</w:t>
      </w:r>
      <w:r w:rsidRPr="00C47230">
        <w:t>ólnotą Europejską (Dz.U. L 129</w:t>
      </w:r>
      <w:r w:rsidR="00C47230" w:rsidRPr="00C47230">
        <w:t xml:space="preserve"> z 1</w:t>
      </w:r>
      <w:r w:rsidRPr="00C47230">
        <w:t>7.5.2007).</w:t>
      </w:r>
    </w:p>
  </w:footnote>
  <w:footnote w:id="9">
    <w:p w14:paraId="7BF07F79" w14:textId="65476061" w:rsidR="00836CF7" w:rsidRPr="00C47230" w:rsidRDefault="00836CF7">
      <w:pPr>
        <w:pStyle w:val="FootnoteText"/>
      </w:pPr>
      <w:r w:rsidRPr="00C47230">
        <w:rPr>
          <w:rStyle w:val="FootnoteReference"/>
        </w:rPr>
        <w:footnoteRef/>
      </w:r>
      <w:r w:rsidRPr="00C47230">
        <w:tab/>
        <w:t>Decyzja Rady (UE) 2022/333.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22"/>
  </w:num>
  <w:num w:numId="18">
    <w:abstractNumId w:val="11"/>
  </w:num>
  <w:num w:numId="19">
    <w:abstractNumId w:val="25"/>
  </w:num>
  <w:num w:numId="20">
    <w:abstractNumId w:val="6"/>
  </w:num>
  <w:num w:numId="21">
    <w:abstractNumId w:val="12"/>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9-07 11:03:3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1C8CEBC4-D9A2-498B-A185-503B34E2F143"/>
    <w:docVar w:name="LW_COVERPAGE_TYPE" w:val="1"/>
    <w:docVar w:name="LW_CROSSREFERENCE" w:val="&lt;UNUSED&gt;"/>
    <w:docVar w:name="LW_DocType" w:val="COM"/>
    <w:docVar w:name="LW_EMISSION" w:val="6.9.2022"/>
    <w:docVar w:name="LW_EMISSION_ISODATE" w:val="2022-09-06"/>
    <w:docVar w:name="LW_EMISSION_LOCATION" w:val="BRX"/>
    <w:docVar w:name="LW_EMISSION_PREFIX" w:val="Bruksela, dnia "/>
    <w:docVar w:name="LW_EMISSION_SUFFIX" w:val=" r."/>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NLE"/>
    <w:docVar w:name="LW_REF.II.NEW.CP_NUMBER" w:val="0273"/>
    <w:docVar w:name="LW_REF.II.NEW.CP_YEAR" w:val="2022"/>
    <w:docVar w:name="LW_REF.INST.NEW" w:val="COM"/>
    <w:docVar w:name="LW_REF.INST.NEW_ADOPTED" w:val="final"/>
    <w:docVar w:name="LW_REF.INST.NEW_TEXT" w:val="(2022) 6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całkowitego zawieszenia stosowania Umowy między Wspólnotą Europejską a Federacją Rosyjską o ułatwieniach w wydawaniu wiz obywatelom Unii Europejskiej i Federacji Rosyjskiej _x000b_"/>
    <w:docVar w:name="LW_TYPE.DOC.CP" w:val="DECYZJA RADY"/>
    <w:docVar w:name="LwApiVersions" w:val="LW4CoDe 1.23.2.0; LW 8.0, Build 20211117"/>
  </w:docVars>
  <w:rsids>
    <w:rsidRoot w:val="00F3612F"/>
    <w:rsid w:val="000032BF"/>
    <w:rsid w:val="00004248"/>
    <w:rsid w:val="00004925"/>
    <w:rsid w:val="00007C9C"/>
    <w:rsid w:val="000122ED"/>
    <w:rsid w:val="000241BB"/>
    <w:rsid w:val="000303DC"/>
    <w:rsid w:val="00040BFE"/>
    <w:rsid w:val="000433DD"/>
    <w:rsid w:val="00043C71"/>
    <w:rsid w:val="00047D29"/>
    <w:rsid w:val="000532EE"/>
    <w:rsid w:val="000651FB"/>
    <w:rsid w:val="00073EDF"/>
    <w:rsid w:val="00075519"/>
    <w:rsid w:val="000804D4"/>
    <w:rsid w:val="00081201"/>
    <w:rsid w:val="00094B28"/>
    <w:rsid w:val="000A0F9A"/>
    <w:rsid w:val="000A369F"/>
    <w:rsid w:val="000A7517"/>
    <w:rsid w:val="000B34B0"/>
    <w:rsid w:val="000C0A58"/>
    <w:rsid w:val="000C2EA2"/>
    <w:rsid w:val="000C3645"/>
    <w:rsid w:val="000C5BF7"/>
    <w:rsid w:val="000D16D1"/>
    <w:rsid w:val="000D1DD8"/>
    <w:rsid w:val="000D3743"/>
    <w:rsid w:val="000E0933"/>
    <w:rsid w:val="000E198E"/>
    <w:rsid w:val="000E75CC"/>
    <w:rsid w:val="000F0EC2"/>
    <w:rsid w:val="000F2260"/>
    <w:rsid w:val="00104B87"/>
    <w:rsid w:val="0011017E"/>
    <w:rsid w:val="00111413"/>
    <w:rsid w:val="001222A2"/>
    <w:rsid w:val="00123067"/>
    <w:rsid w:val="0012533B"/>
    <w:rsid w:val="00137419"/>
    <w:rsid w:val="00141D99"/>
    <w:rsid w:val="001448BC"/>
    <w:rsid w:val="00150094"/>
    <w:rsid w:val="00152C03"/>
    <w:rsid w:val="001575A4"/>
    <w:rsid w:val="00165246"/>
    <w:rsid w:val="0017253A"/>
    <w:rsid w:val="00180921"/>
    <w:rsid w:val="00180C2C"/>
    <w:rsid w:val="00182E7B"/>
    <w:rsid w:val="00183C6A"/>
    <w:rsid w:val="00191960"/>
    <w:rsid w:val="00191ECE"/>
    <w:rsid w:val="001964D5"/>
    <w:rsid w:val="001A1691"/>
    <w:rsid w:val="001A3376"/>
    <w:rsid w:val="001A3E2E"/>
    <w:rsid w:val="001A6991"/>
    <w:rsid w:val="001A7699"/>
    <w:rsid w:val="001A7B11"/>
    <w:rsid w:val="001B0687"/>
    <w:rsid w:val="001B1016"/>
    <w:rsid w:val="001C2816"/>
    <w:rsid w:val="001C7BDA"/>
    <w:rsid w:val="001D5952"/>
    <w:rsid w:val="001F4DAE"/>
    <w:rsid w:val="002043EF"/>
    <w:rsid w:val="00204DAB"/>
    <w:rsid w:val="00212B05"/>
    <w:rsid w:val="0023014D"/>
    <w:rsid w:val="00232E98"/>
    <w:rsid w:val="00241BDD"/>
    <w:rsid w:val="002437BA"/>
    <w:rsid w:val="0025221B"/>
    <w:rsid w:val="00252CC6"/>
    <w:rsid w:val="002655AD"/>
    <w:rsid w:val="00274B77"/>
    <w:rsid w:val="00291CFC"/>
    <w:rsid w:val="00296CE0"/>
    <w:rsid w:val="00296FFD"/>
    <w:rsid w:val="002973CB"/>
    <w:rsid w:val="002B1220"/>
    <w:rsid w:val="002B4E3F"/>
    <w:rsid w:val="002B5987"/>
    <w:rsid w:val="002D0A70"/>
    <w:rsid w:val="002D5743"/>
    <w:rsid w:val="002E536E"/>
    <w:rsid w:val="002F01BF"/>
    <w:rsid w:val="00303B6D"/>
    <w:rsid w:val="00316322"/>
    <w:rsid w:val="00320F25"/>
    <w:rsid w:val="00322A11"/>
    <w:rsid w:val="00337668"/>
    <w:rsid w:val="00337AB2"/>
    <w:rsid w:val="00345DE3"/>
    <w:rsid w:val="00351994"/>
    <w:rsid w:val="00357D26"/>
    <w:rsid w:val="00361C1D"/>
    <w:rsid w:val="0037045B"/>
    <w:rsid w:val="00371743"/>
    <w:rsid w:val="003730C1"/>
    <w:rsid w:val="00376881"/>
    <w:rsid w:val="0039047E"/>
    <w:rsid w:val="00392EDD"/>
    <w:rsid w:val="003953E1"/>
    <w:rsid w:val="00395468"/>
    <w:rsid w:val="003A2BCD"/>
    <w:rsid w:val="003A6245"/>
    <w:rsid w:val="003A66E8"/>
    <w:rsid w:val="003B0425"/>
    <w:rsid w:val="003B5C7B"/>
    <w:rsid w:val="003C5581"/>
    <w:rsid w:val="003C7DE2"/>
    <w:rsid w:val="003D43C0"/>
    <w:rsid w:val="003E5625"/>
    <w:rsid w:val="003E6A9B"/>
    <w:rsid w:val="00403DBC"/>
    <w:rsid w:val="00406C5D"/>
    <w:rsid w:val="00406E4A"/>
    <w:rsid w:val="00414865"/>
    <w:rsid w:val="00415758"/>
    <w:rsid w:val="004165C9"/>
    <w:rsid w:val="00421E49"/>
    <w:rsid w:val="00424EF3"/>
    <w:rsid w:val="00434A03"/>
    <w:rsid w:val="00436A7D"/>
    <w:rsid w:val="00450A04"/>
    <w:rsid w:val="00453A19"/>
    <w:rsid w:val="00456107"/>
    <w:rsid w:val="00461C5C"/>
    <w:rsid w:val="00464C47"/>
    <w:rsid w:val="00473B4E"/>
    <w:rsid w:val="00485D09"/>
    <w:rsid w:val="00485DF9"/>
    <w:rsid w:val="00491DF9"/>
    <w:rsid w:val="00496328"/>
    <w:rsid w:val="004A11F3"/>
    <w:rsid w:val="004A1DF1"/>
    <w:rsid w:val="004A31B4"/>
    <w:rsid w:val="004B1ED2"/>
    <w:rsid w:val="004B50B0"/>
    <w:rsid w:val="004B7121"/>
    <w:rsid w:val="004C3F68"/>
    <w:rsid w:val="004C4233"/>
    <w:rsid w:val="004D31E0"/>
    <w:rsid w:val="004E023C"/>
    <w:rsid w:val="004F4A43"/>
    <w:rsid w:val="00507751"/>
    <w:rsid w:val="005129CE"/>
    <w:rsid w:val="00515FFE"/>
    <w:rsid w:val="00523072"/>
    <w:rsid w:val="005253B2"/>
    <w:rsid w:val="0053357C"/>
    <w:rsid w:val="00545366"/>
    <w:rsid w:val="00552A56"/>
    <w:rsid w:val="00554812"/>
    <w:rsid w:val="00556B48"/>
    <w:rsid w:val="00564EB4"/>
    <w:rsid w:val="00566243"/>
    <w:rsid w:val="00567881"/>
    <w:rsid w:val="0057796A"/>
    <w:rsid w:val="00580522"/>
    <w:rsid w:val="00590D5C"/>
    <w:rsid w:val="00591197"/>
    <w:rsid w:val="005A12D9"/>
    <w:rsid w:val="005B1D5E"/>
    <w:rsid w:val="005B6F2A"/>
    <w:rsid w:val="005D0083"/>
    <w:rsid w:val="005D114E"/>
    <w:rsid w:val="005D15EA"/>
    <w:rsid w:val="005F1B7A"/>
    <w:rsid w:val="005F7CD4"/>
    <w:rsid w:val="006015C5"/>
    <w:rsid w:val="006032C2"/>
    <w:rsid w:val="006055CE"/>
    <w:rsid w:val="00614E36"/>
    <w:rsid w:val="00615600"/>
    <w:rsid w:val="00616D92"/>
    <w:rsid w:val="00620420"/>
    <w:rsid w:val="00631625"/>
    <w:rsid w:val="006368AB"/>
    <w:rsid w:val="00637BAD"/>
    <w:rsid w:val="00650D1F"/>
    <w:rsid w:val="006527CF"/>
    <w:rsid w:val="006560A5"/>
    <w:rsid w:val="00670BC2"/>
    <w:rsid w:val="00683752"/>
    <w:rsid w:val="00687AE3"/>
    <w:rsid w:val="006909D1"/>
    <w:rsid w:val="0069547A"/>
    <w:rsid w:val="006B0B45"/>
    <w:rsid w:val="006C00A9"/>
    <w:rsid w:val="006D64A5"/>
    <w:rsid w:val="006D663F"/>
    <w:rsid w:val="006E1875"/>
    <w:rsid w:val="006E2AB0"/>
    <w:rsid w:val="006E41CC"/>
    <w:rsid w:val="006F707D"/>
    <w:rsid w:val="006F743E"/>
    <w:rsid w:val="00700204"/>
    <w:rsid w:val="0070128F"/>
    <w:rsid w:val="00703630"/>
    <w:rsid w:val="007060C3"/>
    <w:rsid w:val="00707C24"/>
    <w:rsid w:val="007113E6"/>
    <w:rsid w:val="007124CF"/>
    <w:rsid w:val="00712D8A"/>
    <w:rsid w:val="0071485E"/>
    <w:rsid w:val="00722707"/>
    <w:rsid w:val="007261A2"/>
    <w:rsid w:val="00730763"/>
    <w:rsid w:val="00730898"/>
    <w:rsid w:val="007361D1"/>
    <w:rsid w:val="00743A40"/>
    <w:rsid w:val="00746A97"/>
    <w:rsid w:val="00746FFA"/>
    <w:rsid w:val="00747752"/>
    <w:rsid w:val="00752236"/>
    <w:rsid w:val="00752669"/>
    <w:rsid w:val="007612FD"/>
    <w:rsid w:val="00761455"/>
    <w:rsid w:val="00765044"/>
    <w:rsid w:val="00774EF6"/>
    <w:rsid w:val="00777381"/>
    <w:rsid w:val="00782F45"/>
    <w:rsid w:val="007963D5"/>
    <w:rsid w:val="0079657B"/>
    <w:rsid w:val="00797972"/>
    <w:rsid w:val="007A02FF"/>
    <w:rsid w:val="007A3F79"/>
    <w:rsid w:val="007A5A53"/>
    <w:rsid w:val="007B0B27"/>
    <w:rsid w:val="007B54B6"/>
    <w:rsid w:val="007B568A"/>
    <w:rsid w:val="007B5BB3"/>
    <w:rsid w:val="007B5C08"/>
    <w:rsid w:val="007C06F6"/>
    <w:rsid w:val="007C565B"/>
    <w:rsid w:val="007D1E5F"/>
    <w:rsid w:val="007D6796"/>
    <w:rsid w:val="007D6E80"/>
    <w:rsid w:val="007E4230"/>
    <w:rsid w:val="007F7A79"/>
    <w:rsid w:val="00806AE8"/>
    <w:rsid w:val="00811B4D"/>
    <w:rsid w:val="00816367"/>
    <w:rsid w:val="00831999"/>
    <w:rsid w:val="00836CF7"/>
    <w:rsid w:val="008449A8"/>
    <w:rsid w:val="008525BF"/>
    <w:rsid w:val="0085296C"/>
    <w:rsid w:val="00855666"/>
    <w:rsid w:val="00857D38"/>
    <w:rsid w:val="00864188"/>
    <w:rsid w:val="008647CA"/>
    <w:rsid w:val="008668AF"/>
    <w:rsid w:val="00873F1C"/>
    <w:rsid w:val="00882828"/>
    <w:rsid w:val="00883287"/>
    <w:rsid w:val="00887926"/>
    <w:rsid w:val="00893BCE"/>
    <w:rsid w:val="008947BA"/>
    <w:rsid w:val="008A4211"/>
    <w:rsid w:val="008A4D6E"/>
    <w:rsid w:val="008A7644"/>
    <w:rsid w:val="008B1E63"/>
    <w:rsid w:val="008B63C5"/>
    <w:rsid w:val="008C1A6F"/>
    <w:rsid w:val="008C3BC2"/>
    <w:rsid w:val="008C561A"/>
    <w:rsid w:val="008F4202"/>
    <w:rsid w:val="008F796A"/>
    <w:rsid w:val="0090337C"/>
    <w:rsid w:val="00904ADE"/>
    <w:rsid w:val="00905803"/>
    <w:rsid w:val="00910957"/>
    <w:rsid w:val="00910EE5"/>
    <w:rsid w:val="0091384D"/>
    <w:rsid w:val="00914184"/>
    <w:rsid w:val="0091728B"/>
    <w:rsid w:val="00921C49"/>
    <w:rsid w:val="00922595"/>
    <w:rsid w:val="00933131"/>
    <w:rsid w:val="00936EC1"/>
    <w:rsid w:val="00941A78"/>
    <w:rsid w:val="00950E82"/>
    <w:rsid w:val="00954269"/>
    <w:rsid w:val="00962775"/>
    <w:rsid w:val="00963657"/>
    <w:rsid w:val="0096383B"/>
    <w:rsid w:val="0097199E"/>
    <w:rsid w:val="00972B75"/>
    <w:rsid w:val="00976E3E"/>
    <w:rsid w:val="009772AE"/>
    <w:rsid w:val="009817A9"/>
    <w:rsid w:val="00986B33"/>
    <w:rsid w:val="00987AD5"/>
    <w:rsid w:val="00987DE8"/>
    <w:rsid w:val="00995D9A"/>
    <w:rsid w:val="009A5FD1"/>
    <w:rsid w:val="009B4EEE"/>
    <w:rsid w:val="009B55F1"/>
    <w:rsid w:val="009B7138"/>
    <w:rsid w:val="009B7723"/>
    <w:rsid w:val="009C235B"/>
    <w:rsid w:val="009D0164"/>
    <w:rsid w:val="009D7C0A"/>
    <w:rsid w:val="009F19A1"/>
    <w:rsid w:val="00A00C35"/>
    <w:rsid w:val="00A02B1B"/>
    <w:rsid w:val="00A070AE"/>
    <w:rsid w:val="00A1043C"/>
    <w:rsid w:val="00A13ACC"/>
    <w:rsid w:val="00A223DF"/>
    <w:rsid w:val="00A22969"/>
    <w:rsid w:val="00A22C9E"/>
    <w:rsid w:val="00A3482E"/>
    <w:rsid w:val="00A363C6"/>
    <w:rsid w:val="00A44AC9"/>
    <w:rsid w:val="00A460AF"/>
    <w:rsid w:val="00A4685A"/>
    <w:rsid w:val="00A47975"/>
    <w:rsid w:val="00A54A78"/>
    <w:rsid w:val="00A573EC"/>
    <w:rsid w:val="00A61677"/>
    <w:rsid w:val="00A70A57"/>
    <w:rsid w:val="00A82526"/>
    <w:rsid w:val="00A849D0"/>
    <w:rsid w:val="00A84AA7"/>
    <w:rsid w:val="00A868D4"/>
    <w:rsid w:val="00A90A96"/>
    <w:rsid w:val="00A912B0"/>
    <w:rsid w:val="00A9442E"/>
    <w:rsid w:val="00AA4F73"/>
    <w:rsid w:val="00AA52C8"/>
    <w:rsid w:val="00AB2440"/>
    <w:rsid w:val="00AB3E89"/>
    <w:rsid w:val="00AC3CE2"/>
    <w:rsid w:val="00AC6BA6"/>
    <w:rsid w:val="00AE07E9"/>
    <w:rsid w:val="00AE090B"/>
    <w:rsid w:val="00AF24CB"/>
    <w:rsid w:val="00AF6329"/>
    <w:rsid w:val="00AF644F"/>
    <w:rsid w:val="00AF7FF9"/>
    <w:rsid w:val="00B17346"/>
    <w:rsid w:val="00B2354B"/>
    <w:rsid w:val="00B23F3A"/>
    <w:rsid w:val="00B3222C"/>
    <w:rsid w:val="00B34EC9"/>
    <w:rsid w:val="00B4686D"/>
    <w:rsid w:val="00B574AA"/>
    <w:rsid w:val="00B6235D"/>
    <w:rsid w:val="00B7712F"/>
    <w:rsid w:val="00B81A65"/>
    <w:rsid w:val="00B81B97"/>
    <w:rsid w:val="00B910E8"/>
    <w:rsid w:val="00B91FD6"/>
    <w:rsid w:val="00BB00EB"/>
    <w:rsid w:val="00BB56C3"/>
    <w:rsid w:val="00BB5D1F"/>
    <w:rsid w:val="00BD730D"/>
    <w:rsid w:val="00BE0DA3"/>
    <w:rsid w:val="00BE246D"/>
    <w:rsid w:val="00BE44C5"/>
    <w:rsid w:val="00BE7D0E"/>
    <w:rsid w:val="00BF17AA"/>
    <w:rsid w:val="00BF342D"/>
    <w:rsid w:val="00C03E52"/>
    <w:rsid w:val="00C148A7"/>
    <w:rsid w:val="00C2130C"/>
    <w:rsid w:val="00C24556"/>
    <w:rsid w:val="00C26158"/>
    <w:rsid w:val="00C27180"/>
    <w:rsid w:val="00C33079"/>
    <w:rsid w:val="00C36DB8"/>
    <w:rsid w:val="00C41C56"/>
    <w:rsid w:val="00C42447"/>
    <w:rsid w:val="00C46B40"/>
    <w:rsid w:val="00C47230"/>
    <w:rsid w:val="00C5582E"/>
    <w:rsid w:val="00C603E6"/>
    <w:rsid w:val="00C72195"/>
    <w:rsid w:val="00C72EC4"/>
    <w:rsid w:val="00C74B66"/>
    <w:rsid w:val="00C74B6F"/>
    <w:rsid w:val="00C759C9"/>
    <w:rsid w:val="00C764E8"/>
    <w:rsid w:val="00C80648"/>
    <w:rsid w:val="00C936A5"/>
    <w:rsid w:val="00C96DB5"/>
    <w:rsid w:val="00CA3F09"/>
    <w:rsid w:val="00CA543E"/>
    <w:rsid w:val="00CA6B23"/>
    <w:rsid w:val="00CB0E24"/>
    <w:rsid w:val="00CB1346"/>
    <w:rsid w:val="00CB2EB4"/>
    <w:rsid w:val="00CB4F45"/>
    <w:rsid w:val="00CC4D75"/>
    <w:rsid w:val="00CD2A1E"/>
    <w:rsid w:val="00CE5635"/>
    <w:rsid w:val="00CF62E0"/>
    <w:rsid w:val="00D0005E"/>
    <w:rsid w:val="00D0355C"/>
    <w:rsid w:val="00D03CE6"/>
    <w:rsid w:val="00D06C54"/>
    <w:rsid w:val="00D12AF4"/>
    <w:rsid w:val="00D24567"/>
    <w:rsid w:val="00D27880"/>
    <w:rsid w:val="00D3079F"/>
    <w:rsid w:val="00D43049"/>
    <w:rsid w:val="00D44D1B"/>
    <w:rsid w:val="00D55D4E"/>
    <w:rsid w:val="00D563CC"/>
    <w:rsid w:val="00D56466"/>
    <w:rsid w:val="00D623EB"/>
    <w:rsid w:val="00D62E4A"/>
    <w:rsid w:val="00D77825"/>
    <w:rsid w:val="00D8424C"/>
    <w:rsid w:val="00D93654"/>
    <w:rsid w:val="00D942B1"/>
    <w:rsid w:val="00DA52F3"/>
    <w:rsid w:val="00DA7B1A"/>
    <w:rsid w:val="00DB099C"/>
    <w:rsid w:val="00DB18F9"/>
    <w:rsid w:val="00DB36EC"/>
    <w:rsid w:val="00DB5DCA"/>
    <w:rsid w:val="00DC0689"/>
    <w:rsid w:val="00DC24F0"/>
    <w:rsid w:val="00DC6870"/>
    <w:rsid w:val="00DD776B"/>
    <w:rsid w:val="00DE3DFD"/>
    <w:rsid w:val="00DE602B"/>
    <w:rsid w:val="00DE71A0"/>
    <w:rsid w:val="00DF4CFF"/>
    <w:rsid w:val="00DF7A80"/>
    <w:rsid w:val="00E0108A"/>
    <w:rsid w:val="00E137BD"/>
    <w:rsid w:val="00E22BE8"/>
    <w:rsid w:val="00E31590"/>
    <w:rsid w:val="00E318A5"/>
    <w:rsid w:val="00E3553D"/>
    <w:rsid w:val="00E40CF9"/>
    <w:rsid w:val="00E5300A"/>
    <w:rsid w:val="00E62DE9"/>
    <w:rsid w:val="00E63309"/>
    <w:rsid w:val="00E7090C"/>
    <w:rsid w:val="00E70DD9"/>
    <w:rsid w:val="00E7198D"/>
    <w:rsid w:val="00E76ACB"/>
    <w:rsid w:val="00E77952"/>
    <w:rsid w:val="00E868BC"/>
    <w:rsid w:val="00E97A61"/>
    <w:rsid w:val="00EA34A2"/>
    <w:rsid w:val="00EA5EDD"/>
    <w:rsid w:val="00EA715D"/>
    <w:rsid w:val="00EB5010"/>
    <w:rsid w:val="00EB6C53"/>
    <w:rsid w:val="00EC19CC"/>
    <w:rsid w:val="00ED35FA"/>
    <w:rsid w:val="00ED39FC"/>
    <w:rsid w:val="00EE02F9"/>
    <w:rsid w:val="00EE484D"/>
    <w:rsid w:val="00EE5184"/>
    <w:rsid w:val="00EE5E03"/>
    <w:rsid w:val="00F0093A"/>
    <w:rsid w:val="00F06788"/>
    <w:rsid w:val="00F20062"/>
    <w:rsid w:val="00F22D4E"/>
    <w:rsid w:val="00F231C2"/>
    <w:rsid w:val="00F34257"/>
    <w:rsid w:val="00F3612F"/>
    <w:rsid w:val="00F40E64"/>
    <w:rsid w:val="00F504E8"/>
    <w:rsid w:val="00F65FAA"/>
    <w:rsid w:val="00F66CCC"/>
    <w:rsid w:val="00F67E31"/>
    <w:rsid w:val="00F77FB9"/>
    <w:rsid w:val="00F84892"/>
    <w:rsid w:val="00F8507A"/>
    <w:rsid w:val="00F85FB4"/>
    <w:rsid w:val="00F86EF2"/>
    <w:rsid w:val="00F8700E"/>
    <w:rsid w:val="00FA1BB3"/>
    <w:rsid w:val="00FA1EF1"/>
    <w:rsid w:val="00FA3625"/>
    <w:rsid w:val="00FB18DC"/>
    <w:rsid w:val="00FB2A57"/>
    <w:rsid w:val="00FB4160"/>
    <w:rsid w:val="00FB4E77"/>
    <w:rsid w:val="00FB5FF2"/>
    <w:rsid w:val="00FB623B"/>
    <w:rsid w:val="00FC2FD4"/>
    <w:rsid w:val="00FC3639"/>
    <w:rsid w:val="00FC42FD"/>
    <w:rsid w:val="00FC67E2"/>
    <w:rsid w:val="00FC6F31"/>
    <w:rsid w:val="00FD1698"/>
    <w:rsid w:val="00FD2D2D"/>
    <w:rsid w:val="00FD5A8D"/>
    <w:rsid w:val="00FE61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11C1ADF"/>
  <w15:docId w15:val="{AC4B7603-1580-4BB5-B320-64C8EDB4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517205"/>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3612F"/>
    <w:pPr>
      <w:numPr>
        <w:numId w:val="2"/>
      </w:numPr>
    </w:pPr>
    <w:rPr>
      <w:rFonts w:eastAsia="Times New Roman"/>
      <w:lang w:eastAsia="de-DE"/>
    </w:rPr>
  </w:style>
  <w:style w:type="paragraph" w:styleId="ListNumber">
    <w:name w:val="List Number"/>
    <w:basedOn w:val="Normal"/>
    <w:rsid w:val="00F3612F"/>
    <w:pPr>
      <w:numPr>
        <w:numId w:val="6"/>
      </w:numPr>
    </w:pPr>
    <w:rPr>
      <w:rFonts w:eastAsia="Times New Roman"/>
      <w:lang w:eastAsia="de-DE"/>
    </w:rPr>
  </w:style>
  <w:style w:type="paragraph" w:customStyle="1" w:styleId="ListBullet1">
    <w:name w:val="List Bullet 1"/>
    <w:basedOn w:val="Normal"/>
    <w:rsid w:val="00F3612F"/>
    <w:pPr>
      <w:numPr>
        <w:numId w:val="1"/>
      </w:numPr>
    </w:pPr>
    <w:rPr>
      <w:rFonts w:eastAsia="Times New Roman"/>
      <w:lang w:eastAsia="de-DE"/>
    </w:rPr>
  </w:style>
  <w:style w:type="paragraph" w:customStyle="1" w:styleId="ListDash">
    <w:name w:val="List Dash"/>
    <w:basedOn w:val="Normal"/>
    <w:rsid w:val="00F3612F"/>
    <w:pPr>
      <w:numPr>
        <w:numId w:val="3"/>
      </w:numPr>
    </w:pPr>
    <w:rPr>
      <w:rFonts w:eastAsia="Times New Roman"/>
      <w:lang w:eastAsia="de-DE"/>
    </w:rPr>
  </w:style>
  <w:style w:type="paragraph" w:customStyle="1" w:styleId="ListDash1">
    <w:name w:val="List Dash 1"/>
    <w:basedOn w:val="Normal"/>
    <w:rsid w:val="00F3612F"/>
    <w:pPr>
      <w:numPr>
        <w:numId w:val="4"/>
      </w:numPr>
    </w:pPr>
    <w:rPr>
      <w:rFonts w:eastAsia="Times New Roman"/>
      <w:lang w:eastAsia="de-DE"/>
    </w:rPr>
  </w:style>
  <w:style w:type="paragraph" w:customStyle="1" w:styleId="ListDash2">
    <w:name w:val="List Dash 2"/>
    <w:basedOn w:val="Normal"/>
    <w:rsid w:val="00F3612F"/>
    <w:pPr>
      <w:numPr>
        <w:numId w:val="5"/>
      </w:numPr>
    </w:pPr>
    <w:rPr>
      <w:rFonts w:eastAsia="Times New Roman"/>
      <w:lang w:eastAsia="de-DE"/>
    </w:rPr>
  </w:style>
  <w:style w:type="paragraph" w:customStyle="1" w:styleId="ListNumberLevel2">
    <w:name w:val="List Number (Level 2)"/>
    <w:basedOn w:val="Normal"/>
    <w:rsid w:val="00F3612F"/>
    <w:pPr>
      <w:numPr>
        <w:ilvl w:val="1"/>
        <w:numId w:val="6"/>
      </w:numPr>
    </w:pPr>
    <w:rPr>
      <w:rFonts w:eastAsia="Times New Roman"/>
      <w:lang w:eastAsia="de-DE"/>
    </w:rPr>
  </w:style>
  <w:style w:type="paragraph" w:customStyle="1" w:styleId="ListNumberLevel3">
    <w:name w:val="List Number (Level 3)"/>
    <w:basedOn w:val="Normal"/>
    <w:rsid w:val="00F3612F"/>
    <w:pPr>
      <w:numPr>
        <w:ilvl w:val="2"/>
        <w:numId w:val="6"/>
      </w:numPr>
    </w:pPr>
    <w:rPr>
      <w:rFonts w:eastAsia="Times New Roman"/>
      <w:lang w:eastAsia="de-DE"/>
    </w:rPr>
  </w:style>
  <w:style w:type="paragraph" w:customStyle="1" w:styleId="ListNumberLevel4">
    <w:name w:val="List Number (Level 4)"/>
    <w:basedOn w:val="Normal"/>
    <w:rsid w:val="00F3612F"/>
    <w:pPr>
      <w:numPr>
        <w:ilvl w:val="3"/>
        <w:numId w:val="6"/>
      </w:numPr>
    </w:pPr>
    <w:rPr>
      <w:rFonts w:eastAsia="Times New Roman"/>
      <w:lang w:eastAsia="de-DE"/>
    </w:rPr>
  </w:style>
  <w:style w:type="table" w:styleId="TableGrid">
    <w:name w:val="Table Grid"/>
    <w:basedOn w:val="TableNormal"/>
    <w:rsid w:val="00F3612F"/>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3612F"/>
    <w:rPr>
      <w:color w:val="0000FF"/>
      <w:u w:val="single"/>
    </w:rPr>
  </w:style>
  <w:style w:type="paragraph" w:styleId="ListBullet">
    <w:name w:val="List Bullet"/>
    <w:basedOn w:val="Normal"/>
    <w:rsid w:val="00F3612F"/>
    <w:pPr>
      <w:numPr>
        <w:numId w:val="7"/>
      </w:numPr>
    </w:pPr>
    <w:rPr>
      <w:rFonts w:eastAsia="Times New Roman"/>
      <w:lang w:eastAsia="en-GB"/>
    </w:rPr>
  </w:style>
  <w:style w:type="paragraph" w:styleId="ListBullet2">
    <w:name w:val="List Bullet 2"/>
    <w:basedOn w:val="Normal"/>
    <w:rsid w:val="00F3612F"/>
    <w:pPr>
      <w:numPr>
        <w:numId w:val="8"/>
      </w:numPr>
    </w:pPr>
    <w:rPr>
      <w:rFonts w:eastAsia="Times New Roman"/>
      <w:lang w:eastAsia="en-GB"/>
    </w:rPr>
  </w:style>
  <w:style w:type="paragraph" w:styleId="ListBullet3">
    <w:name w:val="List Bullet 3"/>
    <w:basedOn w:val="Normal"/>
    <w:rsid w:val="00F3612F"/>
    <w:pPr>
      <w:numPr>
        <w:numId w:val="9"/>
      </w:numPr>
    </w:pPr>
    <w:rPr>
      <w:rFonts w:eastAsia="Times New Roman"/>
      <w:lang w:eastAsia="en-GB"/>
    </w:rPr>
  </w:style>
  <w:style w:type="paragraph" w:styleId="ListNumber2">
    <w:name w:val="List Number 2"/>
    <w:basedOn w:val="Normal"/>
    <w:rsid w:val="00F3612F"/>
    <w:pPr>
      <w:numPr>
        <w:numId w:val="13"/>
      </w:numPr>
    </w:pPr>
    <w:rPr>
      <w:rFonts w:eastAsia="Times New Roman"/>
      <w:lang w:eastAsia="en-GB"/>
    </w:rPr>
  </w:style>
  <w:style w:type="paragraph" w:styleId="ListNumber3">
    <w:name w:val="List Number 3"/>
    <w:basedOn w:val="Normal"/>
    <w:rsid w:val="00F3612F"/>
    <w:pPr>
      <w:numPr>
        <w:numId w:val="14"/>
      </w:numPr>
    </w:pPr>
    <w:rPr>
      <w:rFonts w:eastAsia="Times New Roman"/>
      <w:lang w:eastAsia="en-GB"/>
    </w:rPr>
  </w:style>
  <w:style w:type="paragraph" w:styleId="ListNumber4">
    <w:name w:val="List Number 4"/>
    <w:basedOn w:val="Normal"/>
    <w:rsid w:val="00F3612F"/>
    <w:pPr>
      <w:numPr>
        <w:numId w:val="15"/>
      </w:numPr>
    </w:pPr>
    <w:rPr>
      <w:rFonts w:eastAsia="Times New Roman"/>
      <w:lang w:eastAsia="en-GB"/>
    </w:rPr>
  </w:style>
  <w:style w:type="paragraph" w:customStyle="1" w:styleId="ListDash3">
    <w:name w:val="List Dash 3"/>
    <w:basedOn w:val="Normal"/>
    <w:rsid w:val="00F3612F"/>
    <w:pPr>
      <w:numPr>
        <w:numId w:val="10"/>
      </w:numPr>
    </w:pPr>
    <w:rPr>
      <w:rFonts w:eastAsia="Times New Roman"/>
      <w:lang w:eastAsia="en-GB"/>
    </w:rPr>
  </w:style>
  <w:style w:type="paragraph" w:customStyle="1" w:styleId="ListDash4">
    <w:name w:val="List Dash 4"/>
    <w:basedOn w:val="Normal"/>
    <w:rsid w:val="00F3612F"/>
    <w:pPr>
      <w:numPr>
        <w:numId w:val="11"/>
      </w:numPr>
    </w:pPr>
    <w:rPr>
      <w:rFonts w:eastAsia="Times New Roman"/>
      <w:lang w:eastAsia="en-GB"/>
    </w:rPr>
  </w:style>
  <w:style w:type="paragraph" w:customStyle="1" w:styleId="ListNumber1">
    <w:name w:val="List Number 1"/>
    <w:basedOn w:val="Text1"/>
    <w:rsid w:val="00F3612F"/>
    <w:pPr>
      <w:numPr>
        <w:numId w:val="12"/>
      </w:numPr>
    </w:pPr>
    <w:rPr>
      <w:rFonts w:eastAsia="Times New Roman"/>
      <w:lang w:eastAsia="en-GB"/>
    </w:rPr>
  </w:style>
  <w:style w:type="paragraph" w:customStyle="1" w:styleId="ListNumber1Level2">
    <w:name w:val="List Number 1 (Level 2)"/>
    <w:basedOn w:val="Text1"/>
    <w:rsid w:val="00F3612F"/>
    <w:pPr>
      <w:numPr>
        <w:ilvl w:val="1"/>
        <w:numId w:val="12"/>
      </w:numPr>
    </w:pPr>
    <w:rPr>
      <w:rFonts w:eastAsia="Times New Roman"/>
      <w:lang w:eastAsia="en-GB"/>
    </w:rPr>
  </w:style>
  <w:style w:type="paragraph" w:customStyle="1" w:styleId="ListNumber2Level2">
    <w:name w:val="List Number 2 (Level 2)"/>
    <w:basedOn w:val="Text2"/>
    <w:rsid w:val="00F3612F"/>
    <w:pPr>
      <w:numPr>
        <w:ilvl w:val="1"/>
        <w:numId w:val="13"/>
      </w:numPr>
    </w:pPr>
    <w:rPr>
      <w:rFonts w:eastAsia="Times New Roman"/>
      <w:lang w:eastAsia="en-GB"/>
    </w:rPr>
  </w:style>
  <w:style w:type="paragraph" w:customStyle="1" w:styleId="ListNumber3Level2">
    <w:name w:val="List Number 3 (Level 2)"/>
    <w:basedOn w:val="Text3"/>
    <w:rsid w:val="00F3612F"/>
    <w:pPr>
      <w:numPr>
        <w:ilvl w:val="1"/>
        <w:numId w:val="14"/>
      </w:numPr>
    </w:pPr>
    <w:rPr>
      <w:rFonts w:eastAsia="Times New Roman"/>
      <w:lang w:eastAsia="en-GB"/>
    </w:rPr>
  </w:style>
  <w:style w:type="paragraph" w:customStyle="1" w:styleId="ListNumber4Level2">
    <w:name w:val="List Number 4 (Level 2)"/>
    <w:basedOn w:val="Text4"/>
    <w:rsid w:val="00F3612F"/>
    <w:pPr>
      <w:numPr>
        <w:ilvl w:val="1"/>
        <w:numId w:val="15"/>
      </w:numPr>
    </w:pPr>
    <w:rPr>
      <w:rFonts w:eastAsia="Times New Roman"/>
      <w:lang w:eastAsia="en-GB"/>
    </w:rPr>
  </w:style>
  <w:style w:type="paragraph" w:customStyle="1" w:styleId="ListNumber1Level3">
    <w:name w:val="List Number 1 (Level 3)"/>
    <w:basedOn w:val="Text1"/>
    <w:rsid w:val="00F3612F"/>
    <w:pPr>
      <w:numPr>
        <w:ilvl w:val="2"/>
        <w:numId w:val="12"/>
      </w:numPr>
    </w:pPr>
    <w:rPr>
      <w:rFonts w:eastAsia="Times New Roman"/>
      <w:lang w:eastAsia="en-GB"/>
    </w:rPr>
  </w:style>
  <w:style w:type="paragraph" w:customStyle="1" w:styleId="ListNumber2Level3">
    <w:name w:val="List Number 2 (Level 3)"/>
    <w:basedOn w:val="Text2"/>
    <w:rsid w:val="00F3612F"/>
    <w:pPr>
      <w:numPr>
        <w:ilvl w:val="2"/>
        <w:numId w:val="13"/>
      </w:numPr>
    </w:pPr>
    <w:rPr>
      <w:rFonts w:eastAsia="Times New Roman"/>
      <w:lang w:eastAsia="en-GB"/>
    </w:rPr>
  </w:style>
  <w:style w:type="paragraph" w:customStyle="1" w:styleId="ListNumber3Level3">
    <w:name w:val="List Number 3 (Level 3)"/>
    <w:basedOn w:val="Text3"/>
    <w:rsid w:val="00F3612F"/>
    <w:pPr>
      <w:numPr>
        <w:ilvl w:val="2"/>
        <w:numId w:val="14"/>
      </w:numPr>
    </w:pPr>
    <w:rPr>
      <w:rFonts w:eastAsia="Times New Roman"/>
      <w:lang w:eastAsia="en-GB"/>
    </w:rPr>
  </w:style>
  <w:style w:type="paragraph" w:customStyle="1" w:styleId="ListNumber4Level3">
    <w:name w:val="List Number 4 (Level 3)"/>
    <w:basedOn w:val="Text4"/>
    <w:rsid w:val="00F3612F"/>
    <w:pPr>
      <w:numPr>
        <w:ilvl w:val="2"/>
        <w:numId w:val="15"/>
      </w:numPr>
    </w:pPr>
    <w:rPr>
      <w:rFonts w:eastAsia="Times New Roman"/>
      <w:lang w:eastAsia="en-GB"/>
    </w:rPr>
  </w:style>
  <w:style w:type="paragraph" w:customStyle="1" w:styleId="ListNumber1Level4">
    <w:name w:val="List Number 1 (Level 4)"/>
    <w:basedOn w:val="Text1"/>
    <w:rsid w:val="00F3612F"/>
    <w:pPr>
      <w:numPr>
        <w:ilvl w:val="3"/>
        <w:numId w:val="12"/>
      </w:numPr>
    </w:pPr>
    <w:rPr>
      <w:rFonts w:eastAsia="Times New Roman"/>
      <w:lang w:eastAsia="en-GB"/>
    </w:rPr>
  </w:style>
  <w:style w:type="paragraph" w:customStyle="1" w:styleId="ListNumber2Level4">
    <w:name w:val="List Number 2 (Level 4)"/>
    <w:basedOn w:val="Text2"/>
    <w:rsid w:val="00F3612F"/>
    <w:pPr>
      <w:numPr>
        <w:ilvl w:val="3"/>
        <w:numId w:val="13"/>
      </w:numPr>
    </w:pPr>
    <w:rPr>
      <w:rFonts w:eastAsia="Times New Roman"/>
      <w:lang w:eastAsia="en-GB"/>
    </w:rPr>
  </w:style>
  <w:style w:type="paragraph" w:customStyle="1" w:styleId="ListNumber3Level4">
    <w:name w:val="List Number 3 (Level 4)"/>
    <w:basedOn w:val="Text3"/>
    <w:rsid w:val="00F3612F"/>
    <w:pPr>
      <w:numPr>
        <w:ilvl w:val="3"/>
        <w:numId w:val="14"/>
      </w:numPr>
    </w:pPr>
    <w:rPr>
      <w:rFonts w:eastAsia="Times New Roman"/>
      <w:lang w:eastAsia="en-GB"/>
    </w:rPr>
  </w:style>
  <w:style w:type="paragraph" w:customStyle="1" w:styleId="ListNumber4Level4">
    <w:name w:val="List Number 4 (Level 4)"/>
    <w:basedOn w:val="Text4"/>
    <w:rsid w:val="00F3612F"/>
    <w:pPr>
      <w:numPr>
        <w:ilvl w:val="3"/>
        <w:numId w:val="15"/>
      </w:numPr>
    </w:pPr>
    <w:rPr>
      <w:rFonts w:eastAsia="Times New Roman"/>
      <w:lang w:eastAsia="en-GB"/>
    </w:rPr>
  </w:style>
  <w:style w:type="paragraph" w:customStyle="1" w:styleId="Annexetitreacte">
    <w:name w:val="Annexe titre (acte)"/>
    <w:basedOn w:val="Normal"/>
    <w:next w:val="Normal"/>
    <w:rsid w:val="00F3612F"/>
    <w:pPr>
      <w:jc w:val="center"/>
    </w:pPr>
    <w:rPr>
      <w:rFonts w:eastAsia="Times New Roman"/>
      <w:b/>
      <w:u w:val="single"/>
      <w:lang w:eastAsia="en-GB"/>
    </w:rPr>
  </w:style>
  <w:style w:type="paragraph" w:customStyle="1" w:styleId="Annexetitreexposglobal">
    <w:name w:val="Annexe titre (exposé global)"/>
    <w:basedOn w:val="Normal"/>
    <w:next w:val="Normal"/>
    <w:rsid w:val="00F3612F"/>
    <w:pPr>
      <w:jc w:val="center"/>
    </w:pPr>
    <w:rPr>
      <w:rFonts w:eastAsia="Times New Roman"/>
      <w:b/>
      <w:u w:val="single"/>
      <w:lang w:eastAsia="en-GB"/>
    </w:rPr>
  </w:style>
  <w:style w:type="paragraph" w:customStyle="1" w:styleId="Annexetitrefichefinacte">
    <w:name w:val="Annexe titre (fiche fin. acte)"/>
    <w:basedOn w:val="Normal"/>
    <w:next w:val="Normal"/>
    <w:rsid w:val="00F3612F"/>
    <w:pPr>
      <w:jc w:val="center"/>
    </w:pPr>
    <w:rPr>
      <w:rFonts w:eastAsia="Times New Roman"/>
      <w:b/>
      <w:u w:val="single"/>
      <w:lang w:eastAsia="en-GB"/>
    </w:rPr>
  </w:style>
  <w:style w:type="paragraph" w:customStyle="1" w:styleId="Annexetitrefichefinglobale">
    <w:name w:val="Annexe titre (fiche fin. globale)"/>
    <w:basedOn w:val="Normal"/>
    <w:next w:val="Normal"/>
    <w:rsid w:val="00F3612F"/>
    <w:pPr>
      <w:jc w:val="center"/>
    </w:pPr>
    <w:rPr>
      <w:rFonts w:eastAsia="Times New Roman"/>
      <w:b/>
      <w:u w:val="single"/>
      <w:lang w:eastAsia="en-GB"/>
    </w:rPr>
  </w:style>
  <w:style w:type="paragraph" w:customStyle="1" w:styleId="Annexetitreglobale">
    <w:name w:val="Annexe titre (globale)"/>
    <w:basedOn w:val="Normal"/>
    <w:next w:val="Normal"/>
    <w:rsid w:val="00F3612F"/>
    <w:pPr>
      <w:jc w:val="center"/>
    </w:pPr>
    <w:rPr>
      <w:rFonts w:eastAsia="Times New Roman"/>
      <w:b/>
      <w:u w:val="single"/>
      <w:lang w:eastAsia="en-GB"/>
    </w:rPr>
  </w:style>
  <w:style w:type="paragraph" w:customStyle="1" w:styleId="Exposdesmotifstitreglobal">
    <w:name w:val="Exposé des motifs titre (global)"/>
    <w:basedOn w:val="Normal"/>
    <w:next w:val="Normal"/>
    <w:rsid w:val="00F3612F"/>
    <w:pPr>
      <w:jc w:val="center"/>
    </w:pPr>
    <w:rPr>
      <w:rFonts w:eastAsia="Times New Roman"/>
      <w:b/>
      <w:u w:val="single"/>
      <w:lang w:eastAsia="en-GB"/>
    </w:rPr>
  </w:style>
  <w:style w:type="paragraph" w:customStyle="1" w:styleId="Langueoriginale">
    <w:name w:val="Langue originale"/>
    <w:basedOn w:val="Normal"/>
    <w:rsid w:val="00F3612F"/>
    <w:pPr>
      <w:spacing w:before="360"/>
      <w:jc w:val="center"/>
    </w:pPr>
    <w:rPr>
      <w:rFonts w:eastAsia="Times New Roman"/>
      <w:caps/>
      <w:lang w:eastAsia="en-GB"/>
    </w:rPr>
  </w:style>
  <w:style w:type="paragraph" w:customStyle="1" w:styleId="Phrasefinale">
    <w:name w:val="Phrase finale"/>
    <w:basedOn w:val="Normal"/>
    <w:next w:val="Normal"/>
    <w:rsid w:val="00F3612F"/>
    <w:pPr>
      <w:spacing w:before="360" w:after="0"/>
      <w:jc w:val="center"/>
    </w:pPr>
    <w:rPr>
      <w:rFonts w:eastAsia="Times New Roman"/>
      <w:lang w:eastAsia="en-GB"/>
    </w:rPr>
  </w:style>
  <w:style w:type="paragraph" w:customStyle="1" w:styleId="Prliminairetitre">
    <w:name w:val="Préliminaire titre"/>
    <w:basedOn w:val="Normal"/>
    <w:next w:val="Normal"/>
    <w:rsid w:val="00F3612F"/>
    <w:pPr>
      <w:spacing w:before="360" w:after="360"/>
      <w:jc w:val="center"/>
    </w:pPr>
    <w:rPr>
      <w:rFonts w:eastAsia="Times New Roman"/>
      <w:b/>
      <w:lang w:eastAsia="en-GB"/>
    </w:rPr>
  </w:style>
  <w:style w:type="paragraph" w:customStyle="1" w:styleId="Prliminairetype">
    <w:name w:val="Préliminaire type"/>
    <w:basedOn w:val="Normal"/>
    <w:next w:val="Normal"/>
    <w:rsid w:val="00F3612F"/>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3612F"/>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3612F"/>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3612F"/>
    <w:pPr>
      <w:spacing w:before="0" w:after="0"/>
      <w:ind w:left="5103"/>
      <w:jc w:val="left"/>
    </w:pPr>
    <w:rPr>
      <w:rFonts w:eastAsia="Times New Roman"/>
      <w:lang w:eastAsia="en-GB"/>
    </w:rPr>
  </w:style>
  <w:style w:type="paragraph" w:customStyle="1" w:styleId="Sous-titreobjetprliminaire">
    <w:name w:val="Sous-titre objet (préliminaire)"/>
    <w:basedOn w:val="Normal"/>
    <w:rsid w:val="00F3612F"/>
    <w:pPr>
      <w:spacing w:before="0" w:after="0"/>
      <w:jc w:val="center"/>
    </w:pPr>
    <w:rPr>
      <w:rFonts w:eastAsia="Times New Roman"/>
      <w:b/>
      <w:lang w:eastAsia="en-GB"/>
    </w:rPr>
  </w:style>
  <w:style w:type="paragraph" w:customStyle="1" w:styleId="Statutprliminaire">
    <w:name w:val="Statut (préliminaire)"/>
    <w:basedOn w:val="Normal"/>
    <w:next w:val="Normal"/>
    <w:rsid w:val="00F3612F"/>
    <w:pPr>
      <w:spacing w:before="360" w:after="0"/>
      <w:jc w:val="center"/>
    </w:pPr>
    <w:rPr>
      <w:rFonts w:eastAsia="Times New Roman"/>
      <w:lang w:eastAsia="en-GB"/>
    </w:rPr>
  </w:style>
  <w:style w:type="paragraph" w:customStyle="1" w:styleId="Titreobjetprliminaire">
    <w:name w:val="Titre objet (préliminaire)"/>
    <w:basedOn w:val="Normal"/>
    <w:next w:val="Normal"/>
    <w:rsid w:val="00F3612F"/>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3612F"/>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3612F"/>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3612F"/>
    <w:pPr>
      <w:jc w:val="center"/>
    </w:pPr>
    <w:rPr>
      <w:rFonts w:eastAsia="Times New Roman"/>
      <w:b/>
      <w:u w:val="single"/>
      <w:lang w:eastAsia="en-GB"/>
    </w:rPr>
  </w:style>
  <w:style w:type="paragraph" w:customStyle="1" w:styleId="Fichefinanciretravailtitre">
    <w:name w:val="Fiche financière (travail) titre"/>
    <w:basedOn w:val="Normal"/>
    <w:next w:val="Normal"/>
    <w:rsid w:val="00F3612F"/>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3612F"/>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3612F"/>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3612F"/>
    <w:pPr>
      <w:jc w:val="center"/>
    </w:pPr>
    <w:rPr>
      <w:rFonts w:eastAsia="Times New Roman"/>
      <w:b/>
      <w:u w:val="single"/>
      <w:lang w:eastAsia="en-GB"/>
    </w:rPr>
  </w:style>
  <w:style w:type="character" w:styleId="CommentReference">
    <w:name w:val="annotation reference"/>
    <w:rsid w:val="00F3612F"/>
    <w:rPr>
      <w:rFonts w:cs="Times New Roman"/>
      <w:sz w:val="16"/>
      <w:szCs w:val="16"/>
    </w:rPr>
  </w:style>
  <w:style w:type="paragraph" w:styleId="CommentText">
    <w:name w:val="annotation text"/>
    <w:basedOn w:val="Normal"/>
    <w:link w:val="CommentTextChar"/>
    <w:rsid w:val="00F3612F"/>
    <w:rPr>
      <w:rFonts w:eastAsia="Times New Roman"/>
      <w:sz w:val="20"/>
      <w:szCs w:val="20"/>
      <w:lang w:eastAsia="en-GB"/>
    </w:rPr>
  </w:style>
  <w:style w:type="character" w:customStyle="1" w:styleId="CommentTextChar">
    <w:name w:val="Comment Text Char"/>
    <w:basedOn w:val="DefaultParagraphFont"/>
    <w:link w:val="CommentText"/>
    <w:rsid w:val="00F3612F"/>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F3612F"/>
    <w:rPr>
      <w:b/>
      <w:bCs/>
    </w:rPr>
  </w:style>
  <w:style w:type="character" w:customStyle="1" w:styleId="CommentSubjectChar">
    <w:name w:val="Comment Subject Char"/>
    <w:basedOn w:val="CommentTextChar"/>
    <w:link w:val="CommentSubject"/>
    <w:rsid w:val="00F3612F"/>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F3612F"/>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3612F"/>
    <w:rPr>
      <w:rFonts w:ascii="Tahoma" w:eastAsia="Times New Roman" w:hAnsi="Tahoma" w:cs="Tahoma"/>
      <w:sz w:val="16"/>
      <w:szCs w:val="16"/>
      <w:lang w:val="pl-PL" w:eastAsia="en-GB"/>
    </w:rPr>
  </w:style>
  <w:style w:type="paragraph" w:styleId="Caption">
    <w:name w:val="caption"/>
    <w:basedOn w:val="Normal"/>
    <w:next w:val="Normal"/>
    <w:qFormat/>
    <w:rsid w:val="00F3612F"/>
    <w:rPr>
      <w:rFonts w:eastAsia="Times New Roman"/>
      <w:b/>
      <w:bCs/>
      <w:sz w:val="20"/>
      <w:szCs w:val="20"/>
      <w:lang w:eastAsia="en-GB"/>
    </w:rPr>
  </w:style>
  <w:style w:type="paragraph" w:styleId="TableofFigures">
    <w:name w:val="table of figures"/>
    <w:basedOn w:val="Normal"/>
    <w:next w:val="Normal"/>
    <w:rsid w:val="00F3612F"/>
    <w:rPr>
      <w:rFonts w:eastAsia="Times New Roman"/>
      <w:lang w:eastAsia="en-GB"/>
    </w:rPr>
  </w:style>
  <w:style w:type="character" w:styleId="PageNumber">
    <w:name w:val="page number"/>
    <w:rsid w:val="00F3612F"/>
  </w:style>
  <w:style w:type="character" w:customStyle="1" w:styleId="tw4winMark">
    <w:name w:val="tw4winMark"/>
    <w:rsid w:val="00F3612F"/>
    <w:rPr>
      <w:vanish/>
      <w:color w:val="800080"/>
      <w:vertAlign w:val="subscript"/>
    </w:rPr>
  </w:style>
  <w:style w:type="character" w:styleId="FollowedHyperlink">
    <w:name w:val="FollowedHyperlink"/>
    <w:rsid w:val="00F3612F"/>
    <w:rPr>
      <w:color w:val="800080"/>
      <w:u w:val="single"/>
    </w:rPr>
  </w:style>
  <w:style w:type="paragraph" w:customStyle="1" w:styleId="Sous-titreobjet">
    <w:name w:val="Sous-titre objet"/>
    <w:basedOn w:val="Normal"/>
    <w:rsid w:val="00F3612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3612F"/>
  </w:style>
  <w:style w:type="paragraph" w:styleId="Revision">
    <w:name w:val="Revision"/>
    <w:hidden/>
    <w:uiPriority w:val="99"/>
    <w:semiHidden/>
    <w:rsid w:val="00F3612F"/>
    <w:rPr>
      <w:rFonts w:ascii="Calibri" w:eastAsia="Calibri" w:hAnsi="Calibri" w:cs="Times New Roman"/>
      <w:sz w:val="24"/>
      <w:lang w:eastAsia="en-GB"/>
    </w:rPr>
  </w:style>
  <w:style w:type="paragraph" w:customStyle="1" w:styleId="FooterCoverPage">
    <w:name w:val="Footer Cover Page"/>
    <w:basedOn w:val="Normal"/>
    <w:link w:val="FooterCoverPageChar"/>
    <w:rsid w:val="00F3612F"/>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3612F"/>
    <w:rPr>
      <w:rFonts w:ascii="Times New Roman" w:hAnsi="Times New Roman" w:cs="Times New Roman"/>
      <w:b/>
      <w:sz w:val="28"/>
      <w:lang w:val="pl-PL"/>
    </w:rPr>
  </w:style>
  <w:style w:type="character" w:customStyle="1" w:styleId="FooterCoverPageChar">
    <w:name w:val="Footer Cover Page Char"/>
    <w:link w:val="FooterCoverPage"/>
    <w:rsid w:val="00F3612F"/>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F3612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3612F"/>
    <w:rPr>
      <w:rFonts w:ascii="Times New Roman" w:eastAsia="Calibri" w:hAnsi="Times New Roman" w:cs="Times New Roman"/>
      <w:sz w:val="24"/>
      <w:lang w:val="pl-PL" w:eastAsia="en-GB"/>
    </w:rPr>
  </w:style>
  <w:style w:type="paragraph" w:styleId="ListParagraph">
    <w:name w:val="List Paragraph"/>
    <w:basedOn w:val="Normal"/>
    <w:uiPriority w:val="34"/>
    <w:qFormat/>
    <w:rsid w:val="0069547A"/>
    <w:pPr>
      <w:ind w:left="720"/>
      <w:contextualSpacing/>
    </w:pPr>
  </w:style>
  <w:style w:type="paragraph" w:styleId="Header">
    <w:name w:val="header"/>
    <w:basedOn w:val="Normal"/>
    <w:link w:val="HeaderChar"/>
    <w:uiPriority w:val="99"/>
    <w:unhideWhenUsed/>
    <w:rsid w:val="00523072"/>
    <w:pPr>
      <w:tabs>
        <w:tab w:val="center" w:pos="4535"/>
        <w:tab w:val="right" w:pos="9071"/>
      </w:tabs>
      <w:spacing w:before="0"/>
    </w:pPr>
  </w:style>
  <w:style w:type="character" w:customStyle="1" w:styleId="HeaderChar">
    <w:name w:val="Header Char"/>
    <w:basedOn w:val="DefaultParagraphFont"/>
    <w:link w:val="Header"/>
    <w:uiPriority w:val="99"/>
    <w:rsid w:val="00523072"/>
    <w:rPr>
      <w:rFonts w:ascii="Times New Roman" w:hAnsi="Times New Roman" w:cs="Times New Roman"/>
      <w:sz w:val="24"/>
      <w:lang w:val="pl-PL"/>
    </w:rPr>
  </w:style>
  <w:style w:type="paragraph" w:styleId="Footer">
    <w:name w:val="footer"/>
    <w:basedOn w:val="Normal"/>
    <w:link w:val="FooterChar"/>
    <w:uiPriority w:val="99"/>
    <w:unhideWhenUsed/>
    <w:rsid w:val="0052307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23072"/>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23072"/>
    <w:pPr>
      <w:tabs>
        <w:tab w:val="center" w:pos="7285"/>
        <w:tab w:val="right" w:pos="14003"/>
      </w:tabs>
      <w:spacing w:before="0"/>
    </w:pPr>
  </w:style>
  <w:style w:type="paragraph" w:customStyle="1" w:styleId="FooterLandscape">
    <w:name w:val="FooterLandscape"/>
    <w:basedOn w:val="Normal"/>
    <w:rsid w:val="0052307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52307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23072"/>
    <w:pPr>
      <w:spacing w:before="0"/>
      <w:jc w:val="right"/>
    </w:pPr>
    <w:rPr>
      <w:sz w:val="28"/>
    </w:rPr>
  </w:style>
  <w:style w:type="paragraph" w:customStyle="1" w:styleId="FooterSensitivity">
    <w:name w:val="Footer Sensitivity"/>
    <w:basedOn w:val="Normal"/>
    <w:rsid w:val="0052307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7"/>
      </w:numPr>
    </w:pPr>
  </w:style>
  <w:style w:type="paragraph" w:customStyle="1" w:styleId="Tiret1">
    <w:name w:val="Tiret 1"/>
    <w:basedOn w:val="Point1"/>
    <w:rsid w:val="00517205"/>
    <w:pPr>
      <w:numPr>
        <w:numId w:val="18"/>
      </w:numPr>
    </w:pPr>
  </w:style>
  <w:style w:type="paragraph" w:customStyle="1" w:styleId="Tiret2">
    <w:name w:val="Tiret 2"/>
    <w:basedOn w:val="Point2"/>
    <w:rsid w:val="00517205"/>
    <w:pPr>
      <w:numPr>
        <w:numId w:val="19"/>
      </w:numPr>
    </w:pPr>
  </w:style>
  <w:style w:type="paragraph" w:customStyle="1" w:styleId="Tiret3">
    <w:name w:val="Tiret 3"/>
    <w:basedOn w:val="Point3"/>
    <w:rsid w:val="00517205"/>
    <w:pPr>
      <w:numPr>
        <w:numId w:val="20"/>
      </w:numPr>
    </w:pPr>
  </w:style>
  <w:style w:type="paragraph" w:customStyle="1" w:styleId="Tiret4">
    <w:name w:val="Tiret 4"/>
    <w:basedOn w:val="Point4"/>
    <w:rsid w:val="00517205"/>
    <w:pPr>
      <w:numPr>
        <w:numId w:val="21"/>
      </w:numPr>
    </w:pPr>
  </w:style>
  <w:style w:type="paragraph" w:customStyle="1" w:styleId="Tiret5">
    <w:name w:val="Tiret 5"/>
    <w:basedOn w:val="Point5"/>
    <w:rsid w:val="00517205"/>
    <w:pPr>
      <w:numPr>
        <w:numId w:val="2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3"/>
      </w:numPr>
    </w:pPr>
  </w:style>
  <w:style w:type="paragraph" w:customStyle="1" w:styleId="NumPar2">
    <w:name w:val="NumPar 2"/>
    <w:basedOn w:val="Normal"/>
    <w:next w:val="Text1"/>
    <w:rsid w:val="00517205"/>
    <w:pPr>
      <w:numPr>
        <w:ilvl w:val="1"/>
        <w:numId w:val="23"/>
      </w:numPr>
    </w:pPr>
  </w:style>
  <w:style w:type="paragraph" w:customStyle="1" w:styleId="NumPar3">
    <w:name w:val="NumPar 3"/>
    <w:basedOn w:val="Normal"/>
    <w:next w:val="Text1"/>
    <w:rsid w:val="00517205"/>
    <w:pPr>
      <w:numPr>
        <w:ilvl w:val="2"/>
        <w:numId w:val="23"/>
      </w:numPr>
    </w:pPr>
  </w:style>
  <w:style w:type="paragraph" w:customStyle="1" w:styleId="NumPar4">
    <w:name w:val="NumPar 4"/>
    <w:basedOn w:val="Normal"/>
    <w:next w:val="Text1"/>
    <w:rsid w:val="00517205"/>
    <w:pPr>
      <w:numPr>
        <w:ilvl w:val="3"/>
        <w:numId w:val="23"/>
      </w:numPr>
    </w:pPr>
  </w:style>
  <w:style w:type="paragraph" w:customStyle="1" w:styleId="NumPar5">
    <w:name w:val="NumPar 5"/>
    <w:basedOn w:val="Normal"/>
    <w:next w:val="Text2"/>
    <w:rsid w:val="00517205"/>
    <w:pPr>
      <w:numPr>
        <w:ilvl w:val="4"/>
        <w:numId w:val="23"/>
      </w:numPr>
    </w:pPr>
  </w:style>
  <w:style w:type="paragraph" w:customStyle="1" w:styleId="NumPar6">
    <w:name w:val="NumPar 6"/>
    <w:basedOn w:val="Normal"/>
    <w:next w:val="Text2"/>
    <w:rsid w:val="00517205"/>
    <w:pPr>
      <w:numPr>
        <w:ilvl w:val="5"/>
        <w:numId w:val="23"/>
      </w:numPr>
    </w:pPr>
  </w:style>
  <w:style w:type="paragraph" w:customStyle="1" w:styleId="NumPar7">
    <w:name w:val="NumPar 7"/>
    <w:basedOn w:val="Normal"/>
    <w:next w:val="Text2"/>
    <w:rsid w:val="00517205"/>
    <w:pPr>
      <w:numPr>
        <w:ilvl w:val="6"/>
        <w:numId w:val="2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56B48"/>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5"/>
      </w:numPr>
    </w:pPr>
  </w:style>
  <w:style w:type="paragraph" w:customStyle="1" w:styleId="Point1number">
    <w:name w:val="Point 1 (number)"/>
    <w:basedOn w:val="Normal"/>
    <w:rsid w:val="00517205"/>
    <w:pPr>
      <w:numPr>
        <w:ilvl w:val="2"/>
        <w:numId w:val="25"/>
      </w:numPr>
    </w:pPr>
  </w:style>
  <w:style w:type="paragraph" w:customStyle="1" w:styleId="Point2number">
    <w:name w:val="Point 2 (number)"/>
    <w:basedOn w:val="Normal"/>
    <w:rsid w:val="00517205"/>
    <w:pPr>
      <w:numPr>
        <w:ilvl w:val="4"/>
        <w:numId w:val="25"/>
      </w:numPr>
    </w:pPr>
  </w:style>
  <w:style w:type="paragraph" w:customStyle="1" w:styleId="Point3number">
    <w:name w:val="Point 3 (number)"/>
    <w:basedOn w:val="Normal"/>
    <w:rsid w:val="00517205"/>
    <w:pPr>
      <w:numPr>
        <w:ilvl w:val="6"/>
        <w:numId w:val="25"/>
      </w:numPr>
    </w:pPr>
  </w:style>
  <w:style w:type="paragraph" w:customStyle="1" w:styleId="Point0letter">
    <w:name w:val="Point 0 (letter)"/>
    <w:basedOn w:val="Normal"/>
    <w:rsid w:val="00517205"/>
    <w:pPr>
      <w:numPr>
        <w:ilvl w:val="1"/>
        <w:numId w:val="25"/>
      </w:numPr>
    </w:pPr>
  </w:style>
  <w:style w:type="paragraph" w:customStyle="1" w:styleId="Point1letter">
    <w:name w:val="Point 1 (letter)"/>
    <w:basedOn w:val="Normal"/>
    <w:rsid w:val="00517205"/>
    <w:pPr>
      <w:numPr>
        <w:ilvl w:val="3"/>
        <w:numId w:val="25"/>
      </w:numPr>
    </w:pPr>
  </w:style>
  <w:style w:type="paragraph" w:customStyle="1" w:styleId="Point2letter">
    <w:name w:val="Point 2 (letter)"/>
    <w:basedOn w:val="Normal"/>
    <w:rsid w:val="00517205"/>
    <w:pPr>
      <w:numPr>
        <w:ilvl w:val="5"/>
        <w:numId w:val="25"/>
      </w:numPr>
    </w:pPr>
  </w:style>
  <w:style w:type="paragraph" w:customStyle="1" w:styleId="Point3letter">
    <w:name w:val="Point 3 (letter)"/>
    <w:basedOn w:val="Normal"/>
    <w:rsid w:val="00517205"/>
    <w:pPr>
      <w:numPr>
        <w:ilvl w:val="7"/>
        <w:numId w:val="25"/>
      </w:numPr>
    </w:pPr>
  </w:style>
  <w:style w:type="paragraph" w:customStyle="1" w:styleId="Point4letter">
    <w:name w:val="Point 4 (letter)"/>
    <w:basedOn w:val="Normal"/>
    <w:rsid w:val="00517205"/>
    <w:pPr>
      <w:numPr>
        <w:ilvl w:val="8"/>
        <w:numId w:val="25"/>
      </w:numPr>
    </w:pPr>
  </w:style>
  <w:style w:type="paragraph" w:customStyle="1" w:styleId="Bullet0">
    <w:name w:val="Bullet 0"/>
    <w:basedOn w:val="Normal"/>
    <w:rsid w:val="00517205"/>
    <w:pPr>
      <w:numPr>
        <w:numId w:val="26"/>
      </w:numPr>
    </w:pPr>
  </w:style>
  <w:style w:type="paragraph" w:customStyle="1" w:styleId="Bullet1">
    <w:name w:val="Bullet 1"/>
    <w:basedOn w:val="Normal"/>
    <w:rsid w:val="00517205"/>
    <w:pPr>
      <w:numPr>
        <w:numId w:val="27"/>
      </w:numPr>
    </w:pPr>
  </w:style>
  <w:style w:type="paragraph" w:customStyle="1" w:styleId="Bullet2">
    <w:name w:val="Bullet 2"/>
    <w:basedOn w:val="Normal"/>
    <w:rsid w:val="00517205"/>
    <w:pPr>
      <w:numPr>
        <w:numId w:val="28"/>
      </w:numPr>
    </w:pPr>
  </w:style>
  <w:style w:type="paragraph" w:customStyle="1" w:styleId="Bullet3">
    <w:name w:val="Bullet 3"/>
    <w:basedOn w:val="Normal"/>
    <w:rsid w:val="00517205"/>
    <w:pPr>
      <w:numPr>
        <w:numId w:val="29"/>
      </w:numPr>
    </w:pPr>
  </w:style>
  <w:style w:type="paragraph" w:customStyle="1" w:styleId="Bullet4">
    <w:name w:val="Bullet 4"/>
    <w:basedOn w:val="Normal"/>
    <w:rsid w:val="00517205"/>
    <w:pPr>
      <w:numPr>
        <w:numId w:val="3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3756">
      <w:bodyDiv w:val="1"/>
      <w:marLeft w:val="0"/>
      <w:marRight w:val="0"/>
      <w:marTop w:val="0"/>
      <w:marBottom w:val="0"/>
      <w:divBdr>
        <w:top w:val="none" w:sz="0" w:space="0" w:color="auto"/>
        <w:left w:val="none" w:sz="0" w:space="0" w:color="auto"/>
        <w:bottom w:val="none" w:sz="0" w:space="0" w:color="auto"/>
        <w:right w:val="none" w:sz="0" w:space="0" w:color="auto"/>
      </w:divBdr>
    </w:div>
    <w:div w:id="658312259">
      <w:bodyDiv w:val="1"/>
      <w:marLeft w:val="0"/>
      <w:marRight w:val="0"/>
      <w:marTop w:val="0"/>
      <w:marBottom w:val="0"/>
      <w:divBdr>
        <w:top w:val="none" w:sz="0" w:space="0" w:color="auto"/>
        <w:left w:val="none" w:sz="0" w:space="0" w:color="auto"/>
        <w:bottom w:val="none" w:sz="0" w:space="0" w:color="auto"/>
        <w:right w:val="none" w:sz="0" w:space="0" w:color="auto"/>
      </w:divBdr>
    </w:div>
    <w:div w:id="686835779">
      <w:bodyDiv w:val="1"/>
      <w:marLeft w:val="0"/>
      <w:marRight w:val="0"/>
      <w:marTop w:val="0"/>
      <w:marBottom w:val="0"/>
      <w:divBdr>
        <w:top w:val="none" w:sz="0" w:space="0" w:color="auto"/>
        <w:left w:val="none" w:sz="0" w:space="0" w:color="auto"/>
        <w:bottom w:val="none" w:sz="0" w:space="0" w:color="auto"/>
        <w:right w:val="none" w:sz="0" w:space="0" w:color="auto"/>
      </w:divBdr>
    </w:div>
    <w:div w:id="714040997">
      <w:bodyDiv w:val="1"/>
      <w:marLeft w:val="0"/>
      <w:marRight w:val="0"/>
      <w:marTop w:val="0"/>
      <w:marBottom w:val="0"/>
      <w:divBdr>
        <w:top w:val="none" w:sz="0" w:space="0" w:color="auto"/>
        <w:left w:val="none" w:sz="0" w:space="0" w:color="auto"/>
        <w:bottom w:val="none" w:sz="0" w:space="0" w:color="auto"/>
        <w:right w:val="none" w:sz="0" w:space="0" w:color="auto"/>
      </w:divBdr>
    </w:div>
    <w:div w:id="940455610">
      <w:bodyDiv w:val="1"/>
      <w:marLeft w:val="0"/>
      <w:marRight w:val="0"/>
      <w:marTop w:val="0"/>
      <w:marBottom w:val="0"/>
      <w:divBdr>
        <w:top w:val="none" w:sz="0" w:space="0" w:color="auto"/>
        <w:left w:val="none" w:sz="0" w:space="0" w:color="auto"/>
        <w:bottom w:val="none" w:sz="0" w:space="0" w:color="auto"/>
        <w:right w:val="none" w:sz="0" w:space="0" w:color="auto"/>
      </w:divBdr>
    </w:div>
    <w:div w:id="1065296835">
      <w:bodyDiv w:val="1"/>
      <w:marLeft w:val="0"/>
      <w:marRight w:val="0"/>
      <w:marTop w:val="0"/>
      <w:marBottom w:val="0"/>
      <w:divBdr>
        <w:top w:val="none" w:sz="0" w:space="0" w:color="auto"/>
        <w:left w:val="none" w:sz="0" w:space="0" w:color="auto"/>
        <w:bottom w:val="none" w:sz="0" w:space="0" w:color="auto"/>
        <w:right w:val="none" w:sz="0" w:space="0" w:color="auto"/>
      </w:divBdr>
    </w:div>
    <w:div w:id="1187131758">
      <w:bodyDiv w:val="1"/>
      <w:marLeft w:val="0"/>
      <w:marRight w:val="0"/>
      <w:marTop w:val="0"/>
      <w:marBottom w:val="0"/>
      <w:divBdr>
        <w:top w:val="none" w:sz="0" w:space="0" w:color="auto"/>
        <w:left w:val="none" w:sz="0" w:space="0" w:color="auto"/>
        <w:bottom w:val="none" w:sz="0" w:space="0" w:color="auto"/>
        <w:right w:val="none" w:sz="0" w:space="0" w:color="auto"/>
      </w:divBdr>
    </w:div>
    <w:div w:id="1213351572">
      <w:bodyDiv w:val="1"/>
      <w:marLeft w:val="0"/>
      <w:marRight w:val="0"/>
      <w:marTop w:val="0"/>
      <w:marBottom w:val="0"/>
      <w:divBdr>
        <w:top w:val="none" w:sz="0" w:space="0" w:color="auto"/>
        <w:left w:val="none" w:sz="0" w:space="0" w:color="auto"/>
        <w:bottom w:val="none" w:sz="0" w:space="0" w:color="auto"/>
        <w:right w:val="none" w:sz="0" w:space="0" w:color="auto"/>
      </w:divBdr>
    </w:div>
    <w:div w:id="1222255057">
      <w:bodyDiv w:val="1"/>
      <w:marLeft w:val="0"/>
      <w:marRight w:val="0"/>
      <w:marTop w:val="0"/>
      <w:marBottom w:val="0"/>
      <w:divBdr>
        <w:top w:val="none" w:sz="0" w:space="0" w:color="auto"/>
        <w:left w:val="none" w:sz="0" w:space="0" w:color="auto"/>
        <w:bottom w:val="none" w:sz="0" w:space="0" w:color="auto"/>
        <w:right w:val="none" w:sz="0" w:space="0" w:color="auto"/>
      </w:divBdr>
    </w:div>
    <w:div w:id="12747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3" ma:contentTypeDescription="Create a new document in this library." ma:contentTypeScope="" ma:versionID="7894ad8daead64fa987f84de761d8f1f">
  <xsd:schema xmlns:xsd="http://www.w3.org/2001/XMLSchema" xmlns:xs="http://www.w3.org/2001/XMLSchema" xmlns:p="http://schemas.microsoft.com/office/2006/metadata/properties" xmlns:ns2="http://schemas.microsoft.com/sharepoint/v3/fields" xmlns:ns3="17730c43-1c7a-490c-8af6-e0e078c4a587" xmlns:ns4="5844f193-b267-46d7-afe9-1f837dd55ee2" targetNamespace="http://schemas.microsoft.com/office/2006/metadata/properties" ma:root="true" ma:fieldsID="234d4add1c35cf14fdb9ed3443d065cb" ns2:_="" ns3:_="" ns4:_="">
    <xsd:import namespace="http://schemas.microsoft.com/sharepoint/v3/fields"/>
    <xsd:import namespace="17730c43-1c7a-490c-8af6-e0e078c4a587"/>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F1965-6595-4CF7-AAAB-C8E27A9CD5C8}">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5844f193-b267-46d7-afe9-1f837dd55ee2"/>
    <ds:schemaRef ds:uri="17730c43-1c7a-490c-8af6-e0e078c4a587"/>
    <ds:schemaRef ds:uri="http://www.w3.org/XML/1998/namespace"/>
    <ds:schemaRef ds:uri="http://purl.org/dc/dcmitype/"/>
  </ds:schemaRefs>
</ds:datastoreItem>
</file>

<file path=customXml/itemProps2.xml><?xml version="1.0" encoding="utf-8"?>
<ds:datastoreItem xmlns:ds="http://schemas.openxmlformats.org/officeDocument/2006/customXml" ds:itemID="{E5EC3AE2-63DF-4F16-8917-4CCD38108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DFA87-1A49-4148-8E69-12641D161067}">
  <ds:schemaRefs>
    <ds:schemaRef ds:uri="http://schemas.microsoft.com/sharepoint/v3/contenttype/forms"/>
  </ds:schemaRefs>
</ds:datastoreItem>
</file>

<file path=customXml/itemProps4.xml><?xml version="1.0" encoding="utf-8"?>
<ds:datastoreItem xmlns:ds="http://schemas.openxmlformats.org/officeDocument/2006/customXml" ds:itemID="{10565EE4-739C-429D-A9EF-77946C5E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19</TotalTime>
  <Pages>9</Pages>
  <Words>2333</Words>
  <Characters>15819</Characters>
  <Application>Microsoft Office Word</Application>
  <DocSecurity>0</DocSecurity>
  <Lines>272</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cp:lastPrinted>2022-08-31T13:16:00Z</cp:lastPrinted>
  <dcterms:created xsi:type="dcterms:W3CDTF">2022-09-05T16:21:00Z</dcterms:created>
  <dcterms:modified xsi:type="dcterms:W3CDTF">2022-09-07T09:03:00Z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8.0.1, Build 20220429</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2022-08-29T06:58:09Z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f8c12f23-b5f8-4207-9a26-1719cf88870a</vt:lpwstr>
  </property>
  <property fmtid="{D5CDD505-2E9C-101B-9397-08002B2CF9AE}" pid="16" name="MSIP_Label_6bd9ddd1-4d20-43f6-abfa-fc3c07406f94_ContentBits">
    <vt:lpwstr>0</vt:lpwstr>
  </property>
  <property fmtid="{D5CDD505-2E9C-101B-9397-08002B2CF9AE}" pid="17" name="ContentTypeId">
    <vt:lpwstr>0x010100258AA79CEB83498886A3A08681123250006EF9D13EB5B09F479C3B8323D523042B</vt:lpwstr>
  </property>
  <property fmtid="{D5CDD505-2E9C-101B-9397-08002B2CF9AE}" pid="18" name="DQCStatus">
    <vt:lpwstr>Green (DQC version 03)</vt:lpwstr>
  </property>
  <property name="OP_sanitized" fmtid="{D5CDD505-2E9C-101B-9397-08002B2CF9AE}" pid="19">
    <vt:lpwstr>True</vt:lpwstr>
  </property>
</Properties>
</file>