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13" w:rsidRPr="00DD1822" w:rsidRDefault="003F4950" w:rsidP="003F4950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66385B28-E276-453C-B194-5765D434BD05" style="width:455.25pt;height:355.5pt">
            <v:imagedata r:id="rId8" o:title=""/>
          </v:shape>
        </w:pict>
      </w:r>
    </w:p>
    <w:p w:rsidR="008E6595" w:rsidRPr="00DD1822" w:rsidRDefault="008E6595" w:rsidP="008E6595">
      <w:pPr>
        <w:rPr>
          <w:noProof/>
        </w:rPr>
        <w:sectPr w:rsidR="008E6595" w:rsidRPr="00DD1822" w:rsidSect="003F4950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B35235" w:rsidRPr="00DD1822" w:rsidRDefault="00B35235" w:rsidP="00B35235">
      <w:pPr>
        <w:pStyle w:val="Exposdesmotifstitre"/>
        <w:rPr>
          <w:noProof/>
        </w:rPr>
      </w:pPr>
      <w:bookmarkStart w:id="0" w:name="_GoBack"/>
      <w:bookmarkEnd w:id="0"/>
      <w:r w:rsidRPr="00DD1822">
        <w:rPr>
          <w:noProof/>
        </w:rPr>
        <w:lastRenderedPageBreak/>
        <w:t>UZASADNIENIE</w:t>
      </w:r>
    </w:p>
    <w:p w:rsidR="00B35235" w:rsidRPr="00DD1822" w:rsidRDefault="00920EBE" w:rsidP="00920EBE">
      <w:pPr>
        <w:pStyle w:val="ManualHeading1"/>
        <w:rPr>
          <w:noProof/>
        </w:rPr>
      </w:pPr>
      <w:bookmarkStart w:id="1" w:name="DQPStarAt1DQPStarAt0F4D73E20FBC44DA84C53"/>
      <w:bookmarkEnd w:id="1"/>
      <w:r w:rsidRPr="00920EBE">
        <w:t>1.</w:t>
      </w:r>
      <w:r w:rsidRPr="00920EBE">
        <w:tab/>
      </w:r>
      <w:r w:rsidR="00B35235" w:rsidRPr="00DD1822">
        <w:rPr>
          <w:noProof/>
        </w:rPr>
        <w:t>KONTEKST WNIOSKU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1 czerwca 2022 r. Komisja przyjęła wniosek w sprawie decyzji Rady podejmowanej zgodnie z art. 140 ust. 2 Traktatu o funkcjonowaniu Unii Europejskiej („Traktat”), w którym stwierdzono, że Chorwacja spełnia warunki konieczne do przyjęcia euro i w którym proponuje się uchylenie z dniem 1 stycznia 2023 r. derogacji w stosunku do Chorwacji.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W przypadku podjęcia pozytywnej decyzji Rada będzie następnie musiała uchwalić pozostałe środki niezbędne do wprowadzenia euro w Chorwacji.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Rozporządzenie Rady (WE) nr 974/98 w sprawie wprowadzenia euro</w:t>
      </w:r>
      <w:r w:rsidRPr="00DD1822">
        <w:rPr>
          <w:rStyle w:val="FootnoteReference"/>
          <w:noProof/>
        </w:rPr>
        <w:footnoteReference w:id="1"/>
      </w:r>
      <w:r w:rsidRPr="00DD1822">
        <w:rPr>
          <w:rStyle w:val="FootnoteReference"/>
          <w:noProof/>
        </w:rPr>
        <w:t xml:space="preserve"> </w:t>
      </w:r>
      <w:r w:rsidRPr="00DD1822">
        <w:rPr>
          <w:noProof/>
        </w:rPr>
        <w:t xml:space="preserve"> reguluje wprowadzenie euro w pierwszej grupie państw członkowskich należących do strefy euro oraz w Grecji</w:t>
      </w:r>
      <w:r w:rsidRPr="00DD1822">
        <w:rPr>
          <w:rStyle w:val="FootnoteReference"/>
          <w:noProof/>
        </w:rPr>
        <w:footnoteReference w:id="2"/>
      </w:r>
      <w:r w:rsidRPr="00DD1822">
        <w:rPr>
          <w:noProof/>
        </w:rPr>
        <w:t>. Rozporządzenie to zostało zmienione: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– rozporządzeniem (WE) nr 2169/2005, w celu przygotowania przyszłych rozszerzeń strefy euro;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– rozporządzeniem (WE) nr 1647/2006, w celu uwzględnienia Słowenii (która przyjęła euro 1 stycznia 2007 r.);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 xml:space="preserve">– rozporządzeniem (WE) nr 835/2007, w celu uwzględnienia Cypru (który przyjął euro 1 stycznia 2008 r.); 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 xml:space="preserve">– rozporządzeniem (WE) nr 836/2007, w celu uwzględnienia Malty (która przyjęła euro 1 stycznia 2008 r.); 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– rozporządzeniem (WE) nr 693/2008, w celu uwzględnienia Słowacji (która przyjęła euro w styczniu 2009 r.);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– rozporządzeniem (UE) nr 670/2010, w celu uwzględnienia Estonii (która przyjęła euro w styczniu 2011 r.);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– rozporządzeniem (UE) nr 678/2013, w celu uwzględnienia ‎‎Łotwy (która przyjęła euro w styczniu 2014 r.);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– rozporządzeniem (UE) nr 827/2014, w celu uwzględnienia ‎‎Litwy (która przyjęła euro w styczniu 2015 r.).</w:t>
      </w:r>
    </w:p>
    <w:p w:rsidR="00B35235" w:rsidRPr="00DD1822" w:rsidRDefault="004379E8" w:rsidP="00B35235">
      <w:pPr>
        <w:pStyle w:val="Text1"/>
        <w:rPr>
          <w:noProof/>
        </w:rPr>
      </w:pPr>
      <w:r w:rsidRPr="00DD1822">
        <w:rPr>
          <w:noProof/>
        </w:rPr>
        <w:t>Aby Chorwacja także mogła zostać uwzględniona w rozporządzeniu (WE) nr 974/98, do wspomnianego rozporządzenia należy dodać odniesienie do tego państwa członkowskiego. W niniejszym wniosku zawarto niezbędne zmiany do powyższego rozporządzenia.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Chorwacki plan wymiany waluty krajowej na euro przewiduje zastosowanie scenariusza „big bang”. Oznacza to, że przyjęcie euro jako waluty Chorwacji oraz wprowadzenie banknotów i monet euro do obiegu w Chorwacji powinno nastąpić jednocześnie.</w:t>
      </w:r>
    </w:p>
    <w:p w:rsidR="00B35235" w:rsidRPr="00DD1822" w:rsidRDefault="00920EBE" w:rsidP="00920EBE">
      <w:pPr>
        <w:pStyle w:val="ManualHeading1"/>
        <w:rPr>
          <w:noProof/>
        </w:rPr>
      </w:pPr>
      <w:r w:rsidRPr="00920EBE">
        <w:t>2.</w:t>
      </w:r>
      <w:r w:rsidRPr="00920EBE">
        <w:tab/>
      </w:r>
      <w:r w:rsidR="00B35235" w:rsidRPr="00DD1822">
        <w:rPr>
          <w:noProof/>
        </w:rPr>
        <w:t>WYNIKI KONSULTACJI Z ZAINTERESOWANYMI STRONAMI ORAZ OCENA SKUTKÓW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W ramach Komitetu Ekonomiczno-Finansowego (KEF), Rady ECOFIN i Eurogrupy regularnie prowadzone są dyskusje z państwami członkowskimi na różne tematy dotyczące wyzwań w zakresie polityki gospodarczej w tych państwach. Obejmują one nieformalne rozmowy na temat kwestii szczególnie istotnych w kontekście przygotowań do ostatecznego wejścia do strefy euro (w tym polityki kursowej). Dialog z naukowcami i innymi zainteresowanymi grupami ma miejsce w ramach konferencji i seminariów oraz w trybie doraźnym.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Rozwój sytuacji gospodarczej w strefie euro i państwach członkowskich jest oceniany w ramach różnych procedur koordynacji i nadzorowania polityki gospodarczej (w szczególności na mocy art. 121 Traktatu), jak również w kontekście – regularnie prowadzonego przez Komisję – procesu monitorowania i analizy rozwoju sytuacji w danym kraju i całej strefie euro (obejmującego prognozy, regularne serie wydawnicze i informacje przekazywane Komitetowi Ekonomiczno-Finansowemu, Radzie ECOFIN i Eurogrupie). Zgodnie z zasadą proporcjonalności i dotychczasową praktyką nie przeprowadzono formalnej oceny skutków.</w:t>
      </w:r>
    </w:p>
    <w:p w:rsidR="00B35235" w:rsidRPr="00DD1822" w:rsidRDefault="00920EBE" w:rsidP="00920EBE">
      <w:pPr>
        <w:pStyle w:val="ManualHeading1"/>
        <w:rPr>
          <w:noProof/>
        </w:rPr>
      </w:pPr>
      <w:r w:rsidRPr="00920EBE">
        <w:t>3.</w:t>
      </w:r>
      <w:r w:rsidRPr="00920EBE">
        <w:tab/>
      </w:r>
      <w:r w:rsidR="00B35235" w:rsidRPr="00DD1822">
        <w:rPr>
          <w:noProof/>
        </w:rPr>
        <w:t>ASPEKTY PRAWNE WNIOSKU</w:t>
      </w:r>
    </w:p>
    <w:p w:rsidR="00B35235" w:rsidRPr="00DD1822" w:rsidRDefault="00920EBE" w:rsidP="00920EBE">
      <w:pPr>
        <w:pStyle w:val="ManualHeading2"/>
        <w:rPr>
          <w:noProof/>
        </w:rPr>
      </w:pPr>
      <w:bookmarkStart w:id="2" w:name="DQPStarAt1DQPStarAt449D5EE33AEC4BCD9CA1F"/>
      <w:bookmarkEnd w:id="2"/>
      <w:r w:rsidRPr="00920EBE">
        <w:t>3.1.</w:t>
      </w:r>
      <w:r w:rsidRPr="00920EBE">
        <w:tab/>
      </w:r>
      <w:r w:rsidR="00B35235" w:rsidRPr="00DD1822">
        <w:rPr>
          <w:noProof/>
        </w:rPr>
        <w:t>Podstawa prawna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Podstawę prawną niniejszego wniosku stanowi art. 140 ust. 3 Traktatu, umożliwiający podjęcie decyzji o innych środkach niezbędnych do wprowadzenia euro w państwie członkowskim, w stosunku do którego uchylono derogację na podstawie art. 140 ust. 2 Traktatu.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Rada stanowi jednomyślnie głosami państw członkowskich, których walutą jest euro, oraz danego państwa członkowskiego na wniosek Komisji i po przeprowadzeniu konsultacji z EBC.</w:t>
      </w:r>
    </w:p>
    <w:p w:rsidR="00B35235" w:rsidRPr="00DD1822" w:rsidRDefault="00920EBE" w:rsidP="00920EBE">
      <w:pPr>
        <w:pStyle w:val="ManualHeading2"/>
        <w:rPr>
          <w:noProof/>
        </w:rPr>
      </w:pPr>
      <w:r w:rsidRPr="00920EBE">
        <w:t>3.2.</w:t>
      </w:r>
      <w:r w:rsidRPr="00920EBE">
        <w:tab/>
      </w:r>
      <w:r w:rsidR="00B35235" w:rsidRPr="00DD1822">
        <w:rPr>
          <w:noProof/>
        </w:rPr>
        <w:t>Pomocniczość i proporcjonalność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Niniejszy wniosek wchodzi w zakres wyłącznych kompetencji Unii. Zasada pomocniczości nie ma zatem zastosowania.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Niniejsza inicjatywa nie wykracza poza zakres konieczny do osiągnięcia jej celów, zatem jest zgodna z zasadą proporcjonalności.</w:t>
      </w:r>
    </w:p>
    <w:p w:rsidR="00B35235" w:rsidRPr="00DD1822" w:rsidRDefault="00920EBE" w:rsidP="00920EBE">
      <w:pPr>
        <w:pStyle w:val="ManualHeading2"/>
        <w:rPr>
          <w:noProof/>
        </w:rPr>
      </w:pPr>
      <w:r w:rsidRPr="00920EBE">
        <w:t>3.3.</w:t>
      </w:r>
      <w:r w:rsidRPr="00920EBE">
        <w:tab/>
      </w:r>
      <w:r w:rsidR="00B35235" w:rsidRPr="00DD1822">
        <w:rPr>
          <w:noProof/>
        </w:rPr>
        <w:t>Wybór instrumentu prawnego</w:t>
      </w:r>
    </w:p>
    <w:p w:rsidR="00B35235" w:rsidRPr="00DD1822" w:rsidRDefault="004379E8" w:rsidP="00B35235">
      <w:pPr>
        <w:pStyle w:val="Text1"/>
        <w:rPr>
          <w:noProof/>
        </w:rPr>
      </w:pPr>
      <w:r w:rsidRPr="00DD1822">
        <w:rPr>
          <w:noProof/>
        </w:rPr>
        <w:t>Rozporządzenie stanowi jedyny właściwy instrument prawny umożliwiający zmianę rozporządzenia Rady (WE) nr 974/98 w sprawie wprowadzenia euro.</w:t>
      </w:r>
    </w:p>
    <w:p w:rsidR="00B35235" w:rsidRPr="00DD1822" w:rsidRDefault="00920EBE" w:rsidP="00920EBE">
      <w:pPr>
        <w:pStyle w:val="ManualHeading1"/>
        <w:rPr>
          <w:noProof/>
        </w:rPr>
      </w:pPr>
      <w:r w:rsidRPr="00920EBE">
        <w:t>4.</w:t>
      </w:r>
      <w:r w:rsidRPr="00920EBE">
        <w:tab/>
      </w:r>
      <w:r w:rsidR="00B35235" w:rsidRPr="00DD1822">
        <w:rPr>
          <w:noProof/>
        </w:rPr>
        <w:t>WPŁYW NA BUDŻET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Wniosek nie ma wpływu na budżet Unii.</w:t>
      </w:r>
    </w:p>
    <w:p w:rsidR="00B35235" w:rsidRPr="00DD1822" w:rsidRDefault="00920EBE" w:rsidP="00920EBE">
      <w:pPr>
        <w:pStyle w:val="ManualHeading1"/>
        <w:rPr>
          <w:noProof/>
        </w:rPr>
      </w:pPr>
      <w:r w:rsidRPr="00920EBE">
        <w:t>5.</w:t>
      </w:r>
      <w:r w:rsidRPr="00920EBE">
        <w:tab/>
      </w:r>
      <w:r w:rsidR="00B35235" w:rsidRPr="00DD1822">
        <w:rPr>
          <w:noProof/>
        </w:rPr>
        <w:t xml:space="preserve">KOMENTARZ DO POSZCZEGÓLNYCH ARTYKUŁÓW </w:t>
      </w:r>
    </w:p>
    <w:p w:rsidR="00B35235" w:rsidRPr="00DD1822" w:rsidRDefault="00920EBE" w:rsidP="00920EBE">
      <w:pPr>
        <w:pStyle w:val="ManualHeading2"/>
        <w:rPr>
          <w:noProof/>
        </w:rPr>
      </w:pPr>
      <w:bookmarkStart w:id="3" w:name="DQPStarAt1DQPStarAt55093608EF8147D681E05"/>
      <w:bookmarkEnd w:id="3"/>
      <w:r w:rsidRPr="00920EBE">
        <w:t>5.1.</w:t>
      </w:r>
      <w:r w:rsidRPr="00920EBE">
        <w:tab/>
      </w:r>
      <w:r w:rsidR="00B35235" w:rsidRPr="00DD1822">
        <w:rPr>
          <w:noProof/>
        </w:rPr>
        <w:t>Artykuł 1</w:t>
      </w:r>
    </w:p>
    <w:p w:rsidR="00504383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Zgodnie z art. 1 lit. a) oraz z art. 1a rozporządzenia (WE) nr 974/98 w tabeli zamieszczonej w załączniku do tego rozporządzenia wymieniono uczestniczące państwa członkowskie oraz określono datę przyjęcia euro, datę wymiany pieniądza gotówkowego oraz, w stosownych przypadkach, okres stopniowego wycofywania w odniesieniu do wszystkich tych państw członkowskich.</w:t>
      </w:r>
    </w:p>
    <w:p w:rsidR="00504383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Zgodnie z art. 1 lit. i) rozporządzenia (WE) nr 974/98 okres stopniowego wycofywania ma zastosowanie wyłącznie w przypadku państw członkowskich, w których data przyjęcia euro pokrywa się z datą wymiany pieniądza gotówkowego. Sytuacja taka nie miała miejsca w przypadku jedenastu państw członkowskich, które przyjęły euro 1 stycznia 1999 r., ani w przypadku Grecji, która przyjęła euro 1 stycznia 2001 r.</w:t>
      </w:r>
    </w:p>
    <w:p w:rsidR="00504383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W przypadku Słowenii, Cypru, Malty, Słowacji, Estonii, Łotwy i Litwy data przyjęcia euro pokrywała się z datą wymiany pieniądza gotówkowego (Słowenia – 1 stycznia 2007 r., Cypr i Malta – 1 stycznia 2008 r., Słowacja – 1 stycznia 2009 r., Estonia – 1 stycznia 2011 r., Łotwa – 1 stycznia 2014 r., Litwa – 1 stycznia 2015 r.), jednak kraje te postanowiły nie wprowadzać okresu stopniowego wycofywania waluty krajowej.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Także chorwacki plan wymiany waluty krajowej na euro przewiduje, że data przyjęcia euro pokryje się z datą wymiany pieniądza gotówkowego (1 stycznia 2023 r.) i Chorwacja postanowiła nie wprowadzać okresu stopniowego wycofywania waluty krajowej.</w:t>
      </w:r>
    </w:p>
    <w:p w:rsidR="00B35235" w:rsidRPr="00DD1822" w:rsidRDefault="00B35235" w:rsidP="00B35235">
      <w:pPr>
        <w:pStyle w:val="Text1"/>
        <w:rPr>
          <w:noProof/>
        </w:rPr>
      </w:pPr>
      <w:r w:rsidRPr="00DD1822">
        <w:rPr>
          <w:noProof/>
        </w:rPr>
        <w:t>W wymienionym artykule dodaje się Chorwację, a w tabeli zamieszczonej w załączniku do rozporządzenia (WE) nr 974/98 dodaje się następujące odpowiednie dane dotyczące tego państwa członkowskiego, w porządku protokolarnym.</w:t>
      </w:r>
    </w:p>
    <w:tbl>
      <w:tblPr>
        <w:tblW w:w="6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521"/>
        <w:gridCol w:w="1695"/>
        <w:gridCol w:w="1809"/>
      </w:tblGrid>
      <w:tr w:rsidR="00B35235" w:rsidRPr="00DD1822" w:rsidTr="00E52664">
        <w:trPr>
          <w:jc w:val="center"/>
        </w:trPr>
        <w:tc>
          <w:tcPr>
            <w:tcW w:w="1521" w:type="dxa"/>
          </w:tcPr>
          <w:p w:rsidR="00B35235" w:rsidRPr="00DD1822" w:rsidRDefault="00B35235" w:rsidP="00E52664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DD1822">
              <w:rPr>
                <w:noProof/>
                <w:sz w:val="16"/>
              </w:rPr>
              <w:t>Państwo członkowskie</w:t>
            </w:r>
          </w:p>
        </w:tc>
        <w:tc>
          <w:tcPr>
            <w:tcW w:w="1521" w:type="dxa"/>
          </w:tcPr>
          <w:p w:rsidR="00B35235" w:rsidRPr="00DD1822" w:rsidRDefault="00B35235" w:rsidP="00E52664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DD1822">
              <w:rPr>
                <w:noProof/>
                <w:sz w:val="16"/>
              </w:rPr>
              <w:t>Data przyjęcia euro</w:t>
            </w:r>
          </w:p>
        </w:tc>
        <w:tc>
          <w:tcPr>
            <w:tcW w:w="1695" w:type="dxa"/>
          </w:tcPr>
          <w:p w:rsidR="00B35235" w:rsidRPr="00DD1822" w:rsidRDefault="00B35235" w:rsidP="00E52664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DD1822">
              <w:rPr>
                <w:noProof/>
                <w:sz w:val="16"/>
              </w:rPr>
              <w:t>Data wymiany pieniądza gotówkowego</w:t>
            </w:r>
          </w:p>
        </w:tc>
        <w:tc>
          <w:tcPr>
            <w:tcW w:w="1809" w:type="dxa"/>
          </w:tcPr>
          <w:p w:rsidR="00B35235" w:rsidRPr="00DD1822" w:rsidRDefault="00B35235" w:rsidP="00E52664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DD1822">
              <w:rPr>
                <w:noProof/>
                <w:sz w:val="16"/>
              </w:rPr>
              <w:t>Państwo członkowskie korzystające z okresu stopniowego wycofywania</w:t>
            </w:r>
          </w:p>
        </w:tc>
      </w:tr>
      <w:tr w:rsidR="00B35235" w:rsidRPr="00DD1822" w:rsidTr="00E52664">
        <w:trPr>
          <w:jc w:val="center"/>
        </w:trPr>
        <w:tc>
          <w:tcPr>
            <w:tcW w:w="1521" w:type="dxa"/>
          </w:tcPr>
          <w:p w:rsidR="00B35235" w:rsidRPr="00DD1822" w:rsidRDefault="00B35235" w:rsidP="00E52664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DD1822">
              <w:rPr>
                <w:noProof/>
                <w:sz w:val="16"/>
              </w:rPr>
              <w:t>„Chorwacja</w:t>
            </w:r>
          </w:p>
        </w:tc>
        <w:tc>
          <w:tcPr>
            <w:tcW w:w="1521" w:type="dxa"/>
          </w:tcPr>
          <w:p w:rsidR="00B35235" w:rsidRPr="00DD1822" w:rsidRDefault="00B35235" w:rsidP="00E52664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DD1822">
              <w:rPr>
                <w:noProof/>
                <w:sz w:val="16"/>
              </w:rPr>
              <w:t>1 stycznia 2023 r.</w:t>
            </w:r>
          </w:p>
        </w:tc>
        <w:tc>
          <w:tcPr>
            <w:tcW w:w="1695" w:type="dxa"/>
          </w:tcPr>
          <w:p w:rsidR="00B35235" w:rsidRPr="00DD1822" w:rsidRDefault="00B35235" w:rsidP="00E52664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DD1822">
              <w:rPr>
                <w:noProof/>
                <w:sz w:val="16"/>
              </w:rPr>
              <w:t>1 stycznia 2023 r.</w:t>
            </w:r>
          </w:p>
        </w:tc>
        <w:tc>
          <w:tcPr>
            <w:tcW w:w="1809" w:type="dxa"/>
          </w:tcPr>
          <w:p w:rsidR="00B35235" w:rsidRPr="00DD1822" w:rsidRDefault="00B35235" w:rsidP="00E52664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 w:rsidRPr="00DD1822">
              <w:rPr>
                <w:noProof/>
                <w:sz w:val="16"/>
              </w:rPr>
              <w:t>Nie”.</w:t>
            </w:r>
          </w:p>
        </w:tc>
      </w:tr>
    </w:tbl>
    <w:p w:rsidR="00B35235" w:rsidRPr="00DD1822" w:rsidRDefault="00B35235" w:rsidP="00B35235">
      <w:pPr>
        <w:pStyle w:val="Text1"/>
        <w:rPr>
          <w:noProof/>
        </w:rPr>
      </w:pPr>
    </w:p>
    <w:p w:rsidR="00B35235" w:rsidRPr="00DD1822" w:rsidRDefault="00920EBE" w:rsidP="00920EBE">
      <w:pPr>
        <w:pStyle w:val="ManualHeading2"/>
        <w:rPr>
          <w:noProof/>
        </w:rPr>
      </w:pPr>
      <w:r w:rsidRPr="00920EBE">
        <w:t>5.2.</w:t>
      </w:r>
      <w:r w:rsidRPr="00920EBE">
        <w:tab/>
      </w:r>
      <w:r w:rsidR="00B35235" w:rsidRPr="00DD1822">
        <w:rPr>
          <w:noProof/>
        </w:rPr>
        <w:t>Artykuł 2</w:t>
      </w:r>
    </w:p>
    <w:p w:rsidR="0067565A" w:rsidRPr="00DD1822" w:rsidRDefault="00B35235" w:rsidP="00B35235">
      <w:pPr>
        <w:rPr>
          <w:noProof/>
        </w:rPr>
      </w:pPr>
      <w:r w:rsidRPr="00DD1822">
        <w:rPr>
          <w:noProof/>
        </w:rPr>
        <w:t>Artykuł ten określa datę wejścia w życie omawianego rozporządzenia na dzień 1 stycznia 2023 r., co ma na celu zapewnienie, by zaczęło ono obowiązywać jednocześnie z innymi aktami Rady dotyczącymi przyjęcia euro przez Chorwację, określającymi datę uchylenia derogacji i datę wejścia w życie kursu wymiany kuny chorwackiej.</w:t>
      </w:r>
    </w:p>
    <w:p w:rsidR="00414613" w:rsidRPr="00DD1822" w:rsidRDefault="00414613" w:rsidP="00414613">
      <w:pPr>
        <w:rPr>
          <w:noProof/>
        </w:rPr>
        <w:sectPr w:rsidR="00414613" w:rsidRPr="00DD1822" w:rsidSect="003F4950">
          <w:footerReference w:type="default" r:id="rId10"/>
          <w:footerReference w:type="first" r:id="rId11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E461A4" w:rsidRDefault="00E461A4" w:rsidP="00E461A4">
      <w:pPr>
        <w:pStyle w:val="Rfrenceinterinstitutionnelle"/>
        <w:rPr>
          <w:noProof/>
        </w:rPr>
      </w:pPr>
      <w:r w:rsidRPr="00E461A4">
        <w:t>2022/0178 (NLE)</w:t>
      </w:r>
    </w:p>
    <w:p w:rsidR="00414613" w:rsidRPr="00DD1822" w:rsidRDefault="00DD1822" w:rsidP="00DD1822">
      <w:pPr>
        <w:pStyle w:val="Statut"/>
        <w:rPr>
          <w:noProof/>
        </w:rPr>
      </w:pPr>
      <w:r w:rsidRPr="00DD1822">
        <w:rPr>
          <w:noProof/>
        </w:rPr>
        <w:t>Wniosek</w:t>
      </w:r>
    </w:p>
    <w:p w:rsidR="00414613" w:rsidRPr="00DD1822" w:rsidRDefault="00DD1822" w:rsidP="00DD1822">
      <w:pPr>
        <w:pStyle w:val="Typedudocument"/>
        <w:rPr>
          <w:noProof/>
        </w:rPr>
      </w:pPr>
      <w:r w:rsidRPr="00DD1822">
        <w:rPr>
          <w:noProof/>
        </w:rPr>
        <w:t>ROZPORZĄDZENIE RADY</w:t>
      </w:r>
    </w:p>
    <w:p w:rsidR="00414613" w:rsidRPr="00DD1822" w:rsidRDefault="00DD1822" w:rsidP="00DD1822">
      <w:pPr>
        <w:pStyle w:val="Titreobjet"/>
        <w:rPr>
          <w:noProof/>
        </w:rPr>
      </w:pPr>
      <w:r w:rsidRPr="00DD1822">
        <w:rPr>
          <w:noProof/>
        </w:rPr>
        <w:t>zmieniające rozporządzenie (WE) nr 974/98 w odniesieniu do wprowadzenia euro w Chorwacji</w:t>
      </w:r>
    </w:p>
    <w:p w:rsidR="00414613" w:rsidRPr="00DD1822" w:rsidRDefault="00414613">
      <w:pPr>
        <w:pStyle w:val="Institutionquiagit"/>
        <w:rPr>
          <w:noProof/>
        </w:rPr>
      </w:pPr>
      <w:r w:rsidRPr="00DD1822">
        <w:rPr>
          <w:noProof/>
        </w:rPr>
        <w:t>RADA UNII EUROPEJSKIEJ,</w:t>
      </w:r>
    </w:p>
    <w:p w:rsidR="00414613" w:rsidRPr="00DD1822" w:rsidRDefault="00414613">
      <w:pPr>
        <w:rPr>
          <w:noProof/>
        </w:rPr>
      </w:pPr>
      <w:r w:rsidRPr="00DD1822">
        <w:rPr>
          <w:noProof/>
        </w:rPr>
        <w:t>uwzględniając Traktat o funkcjonowaniu Unii Europejskiej, w szczególności jego art. 140 ust. 3,</w:t>
      </w:r>
    </w:p>
    <w:p w:rsidR="00414613" w:rsidRPr="00DD1822" w:rsidRDefault="00414613">
      <w:pPr>
        <w:rPr>
          <w:noProof/>
        </w:rPr>
      </w:pPr>
      <w:r w:rsidRPr="00DD1822">
        <w:rPr>
          <w:noProof/>
        </w:rPr>
        <w:t>uwzględniając wniosek Komisji Europejskiej,</w:t>
      </w:r>
    </w:p>
    <w:p w:rsidR="00414613" w:rsidRPr="00DD1822" w:rsidRDefault="00414613">
      <w:pPr>
        <w:rPr>
          <w:noProof/>
        </w:rPr>
      </w:pPr>
      <w:r w:rsidRPr="00DD1822">
        <w:rPr>
          <w:noProof/>
        </w:rPr>
        <w:t>uwzględniając opinię Europejskiego Banku Centralnego,</w:t>
      </w:r>
    </w:p>
    <w:p w:rsidR="00414613" w:rsidRPr="00DD1822" w:rsidRDefault="00414613">
      <w:pPr>
        <w:rPr>
          <w:noProof/>
        </w:rPr>
      </w:pPr>
      <w:r w:rsidRPr="00DD1822">
        <w:rPr>
          <w:noProof/>
        </w:rPr>
        <w:t>a także mając na uwadze, co następuje:</w:t>
      </w:r>
    </w:p>
    <w:p w:rsidR="00414613" w:rsidRPr="00DD1822" w:rsidRDefault="00920EBE" w:rsidP="00920EBE">
      <w:pPr>
        <w:pStyle w:val="ManualConsidrant"/>
        <w:rPr>
          <w:noProof/>
        </w:rPr>
      </w:pPr>
      <w:r w:rsidRPr="00920EBE">
        <w:t>(1)</w:t>
      </w:r>
      <w:r w:rsidRPr="00920EBE">
        <w:tab/>
      </w:r>
      <w:r w:rsidR="00414613" w:rsidRPr="00DD1822">
        <w:rPr>
          <w:noProof/>
        </w:rPr>
        <w:t>Rozporządzenie Rady (WE) nr 974/98 (</w:t>
      </w:r>
      <w:r w:rsidR="00414613" w:rsidRPr="00DD1822">
        <w:rPr>
          <w:rStyle w:val="FootnoteReference"/>
          <w:noProof/>
        </w:rPr>
        <w:footnoteReference w:id="3"/>
      </w:r>
      <w:r w:rsidR="00414613" w:rsidRPr="00DD1822">
        <w:rPr>
          <w:noProof/>
        </w:rPr>
        <w:t>) przewiduje zastąpienie przez euro walut państw członkowskich, które spełniły warunki konieczne do przyjęcia euro z datą, kiedy Wspólnota rozpoczęła trzeci etap unii gospodarczej i walutowej.</w:t>
      </w:r>
    </w:p>
    <w:p w:rsidR="00414613" w:rsidRPr="00DD1822" w:rsidRDefault="00920EBE" w:rsidP="00920EBE">
      <w:pPr>
        <w:pStyle w:val="ManualConsidrant"/>
        <w:rPr>
          <w:noProof/>
        </w:rPr>
      </w:pPr>
      <w:r w:rsidRPr="00920EBE">
        <w:t>(2)</w:t>
      </w:r>
      <w:r w:rsidRPr="00920EBE">
        <w:tab/>
      </w:r>
      <w:r w:rsidR="00414613" w:rsidRPr="00DD1822">
        <w:rPr>
          <w:noProof/>
        </w:rPr>
        <w:t>Zgodnie z art. 5 Aktu przystąpienia z 2012 r. Chorwacja jest państwem członkowskim objętym derogacją w rozumieniu art. 139 ust. 1 Traktatu o funkcjonowaniu Unii Europejskiej („Traktat”).</w:t>
      </w:r>
    </w:p>
    <w:p w:rsidR="00414613" w:rsidRPr="00DD1822" w:rsidRDefault="00920EBE" w:rsidP="00920EBE">
      <w:pPr>
        <w:pStyle w:val="ManualConsidrant"/>
        <w:rPr>
          <w:noProof/>
        </w:rPr>
      </w:pPr>
      <w:r w:rsidRPr="00920EBE">
        <w:t>(3)</w:t>
      </w:r>
      <w:r w:rsidRPr="00920EBE">
        <w:tab/>
      </w:r>
      <w:r w:rsidR="00414613" w:rsidRPr="00DD1822">
        <w:rPr>
          <w:noProof/>
        </w:rPr>
        <w:t>Zgodnie z decyzją Rady 2022/.../UE z dnia ... ... 2022 r. w sprawie przyjęcia przez Chorwację euro w dniu 1 stycznia 2023 r. (</w:t>
      </w:r>
      <w:r w:rsidR="00414613" w:rsidRPr="00DD1822">
        <w:rPr>
          <w:rStyle w:val="FootnoteReference"/>
          <w:noProof/>
        </w:rPr>
        <w:footnoteReference w:id="4"/>
      </w:r>
      <w:r w:rsidR="00414613" w:rsidRPr="00DD1822">
        <w:rPr>
          <w:noProof/>
        </w:rPr>
        <w:t>), Chorwacja spełnia warunki konieczne do przyjęcia euro i należy uchylić derogację w stosunku do Chorwacji ze skutkiem od dnia 1 stycznia 2023 r.</w:t>
      </w:r>
    </w:p>
    <w:p w:rsidR="00414613" w:rsidRPr="00DD1822" w:rsidRDefault="00920EBE" w:rsidP="00920EBE">
      <w:pPr>
        <w:pStyle w:val="ManualConsidrant"/>
        <w:rPr>
          <w:noProof/>
        </w:rPr>
      </w:pPr>
      <w:r w:rsidRPr="00920EBE">
        <w:t>(4)</w:t>
      </w:r>
      <w:r w:rsidRPr="00920EBE">
        <w:tab/>
      </w:r>
      <w:r w:rsidR="00414613" w:rsidRPr="00DD1822">
        <w:rPr>
          <w:noProof/>
        </w:rPr>
        <w:t>Wprowadzenie euro w Chorwacji wymaga rozszerzenia na Chorwację obecnie obowiązujących przepisów dotyczących wprowadzenia euro, które są zawarte w rozporządzeniu (WE) nr 974/98.</w:t>
      </w:r>
    </w:p>
    <w:p w:rsidR="00414613" w:rsidRPr="00DD1822" w:rsidRDefault="00920EBE" w:rsidP="00920EBE">
      <w:pPr>
        <w:pStyle w:val="ManualConsidrant"/>
        <w:rPr>
          <w:noProof/>
        </w:rPr>
      </w:pPr>
      <w:r w:rsidRPr="00920EBE">
        <w:t>(5)</w:t>
      </w:r>
      <w:r w:rsidRPr="00920EBE">
        <w:tab/>
      </w:r>
      <w:r w:rsidR="005F1A87" w:rsidRPr="00DD1822">
        <w:rPr>
          <w:noProof/>
        </w:rPr>
        <w:t>W chorwackim planie wymiany waluty krajowej na euro określono, że banknoty i monety euro powinny stać się prawnym środkiem płatniczym w tym państwie członkowskim z dniem wprowadzenia euro jako waluty. Datą przyjęcia euro i datą wymiany pieniądza gotówkowego jest zatem dzień 1 stycznia 2023 r. Okres stopniowego wycofywania waluty krajowej nie powinien mieć zastosowania.</w:t>
      </w:r>
    </w:p>
    <w:p w:rsidR="00414613" w:rsidRPr="00DD1822" w:rsidRDefault="00920EBE" w:rsidP="00920EBE">
      <w:pPr>
        <w:pStyle w:val="ManualConsidrant"/>
        <w:rPr>
          <w:noProof/>
        </w:rPr>
      </w:pPr>
      <w:r w:rsidRPr="00920EBE">
        <w:t>(6)</w:t>
      </w:r>
      <w:r w:rsidRPr="00920EBE">
        <w:tab/>
      </w:r>
      <w:r w:rsidR="00414613" w:rsidRPr="00DD1822">
        <w:rPr>
          <w:noProof/>
        </w:rPr>
        <w:t>Należy zatem odpowiednio zmienić rozporządzenie (WE) nr 974/98,</w:t>
      </w:r>
    </w:p>
    <w:p w:rsidR="00414613" w:rsidRPr="00DD1822" w:rsidRDefault="00414613">
      <w:pPr>
        <w:pStyle w:val="Formuledadoption"/>
        <w:rPr>
          <w:noProof/>
        </w:rPr>
      </w:pPr>
      <w:r w:rsidRPr="00DD1822">
        <w:rPr>
          <w:noProof/>
        </w:rPr>
        <w:t>PRZYJMUJE NINIEJSZE ROZPORZĄDZENIE:</w:t>
      </w:r>
    </w:p>
    <w:p w:rsidR="00414613" w:rsidRPr="00DD1822" w:rsidRDefault="00414613">
      <w:pPr>
        <w:pStyle w:val="Titrearticle"/>
        <w:rPr>
          <w:noProof/>
        </w:rPr>
      </w:pPr>
      <w:r w:rsidRPr="00DD1822">
        <w:rPr>
          <w:noProof/>
        </w:rPr>
        <w:t>Artykuł 1</w:t>
      </w:r>
    </w:p>
    <w:p w:rsidR="00414613" w:rsidRPr="00DD1822" w:rsidRDefault="00805A9B" w:rsidP="00B91EB1">
      <w:pPr>
        <w:spacing w:after="240"/>
        <w:rPr>
          <w:noProof/>
        </w:rPr>
      </w:pPr>
      <w:bookmarkStart w:id="4" w:name="texte"/>
      <w:r w:rsidRPr="00DD1822">
        <w:rPr>
          <w:noProof/>
        </w:rPr>
        <w:t>W załączniku do rozporządzenia (WE) nr 974/98 wprowadza się zmiany poprzez dopisanie następującego rzędu w tabeli pomiędzy wpisami dla Francji i Irlandii:</w:t>
      </w:r>
    </w:p>
    <w:tbl>
      <w:tblPr>
        <w:tblW w:w="6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520"/>
        <w:gridCol w:w="1696"/>
        <w:gridCol w:w="1808"/>
      </w:tblGrid>
      <w:tr w:rsidR="00D13AC3" w:rsidRPr="00DD1822" w:rsidTr="00805A9B">
        <w:tc>
          <w:tcPr>
            <w:tcW w:w="1519" w:type="dxa"/>
          </w:tcPr>
          <w:p w:rsidR="00805A9B" w:rsidRPr="00DD1822" w:rsidRDefault="00805A9B" w:rsidP="00DC3ED2">
            <w:pPr>
              <w:rPr>
                <w:rFonts w:cs="Arial"/>
                <w:noProof/>
                <w:sz w:val="18"/>
                <w:szCs w:val="18"/>
              </w:rPr>
            </w:pPr>
            <w:r w:rsidRPr="00DD1822">
              <w:rPr>
                <w:noProof/>
                <w:sz w:val="18"/>
              </w:rPr>
              <w:t>„Chorwacja</w:t>
            </w:r>
          </w:p>
        </w:tc>
        <w:tc>
          <w:tcPr>
            <w:tcW w:w="1520" w:type="dxa"/>
          </w:tcPr>
          <w:p w:rsidR="00805A9B" w:rsidRPr="00DD1822" w:rsidRDefault="00805A9B" w:rsidP="00DC3ED2">
            <w:pPr>
              <w:rPr>
                <w:rFonts w:cs="Arial"/>
                <w:noProof/>
                <w:sz w:val="18"/>
                <w:szCs w:val="18"/>
              </w:rPr>
            </w:pPr>
            <w:r w:rsidRPr="00DD1822">
              <w:rPr>
                <w:noProof/>
                <w:sz w:val="18"/>
              </w:rPr>
              <w:t>1 stycznia 2023 r.</w:t>
            </w:r>
          </w:p>
        </w:tc>
        <w:tc>
          <w:tcPr>
            <w:tcW w:w="1696" w:type="dxa"/>
          </w:tcPr>
          <w:p w:rsidR="00805A9B" w:rsidRPr="00DD1822" w:rsidRDefault="00805A9B" w:rsidP="00DC3ED2">
            <w:pPr>
              <w:rPr>
                <w:rFonts w:cs="Arial"/>
                <w:noProof/>
                <w:sz w:val="18"/>
                <w:szCs w:val="18"/>
              </w:rPr>
            </w:pPr>
            <w:r w:rsidRPr="00DD1822">
              <w:rPr>
                <w:noProof/>
                <w:sz w:val="18"/>
              </w:rPr>
              <w:t>1 stycznia 2023 r.</w:t>
            </w:r>
          </w:p>
        </w:tc>
        <w:tc>
          <w:tcPr>
            <w:tcW w:w="1808" w:type="dxa"/>
          </w:tcPr>
          <w:p w:rsidR="00805A9B" w:rsidRPr="00DD1822" w:rsidRDefault="00805A9B" w:rsidP="00DC3ED2">
            <w:pPr>
              <w:rPr>
                <w:rFonts w:cs="Arial"/>
                <w:noProof/>
                <w:sz w:val="18"/>
                <w:szCs w:val="18"/>
                <w:highlight w:val="yellow"/>
              </w:rPr>
            </w:pPr>
            <w:r w:rsidRPr="00DD1822">
              <w:rPr>
                <w:noProof/>
                <w:sz w:val="18"/>
              </w:rPr>
              <w:t>Nie”.</w:t>
            </w:r>
          </w:p>
        </w:tc>
      </w:tr>
    </w:tbl>
    <w:bookmarkEnd w:id="4"/>
    <w:p w:rsidR="00414613" w:rsidRPr="00DD1822" w:rsidRDefault="00414613">
      <w:pPr>
        <w:pStyle w:val="Titrearticle"/>
        <w:rPr>
          <w:noProof/>
        </w:rPr>
      </w:pPr>
      <w:r w:rsidRPr="00DD1822">
        <w:rPr>
          <w:noProof/>
        </w:rPr>
        <w:t>Artykuł 2</w:t>
      </w:r>
    </w:p>
    <w:p w:rsidR="008E6595" w:rsidRPr="00DD1822" w:rsidRDefault="00414613" w:rsidP="008E6595">
      <w:pPr>
        <w:rPr>
          <w:noProof/>
        </w:rPr>
      </w:pPr>
      <w:r w:rsidRPr="00DD1822">
        <w:rPr>
          <w:noProof/>
        </w:rPr>
        <w:t>Niniejsze rozporządzenie wchodzi w życie z dniem 1 stycznia 2023 r.</w:t>
      </w:r>
    </w:p>
    <w:p w:rsidR="00414613" w:rsidRPr="00DD1822" w:rsidRDefault="00414613" w:rsidP="008E6595">
      <w:pPr>
        <w:pStyle w:val="Applicationdirecte"/>
        <w:rPr>
          <w:noProof/>
        </w:rPr>
      </w:pPr>
      <w:r w:rsidRPr="00DD1822">
        <w:rPr>
          <w:noProof/>
        </w:rPr>
        <w:t xml:space="preserve">Niniejsze rozporządzenie wiąże w całości i jest bezpośrednio stosowane we wszystkich państwach członkowskich. </w:t>
      </w:r>
    </w:p>
    <w:p w:rsidR="00414613" w:rsidRPr="00DD1822" w:rsidRDefault="008D5293" w:rsidP="00E14715">
      <w:pPr>
        <w:pStyle w:val="Fait"/>
        <w:rPr>
          <w:noProof/>
        </w:rPr>
      </w:pPr>
      <w:r w:rsidRPr="008D5293">
        <w:t xml:space="preserve">Sporządzono w Brukseli dnia </w:t>
      </w:r>
      <w:r w:rsidRPr="008D5293">
        <w:rPr>
          <w:rStyle w:val="Marker"/>
        </w:rPr>
        <w:t>[…]</w:t>
      </w:r>
      <w:r w:rsidRPr="008D5293">
        <w:t xml:space="preserve"> r.</w:t>
      </w:r>
    </w:p>
    <w:p w:rsidR="00414613" w:rsidRPr="00DD1822" w:rsidRDefault="00414613" w:rsidP="00E14715">
      <w:pPr>
        <w:pStyle w:val="Institutionquisigne"/>
        <w:rPr>
          <w:noProof/>
        </w:rPr>
      </w:pPr>
      <w:r w:rsidRPr="00DD1822">
        <w:rPr>
          <w:noProof/>
        </w:rPr>
        <w:tab/>
        <w:t>W imieniu Rady</w:t>
      </w:r>
    </w:p>
    <w:p w:rsidR="0048086E" w:rsidRPr="00DD1822" w:rsidRDefault="00414613" w:rsidP="00E14715">
      <w:pPr>
        <w:pStyle w:val="Personnequisigne"/>
        <w:keepNext/>
        <w:rPr>
          <w:noProof/>
        </w:rPr>
      </w:pPr>
      <w:r w:rsidRPr="00DD1822">
        <w:rPr>
          <w:noProof/>
        </w:rPr>
        <w:tab/>
        <w:t>Przewodniczący</w:t>
      </w:r>
    </w:p>
    <w:p w:rsidR="0048086E" w:rsidRPr="00DD1822" w:rsidRDefault="0048086E" w:rsidP="0048086E">
      <w:pPr>
        <w:pStyle w:val="Personnequisigne"/>
        <w:rPr>
          <w:noProof/>
        </w:rPr>
      </w:pPr>
    </w:p>
    <w:sectPr w:rsidR="0048086E" w:rsidRPr="00DD1822" w:rsidSect="003F4950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C3" w:rsidRPr="00DD1822" w:rsidRDefault="003360C3" w:rsidP="00414613">
      <w:pPr>
        <w:spacing w:before="0" w:after="0"/>
      </w:pPr>
      <w:r w:rsidRPr="00DD1822">
        <w:separator/>
      </w:r>
    </w:p>
  </w:endnote>
  <w:endnote w:type="continuationSeparator" w:id="0">
    <w:p w:rsidR="003360C3" w:rsidRPr="00DD1822" w:rsidRDefault="003360C3" w:rsidP="00414613">
      <w:pPr>
        <w:spacing w:before="0" w:after="0"/>
      </w:pPr>
      <w:r w:rsidRPr="00DD18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22" w:rsidRPr="003F4950" w:rsidRDefault="003F4950" w:rsidP="003F4950">
    <w:pPr>
      <w:pStyle w:val="Footer"/>
      <w:rPr>
        <w:rFonts w:ascii="Arial" w:hAnsi="Arial" w:cs="Arial"/>
        <w:b/>
        <w:sz w:val="48"/>
      </w:rPr>
    </w:pPr>
    <w:r w:rsidRPr="003F4950">
      <w:rPr>
        <w:rFonts w:ascii="Arial" w:hAnsi="Arial" w:cs="Arial"/>
        <w:b/>
        <w:sz w:val="48"/>
      </w:rPr>
      <w:t>PL</w:t>
    </w:r>
    <w:r w:rsidRPr="003F4950">
      <w:rPr>
        <w:rFonts w:ascii="Arial" w:hAnsi="Arial" w:cs="Arial"/>
        <w:b/>
        <w:sz w:val="48"/>
      </w:rPr>
      <w:tab/>
    </w:r>
    <w:r w:rsidRPr="003F4950">
      <w:rPr>
        <w:rFonts w:ascii="Arial" w:hAnsi="Arial" w:cs="Arial"/>
        <w:b/>
        <w:sz w:val="48"/>
      </w:rPr>
      <w:tab/>
    </w:r>
    <w:r w:rsidRPr="003F4950">
      <w:tab/>
    </w:r>
    <w:r w:rsidRPr="003F4950"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50" w:rsidRPr="003F4950" w:rsidRDefault="003F4950" w:rsidP="003F4950">
    <w:pPr>
      <w:pStyle w:val="Footer"/>
      <w:rPr>
        <w:rFonts w:ascii="Arial" w:hAnsi="Arial" w:cs="Arial"/>
        <w:b/>
        <w:sz w:val="48"/>
      </w:rPr>
    </w:pPr>
    <w:r w:rsidRPr="003F4950">
      <w:rPr>
        <w:rFonts w:ascii="Arial" w:hAnsi="Arial" w:cs="Arial"/>
        <w:b/>
        <w:sz w:val="48"/>
      </w:rPr>
      <w:t>PL</w:t>
    </w:r>
    <w:r w:rsidRPr="003F495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E14715">
      <w:rPr>
        <w:noProof/>
      </w:rPr>
      <w:t>5</w:t>
    </w:r>
    <w:r>
      <w:fldChar w:fldCharType="end"/>
    </w:r>
    <w:r>
      <w:tab/>
    </w:r>
    <w:r w:rsidRPr="003F4950">
      <w:tab/>
    </w:r>
    <w:r w:rsidRPr="003F4950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50" w:rsidRPr="003F4950" w:rsidRDefault="003F4950" w:rsidP="003F4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C3" w:rsidRPr="00DD1822" w:rsidRDefault="003360C3" w:rsidP="00414613">
      <w:pPr>
        <w:spacing w:before="0" w:after="0"/>
      </w:pPr>
      <w:r w:rsidRPr="00DD1822">
        <w:separator/>
      </w:r>
    </w:p>
  </w:footnote>
  <w:footnote w:type="continuationSeparator" w:id="0">
    <w:p w:rsidR="003360C3" w:rsidRPr="00DD1822" w:rsidRDefault="003360C3" w:rsidP="00414613">
      <w:pPr>
        <w:spacing w:before="0" w:after="0"/>
      </w:pPr>
      <w:r w:rsidRPr="00DD1822">
        <w:continuationSeparator/>
      </w:r>
    </w:p>
  </w:footnote>
  <w:footnote w:id="1">
    <w:p w:rsidR="00B35235" w:rsidRPr="00DD1822" w:rsidRDefault="00B35235" w:rsidP="00B35235">
      <w:pPr>
        <w:pStyle w:val="FootnoteText"/>
      </w:pPr>
      <w:r w:rsidRPr="00DD1822">
        <w:rPr>
          <w:rStyle w:val="FootnoteReference"/>
        </w:rPr>
        <w:footnoteRef/>
      </w:r>
      <w:r w:rsidRPr="00DD1822">
        <w:tab/>
        <w:t>Dz.U. L 139 z 11.5.1998, s. 1.</w:t>
      </w:r>
    </w:p>
  </w:footnote>
  <w:footnote w:id="2">
    <w:p w:rsidR="00B35235" w:rsidRPr="00DD1822" w:rsidRDefault="00B35235" w:rsidP="00B35235">
      <w:pPr>
        <w:pStyle w:val="FootnoteText"/>
      </w:pPr>
      <w:r w:rsidRPr="00DD1822">
        <w:rPr>
          <w:rStyle w:val="FootnoteReference"/>
        </w:rPr>
        <w:footnoteRef/>
      </w:r>
      <w:r w:rsidRPr="00DD1822">
        <w:tab/>
        <w:t>Zob. rozporządzenie Rady (WE) nr 2596/2000 z dnia 27 listopada 2000 r. zmieniające rozporządzenie Rady (WE) nr 974/98 w sprawie wprowadzenia euro (Dz.U. L 300 z 29.11.2000, s. 2).</w:t>
      </w:r>
    </w:p>
  </w:footnote>
  <w:footnote w:id="3">
    <w:p w:rsidR="00414613" w:rsidRPr="00DD1822" w:rsidRDefault="00414613" w:rsidP="00B91EB1">
      <w:pPr>
        <w:pStyle w:val="FootnoteText"/>
      </w:pPr>
      <w:r w:rsidRPr="00DD1822">
        <w:rPr>
          <w:rStyle w:val="FootnoteReference"/>
        </w:rPr>
        <w:footnoteRef/>
      </w:r>
      <w:r w:rsidRPr="00DD1822">
        <w:tab/>
        <w:t>Rozporządzenie Rady (WE) nr 974/98 z dnia 3 maja 1998 r. w sprawie wprowadzenia euro (Dz.U. L 139 z 11.5.1998, s. 1).</w:t>
      </w:r>
    </w:p>
  </w:footnote>
  <w:footnote w:id="4">
    <w:p w:rsidR="00414613" w:rsidRPr="00DD1822" w:rsidRDefault="00414613" w:rsidP="00B91EB1">
      <w:pPr>
        <w:pStyle w:val="FootnoteText"/>
      </w:pPr>
      <w:r w:rsidRPr="00DD1822">
        <w:rPr>
          <w:rStyle w:val="FootnoteReference"/>
        </w:rPr>
        <w:footnoteRef/>
      </w:r>
      <w:r w:rsidRPr="00DD1822">
        <w:tab/>
        <w:t>Dz.U. L […] z […], s. […].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DDD24D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7F4CF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94C8E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90767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B68E8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E0E65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FD0CA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4F62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2"/>
    <w:lvlOverride w:ilvl="0">
      <w:startOverride w:val="1"/>
    </w:lvlOverride>
  </w:num>
  <w:num w:numId="12">
    <w:abstractNumId w:val="19"/>
  </w:num>
  <w:num w:numId="13">
    <w:abstractNumId w:val="12"/>
  </w:num>
  <w:num w:numId="14">
    <w:abstractNumId w:val="21"/>
  </w:num>
  <w:num w:numId="15">
    <w:abstractNumId w:val="11"/>
  </w:num>
  <w:num w:numId="16">
    <w:abstractNumId w:val="13"/>
  </w:num>
  <w:num w:numId="17">
    <w:abstractNumId w:val="14"/>
  </w:num>
  <w:num w:numId="18">
    <w:abstractNumId w:val="9"/>
  </w:num>
  <w:num w:numId="19">
    <w:abstractNumId w:val="20"/>
  </w:num>
  <w:num w:numId="20">
    <w:abstractNumId w:val="8"/>
  </w:num>
  <w:num w:numId="21">
    <w:abstractNumId w:val="15"/>
  </w:num>
  <w:num w:numId="22">
    <w:abstractNumId w:val="17"/>
  </w:num>
  <w:num w:numId="23">
    <w:abstractNumId w:val="18"/>
  </w:num>
  <w:num w:numId="24">
    <w:abstractNumId w:val="10"/>
  </w:num>
  <w:num w:numId="25">
    <w:abstractNumId w:val="16"/>
  </w:num>
  <w:num w:numId="26">
    <w:abstractNumId w:val="22"/>
  </w:num>
  <w:num w:numId="27">
    <w:abstractNumId w:val="19"/>
  </w:num>
  <w:num w:numId="28">
    <w:abstractNumId w:val="12"/>
  </w:num>
  <w:num w:numId="29">
    <w:abstractNumId w:val="21"/>
  </w:num>
  <w:num w:numId="30">
    <w:abstractNumId w:val="11"/>
  </w:num>
  <w:num w:numId="31">
    <w:abstractNumId w:val="13"/>
  </w:num>
  <w:num w:numId="32">
    <w:abstractNumId w:val="14"/>
  </w:num>
  <w:num w:numId="33">
    <w:abstractNumId w:val="9"/>
  </w:num>
  <w:num w:numId="34">
    <w:abstractNumId w:val="20"/>
  </w:num>
  <w:num w:numId="35">
    <w:abstractNumId w:val="8"/>
  </w:num>
  <w:num w:numId="36">
    <w:abstractNumId w:val="15"/>
  </w:num>
  <w:num w:numId="37">
    <w:abstractNumId w:val="17"/>
  </w:num>
  <w:num w:numId="38">
    <w:abstractNumId w:val="18"/>
  </w:num>
  <w:num w:numId="39">
    <w:abstractNumId w:val="10"/>
  </w:num>
  <w:num w:numId="40">
    <w:abstractNumId w:val="16"/>
  </w:num>
  <w:num w:numId="41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425"/>
  <w:drawingGridHorizontalSpacing w:val="57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QCDateTime" w:val="2022-06-13 20:37:13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LinkedStyl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Result_UnknownFont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66385B28-E276-453C-B194-5765D434BD05"/>
    <w:docVar w:name="LW_COVERPAGE_TYPE" w:val="1"/>
    <w:docVar w:name="LW_CROSSREFERENCE" w:val="&lt;UNUSED&gt;"/>
    <w:docVar w:name="LW_DocType" w:val="COM"/>
    <w:docVar w:name="LW_EMISSION" w:val="1.6.2022"/>
    <w:docVar w:name="LW_EMISSION_ISODATE" w:val="2022-06-01"/>
    <w:docVar w:name="LW_EMISSION_LOCATION" w:val="BRX"/>
    <w:docVar w:name="LW_EMISSION_PREFIX" w:val="Bruksela, dnia "/>
    <w:docVar w:name="LW_EMISSION_SUFFIX" w:val=" r."/>
    <w:docVar w:name="LW_FAITA" w:val="Done at Brussels,"/>
    <w:docVar w:name="LW_ID_DOCMODEL" w:val="SJ-016"/>
    <w:docVar w:name="LW_ID_DOCSIGNATURE" w:val="SJ-016"/>
    <w:docVar w:name="LW_ID_DOCSTRUCTURE" w:val="COM/PL/ORG"/>
    <w:docVar w:name="LW_ID_DOCTYPE" w:val="SJ-016"/>
    <w:docVar w:name="LW_ID_STATUT" w:val="SJ-016"/>
    <w:docVar w:name="LW_INST.SIGNE" w:val="_x0009_For the Council"/>
    <w:docVar w:name="LW_INTERETEEE.CP" w:val="&lt;UNUSED&gt;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PERS.SIGNE" w:val="_x0009_The President"/>
    <w:docVar w:name="LW_REF.II.NEW.CP" w:val="NLE"/>
    <w:docVar w:name="LW_REF.II.NEW.CP_NUMBER" w:val="0178"/>
    <w:docVar w:name="LW_REF.II.NEW.CP_YEAR" w:val="2022"/>
    <w:docVar w:name="LW_REF.INST.NEW" w:val="COM"/>
    <w:docVar w:name="LW_REF.INST.NEW_ADOPTED" w:val="final"/>
    <w:docVar w:name="LW_REF.INST.NEW_TEXT" w:val="(2022) 28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Wniosek"/>
    <w:docVar w:name="LW_SUPERTITRE" w:val="&lt;UNUSED&gt;"/>
    <w:docVar w:name="LW_TITRE.OBJ.CP" w:val="zmieniające rozporządzenie (WE) nr 974/98 w odniesieniu do wprowadzenia euro w Chorwacji"/>
    <w:docVar w:name="LW_TYPE.DOC.CP" w:val="ROZPORZĄDZENIE RADY"/>
    <w:docVar w:name="LwApiVersions" w:val="LW4CoDe 1.23.2.0; LW 8.0, Build 20211117"/>
  </w:docVars>
  <w:rsids>
    <w:rsidRoot w:val="00414613"/>
    <w:rsid w:val="00006CDB"/>
    <w:rsid w:val="0005353E"/>
    <w:rsid w:val="000724B9"/>
    <w:rsid w:val="000769C5"/>
    <w:rsid w:val="000A450C"/>
    <w:rsid w:val="000C5D6E"/>
    <w:rsid w:val="000D4AF7"/>
    <w:rsid w:val="000F03FA"/>
    <w:rsid w:val="000F1CFA"/>
    <w:rsid w:val="000F2033"/>
    <w:rsid w:val="001117C7"/>
    <w:rsid w:val="00133418"/>
    <w:rsid w:val="001A5BE0"/>
    <w:rsid w:val="001B3488"/>
    <w:rsid w:val="001B3A94"/>
    <w:rsid w:val="001B4B4E"/>
    <w:rsid w:val="001C4B0A"/>
    <w:rsid w:val="001D2E78"/>
    <w:rsid w:val="001E4D1A"/>
    <w:rsid w:val="001E5484"/>
    <w:rsid w:val="00212814"/>
    <w:rsid w:val="00230483"/>
    <w:rsid w:val="002512F2"/>
    <w:rsid w:val="00256270"/>
    <w:rsid w:val="00262F01"/>
    <w:rsid w:val="002776D7"/>
    <w:rsid w:val="00283180"/>
    <w:rsid w:val="00297140"/>
    <w:rsid w:val="002B373A"/>
    <w:rsid w:val="002C3AD3"/>
    <w:rsid w:val="002D059C"/>
    <w:rsid w:val="002D4558"/>
    <w:rsid w:val="002D5723"/>
    <w:rsid w:val="002E1A5B"/>
    <w:rsid w:val="002F7E47"/>
    <w:rsid w:val="00300DF9"/>
    <w:rsid w:val="00324168"/>
    <w:rsid w:val="003360C3"/>
    <w:rsid w:val="00336DA5"/>
    <w:rsid w:val="0035185F"/>
    <w:rsid w:val="003528E6"/>
    <w:rsid w:val="0035332F"/>
    <w:rsid w:val="00354564"/>
    <w:rsid w:val="003828BA"/>
    <w:rsid w:val="0038661C"/>
    <w:rsid w:val="003942EC"/>
    <w:rsid w:val="003A3F89"/>
    <w:rsid w:val="003B1407"/>
    <w:rsid w:val="003B73A9"/>
    <w:rsid w:val="003C70AA"/>
    <w:rsid w:val="003D6EDC"/>
    <w:rsid w:val="003F3D65"/>
    <w:rsid w:val="003F4950"/>
    <w:rsid w:val="00414613"/>
    <w:rsid w:val="0041529B"/>
    <w:rsid w:val="004317EF"/>
    <w:rsid w:val="00431D7B"/>
    <w:rsid w:val="0043404A"/>
    <w:rsid w:val="00435732"/>
    <w:rsid w:val="004379E8"/>
    <w:rsid w:val="00440765"/>
    <w:rsid w:val="004413D3"/>
    <w:rsid w:val="00452242"/>
    <w:rsid w:val="0048086E"/>
    <w:rsid w:val="00494E0A"/>
    <w:rsid w:val="004951B1"/>
    <w:rsid w:val="004C1FA8"/>
    <w:rsid w:val="004C4FE1"/>
    <w:rsid w:val="004D1A88"/>
    <w:rsid w:val="004F348F"/>
    <w:rsid w:val="00500D22"/>
    <w:rsid w:val="005026AA"/>
    <w:rsid w:val="00504383"/>
    <w:rsid w:val="00514257"/>
    <w:rsid w:val="00517FFC"/>
    <w:rsid w:val="005231DA"/>
    <w:rsid w:val="0053037C"/>
    <w:rsid w:val="0054273D"/>
    <w:rsid w:val="00553F6C"/>
    <w:rsid w:val="005563A8"/>
    <w:rsid w:val="005778E4"/>
    <w:rsid w:val="0059199E"/>
    <w:rsid w:val="00597919"/>
    <w:rsid w:val="005A34C5"/>
    <w:rsid w:val="005B1504"/>
    <w:rsid w:val="005B4BA0"/>
    <w:rsid w:val="005C2847"/>
    <w:rsid w:val="005D2998"/>
    <w:rsid w:val="005D46E3"/>
    <w:rsid w:val="005F1A87"/>
    <w:rsid w:val="005F57F1"/>
    <w:rsid w:val="00610465"/>
    <w:rsid w:val="00615488"/>
    <w:rsid w:val="00620A9E"/>
    <w:rsid w:val="00627999"/>
    <w:rsid w:val="00661E6C"/>
    <w:rsid w:val="00673F9E"/>
    <w:rsid w:val="0067565A"/>
    <w:rsid w:val="00693B27"/>
    <w:rsid w:val="006945BE"/>
    <w:rsid w:val="00697315"/>
    <w:rsid w:val="006C1681"/>
    <w:rsid w:val="006F4E1F"/>
    <w:rsid w:val="007167FF"/>
    <w:rsid w:val="00724CB1"/>
    <w:rsid w:val="00754F4C"/>
    <w:rsid w:val="007659B6"/>
    <w:rsid w:val="00774D8D"/>
    <w:rsid w:val="0077684D"/>
    <w:rsid w:val="007810BF"/>
    <w:rsid w:val="007B1574"/>
    <w:rsid w:val="007C181E"/>
    <w:rsid w:val="0080583E"/>
    <w:rsid w:val="00805A9B"/>
    <w:rsid w:val="0084189E"/>
    <w:rsid w:val="00843978"/>
    <w:rsid w:val="00853DDB"/>
    <w:rsid w:val="00864642"/>
    <w:rsid w:val="00876B67"/>
    <w:rsid w:val="00877E78"/>
    <w:rsid w:val="008D37D8"/>
    <w:rsid w:val="008D5293"/>
    <w:rsid w:val="008D6804"/>
    <w:rsid w:val="008E6595"/>
    <w:rsid w:val="00915EF7"/>
    <w:rsid w:val="00920EBE"/>
    <w:rsid w:val="009251B1"/>
    <w:rsid w:val="00937E78"/>
    <w:rsid w:val="00941F1D"/>
    <w:rsid w:val="00957ED7"/>
    <w:rsid w:val="00967D95"/>
    <w:rsid w:val="00981342"/>
    <w:rsid w:val="009A7080"/>
    <w:rsid w:val="009D0040"/>
    <w:rsid w:val="009D7964"/>
    <w:rsid w:val="009F0665"/>
    <w:rsid w:val="009F2412"/>
    <w:rsid w:val="00A06A7D"/>
    <w:rsid w:val="00A35572"/>
    <w:rsid w:val="00A5270F"/>
    <w:rsid w:val="00A76D4A"/>
    <w:rsid w:val="00A96CA6"/>
    <w:rsid w:val="00AA5D6D"/>
    <w:rsid w:val="00AB1211"/>
    <w:rsid w:val="00AB1D97"/>
    <w:rsid w:val="00AB527A"/>
    <w:rsid w:val="00AC2F9B"/>
    <w:rsid w:val="00AD5D8F"/>
    <w:rsid w:val="00B177EC"/>
    <w:rsid w:val="00B30548"/>
    <w:rsid w:val="00B35235"/>
    <w:rsid w:val="00B5141C"/>
    <w:rsid w:val="00B65195"/>
    <w:rsid w:val="00B72D8F"/>
    <w:rsid w:val="00B74E84"/>
    <w:rsid w:val="00B91A86"/>
    <w:rsid w:val="00B91EB1"/>
    <w:rsid w:val="00BA76C1"/>
    <w:rsid w:val="00BB0B40"/>
    <w:rsid w:val="00BC34BE"/>
    <w:rsid w:val="00BC4CDC"/>
    <w:rsid w:val="00BE0B08"/>
    <w:rsid w:val="00BE2217"/>
    <w:rsid w:val="00BE3FD0"/>
    <w:rsid w:val="00BF0193"/>
    <w:rsid w:val="00BF6DF1"/>
    <w:rsid w:val="00C20C1D"/>
    <w:rsid w:val="00C21D87"/>
    <w:rsid w:val="00C4796C"/>
    <w:rsid w:val="00C63BF0"/>
    <w:rsid w:val="00CA7C8D"/>
    <w:rsid w:val="00CB33C0"/>
    <w:rsid w:val="00CD6948"/>
    <w:rsid w:val="00CF1A22"/>
    <w:rsid w:val="00CF1B78"/>
    <w:rsid w:val="00CF73B5"/>
    <w:rsid w:val="00D01D44"/>
    <w:rsid w:val="00D13AC3"/>
    <w:rsid w:val="00D20AE9"/>
    <w:rsid w:val="00D216E1"/>
    <w:rsid w:val="00D319FB"/>
    <w:rsid w:val="00D4293B"/>
    <w:rsid w:val="00D65572"/>
    <w:rsid w:val="00D7073F"/>
    <w:rsid w:val="00D83023"/>
    <w:rsid w:val="00D8303D"/>
    <w:rsid w:val="00D862B8"/>
    <w:rsid w:val="00DA5BC3"/>
    <w:rsid w:val="00DB7B65"/>
    <w:rsid w:val="00DC3ED2"/>
    <w:rsid w:val="00DD1822"/>
    <w:rsid w:val="00DE7148"/>
    <w:rsid w:val="00DE7DF5"/>
    <w:rsid w:val="00DF0FB0"/>
    <w:rsid w:val="00E10A92"/>
    <w:rsid w:val="00E1460B"/>
    <w:rsid w:val="00E14715"/>
    <w:rsid w:val="00E40EA9"/>
    <w:rsid w:val="00E461A4"/>
    <w:rsid w:val="00E47845"/>
    <w:rsid w:val="00E47947"/>
    <w:rsid w:val="00E74031"/>
    <w:rsid w:val="00E85246"/>
    <w:rsid w:val="00E95543"/>
    <w:rsid w:val="00ED19B8"/>
    <w:rsid w:val="00ED7D53"/>
    <w:rsid w:val="00ED7E79"/>
    <w:rsid w:val="00ED7FB7"/>
    <w:rsid w:val="00EE094C"/>
    <w:rsid w:val="00EF0525"/>
    <w:rsid w:val="00F0751C"/>
    <w:rsid w:val="00F1661F"/>
    <w:rsid w:val="00F54769"/>
    <w:rsid w:val="00F62F4D"/>
    <w:rsid w:val="00F637C1"/>
    <w:rsid w:val="00F83709"/>
    <w:rsid w:val="00FA1376"/>
    <w:rsid w:val="00FA14C1"/>
    <w:rsid w:val="00FB4F7B"/>
    <w:rsid w:val="00FC6559"/>
    <w:rsid w:val="00FD1B54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39A85C96-C82E-490D-9B80-7A72E8DB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rsid w:val="00517205"/>
    <w:pPr>
      <w:keepNext/>
      <w:numPr>
        <w:numId w:val="3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517205"/>
    <w:pPr>
      <w:keepNext/>
      <w:numPr>
        <w:ilvl w:val="1"/>
        <w:numId w:val="3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517205"/>
    <w:pPr>
      <w:keepNext/>
      <w:numPr>
        <w:ilvl w:val="2"/>
        <w:numId w:val="3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517205"/>
    <w:pPr>
      <w:keepNext/>
      <w:numPr>
        <w:ilvl w:val="3"/>
        <w:numId w:val="34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517205"/>
    <w:pPr>
      <w:keepNext/>
      <w:numPr>
        <w:ilvl w:val="4"/>
        <w:numId w:val="3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517205"/>
    <w:pPr>
      <w:keepNext/>
      <w:numPr>
        <w:ilvl w:val="5"/>
        <w:numId w:val="34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517205"/>
    <w:pPr>
      <w:keepNext/>
      <w:numPr>
        <w:ilvl w:val="6"/>
        <w:numId w:val="34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5A34C5"/>
    <w:rPr>
      <w:b/>
      <w:bCs/>
      <w:sz w:val="20"/>
    </w:rPr>
  </w:style>
  <w:style w:type="paragraph" w:styleId="TableofFigures">
    <w:name w:val="table of figures"/>
    <w:basedOn w:val="Normal"/>
    <w:next w:val="Normal"/>
    <w:rsid w:val="005A34C5"/>
  </w:style>
  <w:style w:type="paragraph" w:styleId="ListNumber">
    <w:name w:val="List Number"/>
    <w:basedOn w:val="Normal"/>
    <w:rsid w:val="00414613"/>
    <w:pPr>
      <w:numPr>
        <w:numId w:val="1"/>
      </w:numPr>
      <w:contextualSpacing/>
    </w:pPr>
  </w:style>
  <w:style w:type="paragraph" w:styleId="ListNumber2">
    <w:name w:val="List Number 2"/>
    <w:basedOn w:val="Normal"/>
    <w:rsid w:val="00414613"/>
    <w:pPr>
      <w:numPr>
        <w:numId w:val="2"/>
      </w:numPr>
      <w:contextualSpacing/>
    </w:pPr>
  </w:style>
  <w:style w:type="paragraph" w:styleId="ListNumber3">
    <w:name w:val="List Number 3"/>
    <w:basedOn w:val="Normal"/>
    <w:rsid w:val="00414613"/>
    <w:pPr>
      <w:numPr>
        <w:numId w:val="3"/>
      </w:numPr>
      <w:contextualSpacing/>
    </w:pPr>
  </w:style>
  <w:style w:type="paragraph" w:styleId="ListNumber4">
    <w:name w:val="List Number 4"/>
    <w:basedOn w:val="Normal"/>
    <w:rsid w:val="00414613"/>
    <w:pPr>
      <w:numPr>
        <w:numId w:val="4"/>
      </w:numPr>
      <w:contextualSpacing/>
    </w:pPr>
  </w:style>
  <w:style w:type="paragraph" w:styleId="ListBullet">
    <w:name w:val="List Bullet"/>
    <w:basedOn w:val="Normal"/>
    <w:rsid w:val="00414613"/>
    <w:pPr>
      <w:numPr>
        <w:numId w:val="5"/>
      </w:numPr>
      <w:contextualSpacing/>
    </w:pPr>
  </w:style>
  <w:style w:type="paragraph" w:styleId="ListBullet2">
    <w:name w:val="List Bullet 2"/>
    <w:basedOn w:val="Normal"/>
    <w:rsid w:val="00414613"/>
    <w:pPr>
      <w:numPr>
        <w:numId w:val="6"/>
      </w:numPr>
      <w:contextualSpacing/>
    </w:pPr>
  </w:style>
  <w:style w:type="paragraph" w:styleId="ListBullet3">
    <w:name w:val="List Bullet 3"/>
    <w:basedOn w:val="Normal"/>
    <w:rsid w:val="00414613"/>
    <w:pPr>
      <w:numPr>
        <w:numId w:val="7"/>
      </w:numPr>
      <w:contextualSpacing/>
    </w:pPr>
  </w:style>
  <w:style w:type="paragraph" w:styleId="ListBullet4">
    <w:name w:val="List Bullet 4"/>
    <w:basedOn w:val="Normal"/>
    <w:rsid w:val="00414613"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rsid w:val="009D79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796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F637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7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37C1"/>
  </w:style>
  <w:style w:type="paragraph" w:styleId="CommentSubject">
    <w:name w:val="annotation subject"/>
    <w:basedOn w:val="CommentText"/>
    <w:next w:val="CommentText"/>
    <w:link w:val="CommentSubjectChar"/>
    <w:rsid w:val="00F637C1"/>
    <w:rPr>
      <w:b/>
      <w:bCs/>
    </w:rPr>
  </w:style>
  <w:style w:type="character" w:customStyle="1" w:styleId="CommentSubjectChar">
    <w:name w:val="Comment Subject Char"/>
    <w:link w:val="CommentSubject"/>
    <w:rsid w:val="00F637C1"/>
    <w:rPr>
      <w:b/>
      <w:bCs/>
    </w:rPr>
  </w:style>
  <w:style w:type="character" w:styleId="Hyperlink">
    <w:name w:val="Hyperlink"/>
    <w:rsid w:val="00F637C1"/>
    <w:rPr>
      <w:color w:val="0000FF"/>
      <w:u w:val="single"/>
    </w:rPr>
  </w:style>
  <w:style w:type="paragraph" w:customStyle="1" w:styleId="Sous-titreobjet">
    <w:name w:val="Sous-titre objet"/>
    <w:basedOn w:val="Normal"/>
    <w:rsid w:val="007D53B6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  <w:rsid w:val="007D53B6"/>
  </w:style>
  <w:style w:type="paragraph" w:styleId="Header">
    <w:name w:val="header"/>
    <w:basedOn w:val="Normal"/>
    <w:link w:val="HeaderChar"/>
    <w:uiPriority w:val="99"/>
    <w:unhideWhenUsed/>
    <w:rsid w:val="003F4950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3F4950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3F495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3F4950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7205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7205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17205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205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205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205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205"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205"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205"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17205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3F4950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3F495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517205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3F495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3F4950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3F495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517205"/>
    <w:pPr>
      <w:ind w:left="850"/>
    </w:pPr>
  </w:style>
  <w:style w:type="paragraph" w:customStyle="1" w:styleId="Text2">
    <w:name w:val="Text 2"/>
    <w:basedOn w:val="Normal"/>
    <w:rsid w:val="00517205"/>
    <w:pPr>
      <w:ind w:left="1417"/>
    </w:pPr>
  </w:style>
  <w:style w:type="paragraph" w:customStyle="1" w:styleId="Text3">
    <w:name w:val="Text 3"/>
    <w:basedOn w:val="Normal"/>
    <w:rsid w:val="00517205"/>
    <w:pPr>
      <w:ind w:left="1984"/>
    </w:pPr>
  </w:style>
  <w:style w:type="paragraph" w:customStyle="1" w:styleId="Text4">
    <w:name w:val="Text 4"/>
    <w:basedOn w:val="Normal"/>
    <w:rsid w:val="00517205"/>
    <w:pPr>
      <w:ind w:left="2551"/>
    </w:pPr>
  </w:style>
  <w:style w:type="paragraph" w:customStyle="1" w:styleId="Text5">
    <w:name w:val="Text 5"/>
    <w:basedOn w:val="Normal"/>
    <w:rsid w:val="00517205"/>
    <w:pPr>
      <w:ind w:left="3118"/>
    </w:pPr>
  </w:style>
  <w:style w:type="paragraph" w:customStyle="1" w:styleId="Text6">
    <w:name w:val="Text 6"/>
    <w:basedOn w:val="Normal"/>
    <w:rsid w:val="00517205"/>
    <w:pPr>
      <w:ind w:left="3685"/>
    </w:pPr>
  </w:style>
  <w:style w:type="paragraph" w:customStyle="1" w:styleId="NormalCentered">
    <w:name w:val="Normal Centered"/>
    <w:basedOn w:val="Normal"/>
    <w:rsid w:val="00517205"/>
    <w:pPr>
      <w:jc w:val="center"/>
    </w:pPr>
  </w:style>
  <w:style w:type="paragraph" w:customStyle="1" w:styleId="NormalLeft">
    <w:name w:val="Normal Left"/>
    <w:basedOn w:val="Normal"/>
    <w:rsid w:val="00517205"/>
    <w:pPr>
      <w:jc w:val="left"/>
    </w:pPr>
  </w:style>
  <w:style w:type="paragraph" w:customStyle="1" w:styleId="NormalRight">
    <w:name w:val="Normal Right"/>
    <w:basedOn w:val="Normal"/>
    <w:rsid w:val="00517205"/>
    <w:pPr>
      <w:jc w:val="right"/>
    </w:pPr>
  </w:style>
  <w:style w:type="paragraph" w:customStyle="1" w:styleId="QuotedText">
    <w:name w:val="Quoted Text"/>
    <w:basedOn w:val="Normal"/>
    <w:rsid w:val="00517205"/>
    <w:pPr>
      <w:ind w:left="1417"/>
    </w:pPr>
  </w:style>
  <w:style w:type="paragraph" w:customStyle="1" w:styleId="Point0">
    <w:name w:val="Point 0"/>
    <w:basedOn w:val="Normal"/>
    <w:rsid w:val="00517205"/>
    <w:pPr>
      <w:ind w:left="850" w:hanging="850"/>
    </w:pPr>
  </w:style>
  <w:style w:type="paragraph" w:customStyle="1" w:styleId="Point1">
    <w:name w:val="Point 1"/>
    <w:basedOn w:val="Normal"/>
    <w:rsid w:val="00517205"/>
    <w:pPr>
      <w:ind w:left="1417" w:hanging="567"/>
    </w:pPr>
  </w:style>
  <w:style w:type="paragraph" w:customStyle="1" w:styleId="Point2">
    <w:name w:val="Point 2"/>
    <w:basedOn w:val="Normal"/>
    <w:rsid w:val="00517205"/>
    <w:pPr>
      <w:ind w:left="1984" w:hanging="567"/>
    </w:pPr>
  </w:style>
  <w:style w:type="paragraph" w:customStyle="1" w:styleId="Point3">
    <w:name w:val="Point 3"/>
    <w:basedOn w:val="Normal"/>
    <w:rsid w:val="00517205"/>
    <w:pPr>
      <w:ind w:left="2551" w:hanging="567"/>
    </w:pPr>
  </w:style>
  <w:style w:type="paragraph" w:customStyle="1" w:styleId="Point4">
    <w:name w:val="Point 4"/>
    <w:basedOn w:val="Normal"/>
    <w:rsid w:val="00517205"/>
    <w:pPr>
      <w:ind w:left="3118" w:hanging="567"/>
    </w:pPr>
  </w:style>
  <w:style w:type="paragraph" w:customStyle="1" w:styleId="Point5">
    <w:name w:val="Point 5"/>
    <w:basedOn w:val="Normal"/>
    <w:rsid w:val="00517205"/>
    <w:pPr>
      <w:ind w:left="3685" w:hanging="567"/>
    </w:pPr>
  </w:style>
  <w:style w:type="paragraph" w:customStyle="1" w:styleId="Tiret0">
    <w:name w:val="Tiret 0"/>
    <w:basedOn w:val="Point0"/>
    <w:rsid w:val="00517205"/>
    <w:pPr>
      <w:numPr>
        <w:numId w:val="27"/>
      </w:numPr>
    </w:pPr>
  </w:style>
  <w:style w:type="paragraph" w:customStyle="1" w:styleId="Tiret1">
    <w:name w:val="Tiret 1"/>
    <w:basedOn w:val="Point1"/>
    <w:rsid w:val="00517205"/>
    <w:pPr>
      <w:numPr>
        <w:numId w:val="28"/>
      </w:numPr>
    </w:pPr>
  </w:style>
  <w:style w:type="paragraph" w:customStyle="1" w:styleId="Tiret2">
    <w:name w:val="Tiret 2"/>
    <w:basedOn w:val="Point2"/>
    <w:rsid w:val="00517205"/>
    <w:pPr>
      <w:numPr>
        <w:numId w:val="29"/>
      </w:numPr>
    </w:pPr>
  </w:style>
  <w:style w:type="paragraph" w:customStyle="1" w:styleId="Tiret3">
    <w:name w:val="Tiret 3"/>
    <w:basedOn w:val="Point3"/>
    <w:rsid w:val="00517205"/>
    <w:pPr>
      <w:numPr>
        <w:numId w:val="30"/>
      </w:numPr>
    </w:pPr>
  </w:style>
  <w:style w:type="paragraph" w:customStyle="1" w:styleId="Tiret4">
    <w:name w:val="Tiret 4"/>
    <w:basedOn w:val="Point4"/>
    <w:rsid w:val="00517205"/>
    <w:pPr>
      <w:numPr>
        <w:numId w:val="31"/>
      </w:numPr>
    </w:pPr>
  </w:style>
  <w:style w:type="paragraph" w:customStyle="1" w:styleId="Tiret5">
    <w:name w:val="Tiret 5"/>
    <w:basedOn w:val="Point5"/>
    <w:rsid w:val="00517205"/>
    <w:pPr>
      <w:numPr>
        <w:numId w:val="32"/>
      </w:numPr>
    </w:pPr>
  </w:style>
  <w:style w:type="paragraph" w:customStyle="1" w:styleId="PointDouble0">
    <w:name w:val="PointDouble 0"/>
    <w:basedOn w:val="Normal"/>
    <w:rsid w:val="00517205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517205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517205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517205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517205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517205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517205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517205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517205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517205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517205"/>
    <w:pPr>
      <w:numPr>
        <w:numId w:val="33"/>
      </w:numPr>
    </w:pPr>
  </w:style>
  <w:style w:type="paragraph" w:customStyle="1" w:styleId="NumPar2">
    <w:name w:val="NumPar 2"/>
    <w:basedOn w:val="Normal"/>
    <w:next w:val="Text1"/>
    <w:rsid w:val="00517205"/>
    <w:pPr>
      <w:numPr>
        <w:ilvl w:val="1"/>
        <w:numId w:val="33"/>
      </w:numPr>
    </w:pPr>
  </w:style>
  <w:style w:type="paragraph" w:customStyle="1" w:styleId="NumPar3">
    <w:name w:val="NumPar 3"/>
    <w:basedOn w:val="Normal"/>
    <w:next w:val="Text1"/>
    <w:rsid w:val="00517205"/>
    <w:pPr>
      <w:numPr>
        <w:ilvl w:val="2"/>
        <w:numId w:val="33"/>
      </w:numPr>
    </w:pPr>
  </w:style>
  <w:style w:type="paragraph" w:customStyle="1" w:styleId="NumPar4">
    <w:name w:val="NumPar 4"/>
    <w:basedOn w:val="Normal"/>
    <w:next w:val="Text1"/>
    <w:rsid w:val="00517205"/>
    <w:pPr>
      <w:numPr>
        <w:ilvl w:val="3"/>
        <w:numId w:val="33"/>
      </w:numPr>
    </w:pPr>
  </w:style>
  <w:style w:type="paragraph" w:customStyle="1" w:styleId="NumPar5">
    <w:name w:val="NumPar 5"/>
    <w:basedOn w:val="Normal"/>
    <w:next w:val="Text2"/>
    <w:rsid w:val="00517205"/>
    <w:pPr>
      <w:numPr>
        <w:ilvl w:val="4"/>
        <w:numId w:val="33"/>
      </w:numPr>
    </w:pPr>
  </w:style>
  <w:style w:type="paragraph" w:customStyle="1" w:styleId="NumPar6">
    <w:name w:val="NumPar 6"/>
    <w:basedOn w:val="Normal"/>
    <w:next w:val="Text2"/>
    <w:rsid w:val="00517205"/>
    <w:pPr>
      <w:numPr>
        <w:ilvl w:val="5"/>
        <w:numId w:val="33"/>
      </w:numPr>
    </w:pPr>
  </w:style>
  <w:style w:type="paragraph" w:customStyle="1" w:styleId="NumPar7">
    <w:name w:val="NumPar 7"/>
    <w:basedOn w:val="Normal"/>
    <w:next w:val="Text2"/>
    <w:rsid w:val="00517205"/>
    <w:pPr>
      <w:numPr>
        <w:ilvl w:val="6"/>
        <w:numId w:val="33"/>
      </w:numPr>
    </w:pPr>
  </w:style>
  <w:style w:type="paragraph" w:customStyle="1" w:styleId="ManualNumPar1">
    <w:name w:val="Manual NumPar 1"/>
    <w:basedOn w:val="Normal"/>
    <w:next w:val="Text1"/>
    <w:rsid w:val="00517205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517205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517205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517205"/>
    <w:pPr>
      <w:ind w:left="850" w:hanging="850"/>
    </w:pPr>
  </w:style>
  <w:style w:type="paragraph" w:customStyle="1" w:styleId="ManualNumPar5">
    <w:name w:val="Manual NumPar 5"/>
    <w:basedOn w:val="Normal"/>
    <w:next w:val="Text2"/>
    <w:rsid w:val="00517205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517205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517205"/>
    <w:pPr>
      <w:ind w:left="1417" w:hanging="1417"/>
    </w:pPr>
  </w:style>
  <w:style w:type="paragraph" w:customStyle="1" w:styleId="QuotedNumPar">
    <w:name w:val="Quoted NumPar"/>
    <w:basedOn w:val="Normal"/>
    <w:rsid w:val="00517205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517205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517205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517205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517205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rsid w:val="00517205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517205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517205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rsid w:val="00517205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517205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517205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517205"/>
    <w:pPr>
      <w:jc w:val="center"/>
    </w:pPr>
    <w:rPr>
      <w:b/>
    </w:rPr>
  </w:style>
  <w:style w:type="character" w:customStyle="1" w:styleId="Marker">
    <w:name w:val="Marker"/>
    <w:rsid w:val="00BC4CDC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517205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517205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17205"/>
    <w:pPr>
      <w:numPr>
        <w:numId w:val="35"/>
      </w:numPr>
    </w:pPr>
  </w:style>
  <w:style w:type="paragraph" w:customStyle="1" w:styleId="Point1number">
    <w:name w:val="Point 1 (number)"/>
    <w:basedOn w:val="Normal"/>
    <w:rsid w:val="00517205"/>
    <w:pPr>
      <w:numPr>
        <w:ilvl w:val="2"/>
        <w:numId w:val="35"/>
      </w:numPr>
    </w:pPr>
  </w:style>
  <w:style w:type="paragraph" w:customStyle="1" w:styleId="Point2number">
    <w:name w:val="Point 2 (number)"/>
    <w:basedOn w:val="Normal"/>
    <w:rsid w:val="00517205"/>
    <w:pPr>
      <w:numPr>
        <w:ilvl w:val="4"/>
        <w:numId w:val="35"/>
      </w:numPr>
    </w:pPr>
  </w:style>
  <w:style w:type="paragraph" w:customStyle="1" w:styleId="Point3number">
    <w:name w:val="Point 3 (number)"/>
    <w:basedOn w:val="Normal"/>
    <w:rsid w:val="00517205"/>
    <w:pPr>
      <w:numPr>
        <w:ilvl w:val="6"/>
        <w:numId w:val="35"/>
      </w:numPr>
    </w:pPr>
  </w:style>
  <w:style w:type="paragraph" w:customStyle="1" w:styleId="Point0letter">
    <w:name w:val="Point 0 (letter)"/>
    <w:basedOn w:val="Normal"/>
    <w:rsid w:val="00517205"/>
    <w:pPr>
      <w:numPr>
        <w:ilvl w:val="1"/>
        <w:numId w:val="35"/>
      </w:numPr>
    </w:pPr>
  </w:style>
  <w:style w:type="paragraph" w:customStyle="1" w:styleId="Point1letter">
    <w:name w:val="Point 1 (letter)"/>
    <w:basedOn w:val="Normal"/>
    <w:rsid w:val="00517205"/>
    <w:pPr>
      <w:numPr>
        <w:ilvl w:val="3"/>
        <w:numId w:val="35"/>
      </w:numPr>
    </w:pPr>
  </w:style>
  <w:style w:type="paragraph" w:customStyle="1" w:styleId="Point2letter">
    <w:name w:val="Point 2 (letter)"/>
    <w:basedOn w:val="Normal"/>
    <w:rsid w:val="00517205"/>
    <w:pPr>
      <w:numPr>
        <w:ilvl w:val="5"/>
        <w:numId w:val="35"/>
      </w:numPr>
    </w:pPr>
  </w:style>
  <w:style w:type="paragraph" w:customStyle="1" w:styleId="Point3letter">
    <w:name w:val="Point 3 (letter)"/>
    <w:basedOn w:val="Normal"/>
    <w:rsid w:val="00517205"/>
    <w:pPr>
      <w:numPr>
        <w:ilvl w:val="7"/>
        <w:numId w:val="35"/>
      </w:numPr>
    </w:pPr>
  </w:style>
  <w:style w:type="paragraph" w:customStyle="1" w:styleId="Point4letter">
    <w:name w:val="Point 4 (letter)"/>
    <w:basedOn w:val="Normal"/>
    <w:rsid w:val="00517205"/>
    <w:pPr>
      <w:numPr>
        <w:ilvl w:val="8"/>
        <w:numId w:val="35"/>
      </w:numPr>
    </w:pPr>
  </w:style>
  <w:style w:type="paragraph" w:customStyle="1" w:styleId="Bullet0">
    <w:name w:val="Bullet 0"/>
    <w:basedOn w:val="Normal"/>
    <w:rsid w:val="00517205"/>
    <w:pPr>
      <w:numPr>
        <w:numId w:val="36"/>
      </w:numPr>
    </w:pPr>
  </w:style>
  <w:style w:type="paragraph" w:customStyle="1" w:styleId="Bullet1">
    <w:name w:val="Bullet 1"/>
    <w:basedOn w:val="Normal"/>
    <w:rsid w:val="00517205"/>
    <w:pPr>
      <w:numPr>
        <w:numId w:val="37"/>
      </w:numPr>
    </w:pPr>
  </w:style>
  <w:style w:type="paragraph" w:customStyle="1" w:styleId="Bullet2">
    <w:name w:val="Bullet 2"/>
    <w:basedOn w:val="Normal"/>
    <w:rsid w:val="00517205"/>
    <w:pPr>
      <w:numPr>
        <w:numId w:val="38"/>
      </w:numPr>
    </w:pPr>
  </w:style>
  <w:style w:type="paragraph" w:customStyle="1" w:styleId="Bullet3">
    <w:name w:val="Bullet 3"/>
    <w:basedOn w:val="Normal"/>
    <w:rsid w:val="00517205"/>
    <w:pPr>
      <w:numPr>
        <w:numId w:val="39"/>
      </w:numPr>
    </w:pPr>
  </w:style>
  <w:style w:type="paragraph" w:customStyle="1" w:styleId="Bullet4">
    <w:name w:val="Bullet 4"/>
    <w:basedOn w:val="Normal"/>
    <w:rsid w:val="00517205"/>
    <w:pPr>
      <w:numPr>
        <w:numId w:val="40"/>
      </w:numPr>
    </w:pPr>
  </w:style>
  <w:style w:type="paragraph" w:customStyle="1" w:styleId="Langue">
    <w:name w:val="Langue"/>
    <w:basedOn w:val="Normal"/>
    <w:next w:val="Rfrenceinterne"/>
    <w:rsid w:val="00517205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517205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517205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517205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517205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517205"/>
    <w:pPr>
      <w:spacing w:before="0" w:after="0"/>
    </w:pPr>
  </w:style>
  <w:style w:type="paragraph" w:customStyle="1" w:styleId="Disclaimer">
    <w:name w:val="Disclaimer"/>
    <w:basedOn w:val="Normal"/>
    <w:rsid w:val="00517205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517205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517205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517205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517205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517205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517205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517205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517205"/>
    <w:pPr>
      <w:numPr>
        <w:numId w:val="41"/>
      </w:numPr>
    </w:pPr>
  </w:style>
  <w:style w:type="paragraph" w:customStyle="1" w:styleId="Corrigendum">
    <w:name w:val="Corrigendum"/>
    <w:basedOn w:val="Normal"/>
    <w:next w:val="Normal"/>
    <w:rsid w:val="00517205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517205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517205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517205"/>
    <w:pPr>
      <w:keepNext/>
    </w:pPr>
  </w:style>
  <w:style w:type="paragraph" w:customStyle="1" w:styleId="Institutionquiagit">
    <w:name w:val="Institution qui agit"/>
    <w:basedOn w:val="Normal"/>
    <w:next w:val="Normal"/>
    <w:rsid w:val="00517205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517205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517205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517205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517205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517205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517205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517205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517205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517205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517205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517205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17205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517205"/>
    <w:rPr>
      <w:i/>
      <w:caps/>
    </w:rPr>
  </w:style>
  <w:style w:type="paragraph" w:customStyle="1" w:styleId="Supertitre">
    <w:name w:val="Supertitre"/>
    <w:basedOn w:val="Normal"/>
    <w:next w:val="Normal"/>
    <w:rsid w:val="00517205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517205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517205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17205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17205"/>
  </w:style>
  <w:style w:type="paragraph" w:customStyle="1" w:styleId="StatutPagedecouverture">
    <w:name w:val="Statut (Page de couverture)"/>
    <w:basedOn w:val="Statut"/>
    <w:next w:val="TypedudocumentPagedecouverture"/>
    <w:rsid w:val="00517205"/>
  </w:style>
  <w:style w:type="paragraph" w:customStyle="1" w:styleId="TitreobjetPagedecouverture">
    <w:name w:val="Titre objet (Page de couverture)"/>
    <w:basedOn w:val="Titreobjet"/>
    <w:next w:val="IntrtEEEPagedecouverture"/>
    <w:rsid w:val="00517205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17205"/>
  </w:style>
  <w:style w:type="paragraph" w:customStyle="1" w:styleId="Volume">
    <w:name w:val="Volume"/>
    <w:basedOn w:val="Normal"/>
    <w:next w:val="Confidentialit"/>
    <w:rsid w:val="00517205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517205"/>
    <w:pPr>
      <w:spacing w:after="240"/>
    </w:pPr>
  </w:style>
  <w:style w:type="paragraph" w:customStyle="1" w:styleId="Accompagnant">
    <w:name w:val="Accompagnant"/>
    <w:basedOn w:val="Normal"/>
    <w:next w:val="Typeacteprincipal"/>
    <w:rsid w:val="00517205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517205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517205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517205"/>
  </w:style>
  <w:style w:type="paragraph" w:customStyle="1" w:styleId="AccompagnantPagedecouverture">
    <w:name w:val="Accompagnant (Page de couverture)"/>
    <w:basedOn w:val="Accompagnant"/>
    <w:next w:val="TypeacteprincipalPagedecouverture"/>
    <w:rsid w:val="00517205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17205"/>
  </w:style>
  <w:style w:type="paragraph" w:customStyle="1" w:styleId="ObjetacteprincipalPagedecouverture">
    <w:name w:val="Objet acte principal (Page de couverture)"/>
    <w:basedOn w:val="Objetacteprincipal"/>
    <w:next w:val="Rfrencecroise"/>
    <w:rsid w:val="00517205"/>
  </w:style>
  <w:style w:type="paragraph" w:customStyle="1" w:styleId="LanguesfaisantfoiPagedecouverture">
    <w:name w:val="Langues faisant foi (Page de couverture)"/>
    <w:basedOn w:val="Normal"/>
    <w:next w:val="Normal"/>
    <w:rsid w:val="00517205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ECFINStandard.xsl" StyleName="ECFIN - Standard" Version="2021.02"/>
</file>

<file path=customXml/itemProps1.xml><?xml version="1.0" encoding="utf-8"?>
<ds:datastoreItem xmlns:ds="http://schemas.openxmlformats.org/officeDocument/2006/customXml" ds:itemID="{1E4A3349-23BE-40C5-88F0-89B6A120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23</TotalTime>
  <Pages>6</Pages>
  <Words>1208</Words>
  <Characters>7481</Characters>
  <Application>Microsoft Office Word</Application>
  <DocSecurity>0</DocSecurity>
  <Lines>170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53</cp:revision>
  <cp:lastPrinted>2013-04-24T15:19:00Z</cp:lastPrinted>
  <dcterms:created xsi:type="dcterms:W3CDTF">2022-05-25T15:19:00Z</dcterms:created>
  <dcterms:modified xsi:type="dcterms:W3CDTF">2022-06-13T18:37:00Z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5.8.64.0</vt:lpwstr>
  </property>
  <property fmtid="{D5CDD505-2E9C-101B-9397-08002B2CF9AE}" pid="4" name="Last edited using">
    <vt:lpwstr>LW 8.0, Build 20220128</vt:lpwstr>
  </property>
  <property fmtid="{D5CDD505-2E9C-101B-9397-08002B2CF9AE}" pid="5" name="Created using">
    <vt:lpwstr>LW 5.8.2, Build 20120919</vt:lpwstr>
  </property>
  <property fmtid="{D5CDD505-2E9C-101B-9397-08002B2CF9AE}" pid="6" name="_NewReviewCycle">
    <vt:lpwstr/>
  </property>
  <property fmtid="{D5CDD505-2E9C-101B-9397-08002B2CF9AE}" pid="7" name="LWTemplateID">
    <vt:lpwstr>SJ-016</vt:lpwstr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Level of sensitivity">
    <vt:lpwstr>Standard treatment</vt:lpwstr>
  </property>
  <property fmtid="{D5CDD505-2E9C-101B-9397-08002B2CF9AE}" pid="11" name="DQCStatus">
    <vt:lpwstr>Green (DQC version 03)</vt:lpwstr>
  </property>
  <property name="OP_sanitized" fmtid="{D5CDD505-2E9C-101B-9397-08002B2CF9AE}" pid="12">
    <vt:lpwstr>True</vt:lpwstr>
  </property>
</Properties>
</file>