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2438" w14:textId="33F79999" w:rsidR="00A51F28" w:rsidRPr="0014596D" w:rsidRDefault="002370A4" w:rsidP="002370A4">
      <w:pPr>
        <w:pStyle w:val="Pagedecouverture"/>
        <w:rPr>
          <w:noProof/>
        </w:rPr>
      </w:pPr>
      <w:bookmarkStart w:id="0" w:name="LW_BM_COVERPAGE"/>
      <w:r>
        <w:rPr>
          <w:noProof/>
        </w:rPr>
        <w:pict w14:anchorId="58644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D7B9FEE-A7D9-43E9-815B-C7F6C9020E9D" style="width:455.25pt;height:336.75pt">
            <v:imagedata r:id="rId11" o:title=""/>
          </v:shape>
        </w:pict>
      </w:r>
    </w:p>
    <w:bookmarkEnd w:id="0"/>
    <w:p w14:paraId="14346CC9" w14:textId="77777777" w:rsidR="00A51F28" w:rsidRPr="0014596D" w:rsidRDefault="00A51F28" w:rsidP="00B67C89">
      <w:pPr>
        <w:spacing w:line="276" w:lineRule="auto"/>
        <w:jc w:val="both"/>
        <w:rPr>
          <w:rFonts w:ascii="Times New Roman" w:hAnsi="Times New Roman"/>
          <w:noProof/>
        </w:rPr>
        <w:sectPr w:rsidR="00A51F28" w:rsidRPr="0014596D" w:rsidSect="002370A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A3E18D6" w14:textId="77777777" w:rsidR="00305FA4" w:rsidRPr="0014596D" w:rsidRDefault="00305FA4" w:rsidP="00605EC6">
      <w:pPr>
        <w:numPr>
          <w:ilvl w:val="0"/>
          <w:numId w:val="1"/>
        </w:numPr>
        <w:spacing w:before="240" w:line="276" w:lineRule="auto"/>
        <w:ind w:left="720"/>
        <w:contextualSpacing/>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Wprowadzenie</w:t>
      </w:r>
    </w:p>
    <w:p w14:paraId="7B4B9DF5" w14:textId="2A67B538" w:rsidR="00305FA4" w:rsidRPr="0014596D" w:rsidRDefault="00305FA4" w:rsidP="00605EC6">
      <w:pPr>
        <w:widowControl w:val="0"/>
        <w:spacing w:before="240" w:line="276" w:lineRule="auto"/>
        <w:jc w:val="both"/>
        <w:rPr>
          <w:rFonts w:ascii="Times New Roman" w:eastAsia="Calibri" w:hAnsi="Times New Roman" w:cs="Times New Roman"/>
          <w:noProof/>
          <w:sz w:val="24"/>
          <w:szCs w:val="24"/>
        </w:rPr>
      </w:pPr>
      <w:r>
        <w:rPr>
          <w:rFonts w:ascii="Times New Roman" w:hAnsi="Times New Roman"/>
          <w:noProof/>
          <w:sz w:val="24"/>
        </w:rPr>
        <w:t>Strefa Schengen bez kontroli na granicach wewnętrznych („strefa Schengen”) należy do najbardziej symbolicznych osiągnięć integracji europejskiej</w:t>
      </w:r>
      <w:r w:rsidR="00D136C6">
        <w:rPr>
          <w:rFonts w:ascii="Times New Roman" w:hAnsi="Times New Roman"/>
          <w:noProof/>
          <w:sz w:val="24"/>
        </w:rPr>
        <w:t xml:space="preserve"> i jes</w:t>
      </w:r>
      <w:r>
        <w:rPr>
          <w:rFonts w:ascii="Times New Roman" w:hAnsi="Times New Roman"/>
          <w:noProof/>
          <w:sz w:val="24"/>
        </w:rPr>
        <w:t>t jednym</w:t>
      </w:r>
      <w:r w:rsidR="00D136C6">
        <w:rPr>
          <w:rFonts w:ascii="Times New Roman" w:hAnsi="Times New Roman"/>
          <w:noProof/>
          <w:sz w:val="24"/>
        </w:rPr>
        <w:t xml:space="preserve"> z naj</w:t>
      </w:r>
      <w:r>
        <w:rPr>
          <w:rFonts w:ascii="Times New Roman" w:hAnsi="Times New Roman"/>
          <w:noProof/>
          <w:sz w:val="24"/>
        </w:rPr>
        <w:t>bardziej wymiernych przejawów europejskiego stylu życia, napędzającym gospodarkę</w:t>
      </w:r>
      <w:r w:rsidR="00D136C6">
        <w:rPr>
          <w:rFonts w:ascii="Times New Roman" w:hAnsi="Times New Roman"/>
          <w:noProof/>
          <w:sz w:val="24"/>
        </w:rPr>
        <w:t xml:space="preserve"> i jed</w:t>
      </w:r>
      <w:r>
        <w:rPr>
          <w:rFonts w:ascii="Times New Roman" w:hAnsi="Times New Roman"/>
          <w:noProof/>
          <w:sz w:val="24"/>
        </w:rPr>
        <w:t>noczącym Europejczyków ponad granicami wewnętrznymi.</w:t>
      </w:r>
    </w:p>
    <w:p w14:paraId="1EF7C681" w14:textId="0FBBA88D" w:rsidR="003F7795" w:rsidRPr="0014596D" w:rsidRDefault="00305FA4" w:rsidP="00605EC6">
      <w:pPr>
        <w:widowControl w:val="0"/>
        <w:spacing w:before="120" w:after="0" w:line="276" w:lineRule="auto"/>
        <w:jc w:val="both"/>
        <w:rPr>
          <w:rFonts w:ascii="Times New Roman" w:eastAsia="Calibri" w:hAnsi="Times New Roman" w:cs="Times New Roman"/>
          <w:noProof/>
          <w:sz w:val="24"/>
          <w:szCs w:val="24"/>
        </w:rPr>
      </w:pPr>
      <w:r>
        <w:rPr>
          <w:rFonts w:ascii="Times New Roman" w:hAnsi="Times New Roman"/>
          <w:noProof/>
          <w:sz w:val="24"/>
        </w:rPr>
        <w:t>Inicjatywa, która rozpoczęła się</w:t>
      </w:r>
      <w:r w:rsidR="00D136C6">
        <w:rPr>
          <w:rFonts w:ascii="Times New Roman" w:hAnsi="Times New Roman"/>
          <w:noProof/>
          <w:sz w:val="24"/>
        </w:rPr>
        <w:t xml:space="preserve"> w 1</w:t>
      </w:r>
      <w:r>
        <w:rPr>
          <w:rFonts w:ascii="Times New Roman" w:hAnsi="Times New Roman"/>
          <w:noProof/>
          <w:sz w:val="24"/>
        </w:rPr>
        <w:t>9</w:t>
      </w:r>
      <w:r w:rsidRPr="00D136C6">
        <w:rPr>
          <w:rFonts w:ascii="Times New Roman" w:hAnsi="Times New Roman"/>
          <w:noProof/>
          <w:sz w:val="24"/>
        </w:rPr>
        <w:t>85</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jako projekt międzyrządowy pięciu państw członkowskich – Francji, Niemiec, Belgii, Niderlandów</w:t>
      </w:r>
      <w:r w:rsidR="00D136C6">
        <w:rPr>
          <w:rFonts w:ascii="Times New Roman" w:hAnsi="Times New Roman"/>
          <w:noProof/>
          <w:sz w:val="24"/>
        </w:rPr>
        <w:t xml:space="preserve"> i Luk</w:t>
      </w:r>
      <w:r>
        <w:rPr>
          <w:rFonts w:ascii="Times New Roman" w:hAnsi="Times New Roman"/>
          <w:noProof/>
          <w:sz w:val="24"/>
        </w:rPr>
        <w:t>semburga – stopniowo rozwijała się przez siedem etapów rozszerzenia, stając się największą istniejącą na świecie przestrzenią swobodnego przepływu. Korzyści ze zniesienia granic wewnętrznych są współcześnie równie przekonujące jak</w:t>
      </w:r>
      <w:r w:rsidR="00D136C6">
        <w:rPr>
          <w:rFonts w:ascii="Times New Roman" w:hAnsi="Times New Roman"/>
          <w:noProof/>
          <w:sz w:val="24"/>
        </w:rPr>
        <w:t xml:space="preserve"> w 1</w:t>
      </w:r>
      <w:r>
        <w:rPr>
          <w:rFonts w:ascii="Times New Roman" w:hAnsi="Times New Roman"/>
          <w:noProof/>
          <w:sz w:val="24"/>
        </w:rPr>
        <w:t>9</w:t>
      </w:r>
      <w:r w:rsidRPr="00D136C6">
        <w:rPr>
          <w:rFonts w:ascii="Times New Roman" w:hAnsi="Times New Roman"/>
          <w:noProof/>
          <w:sz w:val="24"/>
        </w:rPr>
        <w:t>85</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Strefa Schengen jest rzeczywistością dla milionów osób: każdego dnia około 3,5 mln osób przekracza granice wewnętrzne ze względu na pracę, naukę lub odwiedziny</w:t>
      </w:r>
      <w:r w:rsidR="00D136C6">
        <w:rPr>
          <w:rFonts w:ascii="Times New Roman" w:hAnsi="Times New Roman"/>
          <w:noProof/>
          <w:sz w:val="24"/>
        </w:rPr>
        <w:t xml:space="preserve"> u rod</w:t>
      </w:r>
      <w:r>
        <w:rPr>
          <w:rFonts w:ascii="Times New Roman" w:hAnsi="Times New Roman"/>
          <w:noProof/>
          <w:sz w:val="24"/>
        </w:rPr>
        <w:t>ziny</w:t>
      </w:r>
      <w:r w:rsidR="00D136C6">
        <w:rPr>
          <w:rFonts w:ascii="Times New Roman" w:hAnsi="Times New Roman"/>
          <w:noProof/>
          <w:sz w:val="24"/>
        </w:rPr>
        <w:t xml:space="preserve"> i prz</w:t>
      </w:r>
      <w:r>
        <w:rPr>
          <w:rFonts w:ascii="Times New Roman" w:hAnsi="Times New Roman"/>
          <w:noProof/>
          <w:sz w:val="24"/>
        </w:rPr>
        <w:t>yjaciół. Strefa Schengen zwiększyła nasze bezpieczeństwo zbiorowe, umożliwiając organom państw członkowskich ścisłą współpracę. Ponadto strefa Schengen stanowić podstawę Unii Europejskiej</w:t>
      </w:r>
      <w:r w:rsidR="00D136C6">
        <w:rPr>
          <w:rFonts w:ascii="Times New Roman" w:hAnsi="Times New Roman"/>
          <w:noProof/>
          <w:sz w:val="24"/>
        </w:rPr>
        <w:t xml:space="preserve"> i jej</w:t>
      </w:r>
      <w:r>
        <w:rPr>
          <w:rFonts w:ascii="Times New Roman" w:hAnsi="Times New Roman"/>
          <w:noProof/>
          <w:sz w:val="24"/>
        </w:rPr>
        <w:t xml:space="preserve"> jednolitego rynku jako całości</w:t>
      </w:r>
      <w:r w:rsidR="00D136C6">
        <w:rPr>
          <w:rFonts w:ascii="Times New Roman" w:hAnsi="Times New Roman"/>
          <w:noProof/>
          <w:sz w:val="24"/>
        </w:rPr>
        <w:t>. W obe</w:t>
      </w:r>
      <w:r>
        <w:rPr>
          <w:rFonts w:ascii="Times New Roman" w:hAnsi="Times New Roman"/>
          <w:noProof/>
          <w:sz w:val="24"/>
        </w:rPr>
        <w:t>cnym trudnym kontekście geopolitycznym</w:t>
      </w:r>
      <w:r w:rsidR="00D136C6">
        <w:rPr>
          <w:rFonts w:ascii="Times New Roman" w:hAnsi="Times New Roman"/>
          <w:noProof/>
          <w:sz w:val="24"/>
        </w:rPr>
        <w:t xml:space="preserve"> i gos</w:t>
      </w:r>
      <w:r>
        <w:rPr>
          <w:rFonts w:ascii="Times New Roman" w:hAnsi="Times New Roman"/>
          <w:noProof/>
          <w:sz w:val="24"/>
        </w:rPr>
        <w:t>podarczym</w:t>
      </w:r>
      <w:r w:rsidR="00D136C6">
        <w:rPr>
          <w:rFonts w:ascii="Times New Roman" w:hAnsi="Times New Roman"/>
          <w:noProof/>
          <w:sz w:val="24"/>
        </w:rPr>
        <w:t xml:space="preserve"> w peł</w:t>
      </w:r>
      <w:r>
        <w:rPr>
          <w:rFonts w:ascii="Times New Roman" w:hAnsi="Times New Roman"/>
          <w:noProof/>
          <w:sz w:val="24"/>
        </w:rPr>
        <w:t>ni funkcjonująca</w:t>
      </w:r>
      <w:r w:rsidR="00D136C6">
        <w:rPr>
          <w:rFonts w:ascii="Times New Roman" w:hAnsi="Times New Roman"/>
          <w:noProof/>
          <w:sz w:val="24"/>
        </w:rPr>
        <w:t xml:space="preserve"> i uko</w:t>
      </w:r>
      <w:r>
        <w:rPr>
          <w:rFonts w:ascii="Times New Roman" w:hAnsi="Times New Roman"/>
          <w:noProof/>
          <w:sz w:val="24"/>
        </w:rPr>
        <w:t>ńczona strefa Schengen ma zasadnicze znaczenie dla stabilności, odporności</w:t>
      </w:r>
      <w:r w:rsidR="00D136C6">
        <w:rPr>
          <w:rFonts w:ascii="Times New Roman" w:hAnsi="Times New Roman"/>
          <w:noProof/>
          <w:sz w:val="24"/>
        </w:rPr>
        <w:t xml:space="preserve"> i odb</w:t>
      </w:r>
      <w:r>
        <w:rPr>
          <w:rFonts w:ascii="Times New Roman" w:hAnsi="Times New Roman"/>
          <w:noProof/>
          <w:sz w:val="24"/>
        </w:rPr>
        <w:t>udowy.</w:t>
      </w:r>
    </w:p>
    <w:p w14:paraId="2286F824" w14:textId="2D0ED45B" w:rsidR="00305FA4" w:rsidRPr="0014596D" w:rsidRDefault="00570A22" w:rsidP="00605EC6">
      <w:pPr>
        <w:widowControl w:val="0"/>
        <w:spacing w:before="120" w:after="0" w:line="276" w:lineRule="auto"/>
        <w:jc w:val="both"/>
        <w:rPr>
          <w:rFonts w:ascii="Times New Roman" w:eastAsia="Calibri" w:hAnsi="Times New Roman" w:cs="Times New Roman"/>
          <w:noProof/>
          <w:sz w:val="24"/>
          <w:szCs w:val="24"/>
        </w:rPr>
      </w:pPr>
      <w:r>
        <w:rPr>
          <w:rFonts w:ascii="Times New Roman" w:hAnsi="Times New Roman"/>
          <w:noProof/>
          <w:sz w:val="24"/>
        </w:rPr>
        <w:t>Obecnie strefa Schengen obejmuje 26 państw</w:t>
      </w:r>
      <w:r w:rsidR="00D136C6">
        <w:rPr>
          <w:rFonts w:ascii="Times New Roman" w:hAnsi="Times New Roman"/>
          <w:noProof/>
          <w:sz w:val="24"/>
        </w:rPr>
        <w:t xml:space="preserve"> i roz</w:t>
      </w:r>
      <w:r>
        <w:rPr>
          <w:rFonts w:ascii="Times New Roman" w:hAnsi="Times New Roman"/>
          <w:noProof/>
          <w:sz w:val="24"/>
        </w:rPr>
        <w:t>ciąga się na obszarze 4 mln km kwadratowych zamieszkiwanym przez niemal 420 mln osób</w:t>
      </w:r>
      <w:r w:rsidR="00D136C6">
        <w:rPr>
          <w:rFonts w:ascii="Times New Roman" w:hAnsi="Times New Roman"/>
          <w:noProof/>
          <w:sz w:val="24"/>
        </w:rPr>
        <w:t>. W str</w:t>
      </w:r>
      <w:r>
        <w:rPr>
          <w:rFonts w:ascii="Times New Roman" w:hAnsi="Times New Roman"/>
          <w:noProof/>
          <w:sz w:val="24"/>
        </w:rPr>
        <w:t>efie Schengen uczestniczą 22 państwa członkowskie UE. Spośród pozostałych państw członkowskich wszystkie</w:t>
      </w:r>
      <w:r w:rsidR="00D136C6">
        <w:rPr>
          <w:rFonts w:ascii="Times New Roman" w:hAnsi="Times New Roman"/>
          <w:noProof/>
          <w:sz w:val="24"/>
        </w:rPr>
        <w:t xml:space="preserve"> z wyj</w:t>
      </w:r>
      <w:r>
        <w:rPr>
          <w:rFonts w:ascii="Times New Roman" w:hAnsi="Times New Roman"/>
          <w:noProof/>
          <w:sz w:val="24"/>
        </w:rPr>
        <w:t>ątkiem jednego mają obowiązek przystąpić do strefy Schengen</w:t>
      </w:r>
      <w:r w:rsidR="00D136C6">
        <w:rPr>
          <w:rFonts w:ascii="Times New Roman" w:hAnsi="Times New Roman"/>
          <w:noProof/>
          <w:sz w:val="24"/>
        </w:rPr>
        <w:t xml:space="preserve"> i pow</w:t>
      </w:r>
      <w:r>
        <w:rPr>
          <w:rFonts w:ascii="Times New Roman" w:hAnsi="Times New Roman"/>
          <w:noProof/>
          <w:sz w:val="24"/>
        </w:rPr>
        <w:t>inny uzyskać taką możliwość po spełnieniu określonych warunków. Cztery</w:t>
      </w:r>
      <w:r w:rsidR="00D136C6">
        <w:rPr>
          <w:rFonts w:ascii="Times New Roman" w:hAnsi="Times New Roman"/>
          <w:noProof/>
          <w:sz w:val="24"/>
        </w:rPr>
        <w:t xml:space="preserve"> z pię</w:t>
      </w:r>
      <w:r>
        <w:rPr>
          <w:rFonts w:ascii="Times New Roman" w:hAnsi="Times New Roman"/>
          <w:noProof/>
          <w:sz w:val="24"/>
        </w:rPr>
        <w:t>ciu pozostałych państw członkowskich, czyli Bułgaria, Chorwacja, Cypr</w:t>
      </w:r>
      <w:r w:rsidR="00D136C6">
        <w:rPr>
          <w:rFonts w:ascii="Times New Roman" w:hAnsi="Times New Roman"/>
          <w:noProof/>
          <w:sz w:val="24"/>
        </w:rPr>
        <w:t xml:space="preserve"> i Rum</w:t>
      </w:r>
      <w:r>
        <w:rPr>
          <w:rFonts w:ascii="Times New Roman" w:hAnsi="Times New Roman"/>
          <w:noProof/>
          <w:sz w:val="24"/>
        </w:rPr>
        <w:t>unia, są już częściowo związane dorobkiem Schengen, ale kontrole na granicach wewnętrznych</w:t>
      </w:r>
      <w:r w:rsidR="00D136C6">
        <w:rPr>
          <w:rFonts w:ascii="Times New Roman" w:hAnsi="Times New Roman"/>
          <w:noProof/>
          <w:sz w:val="24"/>
        </w:rPr>
        <w:t xml:space="preserve"> z tym</w:t>
      </w:r>
      <w:r>
        <w:rPr>
          <w:rFonts w:ascii="Times New Roman" w:hAnsi="Times New Roman"/>
          <w:noProof/>
          <w:sz w:val="24"/>
        </w:rPr>
        <w:t>i państwami członkowskimi nie zostały jeszcze zniesione. Irlandia uczestniczy</w:t>
      </w:r>
      <w:r w:rsidR="00D136C6">
        <w:rPr>
          <w:rFonts w:ascii="Times New Roman" w:hAnsi="Times New Roman"/>
          <w:noProof/>
          <w:sz w:val="24"/>
        </w:rPr>
        <w:t xml:space="preserve"> w nie</w:t>
      </w:r>
      <w:r>
        <w:rPr>
          <w:rFonts w:ascii="Times New Roman" w:hAnsi="Times New Roman"/>
          <w:noProof/>
          <w:sz w:val="24"/>
        </w:rPr>
        <w:t>których istotnych częściach struktury Schengen, oprócz dorobku związanego</w:t>
      </w:r>
      <w:r w:rsidR="00D136C6">
        <w:rPr>
          <w:rFonts w:ascii="Times New Roman" w:hAnsi="Times New Roman"/>
          <w:noProof/>
          <w:sz w:val="24"/>
        </w:rPr>
        <w:t xml:space="preserve"> z gra</w:t>
      </w:r>
      <w:r>
        <w:rPr>
          <w:rFonts w:ascii="Times New Roman" w:hAnsi="Times New Roman"/>
          <w:noProof/>
          <w:sz w:val="24"/>
        </w:rPr>
        <w:t>nicami zewnętrznymi</w:t>
      </w:r>
      <w:r w:rsidR="00D136C6">
        <w:rPr>
          <w:rFonts w:ascii="Times New Roman" w:hAnsi="Times New Roman"/>
          <w:noProof/>
          <w:sz w:val="24"/>
        </w:rPr>
        <w:t xml:space="preserve"> i zni</w:t>
      </w:r>
      <w:r>
        <w:rPr>
          <w:rFonts w:ascii="Times New Roman" w:hAnsi="Times New Roman"/>
          <w:noProof/>
          <w:sz w:val="24"/>
        </w:rPr>
        <w:t>esieniem kontroli na granicach wewnętrznych. Cztery państwa niebędące członkami UE, Islandia, Liechtenstein, Norwegia</w:t>
      </w:r>
      <w:r w:rsidR="00D136C6">
        <w:rPr>
          <w:rFonts w:ascii="Times New Roman" w:hAnsi="Times New Roman"/>
          <w:noProof/>
          <w:sz w:val="24"/>
        </w:rPr>
        <w:t xml:space="preserve"> i Szw</w:t>
      </w:r>
      <w:r>
        <w:rPr>
          <w:rFonts w:ascii="Times New Roman" w:hAnsi="Times New Roman"/>
          <w:noProof/>
          <w:sz w:val="24"/>
        </w:rPr>
        <w:t>ajcaria, podpisały</w:t>
      </w:r>
      <w:r w:rsidR="00D136C6">
        <w:rPr>
          <w:rFonts w:ascii="Times New Roman" w:hAnsi="Times New Roman"/>
          <w:noProof/>
          <w:sz w:val="24"/>
        </w:rPr>
        <w:t xml:space="preserve"> z Uni</w:t>
      </w:r>
      <w:r>
        <w:rPr>
          <w:rFonts w:ascii="Times New Roman" w:hAnsi="Times New Roman"/>
          <w:noProof/>
          <w:sz w:val="24"/>
        </w:rPr>
        <w:t>ą umowy</w:t>
      </w:r>
      <w:r w:rsidR="00D136C6">
        <w:rPr>
          <w:rFonts w:ascii="Times New Roman" w:hAnsi="Times New Roman"/>
          <w:noProof/>
          <w:sz w:val="24"/>
        </w:rPr>
        <w:t xml:space="preserve"> o włą</w:t>
      </w:r>
      <w:r>
        <w:rPr>
          <w:rFonts w:ascii="Times New Roman" w:hAnsi="Times New Roman"/>
          <w:noProof/>
          <w:sz w:val="24"/>
        </w:rPr>
        <w:t>czeniu</w:t>
      </w:r>
      <w:r w:rsidR="00D136C6">
        <w:rPr>
          <w:rFonts w:ascii="Times New Roman" w:hAnsi="Times New Roman"/>
          <w:noProof/>
          <w:sz w:val="24"/>
        </w:rPr>
        <w:t xml:space="preserve"> w sto</w:t>
      </w:r>
      <w:r>
        <w:rPr>
          <w:rFonts w:ascii="Times New Roman" w:hAnsi="Times New Roman"/>
          <w:noProof/>
          <w:sz w:val="24"/>
        </w:rPr>
        <w:t>sowanie dorobku Schengen,</w:t>
      </w:r>
      <w:r w:rsidR="00D136C6">
        <w:rPr>
          <w:rFonts w:ascii="Times New Roman" w:hAnsi="Times New Roman"/>
          <w:noProof/>
          <w:sz w:val="24"/>
        </w:rPr>
        <w:t xml:space="preserve"> a zat</w:t>
      </w:r>
      <w:r>
        <w:rPr>
          <w:rFonts w:ascii="Times New Roman" w:hAnsi="Times New Roman"/>
          <w:noProof/>
          <w:sz w:val="24"/>
        </w:rPr>
        <w:t>em również należą do strefy Schengen. Dzięki pełnemu stosowaniu dorobku Schengen przez Bułgarię, Rumunię</w:t>
      </w:r>
      <w:r w:rsidR="00D136C6">
        <w:rPr>
          <w:rFonts w:ascii="Times New Roman" w:hAnsi="Times New Roman"/>
          <w:noProof/>
          <w:sz w:val="24"/>
        </w:rPr>
        <w:t xml:space="preserve"> i Cho</w:t>
      </w:r>
      <w:r>
        <w:rPr>
          <w:rFonts w:ascii="Times New Roman" w:hAnsi="Times New Roman"/>
          <w:noProof/>
          <w:sz w:val="24"/>
        </w:rPr>
        <w:t xml:space="preserve">rwację strefa Schengen powiększy się </w:t>
      </w:r>
      <w:r w:rsidRPr="00D136C6">
        <w:rPr>
          <w:rFonts w:ascii="Times New Roman" w:hAnsi="Times New Roman"/>
          <w:noProof/>
          <w:sz w:val="24"/>
        </w:rPr>
        <w:t>do</w:t>
      </w:r>
      <w:r w:rsidR="00D136C6" w:rsidRPr="00D136C6">
        <w:rPr>
          <w:rFonts w:ascii="Times New Roman" w:hAnsi="Times New Roman"/>
          <w:noProof/>
          <w:sz w:val="24"/>
        </w:rPr>
        <w:t> </w:t>
      </w:r>
      <w:r w:rsidRPr="00D136C6">
        <w:rPr>
          <w:rFonts w:ascii="Times New Roman" w:hAnsi="Times New Roman"/>
          <w:noProof/>
          <w:sz w:val="24"/>
        </w:rPr>
        <w:t>4</w:t>
      </w:r>
      <w:r>
        <w:rPr>
          <w:rFonts w:ascii="Times New Roman" w:hAnsi="Times New Roman"/>
          <w:noProof/>
          <w:sz w:val="24"/>
        </w:rPr>
        <w:t>,5 mln kilometrów kwadratowych zamieszkiwanych przez 450 mln osób.</w:t>
      </w:r>
    </w:p>
    <w:p w14:paraId="2EEA362D" w14:textId="73E6ACC9" w:rsidR="00146332" w:rsidRPr="0014596D" w:rsidRDefault="00305FA4" w:rsidP="00605EC6">
      <w:pPr>
        <w:widowControl w:val="0"/>
        <w:spacing w:before="120" w:line="276" w:lineRule="auto"/>
        <w:jc w:val="both"/>
        <w:rPr>
          <w:rFonts w:ascii="Times New Roman" w:hAnsi="Times New Roman" w:cs="Times New Roman"/>
          <w:noProof/>
          <w:sz w:val="24"/>
          <w:szCs w:val="24"/>
        </w:rPr>
      </w:pPr>
      <w:r>
        <w:rPr>
          <w:rFonts w:ascii="Times New Roman" w:hAnsi="Times New Roman"/>
          <w:noProof/>
          <w:sz w:val="24"/>
        </w:rPr>
        <w:t>Dorobek Schengen jest integralną częścią ram prawnych UE, wiążącą się</w:t>
      </w:r>
      <w:r w:rsidR="00D136C6">
        <w:rPr>
          <w:rFonts w:ascii="Times New Roman" w:hAnsi="Times New Roman"/>
          <w:noProof/>
          <w:sz w:val="24"/>
        </w:rPr>
        <w:t xml:space="preserve"> z ist</w:t>
      </w:r>
      <w:r>
        <w:rPr>
          <w:rFonts w:ascii="Times New Roman" w:hAnsi="Times New Roman"/>
          <w:noProof/>
          <w:sz w:val="24"/>
        </w:rPr>
        <w:t>otnymi obowiązkami</w:t>
      </w:r>
      <w:r w:rsidR="00D136C6">
        <w:rPr>
          <w:rFonts w:ascii="Times New Roman" w:hAnsi="Times New Roman"/>
          <w:noProof/>
          <w:sz w:val="24"/>
        </w:rPr>
        <w:t xml:space="preserve"> i zob</w:t>
      </w:r>
      <w:r>
        <w:rPr>
          <w:rFonts w:ascii="Times New Roman" w:hAnsi="Times New Roman"/>
          <w:noProof/>
          <w:sz w:val="24"/>
        </w:rPr>
        <w:t>owiązaniami, którą każde nowe państwo członkowskie musi</w:t>
      </w:r>
      <w:r w:rsidR="00D136C6">
        <w:rPr>
          <w:rFonts w:ascii="Times New Roman" w:hAnsi="Times New Roman"/>
          <w:noProof/>
          <w:sz w:val="24"/>
        </w:rPr>
        <w:t xml:space="preserve"> w peł</w:t>
      </w:r>
      <w:r>
        <w:rPr>
          <w:rFonts w:ascii="Times New Roman" w:hAnsi="Times New Roman"/>
          <w:noProof/>
          <w:sz w:val="24"/>
        </w:rPr>
        <w:t>ni przyjąć jako państwo kandydujące do przystąpienia</w:t>
      </w:r>
      <w:r>
        <w:rPr>
          <w:rStyle w:val="FootnoteReference"/>
          <w:rFonts w:ascii="Times New Roman" w:hAnsi="Times New Roman" w:cs="Times New Roman"/>
          <w:noProof/>
          <w:sz w:val="24"/>
          <w:szCs w:val="24"/>
        </w:rPr>
        <w:footnoteReference w:id="2"/>
      </w:r>
      <w:r w:rsidR="00D136C6">
        <w:rPr>
          <w:rFonts w:ascii="Times New Roman" w:hAnsi="Times New Roman"/>
          <w:noProof/>
          <w:sz w:val="24"/>
        </w:rPr>
        <w:t>. W szc</w:t>
      </w:r>
      <w:r>
        <w:rPr>
          <w:rFonts w:ascii="Times New Roman" w:hAnsi="Times New Roman"/>
          <w:noProof/>
          <w:sz w:val="24"/>
        </w:rPr>
        <w:t>zególności muszą być one przygotowane</w:t>
      </w:r>
      <w:r w:rsidR="00D136C6">
        <w:rPr>
          <w:rFonts w:ascii="Times New Roman" w:hAnsi="Times New Roman"/>
          <w:noProof/>
          <w:sz w:val="24"/>
        </w:rPr>
        <w:t xml:space="preserve"> i zdo</w:t>
      </w:r>
      <w:r>
        <w:rPr>
          <w:rFonts w:ascii="Times New Roman" w:hAnsi="Times New Roman"/>
          <w:noProof/>
          <w:sz w:val="24"/>
        </w:rPr>
        <w:t>lne do skutecznego zarządzania granicami zewnętrznymi</w:t>
      </w:r>
      <w:r w:rsidR="00D136C6">
        <w:rPr>
          <w:rFonts w:ascii="Times New Roman" w:hAnsi="Times New Roman"/>
          <w:noProof/>
          <w:sz w:val="24"/>
        </w:rPr>
        <w:t xml:space="preserve"> w imi</w:t>
      </w:r>
      <w:r>
        <w:rPr>
          <w:rFonts w:ascii="Times New Roman" w:hAnsi="Times New Roman"/>
          <w:noProof/>
          <w:sz w:val="24"/>
        </w:rPr>
        <w:t>eniu wszystkich innych państw Schengen oraz wydawania jednolitych wiz Schengen. Muszą być one</w:t>
      </w:r>
      <w:r w:rsidR="00D136C6">
        <w:rPr>
          <w:rFonts w:ascii="Times New Roman" w:hAnsi="Times New Roman"/>
          <w:noProof/>
          <w:sz w:val="24"/>
        </w:rPr>
        <w:t xml:space="preserve"> w sta</w:t>
      </w:r>
      <w:r>
        <w:rPr>
          <w:rFonts w:ascii="Times New Roman" w:hAnsi="Times New Roman"/>
          <w:noProof/>
          <w:sz w:val="24"/>
        </w:rPr>
        <w:t>nie skutecznie współpracować</w:t>
      </w:r>
      <w:r w:rsidR="00D136C6">
        <w:rPr>
          <w:rFonts w:ascii="Times New Roman" w:hAnsi="Times New Roman"/>
          <w:noProof/>
          <w:sz w:val="24"/>
        </w:rPr>
        <w:t xml:space="preserve"> z org</w:t>
      </w:r>
      <w:r>
        <w:rPr>
          <w:rFonts w:ascii="Times New Roman" w:hAnsi="Times New Roman"/>
          <w:noProof/>
          <w:sz w:val="24"/>
        </w:rPr>
        <w:t>anami ścigania</w:t>
      </w:r>
      <w:r w:rsidR="00D136C6">
        <w:rPr>
          <w:rFonts w:ascii="Times New Roman" w:hAnsi="Times New Roman"/>
          <w:noProof/>
          <w:sz w:val="24"/>
        </w:rPr>
        <w:t xml:space="preserve"> w inn</w:t>
      </w:r>
      <w:r>
        <w:rPr>
          <w:rFonts w:ascii="Times New Roman" w:hAnsi="Times New Roman"/>
          <w:noProof/>
          <w:sz w:val="24"/>
        </w:rPr>
        <w:t>ych państwach oraz mieć możliwość podłączenia się do odpowiednich systemów informacyjnych, takich jak System Informacyjny Schengen,</w:t>
      </w:r>
      <w:r w:rsidR="00D136C6">
        <w:rPr>
          <w:rFonts w:ascii="Times New Roman" w:hAnsi="Times New Roman"/>
          <w:noProof/>
          <w:sz w:val="24"/>
        </w:rPr>
        <w:t xml:space="preserve"> i kor</w:t>
      </w:r>
      <w:r>
        <w:rPr>
          <w:rFonts w:ascii="Times New Roman" w:hAnsi="Times New Roman"/>
          <w:noProof/>
          <w:sz w:val="24"/>
        </w:rPr>
        <w:t>zystania</w:t>
      </w:r>
      <w:r w:rsidR="00D136C6">
        <w:rPr>
          <w:rFonts w:ascii="Times New Roman" w:hAnsi="Times New Roman"/>
          <w:noProof/>
          <w:sz w:val="24"/>
        </w:rPr>
        <w:t xml:space="preserve"> z nic</w:t>
      </w:r>
      <w:r>
        <w:rPr>
          <w:rFonts w:ascii="Times New Roman" w:hAnsi="Times New Roman"/>
          <w:noProof/>
          <w:sz w:val="24"/>
        </w:rPr>
        <w:t>h, aby utrzymać wysoki poziom bezpieczeństwa po zniesieniu kontroli na granicach wewnętrznych. Ponadto muszą one zapewnić, aby przy prowadzeniu tych działań przestrzegane były prawa podstawowe</w:t>
      </w:r>
      <w:r w:rsidR="00D136C6">
        <w:rPr>
          <w:rFonts w:ascii="Times New Roman" w:hAnsi="Times New Roman"/>
          <w:noProof/>
          <w:sz w:val="24"/>
        </w:rPr>
        <w:t xml:space="preserve"> i wym</w:t>
      </w:r>
      <w:r>
        <w:rPr>
          <w:rFonts w:ascii="Times New Roman" w:hAnsi="Times New Roman"/>
          <w:noProof/>
          <w:sz w:val="24"/>
        </w:rPr>
        <w:t>ogi dotyczące ochrony danych.</w:t>
      </w:r>
    </w:p>
    <w:p w14:paraId="6A2D1F8E" w14:textId="483D345A" w:rsidR="00BD04C0" w:rsidRPr="0014596D" w:rsidRDefault="0032700F" w:rsidP="00605EC6">
      <w:pPr>
        <w:widowControl w:val="0"/>
        <w:spacing w:before="120" w:line="276" w:lineRule="auto"/>
        <w:jc w:val="both"/>
        <w:rPr>
          <w:rFonts w:ascii="Times New Roman" w:hAnsi="Times New Roman" w:cs="Times New Roman"/>
          <w:noProof/>
          <w:sz w:val="24"/>
          <w:szCs w:val="24"/>
        </w:rPr>
      </w:pPr>
      <w:r>
        <w:rPr>
          <w:rFonts w:ascii="Times New Roman" w:hAnsi="Times New Roman"/>
          <w:noProof/>
          <w:sz w:val="24"/>
        </w:rPr>
        <w:t>Oprócz spełnienia tych wymogów, pełne stosowanie dorobku Schengen zależy od jednomyślnej zgody wszystkich innych państw członkowskich</w:t>
      </w:r>
      <w:r w:rsidR="00D136C6">
        <w:rPr>
          <w:rFonts w:ascii="Times New Roman" w:hAnsi="Times New Roman"/>
          <w:noProof/>
          <w:sz w:val="24"/>
        </w:rPr>
        <w:t xml:space="preserve"> w peł</w:t>
      </w:r>
      <w:r>
        <w:rPr>
          <w:rFonts w:ascii="Times New Roman" w:hAnsi="Times New Roman"/>
          <w:noProof/>
          <w:sz w:val="24"/>
        </w:rPr>
        <w:t>ni stosujących dorobek Schengen</w:t>
      </w:r>
      <w:r w:rsidR="00D136C6">
        <w:rPr>
          <w:rFonts w:ascii="Times New Roman" w:hAnsi="Times New Roman"/>
          <w:noProof/>
          <w:sz w:val="24"/>
        </w:rPr>
        <w:t>. W tym</w:t>
      </w:r>
      <w:r>
        <w:rPr>
          <w:rFonts w:ascii="Times New Roman" w:hAnsi="Times New Roman"/>
          <w:noProof/>
          <w:sz w:val="24"/>
        </w:rPr>
        <w:t xml:space="preserve"> względzie poczyniono znaczne postępy</w:t>
      </w:r>
      <w:r w:rsidR="00D136C6">
        <w:rPr>
          <w:rFonts w:ascii="Times New Roman" w:hAnsi="Times New Roman"/>
          <w:noProof/>
          <w:sz w:val="24"/>
        </w:rPr>
        <w:t xml:space="preserve"> i pod</w:t>
      </w:r>
      <w:r>
        <w:rPr>
          <w:rFonts w:ascii="Times New Roman" w:hAnsi="Times New Roman"/>
          <w:noProof/>
          <w:sz w:val="24"/>
        </w:rPr>
        <w:t>jęto</w:t>
      </w:r>
      <w:r w:rsidR="00D136C6">
        <w:rPr>
          <w:rFonts w:ascii="Times New Roman" w:hAnsi="Times New Roman"/>
          <w:noProof/>
          <w:sz w:val="24"/>
        </w:rPr>
        <w:t xml:space="preserve"> w ost</w:t>
      </w:r>
      <w:r>
        <w:rPr>
          <w:rFonts w:ascii="Times New Roman" w:hAnsi="Times New Roman"/>
          <w:noProof/>
          <w:sz w:val="24"/>
        </w:rPr>
        <w:t>atnim czasie istotne kroki polityczne mające na celu wsparcie pełnego stosowania dorobku Schengen</w:t>
      </w:r>
      <w:r w:rsidR="00D136C6">
        <w:rPr>
          <w:rFonts w:ascii="Times New Roman" w:hAnsi="Times New Roman"/>
          <w:noProof/>
          <w:sz w:val="24"/>
        </w:rPr>
        <w:t xml:space="preserve"> w Buł</w:t>
      </w:r>
      <w:r>
        <w:rPr>
          <w:rFonts w:ascii="Times New Roman" w:hAnsi="Times New Roman"/>
          <w:noProof/>
          <w:sz w:val="24"/>
        </w:rPr>
        <w:t>garii, Rumunii</w:t>
      </w:r>
      <w:r w:rsidR="00D136C6">
        <w:rPr>
          <w:rFonts w:ascii="Times New Roman" w:hAnsi="Times New Roman"/>
          <w:noProof/>
          <w:sz w:val="24"/>
        </w:rPr>
        <w:t xml:space="preserve"> i Cho</w:t>
      </w:r>
      <w:r>
        <w:rPr>
          <w:rFonts w:ascii="Times New Roman" w:hAnsi="Times New Roman"/>
          <w:noProof/>
          <w:sz w:val="24"/>
        </w:rPr>
        <w:t>rwacji. Jest to kwestia, za którą zdecydowanie opowiada się Parlament Europejski</w:t>
      </w:r>
      <w:r w:rsidR="00D136C6">
        <w:rPr>
          <w:rFonts w:ascii="Times New Roman" w:hAnsi="Times New Roman"/>
          <w:noProof/>
          <w:sz w:val="24"/>
        </w:rPr>
        <w:t xml:space="preserve"> i któ</w:t>
      </w:r>
      <w:r>
        <w:rPr>
          <w:rFonts w:ascii="Times New Roman" w:hAnsi="Times New Roman"/>
          <w:noProof/>
          <w:sz w:val="24"/>
        </w:rPr>
        <w:t>ra stanowi priorytet dla czeskiej prezydencji</w:t>
      </w:r>
      <w:r w:rsidR="00D136C6">
        <w:rPr>
          <w:rFonts w:ascii="Times New Roman" w:hAnsi="Times New Roman"/>
          <w:noProof/>
          <w:sz w:val="24"/>
        </w:rPr>
        <w:t xml:space="preserve"> w Rad</w:t>
      </w:r>
      <w:r>
        <w:rPr>
          <w:rFonts w:ascii="Times New Roman" w:hAnsi="Times New Roman"/>
          <w:noProof/>
          <w:sz w:val="24"/>
        </w:rPr>
        <w:t>zie Unii Europejskiej.</w:t>
      </w:r>
    </w:p>
    <w:p w14:paraId="3245F331" w14:textId="77AA035F" w:rsidR="00BC772C" w:rsidRPr="0014596D" w:rsidRDefault="00607A97"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W odniesieniu do Cypru</w:t>
      </w:r>
      <w:r>
        <w:rPr>
          <w:rStyle w:val="FootnoteReference"/>
          <w:rFonts w:ascii="Times New Roman" w:eastAsia="Calibri" w:hAnsi="Times New Roman" w:cs="Times New Roman"/>
          <w:noProof/>
          <w:sz w:val="24"/>
          <w:szCs w:val="24"/>
        </w:rPr>
        <w:footnoteReference w:id="3"/>
      </w:r>
      <w:r>
        <w:rPr>
          <w:rFonts w:ascii="Times New Roman" w:hAnsi="Times New Roman"/>
          <w:noProof/>
          <w:sz w:val="24"/>
        </w:rPr>
        <w:t xml:space="preserve"> toczy się obecnie proces oceny stosowania dorobku Schengen,</w:t>
      </w:r>
      <w:r w:rsidR="00D136C6">
        <w:rPr>
          <w:rFonts w:ascii="Times New Roman" w:hAnsi="Times New Roman"/>
          <w:noProof/>
          <w:sz w:val="24"/>
        </w:rPr>
        <w:t xml:space="preserve"> w ram</w:t>
      </w:r>
      <w:r>
        <w:rPr>
          <w:rFonts w:ascii="Times New Roman" w:hAnsi="Times New Roman"/>
          <w:noProof/>
          <w:sz w:val="24"/>
        </w:rPr>
        <w:t>ach którego analizuje się gotowość do przystąpienia do strefy Schengen. System Informacyjny Schengen na Cyprze zacznie funkcjonować już wkrótce,</w:t>
      </w:r>
      <w:r w:rsidR="00D136C6">
        <w:rPr>
          <w:rFonts w:ascii="Times New Roman" w:hAnsi="Times New Roman"/>
          <w:noProof/>
          <w:sz w:val="24"/>
        </w:rPr>
        <w:t xml:space="preserve"> a pro</w:t>
      </w:r>
      <w:r>
        <w:rPr>
          <w:rFonts w:ascii="Times New Roman" w:hAnsi="Times New Roman"/>
          <w:noProof/>
          <w:sz w:val="24"/>
        </w:rPr>
        <w:t>ces ten zostanie zweryfikowany</w:t>
      </w:r>
      <w:r w:rsidR="00D136C6">
        <w:rPr>
          <w:rFonts w:ascii="Times New Roman" w:hAnsi="Times New Roman"/>
          <w:noProof/>
          <w:sz w:val="24"/>
        </w:rPr>
        <w:t xml:space="preserve"> w 2</w:t>
      </w:r>
      <w:r>
        <w:rPr>
          <w:rFonts w:ascii="Times New Roman" w:hAnsi="Times New Roman"/>
          <w:noProof/>
          <w:sz w:val="24"/>
        </w:rPr>
        <w:t>0</w:t>
      </w:r>
      <w:r w:rsidRPr="00D136C6">
        <w:rPr>
          <w:rFonts w:ascii="Times New Roman" w:hAnsi="Times New Roman"/>
          <w:noProof/>
          <w:sz w:val="24"/>
        </w:rPr>
        <w:t>23</w:t>
      </w:r>
      <w:r w:rsidR="00D136C6" w:rsidRPr="00D136C6">
        <w:rPr>
          <w:rFonts w:ascii="Times New Roman" w:hAnsi="Times New Roman"/>
          <w:noProof/>
          <w:sz w:val="24"/>
        </w:rPr>
        <w:t> </w:t>
      </w:r>
      <w:r w:rsidRPr="00D136C6">
        <w:rPr>
          <w:rFonts w:ascii="Times New Roman" w:hAnsi="Times New Roman"/>
          <w:noProof/>
          <w:sz w:val="24"/>
        </w:rPr>
        <w:t>r.</w:t>
      </w:r>
      <w:r w:rsidR="00D136C6">
        <w:rPr>
          <w:rFonts w:ascii="Times New Roman" w:hAnsi="Times New Roman"/>
          <w:noProof/>
          <w:sz w:val="24"/>
        </w:rPr>
        <w:t xml:space="preserve"> w ram</w:t>
      </w:r>
      <w:r>
        <w:rPr>
          <w:rFonts w:ascii="Times New Roman" w:hAnsi="Times New Roman"/>
          <w:noProof/>
          <w:sz w:val="24"/>
        </w:rPr>
        <w:t>ach odpowiedniej oceny stosowania dorobku Schengen.</w:t>
      </w:r>
    </w:p>
    <w:p w14:paraId="6020882A" w14:textId="28389DF5" w:rsidR="00BD04C0" w:rsidRPr="0014596D" w:rsidRDefault="00305FA4" w:rsidP="00605EC6">
      <w:pPr>
        <w:widowControl w:val="0"/>
        <w:spacing w:before="120" w:line="276" w:lineRule="auto"/>
        <w:jc w:val="both"/>
        <w:rPr>
          <w:rFonts w:ascii="Times New Roman" w:hAnsi="Times New Roman" w:cs="Times New Roman"/>
          <w:noProof/>
          <w:sz w:val="24"/>
          <w:szCs w:val="24"/>
        </w:rPr>
      </w:pPr>
      <w:r>
        <w:rPr>
          <w:rFonts w:ascii="Times New Roman" w:hAnsi="Times New Roman"/>
          <w:noProof/>
          <w:sz w:val="24"/>
        </w:rPr>
        <w:t>W niniejszym komunikacie podsumowano znaczące osiągnięcia Bułgarii, Rumunii</w:t>
      </w:r>
      <w:r w:rsidR="00D136C6">
        <w:rPr>
          <w:rFonts w:ascii="Times New Roman" w:hAnsi="Times New Roman"/>
          <w:noProof/>
          <w:sz w:val="24"/>
        </w:rPr>
        <w:t xml:space="preserve"> i Cho</w:t>
      </w:r>
      <w:r>
        <w:rPr>
          <w:rFonts w:ascii="Times New Roman" w:hAnsi="Times New Roman"/>
          <w:noProof/>
          <w:sz w:val="24"/>
        </w:rPr>
        <w:t>rwacji pod względem wprowadzenia wszelkich środków niezbędnych do zapewnienia zgodności</w:t>
      </w:r>
      <w:r w:rsidR="00D136C6">
        <w:rPr>
          <w:rFonts w:ascii="Times New Roman" w:hAnsi="Times New Roman"/>
          <w:noProof/>
          <w:sz w:val="24"/>
        </w:rPr>
        <w:t xml:space="preserve"> z war</w:t>
      </w:r>
      <w:r>
        <w:rPr>
          <w:rFonts w:ascii="Times New Roman" w:hAnsi="Times New Roman"/>
          <w:noProof/>
          <w:sz w:val="24"/>
        </w:rPr>
        <w:t>unkami koniecznymi do stosowania wszystkich istotnych elementów dorobku Schengen, jak określono</w:t>
      </w:r>
      <w:r w:rsidR="00D136C6">
        <w:rPr>
          <w:rFonts w:ascii="Times New Roman" w:hAnsi="Times New Roman"/>
          <w:noProof/>
          <w:sz w:val="24"/>
        </w:rPr>
        <w:t xml:space="preserve"> w ich</w:t>
      </w:r>
      <w:r>
        <w:rPr>
          <w:rFonts w:ascii="Times New Roman" w:hAnsi="Times New Roman"/>
          <w:noProof/>
          <w:sz w:val="24"/>
        </w:rPr>
        <w:t xml:space="preserve"> odpowiednich aktach przystąpienia</w:t>
      </w:r>
      <w:r w:rsidR="00D136C6">
        <w:rPr>
          <w:rFonts w:ascii="Times New Roman" w:hAnsi="Times New Roman"/>
          <w:noProof/>
          <w:sz w:val="24"/>
        </w:rPr>
        <w:t xml:space="preserve"> z 2</w:t>
      </w:r>
      <w:r>
        <w:rPr>
          <w:rFonts w:ascii="Times New Roman" w:hAnsi="Times New Roman"/>
          <w:noProof/>
          <w:sz w:val="24"/>
        </w:rPr>
        <w:t>0</w:t>
      </w:r>
      <w:r w:rsidRPr="00D136C6">
        <w:rPr>
          <w:rFonts w:ascii="Times New Roman" w:hAnsi="Times New Roman"/>
          <w:noProof/>
          <w:sz w:val="24"/>
        </w:rPr>
        <w:t>05</w:t>
      </w:r>
      <w:r w:rsidR="00D136C6" w:rsidRPr="00D136C6">
        <w:rPr>
          <w:rFonts w:ascii="Times New Roman" w:hAnsi="Times New Roman"/>
          <w:noProof/>
          <w:sz w:val="24"/>
        </w:rPr>
        <w:t> </w:t>
      </w:r>
      <w:r w:rsidRPr="00D136C6">
        <w:rPr>
          <w:rFonts w:ascii="Times New Roman" w:hAnsi="Times New Roman"/>
          <w:noProof/>
          <w:sz w:val="24"/>
        </w:rPr>
        <w:t>r.</w:t>
      </w:r>
      <w:r w:rsidR="00D136C6">
        <w:rPr>
          <w:rFonts w:ascii="Times New Roman" w:hAnsi="Times New Roman"/>
          <w:noProof/>
          <w:sz w:val="24"/>
        </w:rPr>
        <w:t xml:space="preserve"> i 2</w:t>
      </w:r>
      <w:r>
        <w:rPr>
          <w:rFonts w:ascii="Times New Roman" w:hAnsi="Times New Roman"/>
          <w:noProof/>
          <w:sz w:val="24"/>
        </w:rPr>
        <w:t>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Wezwano</w:t>
      </w:r>
      <w:r w:rsidR="00D136C6">
        <w:rPr>
          <w:rFonts w:ascii="Times New Roman" w:hAnsi="Times New Roman"/>
          <w:noProof/>
          <w:sz w:val="24"/>
        </w:rPr>
        <w:t xml:space="preserve"> w nim</w:t>
      </w:r>
      <w:r>
        <w:rPr>
          <w:rFonts w:ascii="Times New Roman" w:hAnsi="Times New Roman"/>
          <w:noProof/>
          <w:sz w:val="24"/>
        </w:rPr>
        <w:t xml:space="preserve"> Radę do niezwłocznego podjęcia niezbędnych decyzji umożliwiających tym trzech państwom, które nie należą jeszcze</w:t>
      </w:r>
      <w:r w:rsidR="00D136C6">
        <w:rPr>
          <w:rFonts w:ascii="Times New Roman" w:hAnsi="Times New Roman"/>
          <w:noProof/>
          <w:sz w:val="24"/>
        </w:rPr>
        <w:t xml:space="preserve"> w peł</w:t>
      </w:r>
      <w:r>
        <w:rPr>
          <w:rFonts w:ascii="Times New Roman" w:hAnsi="Times New Roman"/>
          <w:noProof/>
          <w:sz w:val="24"/>
        </w:rPr>
        <w:t>ni do obszaru bez kontroli na granicach wewnętrznych, przystąpienie do strefy Schengen.</w:t>
      </w:r>
    </w:p>
    <w:p w14:paraId="5B149D94" w14:textId="0E0E4ECC" w:rsidR="00305FA4" w:rsidRPr="0014596D" w:rsidRDefault="00DB2DE4" w:rsidP="00605EC6">
      <w:pPr>
        <w:widowControl w:val="0"/>
        <w:spacing w:before="120" w:after="0" w:line="276" w:lineRule="auto"/>
        <w:jc w:val="both"/>
        <w:rPr>
          <w:rFonts w:ascii="Times New Roman" w:eastAsia="Calibri" w:hAnsi="Times New Roman" w:cs="Times New Roman"/>
          <w:noProof/>
          <w:sz w:val="24"/>
          <w:szCs w:val="24"/>
        </w:rPr>
      </w:pPr>
      <w:r>
        <w:rPr>
          <w:rFonts w:ascii="Times New Roman" w:hAnsi="Times New Roman"/>
          <w:noProof/>
          <w:sz w:val="24"/>
        </w:rPr>
        <w:t>Nie ulega wątpliwości, że Unia jest gotowa na taką historyczną decyzję. Dzięki wspólnym staraniom podejmowanym</w:t>
      </w:r>
      <w:r w:rsidR="00D136C6">
        <w:rPr>
          <w:rFonts w:ascii="Times New Roman" w:hAnsi="Times New Roman"/>
          <w:noProof/>
          <w:sz w:val="24"/>
        </w:rPr>
        <w:t xml:space="preserve"> w ost</w:t>
      </w:r>
      <w:r>
        <w:rPr>
          <w:rFonts w:ascii="Times New Roman" w:hAnsi="Times New Roman"/>
          <w:noProof/>
          <w:sz w:val="24"/>
        </w:rPr>
        <w:t>atnich latach strefa Schengen stała się silniejsza</w:t>
      </w:r>
      <w:r w:rsidR="00D136C6">
        <w:rPr>
          <w:rFonts w:ascii="Times New Roman" w:hAnsi="Times New Roman"/>
          <w:noProof/>
          <w:sz w:val="24"/>
        </w:rPr>
        <w:t xml:space="preserve"> i bar</w:t>
      </w:r>
      <w:r>
        <w:rPr>
          <w:rFonts w:ascii="Times New Roman" w:hAnsi="Times New Roman"/>
          <w:noProof/>
          <w:sz w:val="24"/>
        </w:rPr>
        <w:t>dziej odporna. Ustanowiony niedawno cykl zarządzania strefą Schengen zapewnia wszystkie narzędzia niezbędne do regularnej oceny stanu Schengen, począwszy od ram administracyjnych do wspólnego zarządzania politycznego</w:t>
      </w:r>
      <w:r w:rsidR="00D136C6">
        <w:rPr>
          <w:rFonts w:ascii="Times New Roman" w:hAnsi="Times New Roman"/>
          <w:noProof/>
          <w:sz w:val="24"/>
        </w:rPr>
        <w:t xml:space="preserve"> i wsp</w:t>
      </w:r>
      <w:r>
        <w:rPr>
          <w:rFonts w:ascii="Times New Roman" w:hAnsi="Times New Roman"/>
          <w:noProof/>
          <w:sz w:val="24"/>
        </w:rPr>
        <w:t>ólnej odpowiedzialności politycznej. Rada ds. Schengen</w:t>
      </w:r>
      <w:r w:rsidR="00D136C6">
        <w:rPr>
          <w:rFonts w:ascii="Times New Roman" w:hAnsi="Times New Roman"/>
          <w:noProof/>
          <w:sz w:val="24"/>
        </w:rPr>
        <w:t xml:space="preserve"> i for</w:t>
      </w:r>
      <w:r>
        <w:rPr>
          <w:rFonts w:ascii="Times New Roman" w:hAnsi="Times New Roman"/>
          <w:noProof/>
          <w:sz w:val="24"/>
        </w:rPr>
        <w:t>um Schengen ułatwiają przejrzysty</w:t>
      </w:r>
      <w:r w:rsidR="00D136C6">
        <w:rPr>
          <w:rFonts w:ascii="Times New Roman" w:hAnsi="Times New Roman"/>
          <w:noProof/>
          <w:sz w:val="24"/>
        </w:rPr>
        <w:t xml:space="preserve"> i kon</w:t>
      </w:r>
      <w:r>
        <w:rPr>
          <w:rFonts w:ascii="Times New Roman" w:hAnsi="Times New Roman"/>
          <w:noProof/>
          <w:sz w:val="24"/>
        </w:rPr>
        <w:t>struktywny dialog między instytucjami Unii</w:t>
      </w:r>
      <w:r w:rsidR="00D136C6">
        <w:rPr>
          <w:rFonts w:ascii="Times New Roman" w:hAnsi="Times New Roman"/>
          <w:noProof/>
          <w:sz w:val="24"/>
        </w:rPr>
        <w:t xml:space="preserve"> i pań</w:t>
      </w:r>
      <w:r>
        <w:rPr>
          <w:rFonts w:ascii="Times New Roman" w:hAnsi="Times New Roman"/>
          <w:noProof/>
          <w:sz w:val="24"/>
        </w:rPr>
        <w:t>stwami członkowskimi. Nowy</w:t>
      </w:r>
      <w:r w:rsidR="00D136C6">
        <w:rPr>
          <w:rFonts w:ascii="Times New Roman" w:hAnsi="Times New Roman"/>
          <w:noProof/>
          <w:sz w:val="24"/>
        </w:rPr>
        <w:t xml:space="preserve"> i wzm</w:t>
      </w:r>
      <w:r>
        <w:rPr>
          <w:rFonts w:ascii="Times New Roman" w:hAnsi="Times New Roman"/>
          <w:noProof/>
          <w:sz w:val="24"/>
        </w:rPr>
        <w:t>ocniony mechanizm oceny</w:t>
      </w:r>
      <w:r w:rsidR="00D136C6">
        <w:rPr>
          <w:rFonts w:ascii="Times New Roman" w:hAnsi="Times New Roman"/>
          <w:noProof/>
          <w:sz w:val="24"/>
        </w:rPr>
        <w:t xml:space="preserve"> i mon</w:t>
      </w:r>
      <w:r>
        <w:rPr>
          <w:rFonts w:ascii="Times New Roman" w:hAnsi="Times New Roman"/>
          <w:noProof/>
          <w:sz w:val="24"/>
        </w:rPr>
        <w:t>itorowania Schengen, któremu Bułgaria, Rumunia</w:t>
      </w:r>
      <w:r w:rsidR="00D136C6">
        <w:rPr>
          <w:rFonts w:ascii="Times New Roman" w:hAnsi="Times New Roman"/>
          <w:noProof/>
          <w:sz w:val="24"/>
        </w:rPr>
        <w:t xml:space="preserve"> i Cho</w:t>
      </w:r>
      <w:r>
        <w:rPr>
          <w:rFonts w:ascii="Times New Roman" w:hAnsi="Times New Roman"/>
          <w:noProof/>
          <w:sz w:val="24"/>
        </w:rPr>
        <w:t>rwacja będą podlegać niezwłocznie po zapadnięciu decyzji</w:t>
      </w:r>
      <w:r w:rsidR="00D136C6">
        <w:rPr>
          <w:rFonts w:ascii="Times New Roman" w:hAnsi="Times New Roman"/>
          <w:noProof/>
          <w:sz w:val="24"/>
        </w:rPr>
        <w:t xml:space="preserve"> o peł</w:t>
      </w:r>
      <w:r>
        <w:rPr>
          <w:rFonts w:ascii="Times New Roman" w:hAnsi="Times New Roman"/>
          <w:noProof/>
          <w:sz w:val="24"/>
        </w:rPr>
        <w:t>nym stosowaniu dorobku Schengen, zapewni identyfikację wszelkich możliwych niedociągnięć</w:t>
      </w:r>
      <w:r w:rsidR="00D136C6">
        <w:rPr>
          <w:rFonts w:ascii="Times New Roman" w:hAnsi="Times New Roman"/>
          <w:noProof/>
          <w:sz w:val="24"/>
        </w:rPr>
        <w:t xml:space="preserve"> i śro</w:t>
      </w:r>
      <w:r>
        <w:rPr>
          <w:rFonts w:ascii="Times New Roman" w:hAnsi="Times New Roman"/>
          <w:noProof/>
          <w:sz w:val="24"/>
        </w:rPr>
        <w:t>dków naprawczych</w:t>
      </w:r>
      <w:r w:rsidR="00D136C6">
        <w:rPr>
          <w:rFonts w:ascii="Times New Roman" w:hAnsi="Times New Roman"/>
          <w:noProof/>
          <w:sz w:val="24"/>
        </w:rPr>
        <w:t xml:space="preserve"> w odp</w:t>
      </w:r>
      <w:r>
        <w:rPr>
          <w:rFonts w:ascii="Times New Roman" w:hAnsi="Times New Roman"/>
          <w:noProof/>
          <w:sz w:val="24"/>
        </w:rPr>
        <w:t>owiednim czasie.</w:t>
      </w:r>
    </w:p>
    <w:p w14:paraId="575A2880" w14:textId="13C49FF0" w:rsidR="007F3DB0" w:rsidRPr="0014596D" w:rsidRDefault="00FF4B58" w:rsidP="00DD6CFE">
      <w:pPr>
        <w:widowControl w:val="0"/>
        <w:spacing w:before="120" w:after="240" w:line="276" w:lineRule="auto"/>
        <w:jc w:val="both"/>
        <w:rPr>
          <w:rFonts w:ascii="Times New Roman" w:hAnsi="Times New Roman" w:cs="Times New Roman"/>
          <w:noProof/>
          <w:sz w:val="24"/>
          <w:szCs w:val="24"/>
        </w:rPr>
      </w:pPr>
      <w:r>
        <w:rPr>
          <w:rFonts w:ascii="Times New Roman" w:hAnsi="Times New Roman"/>
          <w:noProof/>
          <w:sz w:val="24"/>
        </w:rPr>
        <w:t>W związku</w:t>
      </w:r>
      <w:r w:rsidR="00D136C6">
        <w:rPr>
          <w:rFonts w:ascii="Times New Roman" w:hAnsi="Times New Roman"/>
          <w:noProof/>
          <w:sz w:val="24"/>
        </w:rPr>
        <w:t xml:space="preserve"> z tym</w:t>
      </w:r>
      <w:r>
        <w:rPr>
          <w:rFonts w:ascii="Times New Roman" w:hAnsi="Times New Roman"/>
          <w:noProof/>
          <w:sz w:val="24"/>
        </w:rPr>
        <w:t xml:space="preserve"> ósme rozszerzenie strefy Schengen potwierdziłoby</w:t>
      </w:r>
      <w:r w:rsidR="00D136C6">
        <w:rPr>
          <w:rFonts w:ascii="Times New Roman" w:hAnsi="Times New Roman"/>
          <w:noProof/>
          <w:sz w:val="24"/>
        </w:rPr>
        <w:t xml:space="preserve"> i wzm</w:t>
      </w:r>
      <w:r>
        <w:rPr>
          <w:rFonts w:ascii="Times New Roman" w:hAnsi="Times New Roman"/>
          <w:noProof/>
          <w:sz w:val="24"/>
        </w:rPr>
        <w:t>ocniło wzajemne zaufanie</w:t>
      </w:r>
      <w:r w:rsidR="00D136C6">
        <w:rPr>
          <w:rFonts w:ascii="Times New Roman" w:hAnsi="Times New Roman"/>
          <w:noProof/>
          <w:sz w:val="24"/>
        </w:rPr>
        <w:t xml:space="preserve"> i jed</w:t>
      </w:r>
      <w:r>
        <w:rPr>
          <w:rFonts w:ascii="Times New Roman" w:hAnsi="Times New Roman"/>
          <w:noProof/>
          <w:sz w:val="24"/>
        </w:rPr>
        <w:t>ność między państwami członkowskimi, na których opiera się Schengen,</w:t>
      </w:r>
      <w:r w:rsidR="00D136C6">
        <w:rPr>
          <w:rFonts w:ascii="Times New Roman" w:hAnsi="Times New Roman"/>
          <w:noProof/>
          <w:sz w:val="24"/>
        </w:rPr>
        <w:t xml:space="preserve"> a tak</w:t>
      </w:r>
      <w:r>
        <w:rPr>
          <w:rFonts w:ascii="Times New Roman" w:hAnsi="Times New Roman"/>
          <w:noProof/>
          <w:sz w:val="24"/>
        </w:rPr>
        <w:t>że przyczyniłoby się do nieustannego dostosowywania</w:t>
      </w:r>
      <w:r w:rsidR="00D136C6">
        <w:rPr>
          <w:rFonts w:ascii="Times New Roman" w:hAnsi="Times New Roman"/>
          <w:noProof/>
          <w:sz w:val="24"/>
        </w:rPr>
        <w:t xml:space="preserve"> i roz</w:t>
      </w:r>
      <w:r>
        <w:rPr>
          <w:rFonts w:ascii="Times New Roman" w:hAnsi="Times New Roman"/>
          <w:noProof/>
          <w:sz w:val="24"/>
        </w:rPr>
        <w:t>wijania tego zasadniczego projektu.</w:t>
      </w:r>
    </w:p>
    <w:p w14:paraId="0C4CCA74" w14:textId="00957806" w:rsidR="00305FA4" w:rsidRPr="0014596D" w:rsidRDefault="00305FA4" w:rsidP="00DD6CFE">
      <w:pPr>
        <w:keepNext/>
        <w:numPr>
          <w:ilvl w:val="0"/>
          <w:numId w:val="1"/>
        </w:numPr>
        <w:spacing w:before="240" w:after="240" w:line="276" w:lineRule="auto"/>
        <w:ind w:left="720"/>
        <w:jc w:val="both"/>
        <w:rPr>
          <w:rFonts w:ascii="Times New Roman" w:hAnsi="Times New Roman" w:cs="Times New Roman"/>
          <w:b/>
          <w:noProof/>
          <w:sz w:val="24"/>
          <w:szCs w:val="24"/>
        </w:rPr>
      </w:pPr>
      <w:r>
        <w:rPr>
          <w:rFonts w:ascii="Times New Roman" w:hAnsi="Times New Roman"/>
          <w:b/>
          <w:noProof/>
          <w:sz w:val="24"/>
        </w:rPr>
        <w:t>Znaczące osiągnięcia Bułgarii, Rumunii</w:t>
      </w:r>
      <w:r w:rsidR="00D136C6">
        <w:rPr>
          <w:rFonts w:ascii="Times New Roman" w:hAnsi="Times New Roman"/>
          <w:b/>
          <w:noProof/>
          <w:sz w:val="24"/>
        </w:rPr>
        <w:t xml:space="preserve"> i Cho</w:t>
      </w:r>
      <w:r>
        <w:rPr>
          <w:rFonts w:ascii="Times New Roman" w:hAnsi="Times New Roman"/>
          <w:b/>
          <w:noProof/>
          <w:sz w:val="24"/>
        </w:rPr>
        <w:t>rwacji</w:t>
      </w:r>
    </w:p>
    <w:p w14:paraId="78FF71B2" w14:textId="3892A60C" w:rsidR="00305FA4" w:rsidRPr="0014596D" w:rsidRDefault="00305FA4" w:rsidP="00605EC6">
      <w:pPr>
        <w:widowControl w:val="0"/>
        <w:spacing w:before="240" w:line="276" w:lineRule="auto"/>
        <w:jc w:val="both"/>
        <w:rPr>
          <w:rFonts w:ascii="Times New Roman" w:eastAsia="Calibri" w:hAnsi="Times New Roman" w:cs="Times New Roman"/>
          <w:noProof/>
          <w:sz w:val="24"/>
          <w:szCs w:val="24"/>
        </w:rPr>
      </w:pPr>
      <w:r>
        <w:rPr>
          <w:rFonts w:ascii="Times New Roman" w:hAnsi="Times New Roman"/>
          <w:noProof/>
          <w:sz w:val="24"/>
        </w:rPr>
        <w:t>Od 20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Komisja konsekwentnie podtrzymuje opinię, że Bułgaria</w:t>
      </w:r>
      <w:r w:rsidR="00D136C6">
        <w:rPr>
          <w:rFonts w:ascii="Times New Roman" w:hAnsi="Times New Roman"/>
          <w:noProof/>
          <w:sz w:val="24"/>
        </w:rPr>
        <w:t xml:space="preserve"> i Rum</w:t>
      </w:r>
      <w:r>
        <w:rPr>
          <w:rFonts w:ascii="Times New Roman" w:hAnsi="Times New Roman"/>
          <w:noProof/>
          <w:sz w:val="24"/>
        </w:rPr>
        <w:t>unia są gotowe stać się częścią strefy Schengen bez kontroli na granicach wewnętrznych. Tak samo jest</w:t>
      </w:r>
      <w:r w:rsidR="00D136C6">
        <w:rPr>
          <w:rFonts w:ascii="Times New Roman" w:hAnsi="Times New Roman"/>
          <w:noProof/>
          <w:sz w:val="24"/>
        </w:rPr>
        <w:t xml:space="preserve"> w prz</w:t>
      </w:r>
      <w:r>
        <w:rPr>
          <w:rFonts w:ascii="Times New Roman" w:hAnsi="Times New Roman"/>
          <w:noProof/>
          <w:sz w:val="24"/>
        </w:rPr>
        <w:t xml:space="preserve">ypadku Chorwacji </w:t>
      </w:r>
      <w:r w:rsidRPr="00D136C6">
        <w:rPr>
          <w:rFonts w:ascii="Times New Roman" w:hAnsi="Times New Roman"/>
          <w:noProof/>
          <w:sz w:val="24"/>
        </w:rPr>
        <w:t>od</w:t>
      </w:r>
      <w:r w:rsidR="00D136C6" w:rsidRPr="00D136C6">
        <w:rPr>
          <w:rFonts w:ascii="Times New Roman" w:hAnsi="Times New Roman"/>
          <w:noProof/>
          <w:sz w:val="24"/>
        </w:rPr>
        <w:t> </w:t>
      </w:r>
      <w:r w:rsidRPr="00D136C6">
        <w:rPr>
          <w:rFonts w:ascii="Times New Roman" w:hAnsi="Times New Roman"/>
          <w:noProof/>
          <w:sz w:val="24"/>
        </w:rPr>
        <w:t>2</w:t>
      </w:r>
      <w:r>
        <w:rPr>
          <w:rFonts w:ascii="Times New Roman" w:hAnsi="Times New Roman"/>
          <w:noProof/>
          <w:sz w:val="24"/>
        </w:rPr>
        <w:t>0</w:t>
      </w:r>
      <w:r w:rsidRPr="00D136C6">
        <w:rPr>
          <w:rFonts w:ascii="Times New Roman" w:hAnsi="Times New Roman"/>
          <w:noProof/>
          <w:sz w:val="24"/>
        </w:rPr>
        <w:t>19</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Komisja aktywnie wzywała Radę</w:t>
      </w:r>
      <w:r>
        <w:rPr>
          <w:rStyle w:val="FootnoteReference"/>
          <w:rFonts w:ascii="Times New Roman" w:eastAsia="Calibri" w:hAnsi="Times New Roman" w:cs="Times New Roman"/>
          <w:noProof/>
          <w:sz w:val="24"/>
          <w:szCs w:val="24"/>
        </w:rPr>
        <w:footnoteReference w:id="4"/>
      </w:r>
      <w:r>
        <w:rPr>
          <w:rFonts w:ascii="Times New Roman" w:hAnsi="Times New Roman"/>
          <w:noProof/>
          <w:sz w:val="24"/>
        </w:rPr>
        <w:t xml:space="preserve"> do podjęcia decyzji umożliwiających Bułgarii, Rumunii</w:t>
      </w:r>
      <w:r w:rsidR="00D136C6">
        <w:rPr>
          <w:rFonts w:ascii="Times New Roman" w:hAnsi="Times New Roman"/>
          <w:noProof/>
          <w:sz w:val="24"/>
        </w:rPr>
        <w:t xml:space="preserve"> i Cho</w:t>
      </w:r>
      <w:r>
        <w:rPr>
          <w:rFonts w:ascii="Times New Roman" w:hAnsi="Times New Roman"/>
          <w:noProof/>
          <w:sz w:val="24"/>
        </w:rPr>
        <w:t>rwacji przystąpienie do strefy bez kontroli wewnętrznych. Parlament Europejski wielokrotnie podejmował takie same deklaracje</w:t>
      </w:r>
      <w:r>
        <w:rPr>
          <w:rFonts w:ascii="Times New Roman" w:eastAsia="Calibri" w:hAnsi="Times New Roman" w:cs="Times New Roman"/>
          <w:noProof/>
          <w:sz w:val="24"/>
          <w:szCs w:val="24"/>
          <w:vertAlign w:val="superscript"/>
        </w:rPr>
        <w:footnoteReference w:id="5"/>
      </w:r>
      <w:r>
        <w:rPr>
          <w:rFonts w:ascii="Times New Roman" w:hAnsi="Times New Roman"/>
          <w:noProof/>
          <w:sz w:val="24"/>
        </w:rPr>
        <w:t>.</w:t>
      </w:r>
    </w:p>
    <w:p w14:paraId="7AB9A449" w14:textId="41C43225" w:rsidR="00EF6770" w:rsidRPr="0014596D" w:rsidRDefault="00EF6770" w:rsidP="00605EC6">
      <w:pPr>
        <w:widowControl w:val="0"/>
        <w:spacing w:before="120" w:line="276" w:lineRule="auto"/>
        <w:jc w:val="both"/>
        <w:rPr>
          <w:rFonts w:ascii="Times New Roman" w:eastAsia="Calibri" w:hAnsi="Times New Roman" w:cs="Times New Roman"/>
          <w:noProof/>
          <w:sz w:val="24"/>
          <w:szCs w:val="24"/>
        </w:rPr>
      </w:pPr>
      <w:r>
        <w:rPr>
          <w:rFonts w:ascii="Times New Roman" w:hAnsi="Times New Roman"/>
          <w:noProof/>
          <w:sz w:val="24"/>
        </w:rPr>
        <w:t>Od lat te państwa członkowskie</w:t>
      </w:r>
      <w:r w:rsidR="00D136C6">
        <w:rPr>
          <w:rFonts w:ascii="Times New Roman" w:hAnsi="Times New Roman"/>
          <w:noProof/>
          <w:sz w:val="24"/>
        </w:rPr>
        <w:t xml:space="preserve"> w zna</w:t>
      </w:r>
      <w:r>
        <w:rPr>
          <w:rFonts w:ascii="Times New Roman" w:hAnsi="Times New Roman"/>
          <w:noProof/>
          <w:sz w:val="24"/>
        </w:rPr>
        <w:t>cznym stopniu przyczyniają się do odpowiedniego funkcjonowania strefy Schengen,</w:t>
      </w:r>
      <w:r w:rsidR="00D136C6">
        <w:rPr>
          <w:rFonts w:ascii="Times New Roman" w:hAnsi="Times New Roman"/>
          <w:noProof/>
          <w:sz w:val="24"/>
        </w:rPr>
        <w:t xml:space="preserve"> w tym</w:t>
      </w:r>
      <w:r>
        <w:rPr>
          <w:rFonts w:ascii="Times New Roman" w:hAnsi="Times New Roman"/>
          <w:noProof/>
          <w:sz w:val="24"/>
        </w:rPr>
        <w:t xml:space="preserve"> podczas kryzysów migracyjnych, ograniczeń związanych</w:t>
      </w:r>
      <w:r w:rsidR="00D136C6">
        <w:rPr>
          <w:rFonts w:ascii="Times New Roman" w:hAnsi="Times New Roman"/>
          <w:noProof/>
          <w:sz w:val="24"/>
        </w:rPr>
        <w:t xml:space="preserve"> z pan</w:t>
      </w:r>
      <w:r>
        <w:rPr>
          <w:rFonts w:ascii="Times New Roman" w:hAnsi="Times New Roman"/>
          <w:noProof/>
          <w:sz w:val="24"/>
        </w:rPr>
        <w:t>demią,</w:t>
      </w:r>
      <w:r w:rsidR="00D136C6">
        <w:rPr>
          <w:rFonts w:ascii="Times New Roman" w:hAnsi="Times New Roman"/>
          <w:noProof/>
          <w:sz w:val="24"/>
        </w:rPr>
        <w:t xml:space="preserve"> a ost</w:t>
      </w:r>
      <w:r>
        <w:rPr>
          <w:rFonts w:ascii="Times New Roman" w:hAnsi="Times New Roman"/>
          <w:noProof/>
          <w:sz w:val="24"/>
        </w:rPr>
        <w:t>atnio</w:t>
      </w:r>
      <w:r w:rsidR="00D136C6">
        <w:rPr>
          <w:rFonts w:ascii="Times New Roman" w:hAnsi="Times New Roman"/>
          <w:noProof/>
          <w:sz w:val="24"/>
        </w:rPr>
        <w:t xml:space="preserve"> w obl</w:t>
      </w:r>
      <w:r>
        <w:rPr>
          <w:rFonts w:ascii="Times New Roman" w:hAnsi="Times New Roman"/>
          <w:noProof/>
          <w:sz w:val="24"/>
        </w:rPr>
        <w:t>iczu bezprecedensowych skutków wojny</w:t>
      </w:r>
      <w:r w:rsidR="00D136C6">
        <w:rPr>
          <w:rFonts w:ascii="Times New Roman" w:hAnsi="Times New Roman"/>
          <w:noProof/>
          <w:sz w:val="24"/>
        </w:rPr>
        <w:t xml:space="preserve"> w Ukr</w:t>
      </w:r>
      <w:r>
        <w:rPr>
          <w:rFonts w:ascii="Times New Roman" w:hAnsi="Times New Roman"/>
          <w:noProof/>
          <w:sz w:val="24"/>
        </w:rPr>
        <w:t>ainie. Po pomyślnym przejściu wszystkich ocen stosowania dorobku Schengen uzasadnione jest oczekiwanie, że Bułgaria, Rumunia</w:t>
      </w:r>
      <w:r w:rsidR="00D136C6">
        <w:rPr>
          <w:rFonts w:ascii="Times New Roman" w:hAnsi="Times New Roman"/>
          <w:noProof/>
          <w:sz w:val="24"/>
        </w:rPr>
        <w:t xml:space="preserve"> i Cho</w:t>
      </w:r>
      <w:r>
        <w:rPr>
          <w:rFonts w:ascii="Times New Roman" w:hAnsi="Times New Roman"/>
          <w:noProof/>
          <w:sz w:val="24"/>
        </w:rPr>
        <w:t>rwacja</w:t>
      </w:r>
      <w:r w:rsidR="00D136C6">
        <w:rPr>
          <w:rFonts w:ascii="Times New Roman" w:hAnsi="Times New Roman"/>
          <w:noProof/>
          <w:sz w:val="24"/>
        </w:rPr>
        <w:t xml:space="preserve"> w peł</w:t>
      </w:r>
      <w:r>
        <w:rPr>
          <w:rFonts w:ascii="Times New Roman" w:hAnsi="Times New Roman"/>
          <w:noProof/>
          <w:sz w:val="24"/>
        </w:rPr>
        <w:t>ni przystąpią do strefy Schengen bez kontroli na granicach wewnętrznych. Zorganizowana</w:t>
      </w:r>
      <w:r w:rsidR="00D136C6">
        <w:rPr>
          <w:rFonts w:ascii="Times New Roman" w:hAnsi="Times New Roman"/>
          <w:noProof/>
          <w:sz w:val="24"/>
        </w:rPr>
        <w:t xml:space="preserve"> w ost</w:t>
      </w:r>
      <w:r>
        <w:rPr>
          <w:rFonts w:ascii="Times New Roman" w:hAnsi="Times New Roman"/>
          <w:noProof/>
          <w:sz w:val="24"/>
        </w:rPr>
        <w:t>atnim czasie dobrowolna misja informacyjna</w:t>
      </w:r>
      <w:r w:rsidR="00D136C6">
        <w:rPr>
          <w:rFonts w:ascii="Times New Roman" w:hAnsi="Times New Roman"/>
          <w:noProof/>
          <w:sz w:val="24"/>
        </w:rPr>
        <w:t xml:space="preserve"> w Buł</w:t>
      </w:r>
      <w:r>
        <w:rPr>
          <w:rFonts w:ascii="Times New Roman" w:hAnsi="Times New Roman"/>
          <w:noProof/>
          <w:sz w:val="24"/>
        </w:rPr>
        <w:t>garii</w:t>
      </w:r>
      <w:r w:rsidR="00D136C6">
        <w:rPr>
          <w:rFonts w:ascii="Times New Roman" w:hAnsi="Times New Roman"/>
          <w:noProof/>
          <w:sz w:val="24"/>
        </w:rPr>
        <w:t xml:space="preserve"> i Rum</w:t>
      </w:r>
      <w:r>
        <w:rPr>
          <w:rFonts w:ascii="Times New Roman" w:hAnsi="Times New Roman"/>
          <w:noProof/>
          <w:sz w:val="24"/>
        </w:rPr>
        <w:t>unii oraz ostatnia ponowna wizyta</w:t>
      </w:r>
      <w:r w:rsidR="00D136C6">
        <w:rPr>
          <w:rFonts w:ascii="Times New Roman" w:hAnsi="Times New Roman"/>
          <w:noProof/>
          <w:sz w:val="24"/>
        </w:rPr>
        <w:t xml:space="preserve"> w Cho</w:t>
      </w:r>
      <w:r>
        <w:rPr>
          <w:rFonts w:ascii="Times New Roman" w:hAnsi="Times New Roman"/>
          <w:noProof/>
          <w:sz w:val="24"/>
        </w:rPr>
        <w:t>rwacji</w:t>
      </w:r>
      <w:r w:rsidR="00D136C6">
        <w:rPr>
          <w:rFonts w:ascii="Times New Roman" w:hAnsi="Times New Roman"/>
          <w:noProof/>
          <w:sz w:val="24"/>
        </w:rPr>
        <w:t xml:space="preserve"> i jej</w:t>
      </w:r>
      <w:r>
        <w:rPr>
          <w:rFonts w:ascii="Times New Roman" w:hAnsi="Times New Roman"/>
          <w:noProof/>
          <w:sz w:val="24"/>
        </w:rPr>
        <w:t xml:space="preserve"> wyniki</w:t>
      </w:r>
      <w:r w:rsidR="00D136C6">
        <w:rPr>
          <w:rFonts w:ascii="Times New Roman" w:hAnsi="Times New Roman"/>
          <w:noProof/>
          <w:sz w:val="24"/>
        </w:rPr>
        <w:t xml:space="preserve"> w zak</w:t>
      </w:r>
      <w:r>
        <w:rPr>
          <w:rFonts w:ascii="Times New Roman" w:hAnsi="Times New Roman"/>
          <w:noProof/>
          <w:sz w:val="24"/>
        </w:rPr>
        <w:t>resie monitorowania przestrzegania praw podstawowych na granicach zewnętrznych zdecydowanie potwierdzają, że państwa te nadal skutecznie spełniają rygorystyczne standardy Schengen</w:t>
      </w:r>
      <w:r w:rsidR="00D136C6">
        <w:rPr>
          <w:rFonts w:ascii="Times New Roman" w:hAnsi="Times New Roman"/>
          <w:noProof/>
          <w:sz w:val="24"/>
        </w:rPr>
        <w:t xml:space="preserve"> i maj</w:t>
      </w:r>
      <w:r>
        <w:rPr>
          <w:rFonts w:ascii="Times New Roman" w:hAnsi="Times New Roman"/>
          <w:noProof/>
          <w:sz w:val="24"/>
        </w:rPr>
        <w:t>ą modelowe osiągnięcia</w:t>
      </w:r>
      <w:r w:rsidR="00D136C6">
        <w:rPr>
          <w:rFonts w:ascii="Times New Roman" w:hAnsi="Times New Roman"/>
          <w:noProof/>
          <w:sz w:val="24"/>
        </w:rPr>
        <w:t xml:space="preserve"> w zak</w:t>
      </w:r>
      <w:r>
        <w:rPr>
          <w:rFonts w:ascii="Times New Roman" w:hAnsi="Times New Roman"/>
          <w:noProof/>
          <w:sz w:val="24"/>
        </w:rPr>
        <w:t>resie wdrażania przepisów Schengen. Chociaż państwa te aktywnie wdrażają większość dorobku Schengen</w:t>
      </w:r>
      <w:r>
        <w:rPr>
          <w:rStyle w:val="FootnoteReference"/>
          <w:rFonts w:ascii="Times New Roman" w:eastAsia="Calibri" w:hAnsi="Times New Roman" w:cs="Times New Roman"/>
          <w:i/>
          <w:noProof/>
          <w:sz w:val="24"/>
          <w:szCs w:val="24"/>
        </w:rPr>
        <w:footnoteReference w:id="6"/>
      </w:r>
      <w:r>
        <w:rPr>
          <w:rFonts w:ascii="Times New Roman" w:hAnsi="Times New Roman"/>
          <w:noProof/>
          <w:sz w:val="24"/>
        </w:rPr>
        <w:t>, nie czerpią one pełnych korzyści wynikających</w:t>
      </w:r>
      <w:r w:rsidR="00D136C6">
        <w:rPr>
          <w:rFonts w:ascii="Times New Roman" w:hAnsi="Times New Roman"/>
          <w:noProof/>
          <w:sz w:val="24"/>
        </w:rPr>
        <w:t xml:space="preserve"> z prz</w:t>
      </w:r>
      <w:r>
        <w:rPr>
          <w:rFonts w:ascii="Times New Roman" w:hAnsi="Times New Roman"/>
          <w:noProof/>
          <w:sz w:val="24"/>
        </w:rPr>
        <w:t>ynależności do strefy Schengen bez kontroli na granicach wewnętrznych.</w:t>
      </w:r>
    </w:p>
    <w:p w14:paraId="3EE070A4" w14:textId="7A84F849" w:rsidR="002E484E" w:rsidRPr="0014596D" w:rsidRDefault="00305FA4" w:rsidP="00605EC6">
      <w:pPr>
        <w:spacing w:before="120" w:line="276" w:lineRule="auto"/>
        <w:jc w:val="both"/>
        <w:rPr>
          <w:rFonts w:ascii="Times New Roman" w:eastAsia="Calibri" w:hAnsi="Times New Roman" w:cs="Times New Roman"/>
          <w:noProof/>
          <w:sz w:val="24"/>
          <w:szCs w:val="24"/>
        </w:rPr>
      </w:pPr>
      <w:r>
        <w:rPr>
          <w:rFonts w:ascii="Times New Roman" w:hAnsi="Times New Roman"/>
          <w:noProof/>
          <w:sz w:val="24"/>
        </w:rPr>
        <w:t xml:space="preserve">Ze względu na strategiczne położenie geograficzne </w:t>
      </w:r>
      <w:r>
        <w:rPr>
          <w:rFonts w:ascii="Times New Roman" w:hAnsi="Times New Roman"/>
          <w:b/>
          <w:bCs/>
          <w:noProof/>
          <w:sz w:val="24"/>
        </w:rPr>
        <w:t>Bułgaria, Rumunia</w:t>
      </w:r>
      <w:r w:rsidR="00D136C6">
        <w:rPr>
          <w:rFonts w:ascii="Times New Roman" w:hAnsi="Times New Roman"/>
          <w:b/>
          <w:bCs/>
          <w:noProof/>
          <w:sz w:val="24"/>
        </w:rPr>
        <w:t xml:space="preserve"> </w:t>
      </w:r>
      <w:r w:rsidR="00D136C6">
        <w:rPr>
          <w:rFonts w:ascii="Times New Roman" w:hAnsi="Times New Roman"/>
          <w:noProof/>
          <w:sz w:val="24"/>
        </w:rPr>
        <w:t>i</w:t>
      </w:r>
      <w:r w:rsidR="00D136C6">
        <w:rPr>
          <w:rFonts w:ascii="Times New Roman" w:hAnsi="Times New Roman"/>
          <w:b/>
          <w:bCs/>
          <w:noProof/>
          <w:sz w:val="24"/>
        </w:rPr>
        <w:t> Cho</w:t>
      </w:r>
      <w:r>
        <w:rPr>
          <w:rFonts w:ascii="Times New Roman" w:hAnsi="Times New Roman"/>
          <w:b/>
          <w:bCs/>
          <w:noProof/>
          <w:sz w:val="24"/>
        </w:rPr>
        <w:t>rwacja</w:t>
      </w:r>
      <w:r>
        <w:rPr>
          <w:rFonts w:ascii="Times New Roman" w:hAnsi="Times New Roman"/>
          <w:noProof/>
          <w:sz w:val="24"/>
        </w:rPr>
        <w:t xml:space="preserve"> odgrywają zasadniczą rolę</w:t>
      </w:r>
      <w:r w:rsidR="00D136C6">
        <w:rPr>
          <w:rFonts w:ascii="Times New Roman" w:hAnsi="Times New Roman"/>
          <w:noProof/>
          <w:sz w:val="24"/>
        </w:rPr>
        <w:t xml:space="preserve"> w zab</w:t>
      </w:r>
      <w:r>
        <w:rPr>
          <w:rFonts w:ascii="Times New Roman" w:hAnsi="Times New Roman"/>
          <w:noProof/>
          <w:sz w:val="24"/>
        </w:rPr>
        <w:t>ezpieczaniu naszej wspólnej granicy zewnętrznej</w:t>
      </w:r>
      <w:r w:rsidR="00D136C6">
        <w:rPr>
          <w:rFonts w:ascii="Times New Roman" w:hAnsi="Times New Roman"/>
          <w:noProof/>
          <w:sz w:val="24"/>
        </w:rPr>
        <w:t xml:space="preserve"> i sku</w:t>
      </w:r>
      <w:r>
        <w:rPr>
          <w:rFonts w:ascii="Times New Roman" w:hAnsi="Times New Roman"/>
          <w:noProof/>
          <w:sz w:val="24"/>
        </w:rPr>
        <w:t>tecznie przyczyniają się do zapewnienia wysokiego poziomu bezpieczeństwa</w:t>
      </w:r>
      <w:r w:rsidR="00D136C6">
        <w:rPr>
          <w:rFonts w:ascii="Times New Roman" w:hAnsi="Times New Roman"/>
          <w:noProof/>
          <w:sz w:val="24"/>
        </w:rPr>
        <w:t xml:space="preserve"> i dob</w:t>
      </w:r>
      <w:r>
        <w:rPr>
          <w:rFonts w:ascii="Times New Roman" w:hAnsi="Times New Roman"/>
          <w:noProof/>
          <w:sz w:val="24"/>
        </w:rPr>
        <w:t>robytu, jak wykazały ostatnie kryzysy. Wprowadzono wszystkie niezbędne narzędzia, struktury</w:t>
      </w:r>
      <w:r w:rsidR="00D136C6">
        <w:rPr>
          <w:rFonts w:ascii="Times New Roman" w:hAnsi="Times New Roman"/>
          <w:noProof/>
          <w:sz w:val="24"/>
        </w:rPr>
        <w:t xml:space="preserve"> i pro</w:t>
      </w:r>
      <w:r>
        <w:rPr>
          <w:rFonts w:ascii="Times New Roman" w:hAnsi="Times New Roman"/>
          <w:noProof/>
          <w:sz w:val="24"/>
        </w:rPr>
        <w:t>cedury, aby efektywnie zarządzać przekraczaniem granic zewnętrznych, jak również potencjalnymi zagrożeniami bezpieczeństwa na tych granicach, przyczyniając się tym samym do przeciwdziałania poważnym przestępstwom</w:t>
      </w:r>
      <w:r w:rsidR="00D136C6">
        <w:rPr>
          <w:rFonts w:ascii="Times New Roman" w:hAnsi="Times New Roman"/>
          <w:noProof/>
          <w:sz w:val="24"/>
        </w:rPr>
        <w:t xml:space="preserve"> o wym</w:t>
      </w:r>
      <w:r>
        <w:rPr>
          <w:rFonts w:ascii="Times New Roman" w:hAnsi="Times New Roman"/>
          <w:noProof/>
          <w:sz w:val="24"/>
        </w:rPr>
        <w:t>iarze transgranicznym. Państwa te wykazały również wysoki poziom zaangażowania</w:t>
      </w:r>
      <w:r w:rsidR="00D136C6">
        <w:rPr>
          <w:rFonts w:ascii="Times New Roman" w:hAnsi="Times New Roman"/>
          <w:noProof/>
          <w:sz w:val="24"/>
        </w:rPr>
        <w:t xml:space="preserve"> w zap</w:t>
      </w:r>
      <w:r>
        <w:rPr>
          <w:rFonts w:ascii="Times New Roman" w:hAnsi="Times New Roman"/>
          <w:noProof/>
          <w:sz w:val="24"/>
        </w:rPr>
        <w:t>ewnienie skutecznej reakcji na presję migracyjną</w:t>
      </w:r>
      <w:r w:rsidR="00D136C6">
        <w:rPr>
          <w:rFonts w:ascii="Times New Roman" w:hAnsi="Times New Roman"/>
          <w:noProof/>
          <w:sz w:val="24"/>
        </w:rPr>
        <w:t xml:space="preserve"> i zwi</w:t>
      </w:r>
      <w:r>
        <w:rPr>
          <w:rFonts w:ascii="Times New Roman" w:hAnsi="Times New Roman"/>
          <w:noProof/>
          <w:sz w:val="24"/>
        </w:rPr>
        <w:t>ązane</w:t>
      </w:r>
      <w:r w:rsidR="00D136C6">
        <w:rPr>
          <w:rFonts w:ascii="Times New Roman" w:hAnsi="Times New Roman"/>
          <w:noProof/>
          <w:sz w:val="24"/>
        </w:rPr>
        <w:t xml:space="preserve"> z nią</w:t>
      </w:r>
      <w:r>
        <w:rPr>
          <w:rFonts w:ascii="Times New Roman" w:hAnsi="Times New Roman"/>
          <w:noProof/>
          <w:sz w:val="24"/>
        </w:rPr>
        <w:t xml:space="preserve"> wyzwania, nawiązując ścisłą współpracę ze swoimi bliskimi państwami sąsiadującymi. Ponadto zgodnie</w:t>
      </w:r>
      <w:r w:rsidR="00D136C6">
        <w:rPr>
          <w:rFonts w:ascii="Times New Roman" w:hAnsi="Times New Roman"/>
          <w:noProof/>
          <w:sz w:val="24"/>
        </w:rPr>
        <w:t xml:space="preserve"> z now</w:t>
      </w:r>
      <w:r>
        <w:rPr>
          <w:rFonts w:ascii="Times New Roman" w:hAnsi="Times New Roman"/>
          <w:noProof/>
          <w:sz w:val="24"/>
        </w:rPr>
        <w:t>ym rozporządzeniem</w:t>
      </w:r>
      <w:r w:rsidR="00D136C6">
        <w:rPr>
          <w:rFonts w:ascii="Times New Roman" w:hAnsi="Times New Roman"/>
          <w:noProof/>
          <w:sz w:val="24"/>
        </w:rPr>
        <w:t xml:space="preserve"> w spr</w:t>
      </w:r>
      <w:r>
        <w:rPr>
          <w:rFonts w:ascii="Times New Roman" w:hAnsi="Times New Roman"/>
          <w:noProof/>
          <w:sz w:val="24"/>
        </w:rPr>
        <w:t>awie oceny stosowania dorobku Schengen</w:t>
      </w:r>
      <w:r>
        <w:rPr>
          <w:rStyle w:val="FootnoteReference"/>
          <w:rFonts w:ascii="Times New Roman" w:eastAsia="Calibri" w:hAnsi="Times New Roman" w:cs="Times New Roman"/>
          <w:noProof/>
          <w:sz w:val="24"/>
          <w:szCs w:val="24"/>
        </w:rPr>
        <w:footnoteReference w:id="7"/>
      </w:r>
      <w:r>
        <w:rPr>
          <w:rFonts w:ascii="Times New Roman" w:hAnsi="Times New Roman"/>
          <w:noProof/>
          <w:sz w:val="24"/>
        </w:rPr>
        <w:t xml:space="preserve"> państwa członkowskie,</w:t>
      </w:r>
      <w:r w:rsidR="00D136C6">
        <w:rPr>
          <w:rFonts w:ascii="Times New Roman" w:hAnsi="Times New Roman"/>
          <w:noProof/>
          <w:sz w:val="24"/>
        </w:rPr>
        <w:t xml:space="preserve"> w odn</w:t>
      </w:r>
      <w:r>
        <w:rPr>
          <w:rFonts w:ascii="Times New Roman" w:hAnsi="Times New Roman"/>
          <w:noProof/>
          <w:sz w:val="24"/>
        </w:rPr>
        <w:t>iesieniu do których Rada podjęła decyzję</w:t>
      </w:r>
      <w:r w:rsidR="00D136C6">
        <w:rPr>
          <w:rFonts w:ascii="Times New Roman" w:hAnsi="Times New Roman"/>
          <w:noProof/>
          <w:sz w:val="24"/>
        </w:rPr>
        <w:t xml:space="preserve"> o sto</w:t>
      </w:r>
      <w:r>
        <w:rPr>
          <w:rFonts w:ascii="Times New Roman" w:hAnsi="Times New Roman"/>
          <w:noProof/>
          <w:sz w:val="24"/>
        </w:rPr>
        <w:t>sowaniu do nich przepisów dorobku Schengen</w:t>
      </w:r>
      <w:r w:rsidR="00D136C6">
        <w:rPr>
          <w:rFonts w:ascii="Times New Roman" w:hAnsi="Times New Roman"/>
          <w:noProof/>
          <w:sz w:val="24"/>
        </w:rPr>
        <w:t xml:space="preserve"> w cał</w:t>
      </w:r>
      <w:r>
        <w:rPr>
          <w:rFonts w:ascii="Times New Roman" w:hAnsi="Times New Roman"/>
          <w:noProof/>
          <w:sz w:val="24"/>
        </w:rPr>
        <w:t>ości, poddawane są ocenie nie później niż</w:t>
      </w:r>
      <w:r w:rsidR="00D136C6">
        <w:rPr>
          <w:rFonts w:ascii="Times New Roman" w:hAnsi="Times New Roman"/>
          <w:noProof/>
          <w:sz w:val="24"/>
        </w:rPr>
        <w:t xml:space="preserve"> w ter</w:t>
      </w:r>
      <w:r>
        <w:rPr>
          <w:rFonts w:ascii="Times New Roman" w:hAnsi="Times New Roman"/>
          <w:noProof/>
          <w:sz w:val="24"/>
        </w:rPr>
        <w:t>minie roku od dnia rozpoczęcia stosowania</w:t>
      </w:r>
      <w:r w:rsidR="00D136C6">
        <w:rPr>
          <w:rFonts w:ascii="Times New Roman" w:hAnsi="Times New Roman"/>
          <w:noProof/>
          <w:sz w:val="24"/>
        </w:rPr>
        <w:t xml:space="preserve"> w cał</w:t>
      </w:r>
      <w:r>
        <w:rPr>
          <w:rFonts w:ascii="Times New Roman" w:hAnsi="Times New Roman"/>
          <w:noProof/>
          <w:sz w:val="24"/>
        </w:rPr>
        <w:t>ości dorobku Schengen</w:t>
      </w:r>
      <w:r w:rsidR="00D136C6">
        <w:rPr>
          <w:rFonts w:ascii="Times New Roman" w:hAnsi="Times New Roman"/>
          <w:noProof/>
          <w:sz w:val="24"/>
        </w:rPr>
        <w:t xml:space="preserve"> w tyc</w:t>
      </w:r>
      <w:r>
        <w:rPr>
          <w:rFonts w:ascii="Times New Roman" w:hAnsi="Times New Roman"/>
          <w:noProof/>
          <w:sz w:val="24"/>
        </w:rPr>
        <w:t>h państwach członkowskich</w:t>
      </w:r>
      <w:r>
        <w:rPr>
          <w:rFonts w:ascii="Times New Roman" w:eastAsia="Calibri" w:hAnsi="Times New Roman" w:cs="Times New Roman"/>
          <w:iCs/>
          <w:noProof/>
          <w:sz w:val="24"/>
          <w:szCs w:val="24"/>
          <w:vertAlign w:val="superscript"/>
        </w:rPr>
        <w:footnoteReference w:id="8"/>
      </w:r>
      <w:r>
        <w:rPr>
          <w:rFonts w:ascii="Times New Roman" w:hAnsi="Times New Roman"/>
          <w:noProof/>
          <w:sz w:val="24"/>
        </w:rPr>
        <w:t>. Ma to zastosowanie do Bułgarii, Rumunii</w:t>
      </w:r>
      <w:r w:rsidR="00D136C6">
        <w:rPr>
          <w:rFonts w:ascii="Times New Roman" w:hAnsi="Times New Roman"/>
          <w:noProof/>
          <w:sz w:val="24"/>
        </w:rPr>
        <w:t xml:space="preserve"> i Cho</w:t>
      </w:r>
      <w:r>
        <w:rPr>
          <w:rFonts w:ascii="Times New Roman" w:hAnsi="Times New Roman"/>
          <w:noProof/>
          <w:sz w:val="24"/>
        </w:rPr>
        <w:t>rwacji po przyjęciu odpowiednich decyzji.</w:t>
      </w:r>
    </w:p>
    <w:p w14:paraId="031DCEC4" w14:textId="347EA0B9" w:rsidR="00305FA4" w:rsidRPr="0014596D" w:rsidRDefault="005F071A"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 xml:space="preserve">Na podstawie </w:t>
      </w:r>
      <w:r w:rsidRPr="00D136C6">
        <w:rPr>
          <w:rFonts w:ascii="Times New Roman" w:hAnsi="Times New Roman"/>
          <w:noProof/>
          <w:sz w:val="24"/>
        </w:rPr>
        <w:t>art.</w:t>
      </w:r>
      <w:r w:rsidR="00D136C6" w:rsidRPr="00D136C6">
        <w:rPr>
          <w:rFonts w:ascii="Times New Roman" w:hAnsi="Times New Roman"/>
          <w:noProof/>
          <w:sz w:val="24"/>
        </w:rPr>
        <w:t> </w:t>
      </w:r>
      <w:r w:rsidRPr="00D136C6">
        <w:rPr>
          <w:rFonts w:ascii="Times New Roman" w:hAnsi="Times New Roman"/>
          <w:noProof/>
          <w:sz w:val="24"/>
        </w:rPr>
        <w:t>4</w:t>
      </w:r>
      <w:r>
        <w:rPr>
          <w:rFonts w:ascii="Times New Roman" w:hAnsi="Times New Roman"/>
          <w:noProof/>
          <w:sz w:val="24"/>
        </w:rPr>
        <w:t xml:space="preserve"> </w:t>
      </w:r>
      <w:r w:rsidRPr="00D136C6">
        <w:rPr>
          <w:rFonts w:ascii="Times New Roman" w:hAnsi="Times New Roman"/>
          <w:noProof/>
          <w:sz w:val="24"/>
        </w:rPr>
        <w:t>ust.</w:t>
      </w:r>
      <w:r w:rsidR="00D136C6" w:rsidRPr="00D136C6">
        <w:rPr>
          <w:rFonts w:ascii="Times New Roman" w:hAnsi="Times New Roman"/>
          <w:noProof/>
          <w:sz w:val="24"/>
        </w:rPr>
        <w:t> </w:t>
      </w:r>
      <w:r w:rsidRPr="00D136C6">
        <w:rPr>
          <w:rFonts w:ascii="Times New Roman" w:hAnsi="Times New Roman"/>
          <w:noProof/>
          <w:sz w:val="24"/>
        </w:rPr>
        <w:t>2</w:t>
      </w:r>
      <w:r>
        <w:rPr>
          <w:rFonts w:ascii="Times New Roman" w:hAnsi="Times New Roman"/>
          <w:noProof/>
          <w:sz w:val="24"/>
        </w:rPr>
        <w:t xml:space="preserve"> Aktu przystąpienia</w:t>
      </w:r>
      <w:r w:rsidR="00D136C6">
        <w:rPr>
          <w:rFonts w:ascii="Times New Roman" w:hAnsi="Times New Roman"/>
          <w:noProof/>
          <w:sz w:val="24"/>
        </w:rPr>
        <w:t xml:space="preserve"> z 2</w:t>
      </w:r>
      <w:r>
        <w:rPr>
          <w:rFonts w:ascii="Times New Roman" w:hAnsi="Times New Roman"/>
          <w:noProof/>
          <w:sz w:val="24"/>
        </w:rPr>
        <w:t>0</w:t>
      </w:r>
      <w:r w:rsidRPr="00D136C6">
        <w:rPr>
          <w:rFonts w:ascii="Times New Roman" w:hAnsi="Times New Roman"/>
          <w:noProof/>
          <w:sz w:val="24"/>
        </w:rPr>
        <w:t>05</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eastAsia="Calibri" w:hAnsi="Times New Roman" w:cs="Times New Roman"/>
          <w:noProof/>
          <w:sz w:val="24"/>
          <w:szCs w:val="24"/>
          <w:vertAlign w:val="superscript"/>
        </w:rPr>
        <w:footnoteReference w:id="9"/>
      </w:r>
      <w:r>
        <w:rPr>
          <w:rFonts w:ascii="Times New Roman" w:hAnsi="Times New Roman"/>
          <w:noProof/>
          <w:sz w:val="24"/>
        </w:rPr>
        <w:t xml:space="preserve"> Bułgaria</w:t>
      </w:r>
      <w:r w:rsidR="00D136C6">
        <w:rPr>
          <w:rFonts w:ascii="Times New Roman" w:hAnsi="Times New Roman"/>
          <w:noProof/>
          <w:sz w:val="24"/>
        </w:rPr>
        <w:t xml:space="preserve"> i Rum</w:t>
      </w:r>
      <w:r>
        <w:rPr>
          <w:rFonts w:ascii="Times New Roman" w:hAnsi="Times New Roman"/>
          <w:noProof/>
          <w:sz w:val="24"/>
        </w:rPr>
        <w:t>unia pomyślnie przeszły proces oceny stosowania dorobku Schengen</w:t>
      </w:r>
      <w:r w:rsidR="00D136C6">
        <w:rPr>
          <w:rFonts w:ascii="Times New Roman" w:hAnsi="Times New Roman"/>
          <w:noProof/>
          <w:sz w:val="24"/>
        </w:rPr>
        <w:t xml:space="preserve"> w 2</w:t>
      </w:r>
      <w:r>
        <w:rPr>
          <w:rFonts w:ascii="Times New Roman" w:hAnsi="Times New Roman"/>
          <w:noProof/>
          <w:sz w:val="24"/>
        </w:rPr>
        <w:t>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Proces ten rozpoczął się</w:t>
      </w:r>
      <w:r w:rsidR="00D136C6">
        <w:rPr>
          <w:rFonts w:ascii="Times New Roman" w:hAnsi="Times New Roman"/>
          <w:noProof/>
          <w:sz w:val="24"/>
        </w:rPr>
        <w:t xml:space="preserve"> w 2</w:t>
      </w:r>
      <w:r>
        <w:rPr>
          <w:rFonts w:ascii="Times New Roman" w:hAnsi="Times New Roman"/>
          <w:noProof/>
          <w:sz w:val="24"/>
        </w:rPr>
        <w:t>0</w:t>
      </w:r>
      <w:r w:rsidRPr="00D136C6">
        <w:rPr>
          <w:rFonts w:ascii="Times New Roman" w:hAnsi="Times New Roman"/>
          <w:noProof/>
          <w:sz w:val="24"/>
        </w:rPr>
        <w:t>09</w:t>
      </w:r>
      <w:r w:rsidR="00D136C6" w:rsidRPr="00D136C6">
        <w:rPr>
          <w:rFonts w:ascii="Times New Roman" w:hAnsi="Times New Roman"/>
          <w:noProof/>
          <w:sz w:val="24"/>
        </w:rPr>
        <w:t> </w:t>
      </w:r>
      <w:r w:rsidRPr="00D136C6">
        <w:rPr>
          <w:rFonts w:ascii="Times New Roman" w:hAnsi="Times New Roman"/>
          <w:noProof/>
          <w:sz w:val="24"/>
        </w:rPr>
        <w:t>r.</w:t>
      </w:r>
      <w:r w:rsidR="00D136C6">
        <w:rPr>
          <w:rFonts w:ascii="Times New Roman" w:hAnsi="Times New Roman"/>
          <w:noProof/>
          <w:sz w:val="24"/>
        </w:rPr>
        <w:t xml:space="preserve"> i wsz</w:t>
      </w:r>
      <w:r>
        <w:rPr>
          <w:rFonts w:ascii="Times New Roman" w:hAnsi="Times New Roman"/>
          <w:noProof/>
          <w:sz w:val="24"/>
        </w:rPr>
        <w:t>ystkie istotne elementy dorobku zostały poddane szczegółowej ocenie zgodnie</w:t>
      </w:r>
      <w:r w:rsidR="00D136C6">
        <w:rPr>
          <w:rFonts w:ascii="Times New Roman" w:hAnsi="Times New Roman"/>
          <w:noProof/>
          <w:sz w:val="24"/>
        </w:rPr>
        <w:t xml:space="preserve"> z obo</w:t>
      </w:r>
      <w:r>
        <w:rPr>
          <w:rFonts w:ascii="Times New Roman" w:hAnsi="Times New Roman"/>
          <w:noProof/>
          <w:sz w:val="24"/>
        </w:rPr>
        <w:t>wiązującymi procedurami. Rada uznała zakończenie procesu oceny</w:t>
      </w:r>
      <w:r w:rsidR="00D136C6">
        <w:rPr>
          <w:rFonts w:ascii="Times New Roman" w:hAnsi="Times New Roman"/>
          <w:noProof/>
          <w:sz w:val="24"/>
        </w:rPr>
        <w:t xml:space="preserve"> w dwó</w:t>
      </w:r>
      <w:r>
        <w:rPr>
          <w:rFonts w:ascii="Times New Roman" w:hAnsi="Times New Roman"/>
          <w:noProof/>
          <w:sz w:val="24"/>
        </w:rPr>
        <w:t>ch osobnych konkluzjach Rady</w:t>
      </w:r>
      <w:r w:rsidR="00D136C6">
        <w:rPr>
          <w:rFonts w:ascii="Times New Roman" w:hAnsi="Times New Roman"/>
          <w:noProof/>
          <w:sz w:val="24"/>
        </w:rPr>
        <w:t xml:space="preserve"> z dni</w:t>
      </w:r>
      <w:r>
        <w:rPr>
          <w:rFonts w:ascii="Times New Roman" w:hAnsi="Times New Roman"/>
          <w:noProof/>
          <w:sz w:val="24"/>
        </w:rPr>
        <w:t>a 9 czerwca 20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eastAsia="Calibri" w:hAnsi="Times New Roman" w:cs="Times New Roman"/>
          <w:noProof/>
          <w:sz w:val="24"/>
          <w:szCs w:val="24"/>
          <w:vertAlign w:val="superscript"/>
        </w:rPr>
        <w:footnoteReference w:id="10"/>
      </w:r>
      <w:r>
        <w:rPr>
          <w:rFonts w:ascii="Times New Roman" w:hAnsi="Times New Roman"/>
          <w:noProof/>
          <w:sz w:val="24"/>
        </w:rPr>
        <w:t xml:space="preserve"> Projekt decyzji Rady</w:t>
      </w:r>
      <w:r w:rsidR="00D136C6">
        <w:rPr>
          <w:rFonts w:ascii="Times New Roman" w:hAnsi="Times New Roman"/>
          <w:noProof/>
          <w:sz w:val="24"/>
        </w:rPr>
        <w:t xml:space="preserve"> w spr</w:t>
      </w:r>
      <w:r>
        <w:rPr>
          <w:rFonts w:ascii="Times New Roman" w:hAnsi="Times New Roman"/>
          <w:noProof/>
          <w:sz w:val="24"/>
        </w:rPr>
        <w:t>awie stosowania wszystkich przepisów dorobku Schengen</w:t>
      </w:r>
      <w:r w:rsidR="00D136C6">
        <w:rPr>
          <w:rFonts w:ascii="Times New Roman" w:hAnsi="Times New Roman"/>
          <w:noProof/>
          <w:sz w:val="24"/>
        </w:rPr>
        <w:t xml:space="preserve"> w Buł</w:t>
      </w:r>
      <w:r>
        <w:rPr>
          <w:rFonts w:ascii="Times New Roman" w:hAnsi="Times New Roman"/>
          <w:noProof/>
          <w:sz w:val="24"/>
        </w:rPr>
        <w:t>garii</w:t>
      </w:r>
      <w:r w:rsidR="00D136C6">
        <w:rPr>
          <w:rFonts w:ascii="Times New Roman" w:hAnsi="Times New Roman"/>
          <w:noProof/>
          <w:sz w:val="24"/>
        </w:rPr>
        <w:t xml:space="preserve"> i Rum</w:t>
      </w:r>
      <w:r>
        <w:rPr>
          <w:rFonts w:ascii="Times New Roman" w:hAnsi="Times New Roman"/>
          <w:noProof/>
          <w:sz w:val="24"/>
        </w:rPr>
        <w:t>unii uzyskał pozytywną opinię Parlamentu Europejskiego 8 czerwca 20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eastAsia="Calibri" w:hAnsi="Times New Roman" w:cs="Times New Roman"/>
          <w:noProof/>
          <w:sz w:val="24"/>
          <w:szCs w:val="24"/>
          <w:vertAlign w:val="superscript"/>
        </w:rPr>
        <w:footnoteReference w:id="11"/>
      </w:r>
      <w:r>
        <w:rPr>
          <w:rFonts w:ascii="Times New Roman" w:hAnsi="Times New Roman"/>
          <w:noProof/>
          <w:sz w:val="24"/>
        </w:rPr>
        <w:t xml:space="preserve"> Pomimo pozytywnego wyniku</w:t>
      </w:r>
      <w:r w:rsidR="00D136C6">
        <w:rPr>
          <w:rFonts w:ascii="Times New Roman" w:hAnsi="Times New Roman"/>
          <w:noProof/>
          <w:sz w:val="24"/>
        </w:rPr>
        <w:t xml:space="preserve"> i zak</w:t>
      </w:r>
      <w:r>
        <w:rPr>
          <w:rFonts w:ascii="Times New Roman" w:hAnsi="Times New Roman"/>
          <w:noProof/>
          <w:sz w:val="24"/>
        </w:rPr>
        <w:t>ończenia procesu oceny stosowania dorobku Schengen przez ponad jedenaście lat Rada nie podjęła żadnej decyzji</w:t>
      </w:r>
      <w:r w:rsidR="00D136C6">
        <w:rPr>
          <w:rFonts w:ascii="Times New Roman" w:hAnsi="Times New Roman"/>
          <w:noProof/>
          <w:sz w:val="24"/>
        </w:rPr>
        <w:t xml:space="preserve"> w spr</w:t>
      </w:r>
      <w:r>
        <w:rPr>
          <w:rFonts w:ascii="Times New Roman" w:hAnsi="Times New Roman"/>
          <w:noProof/>
          <w:sz w:val="24"/>
        </w:rPr>
        <w:t>awie pełnego stosowania dorobku Schengen</w:t>
      </w:r>
      <w:r w:rsidR="00D136C6">
        <w:rPr>
          <w:rFonts w:ascii="Times New Roman" w:hAnsi="Times New Roman"/>
          <w:noProof/>
          <w:sz w:val="24"/>
        </w:rPr>
        <w:t xml:space="preserve"> w Buł</w:t>
      </w:r>
      <w:r>
        <w:rPr>
          <w:rFonts w:ascii="Times New Roman" w:hAnsi="Times New Roman"/>
          <w:noProof/>
          <w:sz w:val="24"/>
        </w:rPr>
        <w:t>garii</w:t>
      </w:r>
      <w:r w:rsidR="00D136C6">
        <w:rPr>
          <w:rFonts w:ascii="Times New Roman" w:hAnsi="Times New Roman"/>
          <w:noProof/>
          <w:sz w:val="24"/>
        </w:rPr>
        <w:t xml:space="preserve"> i Rum</w:t>
      </w:r>
      <w:r>
        <w:rPr>
          <w:rFonts w:ascii="Times New Roman" w:hAnsi="Times New Roman"/>
          <w:noProof/>
          <w:sz w:val="24"/>
        </w:rPr>
        <w:t>unii oraz zniesienia kontroli na ich granicach wewnętrznych.</w:t>
      </w:r>
    </w:p>
    <w:p w14:paraId="2991F20C" w14:textId="53B1D44F" w:rsidR="00305FA4" w:rsidRPr="0014596D" w:rsidRDefault="00D55918"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Biorąc pod uwagę, że procesy oceny Bułgarii</w:t>
      </w:r>
      <w:r w:rsidR="00D136C6">
        <w:rPr>
          <w:rFonts w:ascii="Times New Roman" w:hAnsi="Times New Roman"/>
          <w:noProof/>
          <w:sz w:val="24"/>
        </w:rPr>
        <w:t xml:space="preserve"> i Rum</w:t>
      </w:r>
      <w:r>
        <w:rPr>
          <w:rFonts w:ascii="Times New Roman" w:hAnsi="Times New Roman"/>
          <w:noProof/>
          <w:sz w:val="24"/>
        </w:rPr>
        <w:t>unii zostały zakończone</w:t>
      </w:r>
      <w:r w:rsidR="00D136C6">
        <w:rPr>
          <w:rFonts w:ascii="Times New Roman" w:hAnsi="Times New Roman"/>
          <w:noProof/>
          <w:sz w:val="24"/>
        </w:rPr>
        <w:t xml:space="preserve"> w 2</w:t>
      </w:r>
      <w:r>
        <w:rPr>
          <w:rFonts w:ascii="Times New Roman" w:hAnsi="Times New Roman"/>
          <w:noProof/>
          <w:sz w:val="24"/>
        </w:rPr>
        <w:t>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w:t>
      </w:r>
      <w:r w:rsidR="00D136C6">
        <w:rPr>
          <w:rFonts w:ascii="Times New Roman" w:hAnsi="Times New Roman"/>
          <w:noProof/>
          <w:sz w:val="24"/>
        </w:rPr>
        <w:t xml:space="preserve"> a roz</w:t>
      </w:r>
      <w:r>
        <w:rPr>
          <w:rFonts w:ascii="Times New Roman" w:hAnsi="Times New Roman"/>
          <w:noProof/>
          <w:sz w:val="24"/>
        </w:rPr>
        <w:t>porządzenie</w:t>
      </w:r>
      <w:r w:rsidR="00D136C6">
        <w:rPr>
          <w:rFonts w:ascii="Times New Roman" w:hAnsi="Times New Roman"/>
          <w:noProof/>
          <w:sz w:val="24"/>
        </w:rPr>
        <w:t xml:space="preserve"> w spr</w:t>
      </w:r>
      <w:r>
        <w:rPr>
          <w:rFonts w:ascii="Times New Roman" w:hAnsi="Times New Roman"/>
          <w:noProof/>
          <w:sz w:val="24"/>
        </w:rPr>
        <w:t>awie mechanizmu oceny</w:t>
      </w:r>
      <w:r w:rsidR="00D136C6">
        <w:rPr>
          <w:rFonts w:ascii="Times New Roman" w:hAnsi="Times New Roman"/>
          <w:noProof/>
          <w:sz w:val="24"/>
        </w:rPr>
        <w:t xml:space="preserve"> i mon</w:t>
      </w:r>
      <w:r>
        <w:rPr>
          <w:rFonts w:ascii="Times New Roman" w:hAnsi="Times New Roman"/>
          <w:noProof/>
          <w:sz w:val="24"/>
        </w:rPr>
        <w:t>itorowania Schengen nie przewiduje możliwości ponownego przeprowadzenia formalnej oceny Bułgarii</w:t>
      </w:r>
      <w:r w:rsidR="00D136C6">
        <w:rPr>
          <w:rFonts w:ascii="Times New Roman" w:hAnsi="Times New Roman"/>
          <w:noProof/>
          <w:sz w:val="24"/>
        </w:rPr>
        <w:t xml:space="preserve"> i Rum</w:t>
      </w:r>
      <w:r>
        <w:rPr>
          <w:rFonts w:ascii="Times New Roman" w:hAnsi="Times New Roman"/>
          <w:noProof/>
          <w:sz w:val="24"/>
        </w:rPr>
        <w:t>unii, oba państwa –</w:t>
      </w:r>
      <w:r w:rsidR="00D136C6">
        <w:rPr>
          <w:rFonts w:ascii="Times New Roman" w:hAnsi="Times New Roman"/>
          <w:noProof/>
          <w:sz w:val="24"/>
        </w:rPr>
        <w:t xml:space="preserve"> z myś</w:t>
      </w:r>
      <w:r>
        <w:rPr>
          <w:rFonts w:ascii="Times New Roman" w:hAnsi="Times New Roman"/>
          <w:noProof/>
          <w:sz w:val="24"/>
        </w:rPr>
        <w:t>lą</w:t>
      </w:r>
      <w:r w:rsidR="00D136C6">
        <w:rPr>
          <w:rFonts w:ascii="Times New Roman" w:hAnsi="Times New Roman"/>
          <w:noProof/>
          <w:sz w:val="24"/>
        </w:rPr>
        <w:t xml:space="preserve"> o wzm</w:t>
      </w:r>
      <w:r>
        <w:rPr>
          <w:rFonts w:ascii="Times New Roman" w:hAnsi="Times New Roman"/>
          <w:noProof/>
          <w:sz w:val="24"/>
        </w:rPr>
        <w:t>ocnieniu wzajemnego zaufania</w:t>
      </w:r>
      <w:r w:rsidR="00D136C6">
        <w:rPr>
          <w:rFonts w:ascii="Times New Roman" w:hAnsi="Times New Roman"/>
          <w:noProof/>
          <w:sz w:val="24"/>
        </w:rPr>
        <w:t xml:space="preserve"> i uzn</w:t>
      </w:r>
      <w:r>
        <w:rPr>
          <w:rFonts w:ascii="Times New Roman" w:hAnsi="Times New Roman"/>
          <w:noProof/>
          <w:sz w:val="24"/>
        </w:rPr>
        <w:t>ając rozwój dorobku Schengen, który nastąpił</w:t>
      </w:r>
      <w:r w:rsidR="00D136C6">
        <w:rPr>
          <w:rFonts w:ascii="Times New Roman" w:hAnsi="Times New Roman"/>
          <w:noProof/>
          <w:sz w:val="24"/>
        </w:rPr>
        <w:t xml:space="preserve"> w mię</w:t>
      </w:r>
      <w:r>
        <w:rPr>
          <w:rFonts w:ascii="Times New Roman" w:hAnsi="Times New Roman"/>
          <w:noProof/>
          <w:sz w:val="24"/>
        </w:rPr>
        <w:t>dzyczasie – wydały</w:t>
      </w:r>
      <w:r w:rsidR="00D136C6">
        <w:rPr>
          <w:rFonts w:ascii="Times New Roman" w:hAnsi="Times New Roman"/>
          <w:noProof/>
          <w:sz w:val="24"/>
        </w:rPr>
        <w:t xml:space="preserve"> w dni</w:t>
      </w:r>
      <w:r>
        <w:rPr>
          <w:rFonts w:ascii="Times New Roman" w:hAnsi="Times New Roman"/>
          <w:noProof/>
          <w:sz w:val="24"/>
        </w:rPr>
        <w:t>u 2 marca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wspólną deklarację,</w:t>
      </w:r>
      <w:r w:rsidR="00D136C6">
        <w:rPr>
          <w:rFonts w:ascii="Times New Roman" w:hAnsi="Times New Roman"/>
          <w:noProof/>
          <w:sz w:val="24"/>
        </w:rPr>
        <w:t xml:space="preserve"> w któ</w:t>
      </w:r>
      <w:r>
        <w:rPr>
          <w:rFonts w:ascii="Times New Roman" w:hAnsi="Times New Roman"/>
          <w:noProof/>
          <w:sz w:val="24"/>
        </w:rPr>
        <w:t>rej zaprosiły, na zasadzie dobrowolności, zespół ekspertów koordynowany przez Komisję, „aby zapewnić stosowanie m.in. najnowszych zmian</w:t>
      </w:r>
      <w:r w:rsidR="00D136C6">
        <w:rPr>
          <w:rFonts w:ascii="Times New Roman" w:hAnsi="Times New Roman"/>
          <w:noProof/>
          <w:sz w:val="24"/>
        </w:rPr>
        <w:t xml:space="preserve"> w dor</w:t>
      </w:r>
      <w:r>
        <w:rPr>
          <w:rFonts w:ascii="Times New Roman" w:hAnsi="Times New Roman"/>
          <w:noProof/>
          <w:sz w:val="24"/>
        </w:rPr>
        <w:t>obku Schengen od czasu oceny, koncentrując się na zarządzaniu granicami zewnętrznymi</w:t>
      </w:r>
      <w:r w:rsidR="00D136C6">
        <w:rPr>
          <w:rFonts w:ascii="Times New Roman" w:hAnsi="Times New Roman"/>
          <w:noProof/>
          <w:sz w:val="24"/>
        </w:rPr>
        <w:t xml:space="preserve"> i wsp</w:t>
      </w:r>
      <w:r>
        <w:rPr>
          <w:rFonts w:ascii="Times New Roman" w:hAnsi="Times New Roman"/>
          <w:noProof/>
          <w:sz w:val="24"/>
        </w:rPr>
        <w:t>ółpracy policyjnej”.</w:t>
      </w:r>
    </w:p>
    <w:p w14:paraId="5EFF7CB8" w14:textId="2CC04A57" w:rsidR="00305FA4" w:rsidRPr="0014596D" w:rsidRDefault="00305FA4" w:rsidP="00605EC6">
      <w:pPr>
        <w:spacing w:before="120" w:after="200" w:line="276" w:lineRule="auto"/>
        <w:jc w:val="both"/>
        <w:rPr>
          <w:rFonts w:ascii="Times New Roman" w:eastAsia="Calibri" w:hAnsi="Times New Roman" w:cs="Times New Roman"/>
          <w:noProof/>
          <w:sz w:val="24"/>
          <w:szCs w:val="24"/>
        </w:rPr>
      </w:pPr>
      <w:r>
        <w:rPr>
          <w:rFonts w:ascii="Times New Roman" w:hAnsi="Times New Roman"/>
          <w:noProof/>
          <w:sz w:val="24"/>
        </w:rPr>
        <w:t>W porozumieniu</w:t>
      </w:r>
      <w:r w:rsidR="00D136C6">
        <w:rPr>
          <w:rFonts w:ascii="Times New Roman" w:hAnsi="Times New Roman"/>
          <w:noProof/>
          <w:sz w:val="24"/>
        </w:rPr>
        <w:t xml:space="preserve"> z Buł</w:t>
      </w:r>
      <w:r>
        <w:rPr>
          <w:rFonts w:ascii="Times New Roman" w:hAnsi="Times New Roman"/>
          <w:noProof/>
          <w:sz w:val="24"/>
        </w:rPr>
        <w:t>garią</w:t>
      </w:r>
      <w:r w:rsidR="00D136C6">
        <w:rPr>
          <w:rFonts w:ascii="Times New Roman" w:hAnsi="Times New Roman"/>
          <w:noProof/>
          <w:sz w:val="24"/>
        </w:rPr>
        <w:t xml:space="preserve"> i Rum</w:t>
      </w:r>
      <w:r>
        <w:rPr>
          <w:rFonts w:ascii="Times New Roman" w:hAnsi="Times New Roman"/>
          <w:noProof/>
          <w:sz w:val="24"/>
        </w:rPr>
        <w:t>unią,</w:t>
      </w:r>
      <w:r w:rsidR="00D136C6">
        <w:rPr>
          <w:rFonts w:ascii="Times New Roman" w:hAnsi="Times New Roman"/>
          <w:noProof/>
          <w:sz w:val="24"/>
        </w:rPr>
        <w:t xml:space="preserve"> z któ</w:t>
      </w:r>
      <w:r>
        <w:rPr>
          <w:rFonts w:ascii="Times New Roman" w:hAnsi="Times New Roman"/>
          <w:noProof/>
          <w:sz w:val="24"/>
        </w:rPr>
        <w:t>rych obie wykazały się elastycznością</w:t>
      </w:r>
      <w:r w:rsidR="00D136C6">
        <w:rPr>
          <w:rFonts w:ascii="Times New Roman" w:hAnsi="Times New Roman"/>
          <w:noProof/>
          <w:sz w:val="24"/>
        </w:rPr>
        <w:t xml:space="preserve"> i zaa</w:t>
      </w:r>
      <w:r>
        <w:rPr>
          <w:rFonts w:ascii="Times New Roman" w:hAnsi="Times New Roman"/>
          <w:noProof/>
          <w:sz w:val="24"/>
        </w:rPr>
        <w:t>ngażowaniem, oraz</w:t>
      </w:r>
      <w:r w:rsidR="00D136C6">
        <w:rPr>
          <w:rFonts w:ascii="Times New Roman" w:hAnsi="Times New Roman"/>
          <w:noProof/>
          <w:sz w:val="24"/>
        </w:rPr>
        <w:t xml:space="preserve"> w odp</w:t>
      </w:r>
      <w:r>
        <w:rPr>
          <w:rFonts w:ascii="Times New Roman" w:hAnsi="Times New Roman"/>
          <w:noProof/>
          <w:sz w:val="24"/>
        </w:rPr>
        <w:t>owiedzi na wnioski państw członkowskich, zakres misji został znacznie rozszerzony, aby obejmował wszystkie istotne elementy dorobku Schengen,</w:t>
      </w:r>
      <w:r w:rsidR="00D136C6">
        <w:rPr>
          <w:rFonts w:ascii="Times New Roman" w:hAnsi="Times New Roman"/>
          <w:noProof/>
          <w:sz w:val="24"/>
        </w:rPr>
        <w:t xml:space="preserve"> w tym</w:t>
      </w:r>
      <w:r>
        <w:rPr>
          <w:rFonts w:ascii="Times New Roman" w:hAnsi="Times New Roman"/>
          <w:noProof/>
          <w:sz w:val="24"/>
        </w:rPr>
        <w:t xml:space="preserve"> najnowsze zmiany </w:t>
      </w:r>
      <w:r w:rsidRPr="00D136C6">
        <w:rPr>
          <w:rFonts w:ascii="Times New Roman" w:hAnsi="Times New Roman"/>
          <w:noProof/>
          <w:sz w:val="24"/>
        </w:rPr>
        <w:t>od</w:t>
      </w:r>
      <w:r w:rsidR="00D136C6" w:rsidRPr="00D136C6">
        <w:rPr>
          <w:rFonts w:ascii="Times New Roman" w:hAnsi="Times New Roman"/>
          <w:noProof/>
          <w:sz w:val="24"/>
        </w:rPr>
        <w:t> </w:t>
      </w:r>
      <w:r w:rsidRPr="00D136C6">
        <w:rPr>
          <w:rFonts w:ascii="Times New Roman" w:hAnsi="Times New Roman"/>
          <w:noProof/>
          <w:sz w:val="24"/>
        </w:rPr>
        <w:t>2</w:t>
      </w:r>
      <w:r>
        <w:rPr>
          <w:rFonts w:ascii="Times New Roman" w:hAnsi="Times New Roman"/>
          <w:noProof/>
          <w:sz w:val="24"/>
        </w:rPr>
        <w:t>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ze szczególnym uwzględnieniem granic zewnętrznych</w:t>
      </w:r>
      <w:r w:rsidR="00D136C6">
        <w:rPr>
          <w:rFonts w:ascii="Times New Roman" w:hAnsi="Times New Roman"/>
          <w:noProof/>
          <w:sz w:val="24"/>
        </w:rPr>
        <w:t xml:space="preserve"> i wsp</w:t>
      </w:r>
      <w:r>
        <w:rPr>
          <w:rFonts w:ascii="Times New Roman" w:hAnsi="Times New Roman"/>
          <w:noProof/>
          <w:sz w:val="24"/>
        </w:rPr>
        <w:t>ółpracy policyjnej. Analizie poddano również kwestie powrotów, Systemu Informacyjnego Schengen, wizowego systemu informacyjnego, jak również zmiany</w:t>
      </w:r>
      <w:r w:rsidR="00D136C6">
        <w:rPr>
          <w:rFonts w:ascii="Times New Roman" w:hAnsi="Times New Roman"/>
          <w:noProof/>
          <w:sz w:val="24"/>
        </w:rPr>
        <w:t xml:space="preserve"> w pol</w:t>
      </w:r>
      <w:r>
        <w:rPr>
          <w:rFonts w:ascii="Times New Roman" w:hAnsi="Times New Roman"/>
          <w:noProof/>
          <w:sz w:val="24"/>
        </w:rPr>
        <w:t>ityce wizowej. Podczas tej misji wzięto pod uwagę poszanowanie praw podstawowych,</w:t>
      </w:r>
      <w:r w:rsidR="00D136C6">
        <w:rPr>
          <w:rFonts w:ascii="Times New Roman" w:hAnsi="Times New Roman"/>
          <w:noProof/>
          <w:sz w:val="24"/>
        </w:rPr>
        <w:t xml:space="preserve"> w tym</w:t>
      </w:r>
      <w:r>
        <w:rPr>
          <w:rFonts w:ascii="Times New Roman" w:hAnsi="Times New Roman"/>
          <w:noProof/>
          <w:sz w:val="24"/>
        </w:rPr>
        <w:t xml:space="preserve"> ochronę danych, oraz funkcjonowanie organów stosujących istotne elementy dorobku Schengen. Wizyty odbyły się</w:t>
      </w:r>
      <w:r w:rsidR="00D136C6">
        <w:rPr>
          <w:rFonts w:ascii="Times New Roman" w:hAnsi="Times New Roman"/>
          <w:noProof/>
          <w:sz w:val="24"/>
        </w:rPr>
        <w:t xml:space="preserve"> w Rum</w:t>
      </w:r>
      <w:r>
        <w:rPr>
          <w:rFonts w:ascii="Times New Roman" w:hAnsi="Times New Roman"/>
          <w:noProof/>
          <w:sz w:val="24"/>
        </w:rPr>
        <w:t>unii (9–11 października)</w:t>
      </w:r>
      <w:r w:rsidR="00D136C6">
        <w:rPr>
          <w:rFonts w:ascii="Times New Roman" w:hAnsi="Times New Roman"/>
          <w:noProof/>
          <w:sz w:val="24"/>
        </w:rPr>
        <w:t xml:space="preserve"> i Buł</w:t>
      </w:r>
      <w:r>
        <w:rPr>
          <w:rFonts w:ascii="Times New Roman" w:hAnsi="Times New Roman"/>
          <w:noProof/>
          <w:sz w:val="24"/>
        </w:rPr>
        <w:t>garii (12–14 października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Większość państw członkowskich wniosła swój wkład</w:t>
      </w:r>
      <w:r w:rsidR="00D136C6">
        <w:rPr>
          <w:rFonts w:ascii="Times New Roman" w:hAnsi="Times New Roman"/>
          <w:noProof/>
          <w:sz w:val="24"/>
        </w:rPr>
        <w:t xml:space="preserve"> w mis</w:t>
      </w:r>
      <w:r>
        <w:rPr>
          <w:rFonts w:ascii="Times New Roman" w:hAnsi="Times New Roman"/>
          <w:noProof/>
          <w:sz w:val="24"/>
        </w:rPr>
        <w:t>ję,</w:t>
      </w:r>
      <w:r w:rsidR="00D136C6">
        <w:rPr>
          <w:rFonts w:ascii="Times New Roman" w:hAnsi="Times New Roman"/>
          <w:noProof/>
          <w:sz w:val="24"/>
        </w:rPr>
        <w:t xml:space="preserve"> a zes</w:t>
      </w:r>
      <w:r>
        <w:rPr>
          <w:rFonts w:ascii="Times New Roman" w:hAnsi="Times New Roman"/>
          <w:noProof/>
          <w:sz w:val="24"/>
        </w:rPr>
        <w:t>pół składał się</w:t>
      </w:r>
      <w:r w:rsidR="00D136C6">
        <w:rPr>
          <w:rFonts w:ascii="Times New Roman" w:hAnsi="Times New Roman"/>
          <w:noProof/>
          <w:sz w:val="24"/>
        </w:rPr>
        <w:t xml:space="preserve"> z 1</w:t>
      </w:r>
      <w:r>
        <w:rPr>
          <w:rFonts w:ascii="Times New Roman" w:hAnsi="Times New Roman"/>
          <w:noProof/>
          <w:sz w:val="24"/>
        </w:rPr>
        <w:t>7 ekspertów</w:t>
      </w:r>
      <w:r w:rsidR="00D136C6">
        <w:rPr>
          <w:rFonts w:ascii="Times New Roman" w:hAnsi="Times New Roman"/>
          <w:noProof/>
          <w:sz w:val="24"/>
        </w:rPr>
        <w:t xml:space="preserve"> z pań</w:t>
      </w:r>
      <w:r>
        <w:rPr>
          <w:rFonts w:ascii="Times New Roman" w:hAnsi="Times New Roman"/>
          <w:noProof/>
          <w:sz w:val="24"/>
        </w:rPr>
        <w:t>stw członkowskich. Oprócz pięciu ekspertów Komisji</w:t>
      </w:r>
      <w:r w:rsidR="00D136C6">
        <w:rPr>
          <w:rFonts w:ascii="Times New Roman" w:hAnsi="Times New Roman"/>
          <w:noProof/>
          <w:sz w:val="24"/>
        </w:rPr>
        <w:t xml:space="preserve"> w mis</w:t>
      </w:r>
      <w:r>
        <w:rPr>
          <w:rFonts w:ascii="Times New Roman" w:hAnsi="Times New Roman"/>
          <w:noProof/>
          <w:sz w:val="24"/>
        </w:rPr>
        <w:t>ji informacyjnej uczestniczyli obserwatorzy</w:t>
      </w:r>
      <w:r w:rsidR="00D136C6">
        <w:rPr>
          <w:rFonts w:ascii="Times New Roman" w:hAnsi="Times New Roman"/>
          <w:noProof/>
          <w:sz w:val="24"/>
        </w:rPr>
        <w:t xml:space="preserve"> z Eur</w:t>
      </w:r>
      <w:r>
        <w:rPr>
          <w:rFonts w:ascii="Times New Roman" w:hAnsi="Times New Roman"/>
          <w:noProof/>
          <w:sz w:val="24"/>
        </w:rPr>
        <w:t>opejskiej Agencji Straży Granicznej</w:t>
      </w:r>
      <w:r w:rsidR="00D136C6">
        <w:rPr>
          <w:rFonts w:ascii="Times New Roman" w:hAnsi="Times New Roman"/>
          <w:noProof/>
          <w:sz w:val="24"/>
        </w:rPr>
        <w:t xml:space="preserve"> i Prz</w:t>
      </w:r>
      <w:r>
        <w:rPr>
          <w:rFonts w:ascii="Times New Roman" w:hAnsi="Times New Roman"/>
          <w:noProof/>
          <w:sz w:val="24"/>
        </w:rPr>
        <w:t>ybrzeżnej („Frontex”), Europolu</w:t>
      </w:r>
      <w:r w:rsidR="00D136C6">
        <w:rPr>
          <w:rFonts w:ascii="Times New Roman" w:hAnsi="Times New Roman"/>
          <w:noProof/>
          <w:sz w:val="24"/>
        </w:rPr>
        <w:t xml:space="preserve"> i Age</w:t>
      </w:r>
      <w:r>
        <w:rPr>
          <w:rFonts w:ascii="Times New Roman" w:hAnsi="Times New Roman"/>
          <w:noProof/>
          <w:sz w:val="24"/>
        </w:rPr>
        <w:t>ncji Praw Podstawowych Unii Europejskiej.</w:t>
      </w:r>
    </w:p>
    <w:p w14:paraId="0A607ED5" w14:textId="23EB86F4" w:rsidR="00013FE8" w:rsidRPr="0014596D" w:rsidRDefault="00305FA4"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Dobrowolna misja informacyjna potwierdziła wnioski</w:t>
      </w:r>
      <w:r w:rsidR="00D136C6">
        <w:rPr>
          <w:rFonts w:ascii="Times New Roman" w:hAnsi="Times New Roman"/>
          <w:noProof/>
          <w:sz w:val="24"/>
        </w:rPr>
        <w:t xml:space="preserve"> z zak</w:t>
      </w:r>
      <w:r>
        <w:rPr>
          <w:rFonts w:ascii="Times New Roman" w:hAnsi="Times New Roman"/>
          <w:noProof/>
          <w:sz w:val="24"/>
        </w:rPr>
        <w:t>ończonych procesów oceny</w:t>
      </w:r>
      <w:r w:rsidR="00D136C6">
        <w:rPr>
          <w:rFonts w:ascii="Times New Roman" w:hAnsi="Times New Roman"/>
          <w:noProof/>
          <w:sz w:val="24"/>
        </w:rPr>
        <w:t xml:space="preserve"> z 2</w:t>
      </w:r>
      <w:r>
        <w:rPr>
          <w:rFonts w:ascii="Times New Roman" w:hAnsi="Times New Roman"/>
          <w:noProof/>
          <w:sz w:val="24"/>
        </w:rPr>
        <w:t>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r w:rsidR="00D136C6">
        <w:rPr>
          <w:rFonts w:ascii="Times New Roman" w:hAnsi="Times New Roman"/>
          <w:noProof/>
          <w:sz w:val="24"/>
        </w:rPr>
        <w:t xml:space="preserve"> i wyk</w:t>
      </w:r>
      <w:r>
        <w:rPr>
          <w:rFonts w:ascii="Times New Roman" w:hAnsi="Times New Roman"/>
          <w:noProof/>
          <w:sz w:val="24"/>
        </w:rPr>
        <w:t>azała, że Bułgaria</w:t>
      </w:r>
      <w:r w:rsidR="00D136C6">
        <w:rPr>
          <w:rFonts w:ascii="Times New Roman" w:hAnsi="Times New Roman"/>
          <w:noProof/>
          <w:sz w:val="24"/>
        </w:rPr>
        <w:t xml:space="preserve"> i Rum</w:t>
      </w:r>
      <w:r>
        <w:rPr>
          <w:rFonts w:ascii="Times New Roman" w:hAnsi="Times New Roman"/>
          <w:noProof/>
          <w:sz w:val="24"/>
        </w:rPr>
        <w:t>unia nie tylko nadal wdrażały nowy dorobek</w:t>
      </w:r>
      <w:r w:rsidR="00D136C6">
        <w:rPr>
          <w:rFonts w:ascii="Times New Roman" w:hAnsi="Times New Roman"/>
          <w:noProof/>
          <w:sz w:val="24"/>
        </w:rPr>
        <w:t xml:space="preserve"> i now</w:t>
      </w:r>
      <w:r>
        <w:rPr>
          <w:rFonts w:ascii="Times New Roman" w:hAnsi="Times New Roman"/>
          <w:noProof/>
          <w:sz w:val="24"/>
        </w:rPr>
        <w:t>e narzędzia, ale także</w:t>
      </w:r>
      <w:r w:rsidR="00D136C6">
        <w:rPr>
          <w:rFonts w:ascii="Times New Roman" w:hAnsi="Times New Roman"/>
          <w:noProof/>
          <w:sz w:val="24"/>
        </w:rPr>
        <w:t xml:space="preserve"> w kom</w:t>
      </w:r>
      <w:r>
        <w:rPr>
          <w:rFonts w:ascii="Times New Roman" w:hAnsi="Times New Roman"/>
          <w:noProof/>
          <w:sz w:val="24"/>
        </w:rPr>
        <w:t xml:space="preserve">pleksowy sposób znacznie wzmocniły ogólne stosowanie dorobku Schengen we wszystkich jego wymiarach. </w:t>
      </w:r>
    </w:p>
    <w:p w14:paraId="32EE58A4" w14:textId="34032CAE" w:rsidR="002542ED" w:rsidRPr="0014596D" w:rsidRDefault="00013FE8"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b/>
          <w:noProof/>
          <w:sz w:val="24"/>
        </w:rPr>
        <w:t>Bułgaria</w:t>
      </w:r>
      <w:r>
        <w:rPr>
          <w:rFonts w:ascii="Times New Roman" w:hAnsi="Times New Roman"/>
          <w:noProof/>
          <w:sz w:val="24"/>
        </w:rPr>
        <w:t>, która sąsiaduje</w:t>
      </w:r>
      <w:r w:rsidR="00D136C6">
        <w:rPr>
          <w:rFonts w:ascii="Times New Roman" w:hAnsi="Times New Roman"/>
          <w:noProof/>
          <w:sz w:val="24"/>
        </w:rPr>
        <w:t xml:space="preserve"> z Tur</w:t>
      </w:r>
      <w:r>
        <w:rPr>
          <w:rFonts w:ascii="Times New Roman" w:hAnsi="Times New Roman"/>
          <w:noProof/>
          <w:sz w:val="24"/>
        </w:rPr>
        <w:t>cją, odgrywa zasadniczą rolę</w:t>
      </w:r>
      <w:r w:rsidR="00D136C6">
        <w:rPr>
          <w:rFonts w:ascii="Times New Roman" w:hAnsi="Times New Roman"/>
          <w:noProof/>
          <w:sz w:val="24"/>
        </w:rPr>
        <w:t xml:space="preserve"> w zap</w:t>
      </w:r>
      <w:r>
        <w:rPr>
          <w:rFonts w:ascii="Times New Roman" w:hAnsi="Times New Roman"/>
          <w:noProof/>
          <w:sz w:val="24"/>
        </w:rPr>
        <w:t>ewnieniu ochrony granic zewnętrznych UE</w:t>
      </w:r>
      <w:r w:rsidR="00D136C6">
        <w:rPr>
          <w:rFonts w:ascii="Times New Roman" w:hAnsi="Times New Roman"/>
          <w:noProof/>
          <w:sz w:val="24"/>
        </w:rPr>
        <w:t xml:space="preserve"> i utr</w:t>
      </w:r>
      <w:r>
        <w:rPr>
          <w:rFonts w:ascii="Times New Roman" w:hAnsi="Times New Roman"/>
          <w:noProof/>
          <w:sz w:val="24"/>
        </w:rPr>
        <w:t>zymaniu wysokiego poziomu bezpieczeństwa wewnętrznego</w:t>
      </w:r>
      <w:r w:rsidR="00D136C6">
        <w:rPr>
          <w:rFonts w:ascii="Times New Roman" w:hAnsi="Times New Roman"/>
          <w:noProof/>
          <w:sz w:val="24"/>
        </w:rPr>
        <w:t>. W tym</w:t>
      </w:r>
      <w:r>
        <w:rPr>
          <w:rFonts w:ascii="Times New Roman" w:hAnsi="Times New Roman"/>
          <w:noProof/>
          <w:sz w:val="24"/>
        </w:rPr>
        <w:t xml:space="preserve"> celu Bułgaria wprowadziła solidne zarządzanie granicami, które zapewnia wysokiej jakości ochronę granicy</w:t>
      </w:r>
      <w:r w:rsidR="00D136C6">
        <w:rPr>
          <w:rFonts w:ascii="Times New Roman" w:hAnsi="Times New Roman"/>
          <w:noProof/>
          <w:sz w:val="24"/>
        </w:rPr>
        <w:t xml:space="preserve"> i sys</w:t>
      </w:r>
      <w:r>
        <w:rPr>
          <w:rFonts w:ascii="Times New Roman" w:hAnsi="Times New Roman"/>
          <w:noProof/>
          <w:sz w:val="24"/>
        </w:rPr>
        <w:t>tematyczne kontrole graniczne. Jak stwierdzono</w:t>
      </w:r>
      <w:r w:rsidR="00D136C6">
        <w:rPr>
          <w:rFonts w:ascii="Times New Roman" w:hAnsi="Times New Roman"/>
          <w:noProof/>
          <w:sz w:val="24"/>
        </w:rPr>
        <w:t xml:space="preserve"> w spr</w:t>
      </w:r>
      <w:r>
        <w:rPr>
          <w:rFonts w:ascii="Times New Roman" w:hAnsi="Times New Roman"/>
          <w:noProof/>
          <w:sz w:val="24"/>
        </w:rPr>
        <w:t>awozdaniu</w:t>
      </w:r>
      <w:r w:rsidR="00D136C6">
        <w:rPr>
          <w:rFonts w:ascii="Times New Roman" w:hAnsi="Times New Roman"/>
          <w:noProof/>
          <w:sz w:val="24"/>
        </w:rPr>
        <w:t xml:space="preserve"> z mis</w:t>
      </w:r>
      <w:r>
        <w:rPr>
          <w:rFonts w:ascii="Times New Roman" w:hAnsi="Times New Roman"/>
          <w:noProof/>
          <w:sz w:val="24"/>
        </w:rPr>
        <w:t>ji informacyjnej, Bułgarię zachęca się do dalszego ulepszania krajowego obrazu sytuacji poprzez pełne wdrożenie wspólnego zintegrowanego modelu analizy ryzyka. Mimo występowania wyzwań zewnętrznych Bułgaria przyjmuje spójne podejście</w:t>
      </w:r>
      <w:r w:rsidR="00D136C6">
        <w:rPr>
          <w:rFonts w:ascii="Times New Roman" w:hAnsi="Times New Roman"/>
          <w:noProof/>
          <w:sz w:val="24"/>
        </w:rPr>
        <w:t xml:space="preserve"> w kwe</w:t>
      </w:r>
      <w:r>
        <w:rPr>
          <w:rFonts w:ascii="Times New Roman" w:hAnsi="Times New Roman"/>
          <w:noProof/>
          <w:sz w:val="24"/>
        </w:rPr>
        <w:t>stii powrotu obywateli państw trzecich, którym nie przysługuje prawo do pozostania oraz</w:t>
      </w:r>
      <w:r w:rsidR="00D136C6">
        <w:rPr>
          <w:rFonts w:ascii="Times New Roman" w:hAnsi="Times New Roman"/>
          <w:noProof/>
          <w:sz w:val="24"/>
        </w:rPr>
        <w:t xml:space="preserve"> w kwe</w:t>
      </w:r>
      <w:r>
        <w:rPr>
          <w:rFonts w:ascii="Times New Roman" w:hAnsi="Times New Roman"/>
          <w:noProof/>
          <w:sz w:val="24"/>
        </w:rPr>
        <w:t>stii zapobiegania niedozwolonym wtórnym przepływom. Zwalczanie przestępczości transgranicznej jest traktowane priorytetowo, przy czym istnieją narzędzia aktywnej międzynarodowej współpracy policyjnej,</w:t>
      </w:r>
      <w:r w:rsidR="00D136C6">
        <w:rPr>
          <w:rFonts w:ascii="Times New Roman" w:hAnsi="Times New Roman"/>
          <w:noProof/>
          <w:sz w:val="24"/>
        </w:rPr>
        <w:t xml:space="preserve"> w tym</w:t>
      </w:r>
      <w:r>
        <w:rPr>
          <w:rFonts w:ascii="Times New Roman" w:hAnsi="Times New Roman"/>
          <w:noProof/>
          <w:sz w:val="24"/>
        </w:rPr>
        <w:t xml:space="preserve"> za pośrednictwem Europolu i we współpracy</w:t>
      </w:r>
      <w:r w:rsidR="00D136C6">
        <w:rPr>
          <w:rFonts w:ascii="Times New Roman" w:hAnsi="Times New Roman"/>
          <w:noProof/>
          <w:sz w:val="24"/>
        </w:rPr>
        <w:t xml:space="preserve"> z nim</w:t>
      </w:r>
      <w:r>
        <w:rPr>
          <w:rFonts w:ascii="Times New Roman" w:hAnsi="Times New Roman"/>
          <w:noProof/>
          <w:sz w:val="24"/>
        </w:rPr>
        <w:t>, jak również na podstawie umów operacyjnych, które Bułgaria zawarła</w:t>
      </w:r>
      <w:r w:rsidR="00D136C6">
        <w:rPr>
          <w:rFonts w:ascii="Times New Roman" w:hAnsi="Times New Roman"/>
          <w:noProof/>
          <w:sz w:val="24"/>
        </w:rPr>
        <w:t xml:space="preserve"> z pań</w:t>
      </w:r>
      <w:r>
        <w:rPr>
          <w:rFonts w:ascii="Times New Roman" w:hAnsi="Times New Roman"/>
          <w:noProof/>
          <w:sz w:val="24"/>
        </w:rPr>
        <w:t>stwami sąsiadującymi, umożliwiających obserwację transgraniczną</w:t>
      </w:r>
      <w:r w:rsidR="00D136C6">
        <w:rPr>
          <w:rFonts w:ascii="Times New Roman" w:hAnsi="Times New Roman"/>
          <w:noProof/>
          <w:sz w:val="24"/>
        </w:rPr>
        <w:t xml:space="preserve"> i poś</w:t>
      </w:r>
      <w:r>
        <w:rPr>
          <w:rFonts w:ascii="Times New Roman" w:hAnsi="Times New Roman"/>
          <w:noProof/>
          <w:sz w:val="24"/>
        </w:rPr>
        <w:t>cig transgraniczny. System Informacyjny Schengen działa</w:t>
      </w:r>
      <w:r w:rsidR="00D136C6">
        <w:rPr>
          <w:rFonts w:ascii="Times New Roman" w:hAnsi="Times New Roman"/>
          <w:noProof/>
          <w:sz w:val="24"/>
        </w:rPr>
        <w:t xml:space="preserve"> w Rum</w:t>
      </w:r>
      <w:r>
        <w:rPr>
          <w:rFonts w:ascii="Times New Roman" w:hAnsi="Times New Roman"/>
          <w:noProof/>
          <w:sz w:val="24"/>
        </w:rPr>
        <w:t>unii dobrze. Jeżeli chodzi</w:t>
      </w:r>
      <w:r w:rsidR="00D136C6">
        <w:rPr>
          <w:rFonts w:ascii="Times New Roman" w:hAnsi="Times New Roman"/>
          <w:noProof/>
          <w:sz w:val="24"/>
        </w:rPr>
        <w:t xml:space="preserve"> o fun</w:t>
      </w:r>
      <w:r>
        <w:rPr>
          <w:rFonts w:ascii="Times New Roman" w:hAnsi="Times New Roman"/>
          <w:noProof/>
          <w:sz w:val="24"/>
        </w:rPr>
        <w:t>kcjonowanie organów, bułgarska krajowa strategia zapobiegania</w:t>
      </w:r>
      <w:r w:rsidR="00D136C6">
        <w:rPr>
          <w:rFonts w:ascii="Times New Roman" w:hAnsi="Times New Roman"/>
          <w:noProof/>
          <w:sz w:val="24"/>
        </w:rPr>
        <w:t xml:space="preserve"> i zwa</w:t>
      </w:r>
      <w:r>
        <w:rPr>
          <w:rFonts w:ascii="Times New Roman" w:hAnsi="Times New Roman"/>
          <w:noProof/>
          <w:sz w:val="24"/>
        </w:rPr>
        <w:t>lczania korupcji jest wdrażana na wszystkich szczeblach</w:t>
      </w:r>
      <w:r w:rsidR="00D136C6">
        <w:rPr>
          <w:rFonts w:ascii="Times New Roman" w:hAnsi="Times New Roman"/>
          <w:noProof/>
          <w:sz w:val="24"/>
        </w:rPr>
        <w:t xml:space="preserve"> i wzm</w:t>
      </w:r>
      <w:r>
        <w:rPr>
          <w:rFonts w:ascii="Times New Roman" w:hAnsi="Times New Roman"/>
          <w:noProof/>
          <w:sz w:val="24"/>
        </w:rPr>
        <w:t>acniana przez środki zapobiegawcze</w:t>
      </w:r>
      <w:r w:rsidR="00D136C6">
        <w:rPr>
          <w:rFonts w:ascii="Times New Roman" w:hAnsi="Times New Roman"/>
          <w:noProof/>
          <w:sz w:val="24"/>
        </w:rPr>
        <w:t xml:space="preserve"> i sol</w:t>
      </w:r>
      <w:r>
        <w:rPr>
          <w:rFonts w:ascii="Times New Roman" w:hAnsi="Times New Roman"/>
          <w:noProof/>
          <w:sz w:val="24"/>
        </w:rPr>
        <w:t xml:space="preserve">idne procedury dyscyplinarne. Bułgaria wykazała również, że posiada struktury niezbędne do zapewnienia poszanowania praw podstawowych, zagwarantowania dostępu do ochrony międzynarodowej, przestrzegania zasady </w:t>
      </w:r>
      <w:r>
        <w:rPr>
          <w:rFonts w:ascii="Times New Roman" w:hAnsi="Times New Roman"/>
          <w:i/>
          <w:noProof/>
          <w:sz w:val="24"/>
        </w:rPr>
        <w:t>non-refoulement</w:t>
      </w:r>
      <w:r>
        <w:rPr>
          <w:rFonts w:ascii="Times New Roman" w:hAnsi="Times New Roman"/>
          <w:noProof/>
          <w:sz w:val="24"/>
        </w:rPr>
        <w:t xml:space="preserve"> oraz spełnia wymogi dotyczące ochrony danych</w:t>
      </w:r>
      <w:r w:rsidR="00D136C6">
        <w:rPr>
          <w:rFonts w:ascii="Times New Roman" w:hAnsi="Times New Roman"/>
          <w:noProof/>
          <w:sz w:val="24"/>
        </w:rPr>
        <w:t xml:space="preserve"> w cel</w:t>
      </w:r>
      <w:r>
        <w:rPr>
          <w:rFonts w:ascii="Times New Roman" w:hAnsi="Times New Roman"/>
          <w:noProof/>
          <w:sz w:val="24"/>
        </w:rPr>
        <w:t>u stosowania Systemu Informacyjnego Schengen</w:t>
      </w:r>
      <w:r w:rsidR="00D136C6">
        <w:rPr>
          <w:rFonts w:ascii="Times New Roman" w:hAnsi="Times New Roman"/>
          <w:noProof/>
          <w:sz w:val="24"/>
        </w:rPr>
        <w:t xml:space="preserve"> i wsp</w:t>
      </w:r>
      <w:r>
        <w:rPr>
          <w:rFonts w:ascii="Times New Roman" w:hAnsi="Times New Roman"/>
          <w:noProof/>
          <w:sz w:val="24"/>
        </w:rPr>
        <w:t xml:space="preserve">ółpracy policyjnej. </w:t>
      </w:r>
    </w:p>
    <w:p w14:paraId="7CCB6C4F" w14:textId="093871FC" w:rsidR="002542ED" w:rsidRPr="0014596D" w:rsidRDefault="002542ED"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b/>
          <w:noProof/>
          <w:sz w:val="24"/>
        </w:rPr>
        <w:t>Rumunia</w:t>
      </w:r>
      <w:r>
        <w:rPr>
          <w:rFonts w:ascii="Times New Roman" w:hAnsi="Times New Roman"/>
          <w:noProof/>
          <w:sz w:val="24"/>
        </w:rPr>
        <w:t>, granicząca</w:t>
      </w:r>
      <w:r w:rsidR="00D136C6">
        <w:rPr>
          <w:rFonts w:ascii="Times New Roman" w:hAnsi="Times New Roman"/>
          <w:noProof/>
          <w:sz w:val="24"/>
        </w:rPr>
        <w:t xml:space="preserve"> z Ser</w:t>
      </w:r>
      <w:r>
        <w:rPr>
          <w:rFonts w:ascii="Times New Roman" w:hAnsi="Times New Roman"/>
          <w:noProof/>
          <w:sz w:val="24"/>
        </w:rPr>
        <w:t>bią, Ukrainą</w:t>
      </w:r>
      <w:r w:rsidR="00D136C6">
        <w:rPr>
          <w:rFonts w:ascii="Times New Roman" w:hAnsi="Times New Roman"/>
          <w:noProof/>
          <w:sz w:val="24"/>
        </w:rPr>
        <w:t xml:space="preserve"> i Moł</w:t>
      </w:r>
      <w:r>
        <w:rPr>
          <w:rFonts w:ascii="Times New Roman" w:hAnsi="Times New Roman"/>
          <w:noProof/>
          <w:sz w:val="24"/>
        </w:rPr>
        <w:t>dawią, odgrywa niezwykle istotną rolę</w:t>
      </w:r>
      <w:r w:rsidR="00D136C6">
        <w:rPr>
          <w:rFonts w:ascii="Times New Roman" w:hAnsi="Times New Roman"/>
          <w:noProof/>
          <w:sz w:val="24"/>
        </w:rPr>
        <w:t xml:space="preserve"> w prz</w:t>
      </w:r>
      <w:r>
        <w:rPr>
          <w:rFonts w:ascii="Times New Roman" w:hAnsi="Times New Roman"/>
          <w:noProof/>
          <w:sz w:val="24"/>
        </w:rPr>
        <w:t>yczynianiu się do odpowiedniego funkcjonowania strefy Schengen</w:t>
      </w:r>
      <w:r w:rsidR="00D136C6">
        <w:rPr>
          <w:rFonts w:ascii="Times New Roman" w:hAnsi="Times New Roman"/>
          <w:noProof/>
          <w:sz w:val="24"/>
        </w:rPr>
        <w:t>. W pań</w:t>
      </w:r>
      <w:r>
        <w:rPr>
          <w:rFonts w:ascii="Times New Roman" w:hAnsi="Times New Roman"/>
          <w:noProof/>
          <w:sz w:val="24"/>
        </w:rPr>
        <w:t>stwie tym istnieje wysokiej jakości solidne zarządzanie granicami,</w:t>
      </w:r>
      <w:r w:rsidR="00D136C6">
        <w:rPr>
          <w:rFonts w:ascii="Times New Roman" w:hAnsi="Times New Roman"/>
          <w:noProof/>
          <w:sz w:val="24"/>
        </w:rPr>
        <w:t xml:space="preserve"> w tym</w:t>
      </w:r>
      <w:r>
        <w:rPr>
          <w:rFonts w:ascii="Times New Roman" w:hAnsi="Times New Roman"/>
          <w:noProof/>
          <w:sz w:val="24"/>
        </w:rPr>
        <w:t xml:space="preserve"> ochrona granic</w:t>
      </w:r>
      <w:r w:rsidR="00D136C6">
        <w:rPr>
          <w:rFonts w:ascii="Times New Roman" w:hAnsi="Times New Roman"/>
          <w:noProof/>
          <w:sz w:val="24"/>
        </w:rPr>
        <w:t xml:space="preserve"> i sys</w:t>
      </w:r>
      <w:r>
        <w:rPr>
          <w:rFonts w:ascii="Times New Roman" w:hAnsi="Times New Roman"/>
          <w:noProof/>
          <w:sz w:val="24"/>
        </w:rPr>
        <w:t>tematyczne kontrole graniczne,</w:t>
      </w:r>
      <w:r w:rsidR="00D136C6">
        <w:rPr>
          <w:rFonts w:ascii="Times New Roman" w:hAnsi="Times New Roman"/>
          <w:noProof/>
          <w:sz w:val="24"/>
        </w:rPr>
        <w:t xml:space="preserve"> a mię</w:t>
      </w:r>
      <w:r>
        <w:rPr>
          <w:rFonts w:ascii="Times New Roman" w:hAnsi="Times New Roman"/>
          <w:noProof/>
          <w:sz w:val="24"/>
        </w:rPr>
        <w:t>dzynarodowa współpraca policyjna</w:t>
      </w:r>
      <w:r w:rsidR="00D136C6">
        <w:rPr>
          <w:rFonts w:ascii="Times New Roman" w:hAnsi="Times New Roman"/>
          <w:noProof/>
          <w:sz w:val="24"/>
        </w:rPr>
        <w:t xml:space="preserve"> z pań</w:t>
      </w:r>
      <w:r>
        <w:rPr>
          <w:rFonts w:ascii="Times New Roman" w:hAnsi="Times New Roman"/>
          <w:noProof/>
          <w:sz w:val="24"/>
        </w:rPr>
        <w:t>stwami sąsiadującymi przebiega prawidłowo, podobnie jak bardzo aktywna współpraca</w:t>
      </w:r>
      <w:r w:rsidR="00D136C6">
        <w:rPr>
          <w:rFonts w:ascii="Times New Roman" w:hAnsi="Times New Roman"/>
          <w:noProof/>
          <w:sz w:val="24"/>
        </w:rPr>
        <w:t xml:space="preserve"> z age</w:t>
      </w:r>
      <w:r>
        <w:rPr>
          <w:rFonts w:ascii="Times New Roman" w:hAnsi="Times New Roman"/>
          <w:noProof/>
          <w:sz w:val="24"/>
        </w:rPr>
        <w:t>ncją Frontex. Holistyczne podejście do zarządzania migracjami jest zapewnione dzięki działaniom prowadzonym również</w:t>
      </w:r>
      <w:r w:rsidR="00D136C6">
        <w:rPr>
          <w:rFonts w:ascii="Times New Roman" w:hAnsi="Times New Roman"/>
          <w:noProof/>
          <w:sz w:val="24"/>
        </w:rPr>
        <w:t xml:space="preserve"> w pań</w:t>
      </w:r>
      <w:r>
        <w:rPr>
          <w:rFonts w:ascii="Times New Roman" w:hAnsi="Times New Roman"/>
          <w:noProof/>
          <w:sz w:val="24"/>
        </w:rPr>
        <w:t>stwach trzecich. Powroty są realizowane jako działanie priorytetowe</w:t>
      </w:r>
      <w:r w:rsidR="00D136C6">
        <w:rPr>
          <w:rFonts w:ascii="Times New Roman" w:hAnsi="Times New Roman"/>
          <w:noProof/>
          <w:sz w:val="24"/>
        </w:rPr>
        <w:t xml:space="preserve"> w cel</w:t>
      </w:r>
      <w:r>
        <w:rPr>
          <w:rFonts w:ascii="Times New Roman" w:hAnsi="Times New Roman"/>
          <w:noProof/>
          <w:sz w:val="24"/>
        </w:rPr>
        <w:t>u zwalczania migracji nieuregulowanej</w:t>
      </w:r>
      <w:r w:rsidR="00D136C6">
        <w:rPr>
          <w:rFonts w:ascii="Times New Roman" w:hAnsi="Times New Roman"/>
          <w:noProof/>
          <w:sz w:val="24"/>
        </w:rPr>
        <w:t xml:space="preserve"> i nie</w:t>
      </w:r>
      <w:r>
        <w:rPr>
          <w:rFonts w:ascii="Times New Roman" w:hAnsi="Times New Roman"/>
          <w:noProof/>
          <w:sz w:val="24"/>
        </w:rPr>
        <w:t>dozwolonych wtórnych przepływów,</w:t>
      </w:r>
      <w:r w:rsidR="00D136C6">
        <w:rPr>
          <w:rFonts w:ascii="Times New Roman" w:hAnsi="Times New Roman"/>
          <w:noProof/>
          <w:sz w:val="24"/>
        </w:rPr>
        <w:t xml:space="preserve"> w wyn</w:t>
      </w:r>
      <w:r>
        <w:rPr>
          <w:rFonts w:ascii="Times New Roman" w:hAnsi="Times New Roman"/>
          <w:noProof/>
          <w:sz w:val="24"/>
        </w:rPr>
        <w:t>iku czego uzyskuje się spójne podejście do kwestii powrotów</w:t>
      </w:r>
      <w:r w:rsidR="00D136C6">
        <w:rPr>
          <w:rFonts w:ascii="Times New Roman" w:hAnsi="Times New Roman"/>
          <w:noProof/>
          <w:sz w:val="24"/>
        </w:rPr>
        <w:t xml:space="preserve"> i rea</w:t>
      </w:r>
      <w:r>
        <w:rPr>
          <w:rFonts w:ascii="Times New Roman" w:hAnsi="Times New Roman"/>
          <w:noProof/>
          <w:sz w:val="24"/>
        </w:rPr>
        <w:t>dmisji. Rumunia dysponuje krajowym planem awaryjnym</w:t>
      </w:r>
      <w:r w:rsidR="00D136C6">
        <w:rPr>
          <w:rFonts w:ascii="Times New Roman" w:hAnsi="Times New Roman"/>
          <w:noProof/>
          <w:sz w:val="24"/>
        </w:rPr>
        <w:t xml:space="preserve"> i ope</w:t>
      </w:r>
      <w:r>
        <w:rPr>
          <w:rFonts w:ascii="Times New Roman" w:hAnsi="Times New Roman"/>
          <w:noProof/>
          <w:sz w:val="24"/>
        </w:rPr>
        <w:t>racyjnym na wypadek sytuacji nadzwyczajnych, który</w:t>
      </w:r>
      <w:r w:rsidR="00D136C6">
        <w:rPr>
          <w:rFonts w:ascii="Times New Roman" w:hAnsi="Times New Roman"/>
          <w:noProof/>
          <w:sz w:val="24"/>
        </w:rPr>
        <w:t xml:space="preserve"> z pow</w:t>
      </w:r>
      <w:r>
        <w:rPr>
          <w:rFonts w:ascii="Times New Roman" w:hAnsi="Times New Roman"/>
          <w:noProof/>
          <w:sz w:val="24"/>
        </w:rPr>
        <w:t>odzeniem zastosowała</w:t>
      </w:r>
      <w:r w:rsidR="00D136C6">
        <w:rPr>
          <w:rFonts w:ascii="Times New Roman" w:hAnsi="Times New Roman"/>
          <w:noProof/>
          <w:sz w:val="24"/>
        </w:rPr>
        <w:t xml:space="preserve"> w odp</w:t>
      </w:r>
      <w:r>
        <w:rPr>
          <w:rFonts w:ascii="Times New Roman" w:hAnsi="Times New Roman"/>
          <w:noProof/>
          <w:sz w:val="24"/>
        </w:rPr>
        <w:t>owiedzi na kryzys</w:t>
      </w:r>
      <w:r w:rsidR="00D136C6">
        <w:rPr>
          <w:rFonts w:ascii="Times New Roman" w:hAnsi="Times New Roman"/>
          <w:noProof/>
          <w:sz w:val="24"/>
        </w:rPr>
        <w:t xml:space="preserve"> w Ukr</w:t>
      </w:r>
      <w:r>
        <w:rPr>
          <w:rFonts w:ascii="Times New Roman" w:hAnsi="Times New Roman"/>
          <w:noProof/>
          <w:sz w:val="24"/>
        </w:rPr>
        <w:t>ainie. Ponadto Rumunia prowadzi skuteczną</w:t>
      </w:r>
      <w:r w:rsidR="00D136C6">
        <w:rPr>
          <w:rFonts w:ascii="Times New Roman" w:hAnsi="Times New Roman"/>
          <w:noProof/>
          <w:sz w:val="24"/>
        </w:rPr>
        <w:t xml:space="preserve"> i akt</w:t>
      </w:r>
      <w:r>
        <w:rPr>
          <w:rFonts w:ascii="Times New Roman" w:hAnsi="Times New Roman"/>
          <w:noProof/>
          <w:sz w:val="24"/>
        </w:rPr>
        <w:t>ywną międzynarodową współpracę policyjną, zwłaszcza</w:t>
      </w:r>
      <w:r w:rsidR="00D136C6">
        <w:rPr>
          <w:rFonts w:ascii="Times New Roman" w:hAnsi="Times New Roman"/>
          <w:noProof/>
          <w:sz w:val="24"/>
        </w:rPr>
        <w:t xml:space="preserve"> z Eur</w:t>
      </w:r>
      <w:r>
        <w:rPr>
          <w:rFonts w:ascii="Times New Roman" w:hAnsi="Times New Roman"/>
          <w:noProof/>
          <w:sz w:val="24"/>
        </w:rPr>
        <w:t>opolem. Zwalczanie nielegalnej migracji</w:t>
      </w:r>
      <w:r w:rsidR="00D136C6">
        <w:rPr>
          <w:rFonts w:ascii="Times New Roman" w:hAnsi="Times New Roman"/>
          <w:noProof/>
          <w:sz w:val="24"/>
        </w:rPr>
        <w:t xml:space="preserve"> i han</w:t>
      </w:r>
      <w:r>
        <w:rPr>
          <w:rFonts w:ascii="Times New Roman" w:hAnsi="Times New Roman"/>
          <w:noProof/>
          <w:sz w:val="24"/>
        </w:rPr>
        <w:t>dlu ludźmi to dwa obszary priorytetowe,</w:t>
      </w:r>
      <w:r w:rsidR="00D136C6">
        <w:rPr>
          <w:rFonts w:ascii="Times New Roman" w:hAnsi="Times New Roman"/>
          <w:noProof/>
          <w:sz w:val="24"/>
        </w:rPr>
        <w:t xml:space="preserve"> w któ</w:t>
      </w:r>
      <w:r>
        <w:rPr>
          <w:rFonts w:ascii="Times New Roman" w:hAnsi="Times New Roman"/>
          <w:noProof/>
          <w:sz w:val="24"/>
        </w:rPr>
        <w:t>rych Rumunia jest szczególnie aktywna. System Informacyjny Schengen został odpowiednio ustanowiony</w:t>
      </w:r>
      <w:r w:rsidR="00D136C6">
        <w:rPr>
          <w:rFonts w:ascii="Times New Roman" w:hAnsi="Times New Roman"/>
          <w:noProof/>
          <w:sz w:val="24"/>
        </w:rPr>
        <w:t xml:space="preserve"> i obe</w:t>
      </w:r>
      <w:r>
        <w:rPr>
          <w:rFonts w:ascii="Times New Roman" w:hAnsi="Times New Roman"/>
          <w:noProof/>
          <w:sz w:val="24"/>
        </w:rPr>
        <w:t>cnie konieczne są dalsze starania, aby zapewnić niezbędną automatyzację systemu kontroli obiegu zadań SIRENE. Rumunia przyjęła krajową strategię antykorupcyjną</w:t>
      </w:r>
      <w:r w:rsidR="00D136C6">
        <w:rPr>
          <w:rFonts w:ascii="Times New Roman" w:hAnsi="Times New Roman"/>
          <w:noProof/>
          <w:sz w:val="24"/>
        </w:rPr>
        <w:t xml:space="preserve"> i wpr</w:t>
      </w:r>
      <w:r>
        <w:rPr>
          <w:rFonts w:ascii="Times New Roman" w:hAnsi="Times New Roman"/>
          <w:noProof/>
          <w:sz w:val="24"/>
        </w:rPr>
        <w:t>owadziła środki antykorupcyjne na wszystkich poziomach rumuńskich organów ścigania. Jeżeli chodzi</w:t>
      </w:r>
      <w:r w:rsidR="00D136C6">
        <w:rPr>
          <w:rFonts w:ascii="Times New Roman" w:hAnsi="Times New Roman"/>
          <w:noProof/>
          <w:sz w:val="24"/>
        </w:rPr>
        <w:t xml:space="preserve"> o pos</w:t>
      </w:r>
      <w:r>
        <w:rPr>
          <w:rFonts w:ascii="Times New Roman" w:hAnsi="Times New Roman"/>
          <w:noProof/>
          <w:sz w:val="24"/>
        </w:rPr>
        <w:t>zanowanie praw podstawowych, Rumunia dysponuje skutecznymi strukturami gwarantującymi dostęp do ochrony międzynarodowej</w:t>
      </w:r>
      <w:r w:rsidR="00D136C6">
        <w:rPr>
          <w:rFonts w:ascii="Times New Roman" w:hAnsi="Times New Roman"/>
          <w:noProof/>
          <w:sz w:val="24"/>
        </w:rPr>
        <w:t xml:space="preserve"> i zap</w:t>
      </w:r>
      <w:r>
        <w:rPr>
          <w:rFonts w:ascii="Times New Roman" w:hAnsi="Times New Roman"/>
          <w:noProof/>
          <w:sz w:val="24"/>
        </w:rPr>
        <w:t>ewniającymi przestrzeganie zasady non-refoulement,</w:t>
      </w:r>
      <w:r w:rsidR="00D136C6">
        <w:rPr>
          <w:rFonts w:ascii="Times New Roman" w:hAnsi="Times New Roman"/>
          <w:noProof/>
          <w:sz w:val="24"/>
        </w:rPr>
        <w:t xml:space="preserve"> a tak</w:t>
      </w:r>
      <w:r>
        <w:rPr>
          <w:rFonts w:ascii="Times New Roman" w:hAnsi="Times New Roman"/>
          <w:noProof/>
          <w:sz w:val="24"/>
        </w:rPr>
        <w:t>że struktur niezbędnych do przestrzegania wymogów ochrony danych</w:t>
      </w:r>
      <w:r w:rsidR="00D136C6">
        <w:rPr>
          <w:rFonts w:ascii="Times New Roman" w:hAnsi="Times New Roman"/>
          <w:noProof/>
          <w:sz w:val="24"/>
        </w:rPr>
        <w:t xml:space="preserve"> w cel</w:t>
      </w:r>
      <w:r>
        <w:rPr>
          <w:rFonts w:ascii="Times New Roman" w:hAnsi="Times New Roman"/>
          <w:noProof/>
          <w:sz w:val="24"/>
        </w:rPr>
        <w:t>u stosowania Systemu Informacyjnego Schengen</w:t>
      </w:r>
      <w:r w:rsidR="00D136C6">
        <w:rPr>
          <w:rFonts w:ascii="Times New Roman" w:hAnsi="Times New Roman"/>
          <w:noProof/>
          <w:sz w:val="24"/>
        </w:rPr>
        <w:t xml:space="preserve"> i wsp</w:t>
      </w:r>
      <w:r>
        <w:rPr>
          <w:rFonts w:ascii="Times New Roman" w:hAnsi="Times New Roman"/>
          <w:noProof/>
          <w:sz w:val="24"/>
        </w:rPr>
        <w:t>ółpracy policyjnej.</w:t>
      </w:r>
    </w:p>
    <w:p w14:paraId="2306FFA6" w14:textId="1A78E5CA" w:rsidR="002E484E" w:rsidRPr="0014596D" w:rsidRDefault="00305FA4"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Zespół ekspertów przeprowadzający wizytę na miejscu przedstawił sprawozdanie</w:t>
      </w:r>
      <w:r w:rsidR="00D136C6">
        <w:rPr>
          <w:rFonts w:ascii="Times New Roman" w:hAnsi="Times New Roman"/>
          <w:noProof/>
          <w:sz w:val="24"/>
        </w:rPr>
        <w:t xml:space="preserve"> z mis</w:t>
      </w:r>
      <w:r>
        <w:rPr>
          <w:rFonts w:ascii="Times New Roman" w:hAnsi="Times New Roman"/>
          <w:noProof/>
          <w:sz w:val="24"/>
        </w:rPr>
        <w:t>ji</w:t>
      </w:r>
      <w:r>
        <w:rPr>
          <w:rFonts w:ascii="Times New Roman" w:eastAsia="Calibri" w:hAnsi="Times New Roman" w:cs="Times New Roman"/>
          <w:noProof/>
          <w:sz w:val="24"/>
          <w:szCs w:val="24"/>
          <w:vertAlign w:val="superscript"/>
        </w:rPr>
        <w:footnoteReference w:id="12"/>
      </w:r>
      <w:r>
        <w:rPr>
          <w:rFonts w:ascii="Times New Roman" w:hAnsi="Times New Roman"/>
          <w:noProof/>
          <w:sz w:val="24"/>
        </w:rPr>
        <w:t xml:space="preserve"> na posiedzeniu Grupy Roboczej Rady do Spraw Schengen, które odbyło </w:t>
      </w:r>
      <w:r w:rsidRPr="00D136C6">
        <w:rPr>
          <w:rFonts w:ascii="Times New Roman" w:hAnsi="Times New Roman"/>
          <w:noProof/>
          <w:sz w:val="24"/>
        </w:rPr>
        <w:t>się</w:t>
      </w:r>
      <w:r w:rsidR="00D136C6" w:rsidRPr="00D136C6">
        <w:rPr>
          <w:rFonts w:ascii="Times New Roman" w:hAnsi="Times New Roman"/>
          <w:noProof/>
          <w:sz w:val="24"/>
        </w:rPr>
        <w:t> </w:t>
      </w:r>
      <w:r w:rsidRPr="00D136C6">
        <w:rPr>
          <w:rFonts w:ascii="Times New Roman" w:hAnsi="Times New Roman"/>
          <w:noProof/>
          <w:sz w:val="24"/>
        </w:rPr>
        <w:t>2</w:t>
      </w:r>
      <w:r>
        <w:rPr>
          <w:rFonts w:ascii="Times New Roman" w:hAnsi="Times New Roman"/>
          <w:noProof/>
          <w:sz w:val="24"/>
        </w:rPr>
        <w:t>6 października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w:t>
      </w:r>
      <w:r w:rsidR="00D136C6">
        <w:rPr>
          <w:rFonts w:ascii="Times New Roman" w:hAnsi="Times New Roman"/>
          <w:noProof/>
          <w:sz w:val="24"/>
        </w:rPr>
        <w:t xml:space="preserve"> i stw</w:t>
      </w:r>
      <w:r>
        <w:rPr>
          <w:rFonts w:ascii="Times New Roman" w:hAnsi="Times New Roman"/>
          <w:noProof/>
          <w:sz w:val="24"/>
        </w:rPr>
        <w:t>ierdził, że nie wykryto żadnych problemów ze stosowaniem przez Bułgarię</w:t>
      </w:r>
      <w:r w:rsidR="00D136C6">
        <w:rPr>
          <w:rFonts w:ascii="Times New Roman" w:hAnsi="Times New Roman"/>
          <w:noProof/>
          <w:sz w:val="24"/>
        </w:rPr>
        <w:t xml:space="preserve"> i Rum</w:t>
      </w:r>
      <w:r>
        <w:rPr>
          <w:rFonts w:ascii="Times New Roman" w:hAnsi="Times New Roman"/>
          <w:noProof/>
          <w:sz w:val="24"/>
        </w:rPr>
        <w:t>unię najnowszych zmian</w:t>
      </w:r>
      <w:r w:rsidR="00D136C6">
        <w:rPr>
          <w:rFonts w:ascii="Times New Roman" w:hAnsi="Times New Roman"/>
          <w:noProof/>
          <w:sz w:val="24"/>
        </w:rPr>
        <w:t xml:space="preserve"> w dor</w:t>
      </w:r>
      <w:r>
        <w:rPr>
          <w:rFonts w:ascii="Times New Roman" w:hAnsi="Times New Roman"/>
          <w:noProof/>
          <w:sz w:val="24"/>
        </w:rPr>
        <w:t>obku Schengen oraz że oba państwa członkowskie nadal spełniają warunki niezbędne do pełnego stosowania wszystkich istotnych elementów dorobku Schengen. Zarówno Bułgaria, jak</w:t>
      </w:r>
      <w:r w:rsidR="00D136C6">
        <w:rPr>
          <w:rFonts w:ascii="Times New Roman" w:hAnsi="Times New Roman"/>
          <w:noProof/>
          <w:sz w:val="24"/>
        </w:rPr>
        <w:t xml:space="preserve"> i Rum</w:t>
      </w:r>
      <w:r>
        <w:rPr>
          <w:rFonts w:ascii="Times New Roman" w:hAnsi="Times New Roman"/>
          <w:noProof/>
          <w:sz w:val="24"/>
        </w:rPr>
        <w:t>unia są gotowe do pełnego wdrożenia kodeksu wizowego</w:t>
      </w:r>
      <w:r w:rsidR="00D136C6">
        <w:rPr>
          <w:rFonts w:ascii="Times New Roman" w:hAnsi="Times New Roman"/>
          <w:noProof/>
          <w:sz w:val="24"/>
        </w:rPr>
        <w:t xml:space="preserve"> i wyd</w:t>
      </w:r>
      <w:r>
        <w:rPr>
          <w:rFonts w:ascii="Times New Roman" w:hAnsi="Times New Roman"/>
          <w:noProof/>
          <w:sz w:val="24"/>
        </w:rPr>
        <w:t>awania wiz Schengen od momentu przystąpienia. Komisja</w:t>
      </w:r>
      <w:r w:rsidR="00D136C6">
        <w:rPr>
          <w:rFonts w:ascii="Times New Roman" w:hAnsi="Times New Roman"/>
          <w:noProof/>
          <w:sz w:val="24"/>
        </w:rPr>
        <w:t xml:space="preserve"> z zad</w:t>
      </w:r>
      <w:r>
        <w:rPr>
          <w:rFonts w:ascii="Times New Roman" w:hAnsi="Times New Roman"/>
          <w:noProof/>
          <w:sz w:val="24"/>
        </w:rPr>
        <w:t>owoleniem przyjmuje decyzję Bułgarii</w:t>
      </w:r>
      <w:r w:rsidR="00D136C6">
        <w:rPr>
          <w:rFonts w:ascii="Times New Roman" w:hAnsi="Times New Roman"/>
          <w:noProof/>
          <w:sz w:val="24"/>
        </w:rPr>
        <w:t xml:space="preserve"> i Rum</w:t>
      </w:r>
      <w:r>
        <w:rPr>
          <w:rFonts w:ascii="Times New Roman" w:hAnsi="Times New Roman"/>
          <w:noProof/>
          <w:sz w:val="24"/>
        </w:rPr>
        <w:t>unii</w:t>
      </w:r>
      <w:r w:rsidR="00D136C6">
        <w:rPr>
          <w:rFonts w:ascii="Times New Roman" w:hAnsi="Times New Roman"/>
          <w:noProof/>
          <w:sz w:val="24"/>
        </w:rPr>
        <w:t xml:space="preserve"> o prz</w:t>
      </w:r>
      <w:r>
        <w:rPr>
          <w:rFonts w:ascii="Times New Roman" w:hAnsi="Times New Roman"/>
          <w:noProof/>
          <w:sz w:val="24"/>
        </w:rPr>
        <w:t>eniesieniu niezbędnego personelu</w:t>
      </w:r>
      <w:r w:rsidR="00D136C6">
        <w:rPr>
          <w:rFonts w:ascii="Times New Roman" w:hAnsi="Times New Roman"/>
          <w:noProof/>
          <w:sz w:val="24"/>
        </w:rPr>
        <w:t xml:space="preserve"> z sek</w:t>
      </w:r>
      <w:r>
        <w:rPr>
          <w:rFonts w:ascii="Times New Roman" w:hAnsi="Times New Roman"/>
          <w:noProof/>
          <w:sz w:val="24"/>
        </w:rPr>
        <w:t xml:space="preserve">tora policji granicznej na granicach wewnętrznych na granice zewnętrzne po zniesieniu kontroli na granicach wewnętrznych, aby zapobiec ewentualnemu wzrostowi migracji nieuregulowanej. </w:t>
      </w:r>
    </w:p>
    <w:p w14:paraId="2AF537F5" w14:textId="4026C57F" w:rsidR="00BC772C" w:rsidRDefault="00305FA4"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b/>
          <w:bCs/>
          <w:noProof/>
          <w:sz w:val="24"/>
        </w:rPr>
        <w:t>Chorwacja</w:t>
      </w:r>
      <w:r>
        <w:rPr>
          <w:rFonts w:ascii="Times New Roman" w:hAnsi="Times New Roman"/>
          <w:noProof/>
          <w:sz w:val="24"/>
        </w:rPr>
        <w:t>, granicząca</w:t>
      </w:r>
      <w:r w:rsidR="00D136C6">
        <w:rPr>
          <w:rFonts w:ascii="Times New Roman" w:hAnsi="Times New Roman"/>
          <w:noProof/>
          <w:sz w:val="24"/>
        </w:rPr>
        <w:t xml:space="preserve"> z Ser</w:t>
      </w:r>
      <w:r>
        <w:rPr>
          <w:rFonts w:ascii="Times New Roman" w:hAnsi="Times New Roman"/>
          <w:noProof/>
          <w:sz w:val="24"/>
        </w:rPr>
        <w:t>bią, Bośnią</w:t>
      </w:r>
      <w:r w:rsidR="00D136C6">
        <w:rPr>
          <w:rFonts w:ascii="Times New Roman" w:hAnsi="Times New Roman"/>
          <w:noProof/>
          <w:sz w:val="24"/>
        </w:rPr>
        <w:t xml:space="preserve"> i Her</w:t>
      </w:r>
      <w:r>
        <w:rPr>
          <w:rFonts w:ascii="Times New Roman" w:hAnsi="Times New Roman"/>
          <w:noProof/>
          <w:sz w:val="24"/>
        </w:rPr>
        <w:t>cegowiną oraz Czarnogórą, odgrywa równie istotną rolę</w:t>
      </w:r>
      <w:r w:rsidR="00D136C6">
        <w:rPr>
          <w:rFonts w:ascii="Times New Roman" w:hAnsi="Times New Roman"/>
          <w:noProof/>
          <w:sz w:val="24"/>
        </w:rPr>
        <w:t xml:space="preserve"> w och</w:t>
      </w:r>
      <w:r>
        <w:rPr>
          <w:rFonts w:ascii="Times New Roman" w:hAnsi="Times New Roman"/>
          <w:noProof/>
          <w:sz w:val="24"/>
        </w:rPr>
        <w:t>ronie granic zewnętrznych UE</w:t>
      </w:r>
      <w:r w:rsidR="00D136C6">
        <w:rPr>
          <w:rFonts w:ascii="Times New Roman" w:hAnsi="Times New Roman"/>
          <w:noProof/>
          <w:sz w:val="24"/>
        </w:rPr>
        <w:t xml:space="preserve"> i zap</w:t>
      </w:r>
      <w:r>
        <w:rPr>
          <w:rFonts w:ascii="Times New Roman" w:hAnsi="Times New Roman"/>
          <w:noProof/>
          <w:sz w:val="24"/>
        </w:rPr>
        <w:t>ewnianiu prawidłowego funkcjonowania strefy Schengen. Po wydaniu przez Chorwację „deklaracji</w:t>
      </w:r>
      <w:r w:rsidR="00D136C6">
        <w:rPr>
          <w:rFonts w:ascii="Times New Roman" w:hAnsi="Times New Roman"/>
          <w:noProof/>
          <w:sz w:val="24"/>
        </w:rPr>
        <w:t xml:space="preserve"> o got</w:t>
      </w:r>
      <w:r>
        <w:rPr>
          <w:rFonts w:ascii="Times New Roman" w:hAnsi="Times New Roman"/>
          <w:noProof/>
          <w:sz w:val="24"/>
        </w:rPr>
        <w:t>owości” do rozpoczęcia procesu oceny stosowania dorobku Schengen</w:t>
      </w:r>
      <w:r w:rsidR="00D136C6">
        <w:rPr>
          <w:rFonts w:ascii="Times New Roman" w:hAnsi="Times New Roman"/>
          <w:noProof/>
          <w:sz w:val="24"/>
        </w:rPr>
        <w:t xml:space="preserve"> w cel</w:t>
      </w:r>
      <w:r>
        <w:rPr>
          <w:rFonts w:ascii="Times New Roman" w:hAnsi="Times New Roman"/>
          <w:noProof/>
          <w:sz w:val="24"/>
        </w:rPr>
        <w:t>u przyjęcia decyzji Rady</w:t>
      </w:r>
      <w:r w:rsidR="00D136C6">
        <w:rPr>
          <w:rFonts w:ascii="Times New Roman" w:hAnsi="Times New Roman"/>
          <w:noProof/>
          <w:sz w:val="24"/>
        </w:rPr>
        <w:t xml:space="preserve"> w spr</w:t>
      </w:r>
      <w:r>
        <w:rPr>
          <w:rFonts w:ascii="Times New Roman" w:hAnsi="Times New Roman"/>
          <w:noProof/>
          <w:sz w:val="24"/>
        </w:rPr>
        <w:t>awie pełnego stosowania dorobku Schengen, proces oceny odbył się</w:t>
      </w:r>
      <w:r w:rsidR="00D136C6">
        <w:rPr>
          <w:rFonts w:ascii="Times New Roman" w:hAnsi="Times New Roman"/>
          <w:noProof/>
          <w:sz w:val="24"/>
        </w:rPr>
        <w:t xml:space="preserve"> w lat</w:t>
      </w:r>
      <w:r>
        <w:rPr>
          <w:rFonts w:ascii="Times New Roman" w:hAnsi="Times New Roman"/>
          <w:noProof/>
          <w:sz w:val="24"/>
        </w:rPr>
        <w:t xml:space="preserve">ach 2016–2020. </w:t>
      </w:r>
    </w:p>
    <w:p w14:paraId="6B93CBAE" w14:textId="19BA9142" w:rsidR="00EA7FD1" w:rsidRPr="0014596D" w:rsidRDefault="00A70E13" w:rsidP="00605EC6">
      <w:pPr>
        <w:spacing w:before="120" w:after="0" w:line="276" w:lineRule="auto"/>
        <w:jc w:val="both"/>
        <w:rPr>
          <w:rFonts w:ascii="Times New Roman" w:eastAsia="Calibri" w:hAnsi="Times New Roman" w:cs="Times New Roman"/>
          <w:noProof/>
          <w:sz w:val="24"/>
          <w:szCs w:val="24"/>
        </w:rPr>
      </w:pPr>
      <w:r>
        <w:rPr>
          <w:rFonts w:ascii="Times New Roman" w:hAnsi="Times New Roman"/>
          <w:noProof/>
          <w:sz w:val="24"/>
        </w:rPr>
        <w:t>22 października 20</w:t>
      </w:r>
      <w:r w:rsidRPr="00D136C6">
        <w:rPr>
          <w:rFonts w:ascii="Times New Roman" w:hAnsi="Times New Roman"/>
          <w:noProof/>
          <w:sz w:val="24"/>
        </w:rPr>
        <w:t>19</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Komisja przyjęła komunikat,</w:t>
      </w:r>
      <w:r w:rsidR="00D136C6">
        <w:rPr>
          <w:rFonts w:ascii="Times New Roman" w:hAnsi="Times New Roman"/>
          <w:noProof/>
          <w:sz w:val="24"/>
        </w:rPr>
        <w:t xml:space="preserve"> w któ</w:t>
      </w:r>
      <w:r>
        <w:rPr>
          <w:rFonts w:ascii="Times New Roman" w:hAnsi="Times New Roman"/>
          <w:noProof/>
          <w:sz w:val="24"/>
        </w:rPr>
        <w:t>rym stwierdziła, że Chorwacja podjęła działania niezbędne do zapewnienia spełnienia warunków stosowania wszystkich istotnych elementów dorobku Schengen</w:t>
      </w:r>
      <w:r w:rsidR="00D136C6">
        <w:rPr>
          <w:rFonts w:ascii="Times New Roman" w:hAnsi="Times New Roman"/>
          <w:noProof/>
          <w:sz w:val="24"/>
        </w:rPr>
        <w:t xml:space="preserve"> i pot</w:t>
      </w:r>
      <w:r>
        <w:rPr>
          <w:rFonts w:ascii="Times New Roman" w:hAnsi="Times New Roman"/>
          <w:noProof/>
          <w:sz w:val="24"/>
        </w:rPr>
        <w:t>wierdziła, że Chorwacja nadal wywiązuje się</w:t>
      </w:r>
      <w:r w:rsidR="00D136C6">
        <w:rPr>
          <w:rFonts w:ascii="Times New Roman" w:hAnsi="Times New Roman"/>
          <w:noProof/>
          <w:sz w:val="24"/>
        </w:rPr>
        <w:t xml:space="preserve"> z zob</w:t>
      </w:r>
      <w:r>
        <w:rPr>
          <w:rFonts w:ascii="Times New Roman" w:hAnsi="Times New Roman"/>
          <w:noProof/>
          <w:sz w:val="24"/>
        </w:rPr>
        <w:t>owiązań związanych</w:t>
      </w:r>
      <w:r w:rsidR="00D136C6">
        <w:rPr>
          <w:rFonts w:ascii="Times New Roman" w:hAnsi="Times New Roman"/>
          <w:noProof/>
          <w:sz w:val="24"/>
        </w:rPr>
        <w:t xml:space="preserve"> z dor</w:t>
      </w:r>
      <w:r>
        <w:rPr>
          <w:rFonts w:ascii="Times New Roman" w:hAnsi="Times New Roman"/>
          <w:noProof/>
          <w:sz w:val="24"/>
        </w:rPr>
        <w:t>obkiem Schengen podjętych</w:t>
      </w:r>
      <w:r w:rsidR="00D136C6">
        <w:rPr>
          <w:rFonts w:ascii="Times New Roman" w:hAnsi="Times New Roman"/>
          <w:noProof/>
          <w:sz w:val="24"/>
        </w:rPr>
        <w:t xml:space="preserve"> w tok</w:t>
      </w:r>
      <w:r>
        <w:rPr>
          <w:rFonts w:ascii="Times New Roman" w:hAnsi="Times New Roman"/>
          <w:noProof/>
          <w:sz w:val="24"/>
        </w:rPr>
        <w:t>u negocjacji akcesyjnych</w:t>
      </w:r>
      <w:r>
        <w:rPr>
          <w:rFonts w:ascii="Times New Roman" w:eastAsia="Calibri" w:hAnsi="Times New Roman" w:cs="Times New Roman"/>
          <w:noProof/>
          <w:sz w:val="24"/>
          <w:szCs w:val="24"/>
          <w:vertAlign w:val="superscript"/>
        </w:rPr>
        <w:footnoteReference w:id="13"/>
      </w:r>
      <w:r>
        <w:rPr>
          <w:rFonts w:ascii="Times New Roman" w:hAnsi="Times New Roman"/>
          <w:noProof/>
          <w:sz w:val="24"/>
        </w:rPr>
        <w:t>. Odniesiono się również do konieczności kontynuowania przez Chorwację wysiłków na rzecz spójnego wdrożenia wszystkich realizowanych obecnie działań,</w:t>
      </w:r>
      <w:r w:rsidR="00D136C6">
        <w:rPr>
          <w:rFonts w:ascii="Times New Roman" w:hAnsi="Times New Roman"/>
          <w:noProof/>
          <w:sz w:val="24"/>
        </w:rPr>
        <w:t xml:space="preserve"> w szc</w:t>
      </w:r>
      <w:r>
        <w:rPr>
          <w:rFonts w:ascii="Times New Roman" w:hAnsi="Times New Roman"/>
          <w:noProof/>
          <w:sz w:val="24"/>
        </w:rPr>
        <w:t>zególności działań</w:t>
      </w:r>
      <w:r w:rsidR="00D136C6">
        <w:rPr>
          <w:rFonts w:ascii="Times New Roman" w:hAnsi="Times New Roman"/>
          <w:noProof/>
          <w:sz w:val="24"/>
        </w:rPr>
        <w:t xml:space="preserve"> w obs</w:t>
      </w:r>
      <w:r>
        <w:rPr>
          <w:rFonts w:ascii="Times New Roman" w:hAnsi="Times New Roman"/>
          <w:noProof/>
          <w:sz w:val="24"/>
        </w:rPr>
        <w:t>zarze zarządzania granicami zewnętrznymi, aby zagwarantować dalszą zgodność</w:t>
      </w:r>
      <w:r w:rsidR="00D136C6">
        <w:rPr>
          <w:rFonts w:ascii="Times New Roman" w:hAnsi="Times New Roman"/>
          <w:noProof/>
          <w:sz w:val="24"/>
        </w:rPr>
        <w:t xml:space="preserve"> z tym</w:t>
      </w:r>
      <w:r>
        <w:rPr>
          <w:rFonts w:ascii="Times New Roman" w:hAnsi="Times New Roman"/>
          <w:noProof/>
          <w:sz w:val="24"/>
        </w:rPr>
        <w:t>i warunkami.</w:t>
      </w:r>
    </w:p>
    <w:p w14:paraId="693618EF" w14:textId="3EB5A81D" w:rsidR="00305FA4" w:rsidRPr="0014596D" w:rsidRDefault="00305FA4"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W celu monitorowania</w:t>
      </w:r>
      <w:r w:rsidR="00D136C6">
        <w:rPr>
          <w:rFonts w:ascii="Times New Roman" w:hAnsi="Times New Roman"/>
          <w:noProof/>
          <w:sz w:val="24"/>
        </w:rPr>
        <w:t xml:space="preserve"> i wer</w:t>
      </w:r>
      <w:r>
        <w:rPr>
          <w:rFonts w:ascii="Times New Roman" w:hAnsi="Times New Roman"/>
          <w:noProof/>
          <w:sz w:val="24"/>
        </w:rPr>
        <w:t>yfikacji wdrażania tych działań</w:t>
      </w:r>
      <w:r w:rsidR="00D136C6">
        <w:rPr>
          <w:rFonts w:ascii="Times New Roman" w:hAnsi="Times New Roman"/>
          <w:noProof/>
          <w:sz w:val="24"/>
        </w:rPr>
        <w:t xml:space="preserve"> w obs</w:t>
      </w:r>
      <w:r>
        <w:rPr>
          <w:rFonts w:ascii="Times New Roman" w:hAnsi="Times New Roman"/>
          <w:noProof/>
          <w:sz w:val="24"/>
        </w:rPr>
        <w:t>zarze zarządzania granicami zewnętrznymi Komisja zorganizowała ukierunkowaną wizytę weryfikacyjną</w:t>
      </w:r>
      <w:r w:rsidR="00D136C6">
        <w:rPr>
          <w:rFonts w:ascii="Times New Roman" w:hAnsi="Times New Roman"/>
          <w:noProof/>
          <w:sz w:val="24"/>
        </w:rPr>
        <w:t xml:space="preserve"> w Cho</w:t>
      </w:r>
      <w:r>
        <w:rPr>
          <w:rFonts w:ascii="Times New Roman" w:hAnsi="Times New Roman"/>
          <w:noProof/>
          <w:sz w:val="24"/>
        </w:rPr>
        <w:t>rwacji, która odbyła się</w:t>
      </w:r>
      <w:r w:rsidR="00D136C6">
        <w:rPr>
          <w:rFonts w:ascii="Times New Roman" w:hAnsi="Times New Roman"/>
          <w:noProof/>
          <w:sz w:val="24"/>
        </w:rPr>
        <w:t xml:space="preserve"> w dni</w:t>
      </w:r>
      <w:r>
        <w:rPr>
          <w:rFonts w:ascii="Times New Roman" w:hAnsi="Times New Roman"/>
          <w:noProof/>
          <w:sz w:val="24"/>
        </w:rPr>
        <w:t>ach 23–27 listopada 20</w:t>
      </w:r>
      <w:r w:rsidRPr="00D136C6">
        <w:rPr>
          <w:rFonts w:ascii="Times New Roman" w:hAnsi="Times New Roman"/>
          <w:noProof/>
          <w:sz w:val="24"/>
        </w:rPr>
        <w:t>20</w:t>
      </w:r>
      <w:r w:rsidR="00D136C6" w:rsidRPr="00D136C6">
        <w:rPr>
          <w:rFonts w:ascii="Times New Roman" w:hAnsi="Times New Roman"/>
          <w:noProof/>
          <w:sz w:val="24"/>
        </w:rPr>
        <w:t> </w:t>
      </w:r>
      <w:r w:rsidRPr="00D136C6">
        <w:rPr>
          <w:rFonts w:ascii="Times New Roman" w:hAnsi="Times New Roman"/>
          <w:noProof/>
          <w:sz w:val="24"/>
        </w:rPr>
        <w:t>r</w:t>
      </w:r>
      <w:r w:rsidR="00D136C6" w:rsidRPr="00D136C6">
        <w:rPr>
          <w:rFonts w:ascii="Times New Roman" w:hAnsi="Times New Roman"/>
          <w:noProof/>
          <w:sz w:val="24"/>
        </w:rPr>
        <w:t>.</w:t>
      </w:r>
      <w:r w:rsidR="00D136C6">
        <w:rPr>
          <w:rFonts w:ascii="Times New Roman" w:hAnsi="Times New Roman"/>
          <w:noProof/>
          <w:sz w:val="24"/>
        </w:rPr>
        <w:t xml:space="preserve"> W nas</w:t>
      </w:r>
      <w:r>
        <w:rPr>
          <w:rFonts w:ascii="Times New Roman" w:hAnsi="Times New Roman"/>
          <w:noProof/>
          <w:sz w:val="24"/>
        </w:rPr>
        <w:t>tępstwie wizyty stwierdzono, że Chorwacja wdrożyła większość działań. Na podstawie wyników wizyty oraz ostatniego sprawozdania Chorwacji</w:t>
      </w:r>
      <w:r w:rsidR="00D136C6">
        <w:rPr>
          <w:rFonts w:ascii="Times New Roman" w:hAnsi="Times New Roman"/>
          <w:noProof/>
          <w:sz w:val="24"/>
        </w:rPr>
        <w:t xml:space="preserve"> z pos</w:t>
      </w:r>
      <w:r>
        <w:rPr>
          <w:rFonts w:ascii="Times New Roman" w:hAnsi="Times New Roman"/>
          <w:noProof/>
          <w:sz w:val="24"/>
        </w:rPr>
        <w:t>tępów we wdrażaniu planu działań dotyczącego granic zewnętrznych Komisja uznała 2 lutego 20</w:t>
      </w:r>
      <w:r w:rsidRPr="00D136C6">
        <w:rPr>
          <w:rFonts w:ascii="Times New Roman" w:hAnsi="Times New Roman"/>
          <w:noProof/>
          <w:sz w:val="24"/>
        </w:rPr>
        <w:t>21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że wdrażanie planu działań zostało zakończone. </w:t>
      </w:r>
    </w:p>
    <w:p w14:paraId="5B677C83" w14:textId="27951696" w:rsidR="00305FA4" w:rsidRPr="0014596D" w:rsidRDefault="00305FA4"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Rada ds. Wymiaru Sprawiedliwości</w:t>
      </w:r>
      <w:r w:rsidR="00D136C6">
        <w:rPr>
          <w:rFonts w:ascii="Times New Roman" w:hAnsi="Times New Roman"/>
          <w:noProof/>
          <w:sz w:val="24"/>
        </w:rPr>
        <w:t xml:space="preserve"> i Spr</w:t>
      </w:r>
      <w:r>
        <w:rPr>
          <w:rFonts w:ascii="Times New Roman" w:hAnsi="Times New Roman"/>
          <w:noProof/>
          <w:sz w:val="24"/>
        </w:rPr>
        <w:t>aw Wewnętrznych na posiedzeniu</w:t>
      </w:r>
      <w:r w:rsidR="00D136C6">
        <w:rPr>
          <w:rFonts w:ascii="Times New Roman" w:hAnsi="Times New Roman"/>
          <w:noProof/>
          <w:sz w:val="24"/>
        </w:rPr>
        <w:t xml:space="preserve"> w gru</w:t>
      </w:r>
      <w:r>
        <w:rPr>
          <w:rFonts w:ascii="Times New Roman" w:hAnsi="Times New Roman"/>
          <w:noProof/>
          <w:sz w:val="24"/>
        </w:rPr>
        <w:t>dniu 20</w:t>
      </w:r>
      <w:r w:rsidRPr="00D136C6">
        <w:rPr>
          <w:rFonts w:ascii="Times New Roman" w:hAnsi="Times New Roman"/>
          <w:noProof/>
          <w:sz w:val="24"/>
        </w:rPr>
        <w:t>21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potwierdziła wniosek Komisji zawarty</w:t>
      </w:r>
      <w:r w:rsidR="00D136C6">
        <w:rPr>
          <w:rFonts w:ascii="Times New Roman" w:hAnsi="Times New Roman"/>
          <w:noProof/>
          <w:sz w:val="24"/>
        </w:rPr>
        <w:t xml:space="preserve"> w kom</w:t>
      </w:r>
      <w:r>
        <w:rPr>
          <w:rFonts w:ascii="Times New Roman" w:hAnsi="Times New Roman"/>
          <w:noProof/>
          <w:sz w:val="24"/>
        </w:rPr>
        <w:t>unikacie</w:t>
      </w:r>
      <w:r w:rsidR="00D136C6">
        <w:rPr>
          <w:rFonts w:ascii="Times New Roman" w:hAnsi="Times New Roman"/>
          <w:noProof/>
          <w:sz w:val="24"/>
        </w:rPr>
        <w:t xml:space="preserve"> z 2</w:t>
      </w:r>
      <w:r>
        <w:rPr>
          <w:rFonts w:ascii="Times New Roman" w:hAnsi="Times New Roman"/>
          <w:noProof/>
          <w:sz w:val="24"/>
        </w:rPr>
        <w:t>2 października 20</w:t>
      </w:r>
      <w:r w:rsidRPr="00D136C6">
        <w:rPr>
          <w:rFonts w:ascii="Times New Roman" w:hAnsi="Times New Roman"/>
          <w:noProof/>
          <w:sz w:val="24"/>
        </w:rPr>
        <w:t>19</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że Chorwacja spełniła warunki niezbędne do stosowania wszystkich części dorobku Schengen</w:t>
      </w:r>
      <w:r>
        <w:rPr>
          <w:rFonts w:ascii="Times New Roman" w:eastAsia="Calibri" w:hAnsi="Times New Roman" w:cs="Times New Roman"/>
          <w:noProof/>
          <w:sz w:val="24"/>
          <w:szCs w:val="24"/>
          <w:vertAlign w:val="superscript"/>
        </w:rPr>
        <w:footnoteReference w:id="14"/>
      </w:r>
      <w:r>
        <w:rPr>
          <w:rFonts w:ascii="Times New Roman" w:hAnsi="Times New Roman"/>
          <w:noProof/>
          <w:sz w:val="24"/>
        </w:rPr>
        <w:t>. Ponadto Rada zachęcała Chorwację do kontynuowania spójnych prac nad wdrażaniem dorobku Schengen,</w:t>
      </w:r>
      <w:r w:rsidR="00D136C6">
        <w:rPr>
          <w:rFonts w:ascii="Times New Roman" w:hAnsi="Times New Roman"/>
          <w:noProof/>
          <w:sz w:val="24"/>
        </w:rPr>
        <w:t xml:space="preserve"> a tak</w:t>
      </w:r>
      <w:r>
        <w:rPr>
          <w:rFonts w:ascii="Times New Roman" w:hAnsi="Times New Roman"/>
          <w:noProof/>
          <w:sz w:val="24"/>
        </w:rPr>
        <w:t>że zobowiązań związanych</w:t>
      </w:r>
      <w:r w:rsidR="00D136C6">
        <w:rPr>
          <w:rFonts w:ascii="Times New Roman" w:hAnsi="Times New Roman"/>
          <w:noProof/>
          <w:sz w:val="24"/>
        </w:rPr>
        <w:t xml:space="preserve"> z tyc</w:t>
      </w:r>
      <w:r>
        <w:rPr>
          <w:rFonts w:ascii="Times New Roman" w:hAnsi="Times New Roman"/>
          <w:noProof/>
          <w:sz w:val="24"/>
        </w:rPr>
        <w:t>h dorobkiem. 29 czerwca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Rada zasięgnęła opinii Parlamentu Europejskiego na temat projektu decyzji</w:t>
      </w:r>
      <w:r w:rsidR="00D136C6">
        <w:rPr>
          <w:rFonts w:ascii="Times New Roman" w:hAnsi="Times New Roman"/>
          <w:noProof/>
          <w:sz w:val="24"/>
        </w:rPr>
        <w:t xml:space="preserve"> w spr</w:t>
      </w:r>
      <w:r>
        <w:rPr>
          <w:rFonts w:ascii="Times New Roman" w:hAnsi="Times New Roman"/>
          <w:noProof/>
          <w:sz w:val="24"/>
        </w:rPr>
        <w:t>awie pełnego stosowania dorobku Schengen</w:t>
      </w:r>
      <w:r w:rsidR="00D136C6">
        <w:rPr>
          <w:rFonts w:ascii="Times New Roman" w:hAnsi="Times New Roman"/>
          <w:noProof/>
          <w:sz w:val="24"/>
        </w:rPr>
        <w:t xml:space="preserve"> w Rep</w:t>
      </w:r>
      <w:r>
        <w:rPr>
          <w:rFonts w:ascii="Times New Roman" w:hAnsi="Times New Roman"/>
          <w:noProof/>
          <w:sz w:val="24"/>
        </w:rPr>
        <w:t>ublice Chorwacji. Projekt decyzji Rady uzyskał pozytywną opinię Parlamentu Europejskiego 10 listopada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w:t>
      </w:r>
    </w:p>
    <w:p w14:paraId="2C20A447" w14:textId="2FACF468" w:rsidR="00305FA4" w:rsidRPr="0014596D" w:rsidRDefault="002949A9"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Chorwacja poczyniła znaczne wysiłki</w:t>
      </w:r>
      <w:r w:rsidR="00D136C6">
        <w:rPr>
          <w:rFonts w:ascii="Times New Roman" w:hAnsi="Times New Roman"/>
          <w:noProof/>
          <w:sz w:val="24"/>
        </w:rPr>
        <w:t xml:space="preserve"> w cel</w:t>
      </w:r>
      <w:r>
        <w:rPr>
          <w:rFonts w:ascii="Times New Roman" w:hAnsi="Times New Roman"/>
          <w:noProof/>
          <w:sz w:val="24"/>
        </w:rPr>
        <w:t>u zapewnienia zgodności kontroli na granicach zewnętrznych</w:t>
      </w:r>
      <w:r w:rsidR="00D136C6">
        <w:rPr>
          <w:rFonts w:ascii="Times New Roman" w:hAnsi="Times New Roman"/>
          <w:noProof/>
          <w:sz w:val="24"/>
        </w:rPr>
        <w:t xml:space="preserve"> z zob</w:t>
      </w:r>
      <w:r>
        <w:rPr>
          <w:rFonts w:ascii="Times New Roman" w:hAnsi="Times New Roman"/>
          <w:noProof/>
          <w:sz w:val="24"/>
        </w:rPr>
        <w:t>owiązaniami</w:t>
      </w:r>
      <w:r w:rsidR="00D136C6">
        <w:rPr>
          <w:rFonts w:ascii="Times New Roman" w:hAnsi="Times New Roman"/>
          <w:noProof/>
          <w:sz w:val="24"/>
        </w:rPr>
        <w:t xml:space="preserve"> w zak</w:t>
      </w:r>
      <w:r>
        <w:rPr>
          <w:rFonts w:ascii="Times New Roman" w:hAnsi="Times New Roman"/>
          <w:noProof/>
          <w:sz w:val="24"/>
        </w:rPr>
        <w:t>resie praw podstawowych</w:t>
      </w:r>
      <w:r w:rsidR="00D136C6">
        <w:rPr>
          <w:rFonts w:ascii="Times New Roman" w:hAnsi="Times New Roman"/>
          <w:noProof/>
          <w:sz w:val="24"/>
        </w:rPr>
        <w:t xml:space="preserve"> i zob</w:t>
      </w:r>
      <w:r>
        <w:rPr>
          <w:rFonts w:ascii="Times New Roman" w:hAnsi="Times New Roman"/>
          <w:noProof/>
          <w:sz w:val="24"/>
        </w:rPr>
        <w:t>owiązała się do „zerowej tolerancji” wobec wszelkiego rodzaju przemocy. Komisja pozytywnie odnosi się do faktu, że Chorwacja jest pierwszym państwem członkowskim, które –</w:t>
      </w:r>
      <w:r w:rsidR="00D136C6">
        <w:rPr>
          <w:rFonts w:ascii="Times New Roman" w:hAnsi="Times New Roman"/>
          <w:noProof/>
          <w:sz w:val="24"/>
        </w:rPr>
        <w:t xml:space="preserve"> w cze</w:t>
      </w:r>
      <w:r>
        <w:rPr>
          <w:rFonts w:ascii="Times New Roman" w:hAnsi="Times New Roman"/>
          <w:noProof/>
          <w:sz w:val="24"/>
        </w:rPr>
        <w:t>rwcu 20</w:t>
      </w:r>
      <w:r w:rsidRPr="00D136C6">
        <w:rPr>
          <w:rFonts w:ascii="Times New Roman" w:hAnsi="Times New Roman"/>
          <w:noProof/>
          <w:sz w:val="24"/>
        </w:rPr>
        <w:t>21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 ustanowiło niezależny mechanizm monitorowania</w:t>
      </w:r>
      <w:r>
        <w:rPr>
          <w:rStyle w:val="FootnoteReference"/>
          <w:rFonts w:ascii="Times New Roman" w:eastAsia="Calibri" w:hAnsi="Times New Roman" w:cs="Times New Roman"/>
          <w:noProof/>
          <w:sz w:val="24"/>
          <w:szCs w:val="24"/>
        </w:rPr>
        <w:footnoteReference w:id="15"/>
      </w:r>
      <w:r>
        <w:rPr>
          <w:rFonts w:ascii="Times New Roman" w:hAnsi="Times New Roman"/>
          <w:noProof/>
          <w:sz w:val="24"/>
        </w:rPr>
        <w:t xml:space="preserve"> zgodnie</w:t>
      </w:r>
      <w:r w:rsidR="00D136C6">
        <w:rPr>
          <w:rFonts w:ascii="Times New Roman" w:hAnsi="Times New Roman"/>
          <w:noProof/>
          <w:sz w:val="24"/>
        </w:rPr>
        <w:t xml:space="preserve"> z pro</w:t>
      </w:r>
      <w:r>
        <w:rPr>
          <w:rFonts w:ascii="Times New Roman" w:hAnsi="Times New Roman"/>
          <w:noProof/>
          <w:sz w:val="24"/>
        </w:rPr>
        <w:t>pozycją przedstawioną</w:t>
      </w:r>
      <w:r w:rsidR="00D136C6">
        <w:rPr>
          <w:rFonts w:ascii="Times New Roman" w:hAnsi="Times New Roman"/>
          <w:noProof/>
          <w:sz w:val="24"/>
        </w:rPr>
        <w:t xml:space="preserve"> w pak</w:t>
      </w:r>
      <w:r>
        <w:rPr>
          <w:rFonts w:ascii="Times New Roman" w:hAnsi="Times New Roman"/>
          <w:noProof/>
          <w:sz w:val="24"/>
        </w:rPr>
        <w:t>cie</w:t>
      </w:r>
      <w:r w:rsidR="00D136C6">
        <w:rPr>
          <w:rFonts w:ascii="Times New Roman" w:hAnsi="Times New Roman"/>
          <w:noProof/>
          <w:sz w:val="24"/>
        </w:rPr>
        <w:t xml:space="preserve"> o mig</w:t>
      </w:r>
      <w:r>
        <w:rPr>
          <w:rFonts w:ascii="Times New Roman" w:hAnsi="Times New Roman"/>
          <w:noProof/>
          <w:sz w:val="24"/>
        </w:rPr>
        <w:t>racji</w:t>
      </w:r>
      <w:r w:rsidR="00D136C6">
        <w:rPr>
          <w:rFonts w:ascii="Times New Roman" w:hAnsi="Times New Roman"/>
          <w:noProof/>
          <w:sz w:val="24"/>
        </w:rPr>
        <w:t xml:space="preserve"> i azy</w:t>
      </w:r>
      <w:r>
        <w:rPr>
          <w:rFonts w:ascii="Times New Roman" w:hAnsi="Times New Roman"/>
          <w:noProof/>
          <w:sz w:val="24"/>
        </w:rPr>
        <w:t>lu</w:t>
      </w:r>
      <w:r>
        <w:rPr>
          <w:rStyle w:val="FootnoteReference"/>
          <w:rFonts w:ascii="Times New Roman" w:eastAsia="Calibri" w:hAnsi="Times New Roman" w:cs="Times New Roman"/>
          <w:noProof/>
          <w:sz w:val="24"/>
          <w:szCs w:val="24"/>
        </w:rPr>
        <w:footnoteReference w:id="16"/>
      </w:r>
      <w:r>
        <w:rPr>
          <w:rFonts w:ascii="Times New Roman" w:hAnsi="Times New Roman"/>
          <w:noProof/>
          <w:sz w:val="24"/>
        </w:rPr>
        <w:t>. Jest to wyjątkowe forum umożliwiające niezależną obserwację praktyk straży</w:t>
      </w:r>
      <w:r w:rsidR="00D136C6">
        <w:rPr>
          <w:rFonts w:ascii="Times New Roman" w:hAnsi="Times New Roman"/>
          <w:noProof/>
          <w:sz w:val="24"/>
        </w:rPr>
        <w:t xml:space="preserve"> i pol</w:t>
      </w:r>
      <w:r>
        <w:rPr>
          <w:rFonts w:ascii="Times New Roman" w:hAnsi="Times New Roman"/>
          <w:noProof/>
          <w:sz w:val="24"/>
        </w:rPr>
        <w:t>icji granicznej oraz odniesienie się do wszelkich zarzutów dotyczących naruszeń praw podstawowych na granicy, zwiększanie wiedzy, m.in. poprzez funkcjonariuszy straży granicznej</w:t>
      </w:r>
      <w:r w:rsidR="00D136C6">
        <w:rPr>
          <w:rFonts w:ascii="Times New Roman" w:hAnsi="Times New Roman"/>
          <w:noProof/>
          <w:sz w:val="24"/>
        </w:rPr>
        <w:t xml:space="preserve"> i pol</w:t>
      </w:r>
      <w:r>
        <w:rPr>
          <w:rFonts w:ascii="Times New Roman" w:hAnsi="Times New Roman"/>
          <w:noProof/>
          <w:sz w:val="24"/>
        </w:rPr>
        <w:t>icji, na temat obowiązujących przepisów</w:t>
      </w:r>
      <w:r w:rsidR="00D136C6">
        <w:rPr>
          <w:rFonts w:ascii="Times New Roman" w:hAnsi="Times New Roman"/>
          <w:noProof/>
          <w:sz w:val="24"/>
        </w:rPr>
        <w:t xml:space="preserve"> i gwa</w:t>
      </w:r>
      <w:r>
        <w:rPr>
          <w:rFonts w:ascii="Times New Roman" w:hAnsi="Times New Roman"/>
          <w:noProof/>
          <w:sz w:val="24"/>
        </w:rPr>
        <w:t>rancji praw podstawowych oraz zapewnienie usprawnienia procedur wewnętrznych. Mechanizm ten bezpośrednio angażuje odpowiednie zainteresowane strony</w:t>
      </w:r>
      <w:r w:rsidR="00D136C6">
        <w:rPr>
          <w:rFonts w:ascii="Times New Roman" w:hAnsi="Times New Roman"/>
          <w:noProof/>
          <w:sz w:val="24"/>
        </w:rPr>
        <w:t xml:space="preserve"> z Cho</w:t>
      </w:r>
      <w:r>
        <w:rPr>
          <w:rFonts w:ascii="Times New Roman" w:hAnsi="Times New Roman"/>
          <w:noProof/>
          <w:sz w:val="24"/>
        </w:rPr>
        <w:t>rwacji</w:t>
      </w:r>
      <w:r w:rsidR="00D136C6">
        <w:rPr>
          <w:rFonts w:ascii="Times New Roman" w:hAnsi="Times New Roman"/>
          <w:noProof/>
          <w:sz w:val="24"/>
        </w:rPr>
        <w:t xml:space="preserve"> i jes</w:t>
      </w:r>
      <w:r>
        <w:rPr>
          <w:rFonts w:ascii="Times New Roman" w:hAnsi="Times New Roman"/>
          <w:noProof/>
          <w:sz w:val="24"/>
        </w:rPr>
        <w:t>t kierowany przez niezależną Radę Doradczą,</w:t>
      </w:r>
      <w:r w:rsidR="00D136C6">
        <w:rPr>
          <w:rFonts w:ascii="Times New Roman" w:hAnsi="Times New Roman"/>
          <w:noProof/>
          <w:sz w:val="24"/>
        </w:rPr>
        <w:t xml:space="preserve"> w skł</w:t>
      </w:r>
      <w:r>
        <w:rPr>
          <w:rFonts w:ascii="Times New Roman" w:hAnsi="Times New Roman"/>
          <w:noProof/>
          <w:sz w:val="24"/>
        </w:rPr>
        <w:t>ad której wchodzą między innymi Rzecznik Praw Obywatelskich</w:t>
      </w:r>
      <w:r w:rsidR="00D136C6">
        <w:rPr>
          <w:rFonts w:ascii="Times New Roman" w:hAnsi="Times New Roman"/>
          <w:noProof/>
          <w:sz w:val="24"/>
        </w:rPr>
        <w:t xml:space="preserve"> i Rze</w:t>
      </w:r>
      <w:r>
        <w:rPr>
          <w:rFonts w:ascii="Times New Roman" w:hAnsi="Times New Roman"/>
          <w:noProof/>
          <w:sz w:val="24"/>
        </w:rPr>
        <w:t xml:space="preserve">cznik Praw dziecka, przedstawiciele Komisji Europejskiej, Agencji Praw Podstawowych Unii Europejskiej oraz organizacji międzyrządowych. </w:t>
      </w:r>
    </w:p>
    <w:p w14:paraId="7B4B06D7" w14:textId="681558A0" w:rsidR="00BF5F1C" w:rsidRPr="0014596D" w:rsidRDefault="00305FA4"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Po roku funkcjonowania mechanizmu</w:t>
      </w:r>
      <w:r w:rsidR="00D136C6">
        <w:rPr>
          <w:rFonts w:ascii="Times New Roman" w:hAnsi="Times New Roman"/>
          <w:noProof/>
          <w:sz w:val="24"/>
        </w:rPr>
        <w:t xml:space="preserve"> w lip</w:t>
      </w:r>
      <w:r>
        <w:rPr>
          <w:rFonts w:ascii="Times New Roman" w:hAnsi="Times New Roman"/>
          <w:noProof/>
          <w:sz w:val="24"/>
        </w:rPr>
        <w:t>cu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przyjęto sprawozdanie końcowe Rady Koordynacyjnej</w:t>
      </w:r>
      <w:r>
        <w:rPr>
          <w:noProof/>
        </w:rPr>
        <w:t xml:space="preserve"> </w:t>
      </w:r>
      <w:r>
        <w:rPr>
          <w:rFonts w:ascii="Times New Roman" w:hAnsi="Times New Roman"/>
          <w:noProof/>
          <w:sz w:val="24"/>
        </w:rPr>
        <w:t>niezależnego mechanizmu monitorowania. Na tej podstawie 27 października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Rada Doradcza wyraziła uznanie dla działań prowadzonych za pomocą niezależnego mechanizmu monitorowania,</w:t>
      </w:r>
      <w:r w:rsidR="00D136C6">
        <w:rPr>
          <w:rFonts w:ascii="Times New Roman" w:hAnsi="Times New Roman"/>
          <w:noProof/>
          <w:sz w:val="24"/>
        </w:rPr>
        <w:t xml:space="preserve"> w szc</w:t>
      </w:r>
      <w:r>
        <w:rPr>
          <w:rFonts w:ascii="Times New Roman" w:hAnsi="Times New Roman"/>
          <w:noProof/>
          <w:sz w:val="24"/>
        </w:rPr>
        <w:t>zególności dla nawiązania specjalistycznego</w:t>
      </w:r>
      <w:r w:rsidR="00D136C6">
        <w:rPr>
          <w:rFonts w:ascii="Times New Roman" w:hAnsi="Times New Roman"/>
          <w:noProof/>
          <w:sz w:val="24"/>
        </w:rPr>
        <w:t xml:space="preserve"> i owo</w:t>
      </w:r>
      <w:r>
        <w:rPr>
          <w:rFonts w:ascii="Times New Roman" w:hAnsi="Times New Roman"/>
          <w:noProof/>
          <w:sz w:val="24"/>
        </w:rPr>
        <w:t>cnego dialogu</w:t>
      </w:r>
      <w:r w:rsidR="00D136C6">
        <w:rPr>
          <w:rFonts w:ascii="Times New Roman" w:hAnsi="Times New Roman"/>
          <w:noProof/>
          <w:sz w:val="24"/>
        </w:rPr>
        <w:t xml:space="preserve"> z org</w:t>
      </w:r>
      <w:r>
        <w:rPr>
          <w:rFonts w:ascii="Times New Roman" w:hAnsi="Times New Roman"/>
          <w:noProof/>
          <w:sz w:val="24"/>
        </w:rPr>
        <w:t>anami chorwackimi, które podjęły działania następcze</w:t>
      </w:r>
      <w:r w:rsidR="00D136C6">
        <w:rPr>
          <w:rFonts w:ascii="Times New Roman" w:hAnsi="Times New Roman"/>
          <w:noProof/>
          <w:sz w:val="24"/>
        </w:rPr>
        <w:t xml:space="preserve"> w zwi</w:t>
      </w:r>
      <w:r>
        <w:rPr>
          <w:rFonts w:ascii="Times New Roman" w:hAnsi="Times New Roman"/>
          <w:noProof/>
          <w:sz w:val="24"/>
        </w:rPr>
        <w:t>ązku</w:t>
      </w:r>
      <w:r w:rsidR="00D136C6">
        <w:rPr>
          <w:rFonts w:ascii="Times New Roman" w:hAnsi="Times New Roman"/>
          <w:noProof/>
          <w:sz w:val="24"/>
        </w:rPr>
        <w:t xml:space="preserve"> z wni</w:t>
      </w:r>
      <w:r>
        <w:rPr>
          <w:rFonts w:ascii="Times New Roman" w:hAnsi="Times New Roman"/>
          <w:noProof/>
          <w:sz w:val="24"/>
        </w:rPr>
        <w:t>oskami sformułowanymi</w:t>
      </w:r>
      <w:r w:rsidR="00D136C6">
        <w:rPr>
          <w:rFonts w:ascii="Times New Roman" w:hAnsi="Times New Roman"/>
          <w:noProof/>
          <w:sz w:val="24"/>
        </w:rPr>
        <w:t xml:space="preserve"> w ram</w:t>
      </w:r>
      <w:r>
        <w:rPr>
          <w:rFonts w:ascii="Times New Roman" w:hAnsi="Times New Roman"/>
          <w:noProof/>
          <w:sz w:val="24"/>
        </w:rPr>
        <w:t>ach mechanizmu, oraz dla zorganizowania dwudziestu misji obserwacyjnych na miejscu</w:t>
      </w:r>
      <w:r w:rsidRPr="00D136C6">
        <w:rPr>
          <w:rFonts w:ascii="Times New Roman" w:hAnsi="Times New Roman"/>
          <w:noProof/>
          <w:sz w:val="24"/>
        </w:rPr>
        <w:t>.</w:t>
      </w:r>
      <w:r w:rsidR="00D136C6" w:rsidRPr="00D136C6">
        <w:rPr>
          <w:rFonts w:ascii="Times New Roman" w:hAnsi="Times New Roman"/>
          <w:noProof/>
          <w:sz w:val="24"/>
        </w:rPr>
        <w:t xml:space="preserve"> </w:t>
      </w:r>
      <w:r w:rsidRPr="00D136C6">
        <w:rPr>
          <w:rFonts w:ascii="Times New Roman" w:hAnsi="Times New Roman"/>
          <w:noProof/>
          <w:sz w:val="24"/>
        </w:rPr>
        <w:t>P</w:t>
      </w:r>
      <w:r>
        <w:rPr>
          <w:rFonts w:ascii="Times New Roman" w:hAnsi="Times New Roman"/>
          <w:noProof/>
          <w:sz w:val="24"/>
        </w:rPr>
        <w:t>rzyjęła ona również zalecenia dotyczące możliwych dalszych usprawnień obejmujące rozszerzenie mandatu m.in.</w:t>
      </w:r>
      <w:r w:rsidR="00D136C6">
        <w:rPr>
          <w:rFonts w:ascii="Times New Roman" w:hAnsi="Times New Roman"/>
          <w:noProof/>
          <w:sz w:val="24"/>
        </w:rPr>
        <w:t xml:space="preserve"> o nie</w:t>
      </w:r>
      <w:r>
        <w:rPr>
          <w:rFonts w:ascii="Times New Roman" w:hAnsi="Times New Roman"/>
          <w:noProof/>
          <w:sz w:val="24"/>
        </w:rPr>
        <w:t>zapowiedziane obserwacje,</w:t>
      </w:r>
      <w:r w:rsidR="00D136C6">
        <w:rPr>
          <w:rFonts w:ascii="Times New Roman" w:hAnsi="Times New Roman"/>
          <w:noProof/>
          <w:sz w:val="24"/>
        </w:rPr>
        <w:t xml:space="preserve"> w szc</w:t>
      </w:r>
      <w:r>
        <w:rPr>
          <w:rFonts w:ascii="Times New Roman" w:hAnsi="Times New Roman"/>
          <w:noProof/>
          <w:sz w:val="24"/>
        </w:rPr>
        <w:t>zególności na zielonej granicy, dostęp do informacji</w:t>
      </w:r>
      <w:r w:rsidR="00D136C6">
        <w:rPr>
          <w:rFonts w:ascii="Times New Roman" w:hAnsi="Times New Roman"/>
          <w:noProof/>
          <w:sz w:val="24"/>
        </w:rPr>
        <w:t xml:space="preserve"> z Min</w:t>
      </w:r>
      <w:r>
        <w:rPr>
          <w:rFonts w:ascii="Times New Roman" w:hAnsi="Times New Roman"/>
          <w:noProof/>
          <w:sz w:val="24"/>
        </w:rPr>
        <w:t xml:space="preserve">isterstwa Spraw Wewnętrznych oraz konieczność zapewnienia ciągłego wdrażania niezależnego mechanizmu monitorowania. </w:t>
      </w:r>
    </w:p>
    <w:p w14:paraId="08525826" w14:textId="2DDF682A" w:rsidR="008C4388" w:rsidRPr="0014596D" w:rsidRDefault="00305FA4"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Komisja</w:t>
      </w:r>
      <w:r w:rsidR="00D136C6">
        <w:rPr>
          <w:rFonts w:ascii="Times New Roman" w:hAnsi="Times New Roman"/>
          <w:noProof/>
          <w:sz w:val="24"/>
        </w:rPr>
        <w:t xml:space="preserve"> z zad</w:t>
      </w:r>
      <w:r>
        <w:rPr>
          <w:rFonts w:ascii="Times New Roman" w:hAnsi="Times New Roman"/>
          <w:noProof/>
          <w:sz w:val="24"/>
        </w:rPr>
        <w:t>owoleniem przyjmuje zobowiązanie rządu Chorwacji do utrzymania</w:t>
      </w:r>
      <w:r w:rsidR="00D136C6">
        <w:rPr>
          <w:rFonts w:ascii="Times New Roman" w:hAnsi="Times New Roman"/>
          <w:noProof/>
          <w:sz w:val="24"/>
        </w:rPr>
        <w:t xml:space="preserve"> i cią</w:t>
      </w:r>
      <w:r>
        <w:rPr>
          <w:rFonts w:ascii="Times New Roman" w:hAnsi="Times New Roman"/>
          <w:noProof/>
          <w:sz w:val="24"/>
        </w:rPr>
        <w:t>głego wdrażania niezależnego mechanizmu monitorowania</w:t>
      </w:r>
      <w:r w:rsidR="00D136C6">
        <w:rPr>
          <w:rFonts w:ascii="Times New Roman" w:hAnsi="Times New Roman"/>
          <w:noProof/>
          <w:sz w:val="24"/>
        </w:rPr>
        <w:t xml:space="preserve"> i poz</w:t>
      </w:r>
      <w:r>
        <w:rPr>
          <w:rFonts w:ascii="Times New Roman" w:hAnsi="Times New Roman"/>
          <w:noProof/>
          <w:sz w:val="24"/>
        </w:rPr>
        <w:t>ytywnie odnosi się do faktu, że zalecenia Rady Doradczej zostały</w:t>
      </w:r>
      <w:r w:rsidR="00D136C6">
        <w:rPr>
          <w:rFonts w:ascii="Times New Roman" w:hAnsi="Times New Roman"/>
          <w:noProof/>
          <w:sz w:val="24"/>
        </w:rPr>
        <w:t xml:space="preserve"> w peł</w:t>
      </w:r>
      <w:r>
        <w:rPr>
          <w:rFonts w:ascii="Times New Roman" w:hAnsi="Times New Roman"/>
          <w:noProof/>
          <w:sz w:val="24"/>
        </w:rPr>
        <w:t>ni uwzględnione</w:t>
      </w:r>
      <w:r w:rsidR="00D136C6">
        <w:rPr>
          <w:rFonts w:ascii="Times New Roman" w:hAnsi="Times New Roman"/>
          <w:noProof/>
          <w:sz w:val="24"/>
        </w:rPr>
        <w:t xml:space="preserve"> w now</w:t>
      </w:r>
      <w:r>
        <w:rPr>
          <w:rFonts w:ascii="Times New Roman" w:hAnsi="Times New Roman"/>
          <w:noProof/>
          <w:sz w:val="24"/>
        </w:rPr>
        <w:t>ej umowie dotyczącej przedłużenia okresu funkcjonowania niezależnego mechanizmu monitorowania, która została zawarta 4 listopada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sidR="00D136C6" w:rsidRPr="00D136C6">
        <w:rPr>
          <w:rFonts w:ascii="Times New Roman" w:hAnsi="Times New Roman"/>
          <w:noProof/>
          <w:sz w:val="24"/>
        </w:rPr>
        <w:t>. W</w:t>
      </w:r>
      <w:r w:rsidR="00D136C6">
        <w:rPr>
          <w:rFonts w:ascii="Times New Roman" w:hAnsi="Times New Roman"/>
          <w:noProof/>
          <w:sz w:val="24"/>
        </w:rPr>
        <w:t> szc</w:t>
      </w:r>
      <w:r>
        <w:rPr>
          <w:rFonts w:ascii="Times New Roman" w:hAnsi="Times New Roman"/>
          <w:noProof/>
          <w:sz w:val="24"/>
        </w:rPr>
        <w:t>zególności nowa umowa stanowi, że mechanizm zostaje ustanowiony na automatycznie odnawiane okresy 18 miesięcy, zapewniając tym samym trwałe</w:t>
      </w:r>
      <w:r w:rsidR="00D136C6">
        <w:rPr>
          <w:rFonts w:ascii="Times New Roman" w:hAnsi="Times New Roman"/>
          <w:noProof/>
          <w:sz w:val="24"/>
        </w:rPr>
        <w:t xml:space="preserve"> i sta</w:t>
      </w:r>
      <w:r>
        <w:rPr>
          <w:rFonts w:ascii="Times New Roman" w:hAnsi="Times New Roman"/>
          <w:noProof/>
          <w:sz w:val="24"/>
        </w:rPr>
        <w:t>łe osiąganie zakładanych celów, oraz przewiduje możliwość przeprowadzania niezapowiedzianych obserwacji</w:t>
      </w:r>
      <w:r w:rsidR="00D136C6">
        <w:rPr>
          <w:rFonts w:ascii="Times New Roman" w:hAnsi="Times New Roman"/>
          <w:noProof/>
          <w:sz w:val="24"/>
        </w:rPr>
        <w:t xml:space="preserve"> w dow</w:t>
      </w:r>
      <w:r>
        <w:rPr>
          <w:rFonts w:ascii="Times New Roman" w:hAnsi="Times New Roman"/>
          <w:noProof/>
          <w:sz w:val="24"/>
        </w:rPr>
        <w:t>olnym czasie</w:t>
      </w:r>
      <w:r w:rsidR="00D136C6">
        <w:rPr>
          <w:rFonts w:ascii="Times New Roman" w:hAnsi="Times New Roman"/>
          <w:noProof/>
          <w:sz w:val="24"/>
        </w:rPr>
        <w:t xml:space="preserve"> w każ</w:t>
      </w:r>
      <w:r>
        <w:rPr>
          <w:rFonts w:ascii="Times New Roman" w:hAnsi="Times New Roman"/>
          <w:noProof/>
          <w:sz w:val="24"/>
        </w:rPr>
        <w:t>dym miejscu,</w:t>
      </w:r>
      <w:r w:rsidR="00D136C6">
        <w:rPr>
          <w:rFonts w:ascii="Times New Roman" w:hAnsi="Times New Roman"/>
          <w:noProof/>
          <w:sz w:val="24"/>
        </w:rPr>
        <w:t xml:space="preserve"> w tym</w:t>
      </w:r>
      <w:r>
        <w:rPr>
          <w:rFonts w:ascii="Times New Roman" w:hAnsi="Times New Roman"/>
          <w:noProof/>
          <w:sz w:val="24"/>
        </w:rPr>
        <w:t xml:space="preserve"> na zielonej granicy</w:t>
      </w:r>
      <w:r w:rsidRPr="00D136C6">
        <w:rPr>
          <w:rFonts w:ascii="Times New Roman" w:hAnsi="Times New Roman"/>
          <w:noProof/>
          <w:sz w:val="24"/>
        </w:rPr>
        <w:t>.</w:t>
      </w:r>
      <w:r w:rsidR="00D136C6" w:rsidRPr="00D136C6">
        <w:rPr>
          <w:rFonts w:ascii="Times New Roman" w:hAnsi="Times New Roman"/>
          <w:noProof/>
          <w:sz w:val="24"/>
        </w:rPr>
        <w:t xml:space="preserve"> </w:t>
      </w:r>
      <w:r w:rsidRPr="00D136C6">
        <w:rPr>
          <w:rFonts w:ascii="Times New Roman" w:hAnsi="Times New Roman"/>
          <w:noProof/>
          <w:sz w:val="24"/>
        </w:rPr>
        <w:t>U</w:t>
      </w:r>
      <w:r>
        <w:rPr>
          <w:rFonts w:ascii="Times New Roman" w:hAnsi="Times New Roman"/>
          <w:noProof/>
          <w:sz w:val="24"/>
        </w:rPr>
        <w:t xml:space="preserve">mowa ta przewiduje również, że mechanizm zapewni możliwość wymagania od właściwych </w:t>
      </w:r>
      <w:bookmarkStart w:id="2" w:name="_Hlk118800344"/>
      <w:r>
        <w:rPr>
          <w:rFonts w:ascii="Times New Roman" w:hAnsi="Times New Roman"/>
          <w:noProof/>
          <w:sz w:val="24"/>
        </w:rPr>
        <w:t>organów</w:t>
      </w:r>
      <w:bookmarkEnd w:id="2"/>
      <w:r>
        <w:rPr>
          <w:rFonts w:ascii="Times New Roman" w:hAnsi="Times New Roman"/>
          <w:noProof/>
          <w:sz w:val="24"/>
        </w:rPr>
        <w:t xml:space="preserve"> państwowych wszczęcia oficjalnych dochodzeń po wykryciu nieprawidłowości</w:t>
      </w:r>
      <w:r w:rsidR="00D136C6">
        <w:rPr>
          <w:rFonts w:ascii="Times New Roman" w:hAnsi="Times New Roman"/>
          <w:noProof/>
          <w:sz w:val="24"/>
        </w:rPr>
        <w:t xml:space="preserve"> i pot</w:t>
      </w:r>
      <w:r>
        <w:rPr>
          <w:rFonts w:ascii="Times New Roman" w:hAnsi="Times New Roman"/>
          <w:noProof/>
          <w:sz w:val="24"/>
        </w:rPr>
        <w:t>encjalnych naruszeń praw podstawowych. Ponadto umowa obejmuje szczególne mechanizmy mające na celu zapewnienie większej skuteczności</w:t>
      </w:r>
      <w:r w:rsidR="00D136C6">
        <w:rPr>
          <w:rFonts w:ascii="Times New Roman" w:hAnsi="Times New Roman"/>
          <w:noProof/>
          <w:sz w:val="24"/>
        </w:rPr>
        <w:t xml:space="preserve"> i prz</w:t>
      </w:r>
      <w:r>
        <w:rPr>
          <w:rFonts w:ascii="Times New Roman" w:hAnsi="Times New Roman"/>
          <w:noProof/>
          <w:sz w:val="24"/>
        </w:rPr>
        <w:t>ejrzystości,</w:t>
      </w:r>
      <w:r w:rsidR="00D136C6">
        <w:rPr>
          <w:rFonts w:ascii="Times New Roman" w:hAnsi="Times New Roman"/>
          <w:noProof/>
          <w:sz w:val="24"/>
        </w:rPr>
        <w:t xml:space="preserve"> w tym</w:t>
      </w:r>
      <w:r>
        <w:rPr>
          <w:rFonts w:ascii="Times New Roman" w:hAnsi="Times New Roman"/>
          <w:noProof/>
          <w:sz w:val="24"/>
        </w:rPr>
        <w:t xml:space="preserve"> ułatwienie komunikacji</w:t>
      </w:r>
      <w:r w:rsidR="00D136C6">
        <w:rPr>
          <w:rFonts w:ascii="Times New Roman" w:hAnsi="Times New Roman"/>
          <w:noProof/>
          <w:sz w:val="24"/>
        </w:rPr>
        <w:t xml:space="preserve"> z zai</w:t>
      </w:r>
      <w:r>
        <w:rPr>
          <w:rFonts w:ascii="Times New Roman" w:hAnsi="Times New Roman"/>
          <w:noProof/>
          <w:sz w:val="24"/>
        </w:rPr>
        <w:t>nteresowaną opinią publiczną</w:t>
      </w:r>
      <w:r w:rsidRPr="00D136C6">
        <w:rPr>
          <w:rFonts w:ascii="Times New Roman" w:hAnsi="Times New Roman"/>
          <w:noProof/>
          <w:sz w:val="24"/>
        </w:rPr>
        <w:t>.</w:t>
      </w:r>
      <w:r w:rsidR="00D136C6" w:rsidRPr="00D136C6">
        <w:rPr>
          <w:rFonts w:ascii="Times New Roman" w:hAnsi="Times New Roman"/>
          <w:noProof/>
          <w:sz w:val="24"/>
        </w:rPr>
        <w:t xml:space="preserve"> </w:t>
      </w:r>
      <w:r w:rsidRPr="00D136C6">
        <w:rPr>
          <w:rFonts w:ascii="Times New Roman" w:hAnsi="Times New Roman"/>
          <w:noProof/>
          <w:sz w:val="24"/>
        </w:rPr>
        <w:t>C</w:t>
      </w:r>
      <w:r>
        <w:rPr>
          <w:rFonts w:ascii="Times New Roman" w:hAnsi="Times New Roman"/>
          <w:noProof/>
          <w:sz w:val="24"/>
        </w:rPr>
        <w:t>o więcej,</w:t>
      </w:r>
      <w:r w:rsidR="00D136C6">
        <w:rPr>
          <w:rFonts w:ascii="Times New Roman" w:hAnsi="Times New Roman"/>
          <w:noProof/>
          <w:sz w:val="24"/>
        </w:rPr>
        <w:t xml:space="preserve"> w umo</w:t>
      </w:r>
      <w:r>
        <w:rPr>
          <w:rFonts w:ascii="Times New Roman" w:hAnsi="Times New Roman"/>
          <w:noProof/>
          <w:sz w:val="24"/>
        </w:rPr>
        <w:t>wie położono większy nacisk na ciągłe monitorowanie poszanowania praw podstawowych, wyjaśniając, że</w:t>
      </w:r>
      <w:r w:rsidR="00D136C6">
        <w:rPr>
          <w:rFonts w:ascii="Times New Roman" w:hAnsi="Times New Roman"/>
          <w:noProof/>
          <w:sz w:val="24"/>
        </w:rPr>
        <w:t xml:space="preserve"> w ram</w:t>
      </w:r>
      <w:r>
        <w:rPr>
          <w:rFonts w:ascii="Times New Roman" w:hAnsi="Times New Roman"/>
          <w:noProof/>
          <w:sz w:val="24"/>
        </w:rPr>
        <w:t>ach mechanizmu monitoruje się poszanowanie praw podstawowych we wszystkich okolicznościach, ze szczególnym uwzględnieniem prawa do skutecznego dostępu do procedury azylowej</w:t>
      </w:r>
      <w:r w:rsidR="00D136C6">
        <w:rPr>
          <w:rFonts w:ascii="Times New Roman" w:hAnsi="Times New Roman"/>
          <w:noProof/>
          <w:sz w:val="24"/>
        </w:rPr>
        <w:t xml:space="preserve"> i och</w:t>
      </w:r>
      <w:r>
        <w:rPr>
          <w:rFonts w:ascii="Times New Roman" w:hAnsi="Times New Roman"/>
          <w:noProof/>
          <w:sz w:val="24"/>
        </w:rPr>
        <w:t xml:space="preserve">rony międzynarodowej, przestrzegania zasady </w:t>
      </w:r>
      <w:r>
        <w:rPr>
          <w:rFonts w:ascii="Times New Roman" w:hAnsi="Times New Roman"/>
          <w:i/>
          <w:noProof/>
          <w:sz w:val="24"/>
        </w:rPr>
        <w:t>non-refoulement</w:t>
      </w:r>
      <w:r>
        <w:rPr>
          <w:rFonts w:ascii="Times New Roman" w:hAnsi="Times New Roman"/>
          <w:noProof/>
          <w:sz w:val="24"/>
        </w:rPr>
        <w:t>, zakazu wydaleń zbiorowych,</w:t>
      </w:r>
      <w:r w:rsidR="00D136C6">
        <w:rPr>
          <w:rFonts w:ascii="Times New Roman" w:hAnsi="Times New Roman"/>
          <w:noProof/>
          <w:sz w:val="24"/>
        </w:rPr>
        <w:t xml:space="preserve"> a tak</w:t>
      </w:r>
      <w:r>
        <w:rPr>
          <w:rFonts w:ascii="Times New Roman" w:hAnsi="Times New Roman"/>
          <w:noProof/>
          <w:sz w:val="24"/>
        </w:rPr>
        <w:t>że zakazu tortur lub innych form niewłaściwego traktowania.</w:t>
      </w:r>
      <w:r>
        <w:rPr>
          <w:noProof/>
        </w:rPr>
        <w:t xml:space="preserve"> </w:t>
      </w:r>
    </w:p>
    <w:p w14:paraId="5A0C6EF6" w14:textId="6B8122E6" w:rsidR="008C4388" w:rsidRPr="0014596D" w:rsidRDefault="00305FA4" w:rsidP="00605EC6">
      <w:pPr>
        <w:keepNext/>
        <w:numPr>
          <w:ilvl w:val="0"/>
          <w:numId w:val="1"/>
        </w:numPr>
        <w:spacing w:before="240" w:line="276" w:lineRule="auto"/>
        <w:ind w:left="720"/>
        <w:jc w:val="both"/>
        <w:rPr>
          <w:rFonts w:ascii="Times New Roman" w:hAnsi="Times New Roman" w:cs="Times New Roman"/>
          <w:b/>
          <w:noProof/>
          <w:sz w:val="24"/>
          <w:szCs w:val="24"/>
        </w:rPr>
      </w:pPr>
      <w:r>
        <w:rPr>
          <w:rFonts w:ascii="Times New Roman" w:hAnsi="Times New Roman"/>
          <w:b/>
          <w:noProof/>
          <w:sz w:val="24"/>
        </w:rPr>
        <w:t>Znaczące osiągnięcia</w:t>
      </w:r>
      <w:r w:rsidR="00D136C6">
        <w:rPr>
          <w:rFonts w:ascii="Times New Roman" w:hAnsi="Times New Roman"/>
          <w:b/>
          <w:noProof/>
          <w:sz w:val="24"/>
        </w:rPr>
        <w:t xml:space="preserve"> w zak</w:t>
      </w:r>
      <w:r>
        <w:rPr>
          <w:rFonts w:ascii="Times New Roman" w:hAnsi="Times New Roman"/>
          <w:b/>
          <w:noProof/>
          <w:sz w:val="24"/>
        </w:rPr>
        <w:t>resie wzmocnienia</w:t>
      </w:r>
      <w:r w:rsidR="00D136C6">
        <w:rPr>
          <w:rFonts w:ascii="Times New Roman" w:hAnsi="Times New Roman"/>
          <w:b/>
          <w:noProof/>
          <w:sz w:val="24"/>
        </w:rPr>
        <w:t xml:space="preserve"> i usp</w:t>
      </w:r>
      <w:r>
        <w:rPr>
          <w:rFonts w:ascii="Times New Roman" w:hAnsi="Times New Roman"/>
          <w:b/>
          <w:noProof/>
          <w:sz w:val="24"/>
        </w:rPr>
        <w:t>rawnienia strefy Schengen</w:t>
      </w:r>
    </w:p>
    <w:p w14:paraId="2A09C64F" w14:textId="4734C087" w:rsidR="00305FA4" w:rsidRPr="0014596D" w:rsidRDefault="00022612" w:rsidP="00605EC6">
      <w:pPr>
        <w:spacing w:before="240" w:line="276" w:lineRule="auto"/>
        <w:jc w:val="both"/>
        <w:rPr>
          <w:rFonts w:ascii="Times New Roman" w:hAnsi="Times New Roman" w:cs="Times New Roman"/>
          <w:noProof/>
          <w:sz w:val="24"/>
          <w:szCs w:val="24"/>
        </w:rPr>
      </w:pPr>
      <w:r>
        <w:rPr>
          <w:rFonts w:ascii="Times New Roman" w:hAnsi="Times New Roman"/>
          <w:noProof/>
          <w:sz w:val="24"/>
        </w:rPr>
        <w:t>Znaczące osiągnięcia Bułgarii, Rumunii</w:t>
      </w:r>
      <w:r w:rsidR="00D136C6">
        <w:rPr>
          <w:rFonts w:ascii="Times New Roman" w:hAnsi="Times New Roman"/>
          <w:noProof/>
          <w:sz w:val="24"/>
        </w:rPr>
        <w:t xml:space="preserve"> i Cho</w:t>
      </w:r>
      <w:r>
        <w:rPr>
          <w:rFonts w:ascii="Times New Roman" w:hAnsi="Times New Roman"/>
          <w:noProof/>
          <w:sz w:val="24"/>
        </w:rPr>
        <w:t>rwacji odpowiadają znaczącym osiągnięciom dokonywanym stopniowo</w:t>
      </w:r>
      <w:r w:rsidR="00D136C6">
        <w:rPr>
          <w:rFonts w:ascii="Times New Roman" w:hAnsi="Times New Roman"/>
          <w:noProof/>
          <w:sz w:val="24"/>
        </w:rPr>
        <w:t xml:space="preserve"> w cał</w:t>
      </w:r>
      <w:r>
        <w:rPr>
          <w:rFonts w:ascii="Times New Roman" w:hAnsi="Times New Roman"/>
          <w:noProof/>
          <w:sz w:val="24"/>
        </w:rPr>
        <w:t>ej strefie Schengen. Strefa Schengen nieustannie się rozwija</w:t>
      </w:r>
      <w:r w:rsidR="00D136C6">
        <w:rPr>
          <w:rFonts w:ascii="Times New Roman" w:hAnsi="Times New Roman"/>
          <w:noProof/>
          <w:sz w:val="24"/>
        </w:rPr>
        <w:t xml:space="preserve"> i dos</w:t>
      </w:r>
      <w:r>
        <w:rPr>
          <w:rFonts w:ascii="Times New Roman" w:hAnsi="Times New Roman"/>
          <w:noProof/>
          <w:sz w:val="24"/>
        </w:rPr>
        <w:t>tosowuje do nowych wyzwań</w:t>
      </w:r>
      <w:r w:rsidR="00D136C6">
        <w:rPr>
          <w:rFonts w:ascii="Times New Roman" w:hAnsi="Times New Roman"/>
          <w:noProof/>
          <w:sz w:val="24"/>
        </w:rPr>
        <w:t xml:space="preserve"> i pri</w:t>
      </w:r>
      <w:r>
        <w:rPr>
          <w:rFonts w:ascii="Times New Roman" w:hAnsi="Times New Roman"/>
          <w:noProof/>
          <w:sz w:val="24"/>
        </w:rPr>
        <w:t>orytetów. Obecnie strefa Schengen jest silna</w:t>
      </w:r>
      <w:r w:rsidR="00D136C6">
        <w:rPr>
          <w:rFonts w:ascii="Times New Roman" w:hAnsi="Times New Roman"/>
          <w:noProof/>
          <w:sz w:val="24"/>
        </w:rPr>
        <w:t xml:space="preserve"> i got</w:t>
      </w:r>
      <w:r>
        <w:rPr>
          <w:rFonts w:ascii="Times New Roman" w:hAnsi="Times New Roman"/>
          <w:noProof/>
          <w:sz w:val="24"/>
        </w:rPr>
        <w:t>owa na nowe rozszerzenie, które</w:t>
      </w:r>
      <w:r w:rsidR="00D136C6">
        <w:rPr>
          <w:rFonts w:ascii="Times New Roman" w:hAnsi="Times New Roman"/>
          <w:noProof/>
          <w:sz w:val="24"/>
        </w:rPr>
        <w:t xml:space="preserve"> z kol</w:t>
      </w:r>
      <w:r>
        <w:rPr>
          <w:rFonts w:ascii="Times New Roman" w:hAnsi="Times New Roman"/>
          <w:noProof/>
          <w:sz w:val="24"/>
        </w:rPr>
        <w:t>ei przyczyni się do dalszego zwiększenia jej odporności,</w:t>
      </w:r>
      <w:r w:rsidR="00D136C6">
        <w:rPr>
          <w:rFonts w:ascii="Times New Roman" w:hAnsi="Times New Roman"/>
          <w:noProof/>
          <w:sz w:val="24"/>
        </w:rPr>
        <w:t xml:space="preserve"> w szc</w:t>
      </w:r>
      <w:r>
        <w:rPr>
          <w:rFonts w:ascii="Times New Roman" w:hAnsi="Times New Roman"/>
          <w:noProof/>
          <w:sz w:val="24"/>
        </w:rPr>
        <w:t>zególności</w:t>
      </w:r>
      <w:r w:rsidR="00D136C6">
        <w:rPr>
          <w:rFonts w:ascii="Times New Roman" w:hAnsi="Times New Roman"/>
          <w:noProof/>
          <w:sz w:val="24"/>
        </w:rPr>
        <w:t xml:space="preserve"> w obl</w:t>
      </w:r>
      <w:r>
        <w:rPr>
          <w:rFonts w:ascii="Times New Roman" w:hAnsi="Times New Roman"/>
          <w:noProof/>
          <w:sz w:val="24"/>
        </w:rPr>
        <w:t>iczu nowych wyzwań geopolitycznych</w:t>
      </w:r>
      <w:r w:rsidR="00D136C6">
        <w:rPr>
          <w:rFonts w:ascii="Times New Roman" w:hAnsi="Times New Roman"/>
          <w:noProof/>
          <w:sz w:val="24"/>
        </w:rPr>
        <w:t>. W cią</w:t>
      </w:r>
      <w:r>
        <w:rPr>
          <w:rFonts w:ascii="Times New Roman" w:hAnsi="Times New Roman"/>
          <w:noProof/>
          <w:sz w:val="24"/>
        </w:rPr>
        <w:t>gu ostatnich 37 lat stopniowo opracowywano kompleksowe ramy prawne oraz wspólne narzędzia operacyjne</w:t>
      </w:r>
      <w:r w:rsidR="00D136C6">
        <w:rPr>
          <w:rFonts w:ascii="Times New Roman" w:hAnsi="Times New Roman"/>
          <w:noProof/>
          <w:sz w:val="24"/>
        </w:rPr>
        <w:t xml:space="preserve"> z myś</w:t>
      </w:r>
      <w:r>
        <w:rPr>
          <w:rFonts w:ascii="Times New Roman" w:hAnsi="Times New Roman"/>
          <w:noProof/>
          <w:sz w:val="24"/>
        </w:rPr>
        <w:t>lą</w:t>
      </w:r>
      <w:r w:rsidR="00D136C6">
        <w:rPr>
          <w:rFonts w:ascii="Times New Roman" w:hAnsi="Times New Roman"/>
          <w:noProof/>
          <w:sz w:val="24"/>
        </w:rPr>
        <w:t xml:space="preserve"> o lep</w:t>
      </w:r>
      <w:r>
        <w:rPr>
          <w:rFonts w:ascii="Times New Roman" w:hAnsi="Times New Roman"/>
          <w:noProof/>
          <w:sz w:val="24"/>
        </w:rPr>
        <w:t xml:space="preserve">szej ochronie obszaru bez kontroli na granicach wewnętrznych. </w:t>
      </w:r>
    </w:p>
    <w:p w14:paraId="5409909A" w14:textId="08799140" w:rsidR="00305FA4" w:rsidRPr="0014596D" w:rsidRDefault="00485CD8"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Ustanowiony niedawno </w:t>
      </w:r>
      <w:r>
        <w:rPr>
          <w:rFonts w:ascii="Times New Roman" w:hAnsi="Times New Roman"/>
          <w:b/>
          <w:noProof/>
          <w:sz w:val="24"/>
        </w:rPr>
        <w:t>system zarządzania</w:t>
      </w:r>
      <w:r>
        <w:rPr>
          <w:rFonts w:ascii="Times New Roman" w:hAnsi="Times New Roman"/>
          <w:noProof/>
          <w:sz w:val="24"/>
        </w:rPr>
        <w:t xml:space="preserve"> </w:t>
      </w:r>
      <w:r>
        <w:rPr>
          <w:rFonts w:ascii="Times New Roman" w:hAnsi="Times New Roman"/>
          <w:b/>
          <w:noProof/>
          <w:sz w:val="24"/>
        </w:rPr>
        <w:t>strefą Schengen</w:t>
      </w:r>
      <w:r>
        <w:rPr>
          <w:rFonts w:ascii="Times New Roman" w:hAnsi="Times New Roman"/>
          <w:noProof/>
          <w:sz w:val="24"/>
        </w:rPr>
        <w:t xml:space="preserve"> gwarantuje większą rozliczalność</w:t>
      </w:r>
      <w:r w:rsidR="00D136C6">
        <w:rPr>
          <w:rFonts w:ascii="Times New Roman" w:hAnsi="Times New Roman"/>
          <w:noProof/>
          <w:sz w:val="24"/>
        </w:rPr>
        <w:t xml:space="preserve"> i wsp</w:t>
      </w:r>
      <w:r>
        <w:rPr>
          <w:rFonts w:ascii="Times New Roman" w:hAnsi="Times New Roman"/>
          <w:noProof/>
          <w:sz w:val="24"/>
        </w:rPr>
        <w:t>ólną odpowiedzialność, co sprzyja wdrażaniu reform strukturalnych. Cykl Schengen zaproponowany przez Komisję określa struktury skoordynowanego podejścia do wspólnych wyzwań</w:t>
      </w:r>
      <w:r w:rsidR="00D136C6">
        <w:rPr>
          <w:rFonts w:ascii="Times New Roman" w:hAnsi="Times New Roman"/>
          <w:noProof/>
          <w:sz w:val="24"/>
        </w:rPr>
        <w:t xml:space="preserve"> i wzm</w:t>
      </w:r>
      <w:r>
        <w:rPr>
          <w:rFonts w:ascii="Times New Roman" w:hAnsi="Times New Roman"/>
          <w:noProof/>
          <w:sz w:val="24"/>
        </w:rPr>
        <w:t>ożonego dialogu politycznego.</w:t>
      </w:r>
    </w:p>
    <w:p w14:paraId="0DFD3DDD" w14:textId="17BCA1E8" w:rsidR="005C545E" w:rsidRPr="0014596D" w:rsidRDefault="005C545E"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Struktura Schengen jest stale odnawiana. Ramy prawne są nieustannie wzmacniane</w:t>
      </w:r>
      <w:r w:rsidR="00D136C6">
        <w:rPr>
          <w:rFonts w:ascii="Times New Roman" w:hAnsi="Times New Roman"/>
          <w:noProof/>
          <w:sz w:val="24"/>
        </w:rPr>
        <w:t xml:space="preserve"> i już</w:t>
      </w:r>
      <w:r>
        <w:rPr>
          <w:rFonts w:ascii="Times New Roman" w:hAnsi="Times New Roman"/>
          <w:noProof/>
          <w:sz w:val="24"/>
        </w:rPr>
        <w:t xml:space="preserve"> teraz stanowią solidną podstawę skutecznego zarządzania granicami zewnętrznymi, gwarantując jednocześnie, że kontrole na granicach wewnętrznych są środkami stosowanymi</w:t>
      </w:r>
      <w:r w:rsidR="00D136C6">
        <w:rPr>
          <w:rFonts w:ascii="Times New Roman" w:hAnsi="Times New Roman"/>
          <w:noProof/>
          <w:sz w:val="24"/>
        </w:rPr>
        <w:t xml:space="preserve"> w ost</w:t>
      </w:r>
      <w:r>
        <w:rPr>
          <w:rFonts w:ascii="Times New Roman" w:hAnsi="Times New Roman"/>
          <w:noProof/>
          <w:sz w:val="24"/>
        </w:rPr>
        <w:t xml:space="preserve">ateczności. Zbliżająca się zmiana </w:t>
      </w:r>
      <w:r>
        <w:rPr>
          <w:rFonts w:ascii="Times New Roman" w:hAnsi="Times New Roman"/>
          <w:b/>
          <w:noProof/>
          <w:sz w:val="24"/>
        </w:rPr>
        <w:t>kodeksu granicznego Schengen</w:t>
      </w:r>
      <w:r>
        <w:rPr>
          <w:rFonts w:ascii="Times New Roman" w:hAnsi="Times New Roman" w:cs="Times New Roman"/>
          <w:noProof/>
          <w:sz w:val="24"/>
          <w:szCs w:val="24"/>
          <w:vertAlign w:val="superscript"/>
        </w:rPr>
        <w:footnoteReference w:id="17"/>
      </w:r>
      <w:r>
        <w:rPr>
          <w:rFonts w:ascii="Times New Roman" w:hAnsi="Times New Roman"/>
          <w:noProof/>
          <w:sz w:val="24"/>
        </w:rPr>
        <w:t xml:space="preserve"> spowoduje dalsze wzmocnienie przepisów, co zagwarantuje ściślejszą współpracę między państwami członkowskimi</w:t>
      </w:r>
      <w:r w:rsidR="00D136C6">
        <w:rPr>
          <w:rFonts w:ascii="Times New Roman" w:hAnsi="Times New Roman"/>
          <w:noProof/>
          <w:sz w:val="24"/>
        </w:rPr>
        <w:t xml:space="preserve"> i peł</w:t>
      </w:r>
      <w:r>
        <w:rPr>
          <w:rFonts w:ascii="Times New Roman" w:hAnsi="Times New Roman"/>
          <w:noProof/>
          <w:sz w:val="24"/>
        </w:rPr>
        <w:t>ną koordynację na poziomie Unii. Ponadto świadomość</w:t>
      </w:r>
      <w:r w:rsidR="00D136C6">
        <w:rPr>
          <w:rFonts w:ascii="Times New Roman" w:hAnsi="Times New Roman"/>
          <w:noProof/>
          <w:sz w:val="24"/>
        </w:rPr>
        <w:t xml:space="preserve"> i det</w:t>
      </w:r>
      <w:r>
        <w:rPr>
          <w:rFonts w:ascii="Times New Roman" w:hAnsi="Times New Roman"/>
          <w:noProof/>
          <w:sz w:val="24"/>
        </w:rPr>
        <w:t>erminacja państw członkowskich</w:t>
      </w:r>
      <w:r w:rsidR="00D136C6">
        <w:rPr>
          <w:rFonts w:ascii="Times New Roman" w:hAnsi="Times New Roman"/>
          <w:noProof/>
          <w:sz w:val="24"/>
        </w:rPr>
        <w:t xml:space="preserve"> w kwe</w:t>
      </w:r>
      <w:r>
        <w:rPr>
          <w:rFonts w:ascii="Times New Roman" w:hAnsi="Times New Roman"/>
          <w:noProof/>
          <w:sz w:val="24"/>
        </w:rPr>
        <w:t xml:space="preserve">stii trwałego rozwiązania problemu długotrwałych kontroli na granicach wewnętrznych są coraz większe. </w:t>
      </w:r>
    </w:p>
    <w:p w14:paraId="473AF990" w14:textId="015193C5" w:rsidR="00305FA4" w:rsidRPr="0014596D" w:rsidRDefault="005C545E"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W ostatnich latach UE intensywnie pracowała nad wprowadzeniem jednego</w:t>
      </w:r>
      <w:r w:rsidR="00D136C6">
        <w:rPr>
          <w:rFonts w:ascii="Times New Roman" w:hAnsi="Times New Roman"/>
          <w:noProof/>
          <w:sz w:val="24"/>
        </w:rPr>
        <w:t xml:space="preserve"> z naj</w:t>
      </w:r>
      <w:r>
        <w:rPr>
          <w:rFonts w:ascii="Times New Roman" w:hAnsi="Times New Roman"/>
          <w:noProof/>
          <w:sz w:val="24"/>
        </w:rPr>
        <w:t>bardziej zaawansowanych technologicznie systemów zarządzania granicami na świecie, którego korzyści są już obecnie widoczne</w:t>
      </w:r>
      <w:r w:rsidR="00D136C6">
        <w:rPr>
          <w:rFonts w:ascii="Times New Roman" w:hAnsi="Times New Roman"/>
          <w:noProof/>
          <w:sz w:val="24"/>
        </w:rPr>
        <w:t xml:space="preserve"> w ter</w:t>
      </w:r>
      <w:r>
        <w:rPr>
          <w:rFonts w:ascii="Times New Roman" w:hAnsi="Times New Roman"/>
          <w:noProof/>
          <w:sz w:val="24"/>
        </w:rPr>
        <w:t>enie. Uruchomienie zmodernizowanego Systemu Informacyjnego Schengen na początku 20</w:t>
      </w:r>
      <w:r w:rsidRPr="00D136C6">
        <w:rPr>
          <w:rFonts w:ascii="Times New Roman" w:hAnsi="Times New Roman"/>
          <w:noProof/>
          <w:sz w:val="24"/>
        </w:rPr>
        <w:t>23</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oraz systemu wjazdu/wyjazdu</w:t>
      </w:r>
      <w:r w:rsidR="00D136C6">
        <w:rPr>
          <w:rFonts w:ascii="Times New Roman" w:hAnsi="Times New Roman"/>
          <w:noProof/>
          <w:sz w:val="24"/>
        </w:rPr>
        <w:t xml:space="preserve"> w maj</w:t>
      </w:r>
      <w:r>
        <w:rPr>
          <w:rFonts w:ascii="Times New Roman" w:hAnsi="Times New Roman"/>
          <w:noProof/>
          <w:sz w:val="24"/>
        </w:rPr>
        <w:t>u 20</w:t>
      </w:r>
      <w:r w:rsidRPr="00D136C6">
        <w:rPr>
          <w:rFonts w:ascii="Times New Roman" w:hAnsi="Times New Roman"/>
          <w:noProof/>
          <w:sz w:val="24"/>
        </w:rPr>
        <w:t>23</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zapewni dodatkowe bezpieczeństwo</w:t>
      </w:r>
      <w:r w:rsidR="00D136C6">
        <w:rPr>
          <w:rFonts w:ascii="Times New Roman" w:hAnsi="Times New Roman"/>
          <w:noProof/>
          <w:sz w:val="24"/>
        </w:rPr>
        <w:t xml:space="preserve"> w zar</w:t>
      </w:r>
      <w:r>
        <w:rPr>
          <w:rFonts w:ascii="Times New Roman" w:hAnsi="Times New Roman"/>
          <w:noProof/>
          <w:sz w:val="24"/>
        </w:rPr>
        <w:t>ządzaniu naszą granicą zewnętrzną</w:t>
      </w:r>
      <w:r w:rsidR="00D136C6">
        <w:rPr>
          <w:rFonts w:ascii="Times New Roman" w:hAnsi="Times New Roman"/>
          <w:noProof/>
          <w:sz w:val="24"/>
        </w:rPr>
        <w:t xml:space="preserve"> i str</w:t>
      </w:r>
      <w:r>
        <w:rPr>
          <w:rFonts w:ascii="Times New Roman" w:hAnsi="Times New Roman"/>
          <w:noProof/>
          <w:sz w:val="24"/>
        </w:rPr>
        <w:t xml:space="preserve">efą Schengen. Oczekuje się, że </w:t>
      </w:r>
      <w:r>
        <w:rPr>
          <w:rFonts w:ascii="Times New Roman" w:hAnsi="Times New Roman"/>
          <w:b/>
          <w:noProof/>
          <w:sz w:val="24"/>
        </w:rPr>
        <w:t>pełna nowa architektura informatyczna</w:t>
      </w:r>
      <w:r>
        <w:rPr>
          <w:rFonts w:ascii="Times New Roman" w:hAnsi="Times New Roman"/>
          <w:noProof/>
          <w:sz w:val="24"/>
        </w:rPr>
        <w:t>,</w:t>
      </w:r>
      <w:r w:rsidR="00D136C6">
        <w:rPr>
          <w:rFonts w:ascii="Times New Roman" w:hAnsi="Times New Roman"/>
          <w:noProof/>
          <w:sz w:val="24"/>
        </w:rPr>
        <w:t xml:space="preserve"> w tym</w:t>
      </w:r>
      <w:r>
        <w:rPr>
          <w:rFonts w:ascii="Times New Roman" w:hAnsi="Times New Roman"/>
          <w:noProof/>
          <w:sz w:val="24"/>
        </w:rPr>
        <w:t xml:space="preserve"> europejski system informacji</w:t>
      </w:r>
      <w:r w:rsidR="00D136C6">
        <w:rPr>
          <w:rFonts w:ascii="Times New Roman" w:hAnsi="Times New Roman"/>
          <w:noProof/>
          <w:sz w:val="24"/>
        </w:rPr>
        <w:t xml:space="preserve"> o pod</w:t>
      </w:r>
      <w:r>
        <w:rPr>
          <w:rFonts w:ascii="Times New Roman" w:hAnsi="Times New Roman"/>
          <w:noProof/>
          <w:sz w:val="24"/>
        </w:rPr>
        <w:t>róży oraz zezwoleń na podróż (ETIAS), zostanie wprowadzona do końca 20</w:t>
      </w:r>
      <w:r w:rsidRPr="00D136C6">
        <w:rPr>
          <w:rFonts w:ascii="Times New Roman" w:hAnsi="Times New Roman"/>
          <w:noProof/>
          <w:sz w:val="24"/>
        </w:rPr>
        <w:t>23</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w:t>
      </w:r>
      <w:r w:rsidR="00D136C6">
        <w:rPr>
          <w:rFonts w:ascii="Times New Roman" w:hAnsi="Times New Roman"/>
          <w:noProof/>
          <w:sz w:val="24"/>
        </w:rPr>
        <w:t xml:space="preserve"> a wyn</w:t>
      </w:r>
      <w:r>
        <w:rPr>
          <w:rFonts w:ascii="Times New Roman" w:hAnsi="Times New Roman"/>
          <w:noProof/>
          <w:sz w:val="24"/>
        </w:rPr>
        <w:t>ikająca</w:t>
      </w:r>
      <w:r w:rsidR="00D136C6">
        <w:rPr>
          <w:rFonts w:ascii="Times New Roman" w:hAnsi="Times New Roman"/>
          <w:noProof/>
          <w:sz w:val="24"/>
        </w:rPr>
        <w:t xml:space="preserve"> z nie</w:t>
      </w:r>
      <w:r>
        <w:rPr>
          <w:rFonts w:ascii="Times New Roman" w:hAnsi="Times New Roman"/>
          <w:noProof/>
          <w:sz w:val="24"/>
        </w:rPr>
        <w:t>j interoperacyjność umożliwi połączenie europejskich systemów dotyczących granic, migracji</w:t>
      </w:r>
      <w:r w:rsidR="00D136C6">
        <w:rPr>
          <w:rFonts w:ascii="Times New Roman" w:hAnsi="Times New Roman"/>
          <w:noProof/>
          <w:sz w:val="24"/>
        </w:rPr>
        <w:t xml:space="preserve"> i bez</w:t>
      </w:r>
      <w:r>
        <w:rPr>
          <w:rFonts w:ascii="Times New Roman" w:hAnsi="Times New Roman"/>
          <w:noProof/>
          <w:sz w:val="24"/>
        </w:rPr>
        <w:t>pieczeństwa. Po wprowadzeniu systemu wszystkie odpowiednie</w:t>
      </w:r>
      <w:r w:rsidR="00D136C6">
        <w:rPr>
          <w:rFonts w:ascii="Times New Roman" w:hAnsi="Times New Roman"/>
          <w:noProof/>
          <w:sz w:val="24"/>
        </w:rPr>
        <w:t xml:space="preserve"> i wła</w:t>
      </w:r>
      <w:r>
        <w:rPr>
          <w:rFonts w:ascii="Times New Roman" w:hAnsi="Times New Roman"/>
          <w:noProof/>
          <w:sz w:val="24"/>
        </w:rPr>
        <w:t>ściwe organy krajowe będą dysponowały kompletnymi, wiarygodnymi</w:t>
      </w:r>
      <w:r w:rsidR="00D136C6">
        <w:rPr>
          <w:rFonts w:ascii="Times New Roman" w:hAnsi="Times New Roman"/>
          <w:noProof/>
          <w:sz w:val="24"/>
        </w:rPr>
        <w:t xml:space="preserve"> i dok</w:t>
      </w:r>
      <w:r>
        <w:rPr>
          <w:rFonts w:ascii="Times New Roman" w:hAnsi="Times New Roman"/>
          <w:noProof/>
          <w:sz w:val="24"/>
        </w:rPr>
        <w:t>ładnymi niezbędnymi informacjami przy zachowaniu pełnej zgodności</w:t>
      </w:r>
      <w:r w:rsidR="00D136C6">
        <w:rPr>
          <w:rFonts w:ascii="Times New Roman" w:hAnsi="Times New Roman"/>
          <w:noProof/>
          <w:sz w:val="24"/>
        </w:rPr>
        <w:t xml:space="preserve"> z wym</w:t>
      </w:r>
      <w:r>
        <w:rPr>
          <w:rFonts w:ascii="Times New Roman" w:hAnsi="Times New Roman"/>
          <w:noProof/>
          <w:sz w:val="24"/>
        </w:rPr>
        <w:t xml:space="preserve">ogami dotyczącymi ochrony danych. </w:t>
      </w:r>
    </w:p>
    <w:p w14:paraId="3C84DE95" w14:textId="366C3CB1" w:rsidR="00305FA4" w:rsidRPr="0014596D" w:rsidRDefault="00305FA4" w:rsidP="00605EC6">
      <w:pPr>
        <w:spacing w:before="120" w:line="276" w:lineRule="auto"/>
        <w:jc w:val="both"/>
        <w:rPr>
          <w:rFonts w:ascii="Times New Roman" w:hAnsi="Times New Roman" w:cs="Times New Roman"/>
          <w:noProof/>
          <w:sz w:val="24"/>
          <w:szCs w:val="24"/>
        </w:rPr>
      </w:pPr>
      <w:r>
        <w:rPr>
          <w:rFonts w:ascii="Times New Roman" w:hAnsi="Times New Roman"/>
          <w:b/>
          <w:bCs/>
          <w:noProof/>
          <w:sz w:val="24"/>
        </w:rPr>
        <w:t>Kodeks wizowy</w:t>
      </w:r>
      <w:r>
        <w:rPr>
          <w:rFonts w:ascii="Times New Roman" w:hAnsi="Times New Roman"/>
          <w:noProof/>
          <w:sz w:val="24"/>
        </w:rPr>
        <w:t>, który wszedł</w:t>
      </w:r>
      <w:r w:rsidR="00D136C6">
        <w:rPr>
          <w:rFonts w:ascii="Times New Roman" w:hAnsi="Times New Roman"/>
          <w:noProof/>
          <w:sz w:val="24"/>
        </w:rPr>
        <w:t xml:space="preserve"> w życ</w:t>
      </w:r>
      <w:r>
        <w:rPr>
          <w:rFonts w:ascii="Times New Roman" w:hAnsi="Times New Roman"/>
          <w:noProof/>
          <w:sz w:val="24"/>
        </w:rPr>
        <w:t>ie</w:t>
      </w:r>
      <w:r w:rsidR="00D136C6">
        <w:rPr>
          <w:rFonts w:ascii="Times New Roman" w:hAnsi="Times New Roman"/>
          <w:noProof/>
          <w:sz w:val="24"/>
        </w:rPr>
        <w:t xml:space="preserve"> w lat</w:t>
      </w:r>
      <w:r>
        <w:rPr>
          <w:rFonts w:ascii="Times New Roman" w:hAnsi="Times New Roman"/>
          <w:noProof/>
          <w:sz w:val="24"/>
        </w:rPr>
        <w:t>ach 2010–2011, został zmieniony</w:t>
      </w:r>
      <w:r w:rsidR="00D136C6">
        <w:rPr>
          <w:rFonts w:ascii="Times New Roman" w:hAnsi="Times New Roman"/>
          <w:noProof/>
          <w:sz w:val="24"/>
        </w:rPr>
        <w:t xml:space="preserve"> w 2</w:t>
      </w:r>
      <w:r>
        <w:rPr>
          <w:rFonts w:ascii="Times New Roman" w:hAnsi="Times New Roman"/>
          <w:noProof/>
          <w:sz w:val="24"/>
        </w:rPr>
        <w:t>0</w:t>
      </w:r>
      <w:r w:rsidRPr="00D136C6">
        <w:rPr>
          <w:rFonts w:ascii="Times New Roman" w:hAnsi="Times New Roman"/>
          <w:noProof/>
          <w:sz w:val="24"/>
        </w:rPr>
        <w:t>20</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co zapewniło szybsze</w:t>
      </w:r>
      <w:r w:rsidR="00D136C6">
        <w:rPr>
          <w:rFonts w:ascii="Times New Roman" w:hAnsi="Times New Roman"/>
          <w:noProof/>
          <w:sz w:val="24"/>
        </w:rPr>
        <w:t xml:space="preserve"> i bar</w:t>
      </w:r>
      <w:r>
        <w:rPr>
          <w:rFonts w:ascii="Times New Roman" w:hAnsi="Times New Roman"/>
          <w:noProof/>
          <w:sz w:val="24"/>
        </w:rPr>
        <w:t>dziej przejrzyste procedury dla podróżnych,</w:t>
      </w:r>
      <w:r w:rsidR="00D136C6">
        <w:rPr>
          <w:rFonts w:ascii="Times New Roman" w:hAnsi="Times New Roman"/>
          <w:noProof/>
          <w:sz w:val="24"/>
        </w:rPr>
        <w:t xml:space="preserve"> a jed</w:t>
      </w:r>
      <w:r>
        <w:rPr>
          <w:rFonts w:ascii="Times New Roman" w:hAnsi="Times New Roman"/>
          <w:noProof/>
          <w:sz w:val="24"/>
        </w:rPr>
        <w:t>nocześnie zwiększyło zakres narzędzi dostępnych do reagowania na wyzwania wynikające</w:t>
      </w:r>
      <w:r w:rsidR="00D136C6">
        <w:rPr>
          <w:rFonts w:ascii="Times New Roman" w:hAnsi="Times New Roman"/>
          <w:noProof/>
          <w:sz w:val="24"/>
        </w:rPr>
        <w:t xml:space="preserve"> z mig</w:t>
      </w:r>
      <w:r>
        <w:rPr>
          <w:rFonts w:ascii="Times New Roman" w:hAnsi="Times New Roman"/>
          <w:noProof/>
          <w:sz w:val="24"/>
        </w:rPr>
        <w:t>racji nieuregulowanej. Nowa możliwość stosowania mechanizmu wizowego wobec państw trzecich,</w:t>
      </w:r>
      <w:r w:rsidR="00D136C6">
        <w:rPr>
          <w:rFonts w:ascii="Times New Roman" w:hAnsi="Times New Roman"/>
          <w:noProof/>
          <w:sz w:val="24"/>
        </w:rPr>
        <w:t xml:space="preserve"> z któ</w:t>
      </w:r>
      <w:r>
        <w:rPr>
          <w:rFonts w:ascii="Times New Roman" w:hAnsi="Times New Roman"/>
          <w:noProof/>
          <w:sz w:val="24"/>
        </w:rPr>
        <w:t>rymi współpraca</w:t>
      </w:r>
      <w:r w:rsidR="00D136C6">
        <w:rPr>
          <w:rFonts w:ascii="Times New Roman" w:hAnsi="Times New Roman"/>
          <w:noProof/>
          <w:sz w:val="24"/>
        </w:rPr>
        <w:t xml:space="preserve"> w zak</w:t>
      </w:r>
      <w:r>
        <w:rPr>
          <w:rFonts w:ascii="Times New Roman" w:hAnsi="Times New Roman"/>
          <w:noProof/>
          <w:sz w:val="24"/>
        </w:rPr>
        <w:t>resie readmisji jest niewystarczająca, dała już pozytywne wyniki</w:t>
      </w:r>
      <w:r>
        <w:rPr>
          <w:rStyle w:val="FootnoteReference"/>
          <w:rFonts w:ascii="Times New Roman" w:hAnsi="Times New Roman" w:cs="Times New Roman"/>
          <w:noProof/>
          <w:sz w:val="24"/>
          <w:szCs w:val="24"/>
        </w:rPr>
        <w:footnoteReference w:id="18"/>
      </w:r>
      <w:r>
        <w:rPr>
          <w:rFonts w:ascii="Times New Roman" w:hAnsi="Times New Roman"/>
          <w:noProof/>
          <w:sz w:val="24"/>
        </w:rPr>
        <w:t>. Wizowy system informacyjny, który</w:t>
      </w:r>
      <w:r w:rsidR="00D136C6">
        <w:rPr>
          <w:rFonts w:ascii="Times New Roman" w:hAnsi="Times New Roman"/>
          <w:noProof/>
          <w:sz w:val="24"/>
        </w:rPr>
        <w:t xml:space="preserve"> w ost</w:t>
      </w:r>
      <w:r>
        <w:rPr>
          <w:rFonts w:ascii="Times New Roman" w:hAnsi="Times New Roman"/>
          <w:noProof/>
          <w:sz w:val="24"/>
        </w:rPr>
        <w:t>atnim czasie został zreformowany na potrzeby wprowadzenia nowych funkcji (np. uwzględnienia wiz długoterminowych</w:t>
      </w:r>
      <w:r w:rsidR="00D136C6">
        <w:rPr>
          <w:rFonts w:ascii="Times New Roman" w:hAnsi="Times New Roman"/>
          <w:noProof/>
          <w:sz w:val="24"/>
        </w:rPr>
        <w:t xml:space="preserve"> i dok</w:t>
      </w:r>
      <w:r>
        <w:rPr>
          <w:rFonts w:ascii="Times New Roman" w:hAnsi="Times New Roman"/>
          <w:noProof/>
          <w:sz w:val="24"/>
        </w:rPr>
        <w:t>umentów pobytowych), skutecznie wspiera organy państw członkowskich</w:t>
      </w:r>
      <w:r w:rsidR="00D136C6">
        <w:rPr>
          <w:rFonts w:ascii="Times New Roman" w:hAnsi="Times New Roman"/>
          <w:noProof/>
          <w:sz w:val="24"/>
        </w:rPr>
        <w:t xml:space="preserve"> i umo</w:t>
      </w:r>
      <w:r>
        <w:rPr>
          <w:rFonts w:ascii="Times New Roman" w:hAnsi="Times New Roman"/>
          <w:noProof/>
          <w:sz w:val="24"/>
        </w:rPr>
        <w:t>żliwia lepszą kontrolę osób ubiegających się</w:t>
      </w:r>
      <w:r w:rsidR="00D136C6">
        <w:rPr>
          <w:rFonts w:ascii="Times New Roman" w:hAnsi="Times New Roman"/>
          <w:noProof/>
          <w:sz w:val="24"/>
        </w:rPr>
        <w:t xml:space="preserve"> o wiz</w:t>
      </w:r>
      <w:r>
        <w:rPr>
          <w:rFonts w:ascii="Times New Roman" w:hAnsi="Times New Roman"/>
          <w:noProof/>
          <w:sz w:val="24"/>
        </w:rPr>
        <w:t>ę</w:t>
      </w:r>
      <w:r w:rsidR="00D136C6">
        <w:rPr>
          <w:rFonts w:ascii="Times New Roman" w:hAnsi="Times New Roman"/>
          <w:noProof/>
          <w:sz w:val="24"/>
        </w:rPr>
        <w:t xml:space="preserve"> w cel</w:t>
      </w:r>
      <w:r>
        <w:rPr>
          <w:rFonts w:ascii="Times New Roman" w:hAnsi="Times New Roman"/>
          <w:noProof/>
          <w:sz w:val="24"/>
        </w:rPr>
        <w:t>u zidentyfikowania osób, które mogą stanowić zagrożenie bezpieczeństwa lub</w:t>
      </w:r>
      <w:r w:rsidR="00D136C6">
        <w:rPr>
          <w:rFonts w:ascii="Times New Roman" w:hAnsi="Times New Roman"/>
          <w:noProof/>
          <w:sz w:val="24"/>
        </w:rPr>
        <w:t xml:space="preserve"> w prz</w:t>
      </w:r>
      <w:r>
        <w:rPr>
          <w:rFonts w:ascii="Times New Roman" w:hAnsi="Times New Roman"/>
          <w:noProof/>
          <w:sz w:val="24"/>
        </w:rPr>
        <w:t>ypadku których istnieje ryzyko nadużycia przepisów imigracyjnych. Ponadto Unia kontynuowała prace nad zwiększeniem atrakcyjności strefy Schengen, dodając nowe państwa trzecie do wykazu państw, których obywatele mogą podróżować do UE bez wiz, oraz zawierając</w:t>
      </w:r>
      <w:r w:rsidR="00D136C6">
        <w:rPr>
          <w:rFonts w:ascii="Times New Roman" w:hAnsi="Times New Roman"/>
          <w:noProof/>
          <w:sz w:val="24"/>
        </w:rPr>
        <w:t xml:space="preserve"> z pań</w:t>
      </w:r>
      <w:r>
        <w:rPr>
          <w:rFonts w:ascii="Times New Roman" w:hAnsi="Times New Roman"/>
          <w:noProof/>
          <w:sz w:val="24"/>
        </w:rPr>
        <w:t>stwami trzecimi umowy</w:t>
      </w:r>
      <w:r w:rsidR="00D136C6">
        <w:rPr>
          <w:rFonts w:ascii="Times New Roman" w:hAnsi="Times New Roman"/>
          <w:noProof/>
          <w:sz w:val="24"/>
        </w:rPr>
        <w:t xml:space="preserve"> o uła</w:t>
      </w:r>
      <w:r>
        <w:rPr>
          <w:rFonts w:ascii="Times New Roman" w:hAnsi="Times New Roman"/>
          <w:noProof/>
          <w:sz w:val="24"/>
        </w:rPr>
        <w:t>twieniach wizowych. Zbliżająca się cyfryzacja procedur wizowych</w:t>
      </w:r>
      <w:r>
        <w:rPr>
          <w:rFonts w:ascii="Times New Roman" w:hAnsi="Times New Roman" w:cs="Times New Roman"/>
          <w:noProof/>
          <w:sz w:val="24"/>
          <w:szCs w:val="24"/>
          <w:vertAlign w:val="superscript"/>
        </w:rPr>
        <w:footnoteReference w:id="19"/>
      </w:r>
      <w:r>
        <w:rPr>
          <w:rFonts w:ascii="Times New Roman" w:hAnsi="Times New Roman"/>
          <w:noProof/>
          <w:sz w:val="24"/>
        </w:rPr>
        <w:t xml:space="preserve"> pozwoli przekształcić obecną procedurę składania wniosków wizowych opartą na dokumentacji papierowej</w:t>
      </w:r>
      <w:r w:rsidR="00D136C6">
        <w:rPr>
          <w:rFonts w:ascii="Times New Roman" w:hAnsi="Times New Roman"/>
          <w:noProof/>
          <w:sz w:val="24"/>
        </w:rPr>
        <w:t xml:space="preserve"> w pro</w:t>
      </w:r>
      <w:r>
        <w:rPr>
          <w:rFonts w:ascii="Times New Roman" w:hAnsi="Times New Roman"/>
          <w:noProof/>
          <w:sz w:val="24"/>
        </w:rPr>
        <w:t>cedurę cyfrową, dzięki czemu będzie ona szybsza</w:t>
      </w:r>
      <w:r w:rsidR="00D136C6">
        <w:rPr>
          <w:rFonts w:ascii="Times New Roman" w:hAnsi="Times New Roman"/>
          <w:noProof/>
          <w:sz w:val="24"/>
        </w:rPr>
        <w:t xml:space="preserve"> i bez</w:t>
      </w:r>
      <w:r>
        <w:rPr>
          <w:rFonts w:ascii="Times New Roman" w:hAnsi="Times New Roman"/>
          <w:noProof/>
          <w:sz w:val="24"/>
        </w:rPr>
        <w:t>pieczniejsza. Pojedyncza platforma internetowa nada procesowi wizowemu unijny charakter</w:t>
      </w:r>
      <w:r w:rsidR="00D136C6">
        <w:rPr>
          <w:rFonts w:ascii="Times New Roman" w:hAnsi="Times New Roman"/>
          <w:noProof/>
          <w:sz w:val="24"/>
        </w:rPr>
        <w:t xml:space="preserve"> i stw</w:t>
      </w:r>
      <w:r>
        <w:rPr>
          <w:rFonts w:ascii="Times New Roman" w:hAnsi="Times New Roman"/>
          <w:noProof/>
          <w:sz w:val="24"/>
        </w:rPr>
        <w:t>orzy wyjątkowy punkt kompleksowej obsługi dla osób ubiegających się</w:t>
      </w:r>
      <w:r w:rsidR="00D136C6">
        <w:rPr>
          <w:rFonts w:ascii="Times New Roman" w:hAnsi="Times New Roman"/>
          <w:noProof/>
          <w:sz w:val="24"/>
        </w:rPr>
        <w:t xml:space="preserve"> o wiz</w:t>
      </w:r>
      <w:r>
        <w:rPr>
          <w:rFonts w:ascii="Times New Roman" w:hAnsi="Times New Roman"/>
          <w:noProof/>
          <w:sz w:val="24"/>
        </w:rPr>
        <w:t>ę na całym świecie, zwiększając tym samym atrakcyjność UE jako celu podróży.</w:t>
      </w:r>
    </w:p>
    <w:p w14:paraId="505BC8BA" w14:textId="4646B095" w:rsidR="00305FA4" w:rsidRPr="0014596D" w:rsidRDefault="00FC0269"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Rzetelne zarządzanie granicami zewnętrznymi ma kluczowe znaczenie</w:t>
      </w:r>
      <w:r w:rsidR="00D136C6">
        <w:rPr>
          <w:rFonts w:ascii="Times New Roman" w:hAnsi="Times New Roman"/>
          <w:noProof/>
          <w:sz w:val="24"/>
        </w:rPr>
        <w:t xml:space="preserve"> w kon</w:t>
      </w:r>
      <w:r>
        <w:rPr>
          <w:rFonts w:ascii="Times New Roman" w:hAnsi="Times New Roman"/>
          <w:noProof/>
          <w:sz w:val="24"/>
        </w:rPr>
        <w:t>tekście zrównoważenia zniesienia kontroli na granicach wewnętrznych, zapewniając wzajemne zaufanie. Unia</w:t>
      </w:r>
      <w:r w:rsidR="00D136C6">
        <w:rPr>
          <w:rFonts w:ascii="Times New Roman" w:hAnsi="Times New Roman"/>
          <w:noProof/>
          <w:sz w:val="24"/>
        </w:rPr>
        <w:t xml:space="preserve"> i pań</w:t>
      </w:r>
      <w:r>
        <w:rPr>
          <w:rFonts w:ascii="Times New Roman" w:hAnsi="Times New Roman"/>
          <w:noProof/>
          <w:sz w:val="24"/>
        </w:rPr>
        <w:t>stwa członkowskie aktywnie działają na rzecz osiągnięcia</w:t>
      </w:r>
      <w:r w:rsidR="00D136C6">
        <w:rPr>
          <w:rFonts w:ascii="Times New Roman" w:hAnsi="Times New Roman"/>
          <w:noProof/>
          <w:sz w:val="24"/>
        </w:rPr>
        <w:t xml:space="preserve"> w pra</w:t>
      </w:r>
      <w:r>
        <w:rPr>
          <w:rFonts w:ascii="Times New Roman" w:hAnsi="Times New Roman"/>
          <w:noProof/>
          <w:sz w:val="24"/>
        </w:rPr>
        <w:t>ktyce</w:t>
      </w:r>
      <w:r w:rsidR="00D136C6">
        <w:rPr>
          <w:rFonts w:ascii="Times New Roman" w:hAnsi="Times New Roman"/>
          <w:noProof/>
          <w:sz w:val="24"/>
        </w:rPr>
        <w:t xml:space="preserve"> w peł</w:t>
      </w:r>
      <w:r>
        <w:rPr>
          <w:rFonts w:ascii="Times New Roman" w:hAnsi="Times New Roman"/>
          <w:noProof/>
          <w:sz w:val="24"/>
        </w:rPr>
        <w:t>ni skutecznego europejskiego zintegrowanego zarządzania granicami</w:t>
      </w:r>
      <w:r>
        <w:rPr>
          <w:rStyle w:val="FootnoteReference"/>
          <w:rFonts w:ascii="Times New Roman" w:hAnsi="Times New Roman" w:cs="Times New Roman"/>
          <w:noProof/>
          <w:sz w:val="24"/>
          <w:szCs w:val="24"/>
        </w:rPr>
        <w:footnoteReference w:id="20"/>
      </w:r>
      <w:r>
        <w:rPr>
          <w:rFonts w:ascii="Times New Roman" w:hAnsi="Times New Roman"/>
          <w:noProof/>
          <w:sz w:val="24"/>
        </w:rPr>
        <w:t>,</w:t>
      </w:r>
      <w:r w:rsidR="00D136C6">
        <w:rPr>
          <w:rFonts w:ascii="Times New Roman" w:hAnsi="Times New Roman"/>
          <w:noProof/>
          <w:sz w:val="24"/>
        </w:rPr>
        <w:t xml:space="preserve"> w tym</w:t>
      </w:r>
      <w:r>
        <w:rPr>
          <w:rFonts w:ascii="Times New Roman" w:hAnsi="Times New Roman"/>
          <w:noProof/>
          <w:sz w:val="24"/>
        </w:rPr>
        <w:t xml:space="preserve"> poprzez działania mające na celu zwiększenie skuteczności powrotów obywateli państw trzecich, którzy nie mają prawa do pozostania</w:t>
      </w:r>
      <w:r>
        <w:rPr>
          <w:rStyle w:val="FootnoteReference"/>
          <w:rFonts w:ascii="Times New Roman" w:hAnsi="Times New Roman" w:cs="Times New Roman"/>
          <w:noProof/>
          <w:sz w:val="24"/>
          <w:szCs w:val="24"/>
        </w:rPr>
        <w:footnoteReference w:id="21"/>
      </w:r>
      <w:r>
        <w:rPr>
          <w:rFonts w:ascii="Times New Roman" w:hAnsi="Times New Roman"/>
          <w:noProof/>
          <w:sz w:val="24"/>
        </w:rPr>
        <w:t xml:space="preserve">. Ponadto ustanowienie </w:t>
      </w:r>
      <w:r>
        <w:rPr>
          <w:rFonts w:ascii="Times New Roman" w:hAnsi="Times New Roman"/>
          <w:b/>
          <w:noProof/>
          <w:sz w:val="24"/>
        </w:rPr>
        <w:t>Europejskiej Straży Granicznej</w:t>
      </w:r>
      <w:r w:rsidR="00D136C6">
        <w:rPr>
          <w:rFonts w:ascii="Times New Roman" w:hAnsi="Times New Roman"/>
          <w:b/>
          <w:noProof/>
          <w:sz w:val="24"/>
        </w:rPr>
        <w:t xml:space="preserve"> i Prz</w:t>
      </w:r>
      <w:r>
        <w:rPr>
          <w:rFonts w:ascii="Times New Roman" w:hAnsi="Times New Roman"/>
          <w:b/>
          <w:noProof/>
          <w:sz w:val="24"/>
        </w:rPr>
        <w:t>ybrzeżnej</w:t>
      </w:r>
      <w:r>
        <w:rPr>
          <w:rFonts w:ascii="Times New Roman" w:hAnsi="Times New Roman"/>
          <w:noProof/>
          <w:sz w:val="24"/>
        </w:rPr>
        <w:t xml:space="preserve"> oraz codzienna realizacja wzmocnionego zakresu jej działań</w:t>
      </w:r>
      <w:r>
        <w:rPr>
          <w:rStyle w:val="FootnoteReference"/>
          <w:rFonts w:ascii="Times New Roman" w:hAnsi="Times New Roman" w:cs="Times New Roman"/>
          <w:noProof/>
          <w:sz w:val="24"/>
          <w:szCs w:val="24"/>
        </w:rPr>
        <w:footnoteReference w:id="22"/>
      </w:r>
      <w:r>
        <w:rPr>
          <w:rFonts w:ascii="Times New Roman" w:hAnsi="Times New Roman"/>
          <w:noProof/>
          <w:sz w:val="24"/>
        </w:rPr>
        <w:t xml:space="preserve"> były przykładami przełomowych decyzji, które Unia podjęła, aby</w:t>
      </w:r>
      <w:r w:rsidR="00D136C6">
        <w:rPr>
          <w:rFonts w:ascii="Times New Roman" w:hAnsi="Times New Roman"/>
          <w:noProof/>
          <w:sz w:val="24"/>
        </w:rPr>
        <w:t xml:space="preserve"> w peł</w:t>
      </w:r>
      <w:r>
        <w:rPr>
          <w:rFonts w:ascii="Times New Roman" w:hAnsi="Times New Roman"/>
          <w:noProof/>
          <w:sz w:val="24"/>
        </w:rPr>
        <w:t>ni zrealizować założenia Schengen. Bezpieczeństwo</w:t>
      </w:r>
      <w:r w:rsidR="00D136C6">
        <w:rPr>
          <w:rFonts w:ascii="Times New Roman" w:hAnsi="Times New Roman"/>
          <w:noProof/>
          <w:sz w:val="24"/>
        </w:rPr>
        <w:t xml:space="preserve"> i fun</w:t>
      </w:r>
      <w:r>
        <w:rPr>
          <w:rFonts w:ascii="Times New Roman" w:hAnsi="Times New Roman"/>
          <w:noProof/>
          <w:sz w:val="24"/>
        </w:rPr>
        <w:t>kcjonowanie strefy Schengen wspiera również skuteczne wdrażanie unijnego kodeksu celnego</w:t>
      </w:r>
      <w:r w:rsidR="00D136C6">
        <w:rPr>
          <w:rFonts w:ascii="Times New Roman" w:hAnsi="Times New Roman"/>
          <w:noProof/>
          <w:sz w:val="24"/>
        </w:rPr>
        <w:t xml:space="preserve"> w ści</w:t>
      </w:r>
      <w:r>
        <w:rPr>
          <w:rFonts w:ascii="Times New Roman" w:hAnsi="Times New Roman"/>
          <w:noProof/>
          <w:sz w:val="24"/>
        </w:rPr>
        <w:t>słej współpracy</w:t>
      </w:r>
      <w:r w:rsidR="00D136C6">
        <w:rPr>
          <w:rFonts w:ascii="Times New Roman" w:hAnsi="Times New Roman"/>
          <w:noProof/>
          <w:sz w:val="24"/>
        </w:rPr>
        <w:t xml:space="preserve"> z org</w:t>
      </w:r>
      <w:r>
        <w:rPr>
          <w:rFonts w:ascii="Times New Roman" w:hAnsi="Times New Roman"/>
          <w:noProof/>
          <w:sz w:val="24"/>
        </w:rPr>
        <w:t>anami Europejskiej Straży Granicznej</w:t>
      </w:r>
      <w:r w:rsidR="00D136C6">
        <w:rPr>
          <w:rFonts w:ascii="Times New Roman" w:hAnsi="Times New Roman"/>
          <w:noProof/>
          <w:sz w:val="24"/>
        </w:rPr>
        <w:t xml:space="preserve"> i Prz</w:t>
      </w:r>
      <w:r>
        <w:rPr>
          <w:rFonts w:ascii="Times New Roman" w:hAnsi="Times New Roman"/>
          <w:noProof/>
          <w:sz w:val="24"/>
        </w:rPr>
        <w:t>ybrzeżnej. Współpraca ta gwarantuje odpowiednie włączenie kontroli towarów do tych samych procesów bezpieczeństwa.</w:t>
      </w:r>
    </w:p>
    <w:p w14:paraId="6C307629" w14:textId="59FF8F3B" w:rsidR="00754149" w:rsidRPr="0014596D" w:rsidRDefault="00305FA4"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Silniejsza strefa Schengen przyczynia się również do skuteczniejszego </w:t>
      </w:r>
      <w:r>
        <w:rPr>
          <w:rFonts w:ascii="Times New Roman" w:hAnsi="Times New Roman"/>
          <w:b/>
          <w:noProof/>
          <w:sz w:val="24"/>
        </w:rPr>
        <w:t>stawiania czoła wyzwaniom związanym</w:t>
      </w:r>
      <w:r w:rsidR="00D136C6">
        <w:rPr>
          <w:rFonts w:ascii="Times New Roman" w:hAnsi="Times New Roman"/>
          <w:b/>
          <w:noProof/>
          <w:sz w:val="24"/>
        </w:rPr>
        <w:t xml:space="preserve"> z bez</w:t>
      </w:r>
      <w:r>
        <w:rPr>
          <w:rFonts w:ascii="Times New Roman" w:hAnsi="Times New Roman"/>
          <w:b/>
          <w:noProof/>
          <w:sz w:val="24"/>
        </w:rPr>
        <w:t>pieczeństwem wewnętrznym</w:t>
      </w:r>
      <w:r>
        <w:rPr>
          <w:rFonts w:ascii="Times New Roman" w:hAnsi="Times New Roman"/>
          <w:noProof/>
          <w:sz w:val="24"/>
        </w:rPr>
        <w:t>. Zniesienie kontroli granicznych zapewniło państwom członkowskim możliwość wykorzystania zasobów policyjnych do bardziej ukierunkowanego zwalczania przestępczości</w:t>
      </w:r>
      <w:r w:rsidR="00D136C6">
        <w:rPr>
          <w:rFonts w:ascii="Times New Roman" w:hAnsi="Times New Roman"/>
          <w:noProof/>
          <w:sz w:val="24"/>
        </w:rPr>
        <w:t xml:space="preserve"> i ter</w:t>
      </w:r>
      <w:r>
        <w:rPr>
          <w:rFonts w:ascii="Times New Roman" w:hAnsi="Times New Roman"/>
          <w:noProof/>
          <w:sz w:val="24"/>
        </w:rPr>
        <w:t>roryzmu wewnętrznego</w:t>
      </w:r>
      <w:r w:rsidR="00D136C6">
        <w:rPr>
          <w:rFonts w:ascii="Times New Roman" w:hAnsi="Times New Roman"/>
          <w:noProof/>
          <w:sz w:val="24"/>
        </w:rPr>
        <w:t>. W wyn</w:t>
      </w:r>
      <w:r>
        <w:rPr>
          <w:rFonts w:ascii="Times New Roman" w:hAnsi="Times New Roman"/>
          <w:noProof/>
          <w:sz w:val="24"/>
        </w:rPr>
        <w:t>iku zwiększenia wykorzystania unijnych narzędzi</w:t>
      </w:r>
      <w:r w:rsidR="00D136C6">
        <w:rPr>
          <w:rFonts w:ascii="Times New Roman" w:hAnsi="Times New Roman"/>
          <w:noProof/>
          <w:sz w:val="24"/>
        </w:rPr>
        <w:t xml:space="preserve"> i ins</w:t>
      </w:r>
      <w:r>
        <w:rPr>
          <w:rFonts w:ascii="Times New Roman" w:hAnsi="Times New Roman"/>
          <w:noProof/>
          <w:sz w:val="24"/>
        </w:rPr>
        <w:t>trumentów organy ścigania państw członkowskich</w:t>
      </w:r>
      <w:r>
        <w:rPr>
          <w:rFonts w:ascii="Times New Roman" w:hAnsi="Times New Roman" w:cs="Times New Roman"/>
          <w:noProof/>
          <w:sz w:val="24"/>
          <w:szCs w:val="24"/>
          <w:vertAlign w:val="superscript"/>
        </w:rPr>
        <w:footnoteReference w:id="23"/>
      </w:r>
      <w:r>
        <w:rPr>
          <w:rFonts w:ascii="Times New Roman" w:hAnsi="Times New Roman"/>
          <w:noProof/>
          <w:sz w:val="24"/>
        </w:rPr>
        <w:t xml:space="preserve"> mogą skuteczniej wymieniać się informacjami.</w:t>
      </w:r>
      <w:r>
        <w:rPr>
          <w:rFonts w:ascii="Times New Roman" w:hAnsi="Times New Roman"/>
          <w:b/>
          <w:noProof/>
          <w:sz w:val="24"/>
        </w:rPr>
        <w:t xml:space="preserve"> </w:t>
      </w:r>
      <w:r>
        <w:rPr>
          <w:rFonts w:ascii="Times New Roman" w:hAnsi="Times New Roman"/>
          <w:noProof/>
          <w:sz w:val="24"/>
        </w:rPr>
        <w:t>Dzięki temu poprawiła się koordynacja działań</w:t>
      </w:r>
      <w:r w:rsidR="00D136C6">
        <w:rPr>
          <w:rFonts w:ascii="Times New Roman" w:hAnsi="Times New Roman"/>
          <w:noProof/>
          <w:sz w:val="24"/>
        </w:rPr>
        <w:t xml:space="preserve"> w ram</w:t>
      </w:r>
      <w:r>
        <w:rPr>
          <w:rFonts w:ascii="Times New Roman" w:hAnsi="Times New Roman"/>
          <w:noProof/>
          <w:sz w:val="24"/>
        </w:rPr>
        <w:t>ach postępowań przygotowawczych. Opierając się na wnioskach ustawodawczych przedstawionych przez Komisję</w:t>
      </w:r>
      <w:r w:rsidR="00D136C6">
        <w:rPr>
          <w:rFonts w:ascii="Times New Roman" w:hAnsi="Times New Roman"/>
          <w:noProof/>
          <w:sz w:val="24"/>
        </w:rPr>
        <w:t xml:space="preserve"> w gru</w:t>
      </w:r>
      <w:r>
        <w:rPr>
          <w:rFonts w:ascii="Times New Roman" w:hAnsi="Times New Roman"/>
          <w:noProof/>
          <w:sz w:val="24"/>
        </w:rPr>
        <w:t>dniu 20</w:t>
      </w:r>
      <w:r w:rsidRPr="00D136C6">
        <w:rPr>
          <w:rFonts w:ascii="Times New Roman" w:hAnsi="Times New Roman"/>
          <w:noProof/>
          <w:sz w:val="24"/>
        </w:rPr>
        <w:t>21</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Parlament Europejski</w:t>
      </w:r>
      <w:r w:rsidR="00D136C6">
        <w:rPr>
          <w:rFonts w:ascii="Times New Roman" w:hAnsi="Times New Roman"/>
          <w:noProof/>
          <w:sz w:val="24"/>
        </w:rPr>
        <w:t xml:space="preserve"> i Rad</w:t>
      </w:r>
      <w:r>
        <w:rPr>
          <w:rFonts w:ascii="Times New Roman" w:hAnsi="Times New Roman"/>
          <w:noProof/>
          <w:sz w:val="24"/>
        </w:rPr>
        <w:t>a kontynuują prace legislacyjne mające na celu dalsze usprawnienie wymiany informacji. Komisja wzywa Parlament Europejski</w:t>
      </w:r>
      <w:r w:rsidR="00D136C6">
        <w:rPr>
          <w:rFonts w:ascii="Times New Roman" w:hAnsi="Times New Roman"/>
          <w:noProof/>
          <w:sz w:val="24"/>
        </w:rPr>
        <w:t xml:space="preserve"> i Rad</w:t>
      </w:r>
      <w:r>
        <w:rPr>
          <w:rFonts w:ascii="Times New Roman" w:hAnsi="Times New Roman"/>
          <w:noProof/>
          <w:sz w:val="24"/>
        </w:rPr>
        <w:t>ę do szybkiego osiągnięcia porozumienia</w:t>
      </w:r>
      <w:r w:rsidR="00D136C6">
        <w:rPr>
          <w:rFonts w:ascii="Times New Roman" w:hAnsi="Times New Roman"/>
          <w:noProof/>
          <w:sz w:val="24"/>
        </w:rPr>
        <w:t xml:space="preserve"> w spr</w:t>
      </w:r>
      <w:r>
        <w:rPr>
          <w:rFonts w:ascii="Times New Roman" w:hAnsi="Times New Roman"/>
          <w:noProof/>
          <w:sz w:val="24"/>
        </w:rPr>
        <w:t>awie wniosku dotyczącego dyrektywy</w:t>
      </w:r>
      <w:r w:rsidR="00D136C6">
        <w:rPr>
          <w:rFonts w:ascii="Times New Roman" w:hAnsi="Times New Roman"/>
          <w:noProof/>
          <w:sz w:val="24"/>
        </w:rPr>
        <w:t xml:space="preserve"> w spr</w:t>
      </w:r>
      <w:r>
        <w:rPr>
          <w:rFonts w:ascii="Times New Roman" w:hAnsi="Times New Roman"/>
          <w:noProof/>
          <w:sz w:val="24"/>
        </w:rPr>
        <w:t>awie wymiany informacji między organami ścigania państw członkowskich</w:t>
      </w:r>
      <w:r>
        <w:rPr>
          <w:rFonts w:ascii="Times New Roman" w:hAnsi="Times New Roman" w:cs="Times New Roman"/>
          <w:noProof/>
          <w:sz w:val="24"/>
          <w:szCs w:val="24"/>
          <w:vertAlign w:val="superscript"/>
        </w:rPr>
        <w:footnoteReference w:id="24"/>
      </w:r>
      <w:r>
        <w:rPr>
          <w:rFonts w:ascii="Times New Roman" w:hAnsi="Times New Roman"/>
          <w:noProof/>
          <w:sz w:val="24"/>
        </w:rPr>
        <w:t>. Ponadto do końca roku Komisja przedstawi wniosek ustawodawczy dotyczący rozporządzenia</w:t>
      </w:r>
      <w:r w:rsidR="00D136C6">
        <w:rPr>
          <w:rFonts w:ascii="Times New Roman" w:hAnsi="Times New Roman"/>
          <w:noProof/>
          <w:sz w:val="24"/>
        </w:rPr>
        <w:t xml:space="preserve"> w spr</w:t>
      </w:r>
      <w:r>
        <w:rPr>
          <w:rFonts w:ascii="Times New Roman" w:hAnsi="Times New Roman"/>
          <w:noProof/>
          <w:sz w:val="24"/>
        </w:rPr>
        <w:t>awie gromadzenia</w:t>
      </w:r>
      <w:r w:rsidR="00D136C6">
        <w:rPr>
          <w:rFonts w:ascii="Times New Roman" w:hAnsi="Times New Roman"/>
          <w:noProof/>
          <w:sz w:val="24"/>
        </w:rPr>
        <w:t xml:space="preserve"> i prz</w:t>
      </w:r>
      <w:r>
        <w:rPr>
          <w:rFonts w:ascii="Times New Roman" w:hAnsi="Times New Roman"/>
          <w:noProof/>
          <w:sz w:val="24"/>
        </w:rPr>
        <w:t>esyłania danych pasażera przekazywanych przed podróżą (API)</w:t>
      </w:r>
      <w:r w:rsidR="00D136C6">
        <w:rPr>
          <w:rFonts w:ascii="Times New Roman" w:hAnsi="Times New Roman"/>
          <w:noProof/>
          <w:sz w:val="24"/>
        </w:rPr>
        <w:t xml:space="preserve"> w cel</w:t>
      </w:r>
      <w:r>
        <w:rPr>
          <w:rFonts w:ascii="Times New Roman" w:hAnsi="Times New Roman"/>
          <w:noProof/>
          <w:sz w:val="24"/>
        </w:rPr>
        <w:t>u zwalczania poważnej przestępczości</w:t>
      </w:r>
      <w:r w:rsidR="00D136C6">
        <w:rPr>
          <w:rFonts w:ascii="Times New Roman" w:hAnsi="Times New Roman"/>
          <w:noProof/>
          <w:sz w:val="24"/>
        </w:rPr>
        <w:t xml:space="preserve"> i ter</w:t>
      </w:r>
      <w:r>
        <w:rPr>
          <w:rFonts w:ascii="Times New Roman" w:hAnsi="Times New Roman"/>
          <w:noProof/>
          <w:sz w:val="24"/>
        </w:rPr>
        <w:t>roryzmu,</w:t>
      </w:r>
      <w:r w:rsidR="00D136C6">
        <w:rPr>
          <w:rFonts w:ascii="Times New Roman" w:hAnsi="Times New Roman"/>
          <w:noProof/>
          <w:sz w:val="24"/>
        </w:rPr>
        <w:t xml:space="preserve"> w tym</w:t>
      </w:r>
      <w:r>
        <w:rPr>
          <w:rFonts w:ascii="Times New Roman" w:hAnsi="Times New Roman"/>
          <w:noProof/>
          <w:sz w:val="24"/>
        </w:rPr>
        <w:t xml:space="preserve"> na wybranych lotach wewnątrzunijnych.</w:t>
      </w:r>
    </w:p>
    <w:p w14:paraId="1A3206FF" w14:textId="6DF19E99" w:rsidR="00305FA4" w:rsidRPr="0014596D" w:rsidRDefault="00692E80"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Działania na szczeblu krajowym nie wystarczą, aby sprostać transgranicznym wyzwaniom związanym</w:t>
      </w:r>
      <w:r w:rsidR="00D136C6">
        <w:rPr>
          <w:rFonts w:ascii="Times New Roman" w:hAnsi="Times New Roman"/>
          <w:noProof/>
          <w:sz w:val="24"/>
        </w:rPr>
        <w:t xml:space="preserve"> z bez</w:t>
      </w:r>
      <w:r>
        <w:rPr>
          <w:rFonts w:ascii="Times New Roman" w:hAnsi="Times New Roman"/>
          <w:noProof/>
          <w:sz w:val="24"/>
        </w:rPr>
        <w:t>pieczeństwem,</w:t>
      </w:r>
      <w:r w:rsidR="00D136C6">
        <w:rPr>
          <w:rFonts w:ascii="Times New Roman" w:hAnsi="Times New Roman"/>
          <w:noProof/>
          <w:sz w:val="24"/>
        </w:rPr>
        <w:t xml:space="preserve"> a org</w:t>
      </w:r>
      <w:r>
        <w:rPr>
          <w:rFonts w:ascii="Times New Roman" w:hAnsi="Times New Roman"/>
          <w:noProof/>
          <w:sz w:val="24"/>
        </w:rPr>
        <w:t>any ścigania państw członkowskich</w:t>
      </w:r>
      <w:r w:rsidR="00D136C6">
        <w:rPr>
          <w:rFonts w:ascii="Times New Roman" w:hAnsi="Times New Roman"/>
          <w:noProof/>
          <w:sz w:val="24"/>
        </w:rPr>
        <w:t xml:space="preserve"> w cor</w:t>
      </w:r>
      <w:r>
        <w:rPr>
          <w:rFonts w:ascii="Times New Roman" w:hAnsi="Times New Roman"/>
          <w:noProof/>
          <w:sz w:val="24"/>
        </w:rPr>
        <w:t>az większym stopniu wykorzystują wsparcie</w:t>
      </w:r>
      <w:r w:rsidR="00D136C6">
        <w:rPr>
          <w:rFonts w:ascii="Times New Roman" w:hAnsi="Times New Roman"/>
          <w:noProof/>
          <w:sz w:val="24"/>
        </w:rPr>
        <w:t xml:space="preserve"> i wie</w:t>
      </w:r>
      <w:r>
        <w:rPr>
          <w:rFonts w:ascii="Times New Roman" w:hAnsi="Times New Roman"/>
          <w:noProof/>
          <w:sz w:val="24"/>
        </w:rPr>
        <w:t>dzę fachową oferowane przez Europol – Agencję Unii Europejskiej ds. Współpracy Organów Ścigania –</w:t>
      </w:r>
      <w:r w:rsidR="00D136C6">
        <w:rPr>
          <w:rFonts w:ascii="Times New Roman" w:hAnsi="Times New Roman"/>
          <w:noProof/>
          <w:sz w:val="24"/>
        </w:rPr>
        <w:t xml:space="preserve"> w wal</w:t>
      </w:r>
      <w:r>
        <w:rPr>
          <w:rFonts w:ascii="Times New Roman" w:hAnsi="Times New Roman"/>
          <w:noProof/>
          <w:sz w:val="24"/>
        </w:rPr>
        <w:t>ce</w:t>
      </w:r>
      <w:r w:rsidR="00D136C6">
        <w:rPr>
          <w:rFonts w:ascii="Times New Roman" w:hAnsi="Times New Roman"/>
          <w:noProof/>
          <w:sz w:val="24"/>
        </w:rPr>
        <w:t xml:space="preserve"> z pow</w:t>
      </w:r>
      <w:r>
        <w:rPr>
          <w:rFonts w:ascii="Times New Roman" w:hAnsi="Times New Roman"/>
          <w:noProof/>
          <w:sz w:val="24"/>
        </w:rPr>
        <w:t>ażną przestępczością</w:t>
      </w:r>
      <w:r w:rsidR="00D136C6">
        <w:rPr>
          <w:rFonts w:ascii="Times New Roman" w:hAnsi="Times New Roman"/>
          <w:noProof/>
          <w:sz w:val="24"/>
        </w:rPr>
        <w:t xml:space="preserve"> i ter</w:t>
      </w:r>
      <w:r>
        <w:rPr>
          <w:rFonts w:ascii="Times New Roman" w:hAnsi="Times New Roman"/>
          <w:noProof/>
          <w:sz w:val="24"/>
        </w:rPr>
        <w:t>roryzmem. Niedawne wejście</w:t>
      </w:r>
      <w:r w:rsidR="00D136C6">
        <w:rPr>
          <w:rFonts w:ascii="Times New Roman" w:hAnsi="Times New Roman"/>
          <w:noProof/>
          <w:sz w:val="24"/>
        </w:rPr>
        <w:t xml:space="preserve"> w życ</w:t>
      </w:r>
      <w:r>
        <w:rPr>
          <w:rFonts w:ascii="Times New Roman" w:hAnsi="Times New Roman"/>
          <w:noProof/>
          <w:sz w:val="24"/>
        </w:rPr>
        <w:t xml:space="preserve">ie wzmocnionego zakresu działań </w:t>
      </w:r>
      <w:r>
        <w:rPr>
          <w:rFonts w:ascii="Times New Roman" w:hAnsi="Times New Roman"/>
          <w:b/>
          <w:noProof/>
          <w:sz w:val="24"/>
        </w:rPr>
        <w:t>Europolu</w:t>
      </w:r>
      <w:r>
        <w:rPr>
          <w:rFonts w:ascii="Times New Roman" w:hAnsi="Times New Roman"/>
          <w:noProof/>
          <w:sz w:val="24"/>
        </w:rPr>
        <w:t xml:space="preserve"> dodatkowo zwiększa środki, jakimi Agencja dysponuje, aby wspierać państwa członkowskie</w:t>
      </w:r>
      <w:r w:rsidR="00D136C6">
        <w:rPr>
          <w:rFonts w:ascii="Times New Roman" w:hAnsi="Times New Roman"/>
          <w:noProof/>
          <w:sz w:val="24"/>
        </w:rPr>
        <w:t xml:space="preserve"> w pro</w:t>
      </w:r>
      <w:r>
        <w:rPr>
          <w:rFonts w:ascii="Times New Roman" w:hAnsi="Times New Roman"/>
          <w:noProof/>
          <w:sz w:val="24"/>
        </w:rPr>
        <w:t>wadzeniu postępowań przygotowawczych</w:t>
      </w:r>
      <w:r w:rsidR="00D136C6">
        <w:rPr>
          <w:rFonts w:ascii="Times New Roman" w:hAnsi="Times New Roman"/>
          <w:noProof/>
          <w:sz w:val="24"/>
        </w:rPr>
        <w:t xml:space="preserve"> w spr</w:t>
      </w:r>
      <w:r>
        <w:rPr>
          <w:rFonts w:ascii="Times New Roman" w:hAnsi="Times New Roman"/>
          <w:noProof/>
          <w:sz w:val="24"/>
        </w:rPr>
        <w:t>awie poważnej przestępczości transgranicznej</w:t>
      </w:r>
      <w:r w:rsidR="00D136C6">
        <w:rPr>
          <w:rFonts w:ascii="Times New Roman" w:hAnsi="Times New Roman"/>
          <w:noProof/>
          <w:sz w:val="24"/>
        </w:rPr>
        <w:t xml:space="preserve"> i ter</w:t>
      </w:r>
      <w:r>
        <w:rPr>
          <w:rFonts w:ascii="Times New Roman" w:hAnsi="Times New Roman"/>
          <w:noProof/>
          <w:sz w:val="24"/>
        </w:rPr>
        <w:t>roryzmu, na przykład dzięki przetwarzaniu dużych zbiorów danych, współpracy</w:t>
      </w:r>
      <w:r w:rsidR="00D136C6">
        <w:rPr>
          <w:rFonts w:ascii="Times New Roman" w:hAnsi="Times New Roman"/>
          <w:noProof/>
          <w:sz w:val="24"/>
        </w:rPr>
        <w:t xml:space="preserve"> z pod</w:t>
      </w:r>
      <w:r>
        <w:rPr>
          <w:rFonts w:ascii="Times New Roman" w:hAnsi="Times New Roman"/>
          <w:noProof/>
          <w:sz w:val="24"/>
        </w:rPr>
        <w:t>miotami prywatnymi lub pracy nad innowacjami</w:t>
      </w:r>
      <w:r w:rsidR="00D136C6">
        <w:rPr>
          <w:rFonts w:ascii="Times New Roman" w:hAnsi="Times New Roman"/>
          <w:noProof/>
          <w:sz w:val="24"/>
        </w:rPr>
        <w:t xml:space="preserve"> i szt</w:t>
      </w:r>
      <w:r>
        <w:rPr>
          <w:rFonts w:ascii="Times New Roman" w:hAnsi="Times New Roman"/>
          <w:noProof/>
          <w:sz w:val="24"/>
        </w:rPr>
        <w:t>uczną inteligencją wspierającymi ściganie przestępstw</w:t>
      </w:r>
      <w:r>
        <w:rPr>
          <w:rFonts w:ascii="Times New Roman" w:hAnsi="Times New Roman" w:cs="Times New Roman"/>
          <w:noProof/>
          <w:sz w:val="24"/>
          <w:szCs w:val="24"/>
          <w:vertAlign w:val="superscript"/>
        </w:rPr>
        <w:footnoteReference w:id="25"/>
      </w:r>
      <w:r>
        <w:rPr>
          <w:rFonts w:ascii="Times New Roman" w:hAnsi="Times New Roman"/>
          <w:noProof/>
          <w:sz w:val="24"/>
        </w:rPr>
        <w:t>. Europol zwiększył również swoje wsparcie dla państw członkowskich</w:t>
      </w:r>
      <w:r w:rsidR="00D136C6">
        <w:rPr>
          <w:rFonts w:ascii="Times New Roman" w:hAnsi="Times New Roman"/>
          <w:noProof/>
          <w:sz w:val="24"/>
        </w:rPr>
        <w:t xml:space="preserve"> w zak</w:t>
      </w:r>
      <w:r>
        <w:rPr>
          <w:rFonts w:ascii="Times New Roman" w:hAnsi="Times New Roman"/>
          <w:noProof/>
          <w:sz w:val="24"/>
        </w:rPr>
        <w:t>resie zwalczania terroryzmu poprzez Europejskie Centrum ds. Zwalczania Terroryzmu. Państwa członkowskie aktywnie angażują się również</w:t>
      </w:r>
      <w:r w:rsidR="00D136C6">
        <w:rPr>
          <w:rFonts w:ascii="Times New Roman" w:hAnsi="Times New Roman"/>
          <w:noProof/>
          <w:sz w:val="24"/>
        </w:rPr>
        <w:t xml:space="preserve"> w dzi</w:t>
      </w:r>
      <w:r>
        <w:rPr>
          <w:rFonts w:ascii="Times New Roman" w:hAnsi="Times New Roman"/>
          <w:noProof/>
          <w:sz w:val="24"/>
        </w:rPr>
        <w:t>ałania europejskiej multidyscyplinarnej platformy przeciwko zagrożeniom przestępstwami (EMPACT) zapewniającej ogólne ramy współpracy na rzecz zwalczania przestępczości zorganizowanej</w:t>
      </w:r>
      <w:r w:rsidR="00D136C6">
        <w:rPr>
          <w:rFonts w:ascii="Times New Roman" w:hAnsi="Times New Roman"/>
          <w:noProof/>
          <w:sz w:val="24"/>
        </w:rPr>
        <w:t xml:space="preserve"> i pow</w:t>
      </w:r>
      <w:r>
        <w:rPr>
          <w:rFonts w:ascii="Times New Roman" w:hAnsi="Times New Roman"/>
          <w:noProof/>
          <w:sz w:val="24"/>
        </w:rPr>
        <w:t>ażnych przestępstw mających wpływ na UE</w:t>
      </w:r>
      <w:r>
        <w:rPr>
          <w:rStyle w:val="FootnoteReference"/>
          <w:rFonts w:ascii="Times New Roman" w:hAnsi="Times New Roman" w:cs="Times New Roman"/>
          <w:noProof/>
          <w:sz w:val="24"/>
          <w:szCs w:val="24"/>
        </w:rPr>
        <w:footnoteReference w:id="26"/>
      </w:r>
      <w:r>
        <w:rPr>
          <w:rFonts w:ascii="Times New Roman" w:hAnsi="Times New Roman"/>
          <w:noProof/>
          <w:sz w:val="24"/>
        </w:rPr>
        <w:t>, przy zwiększonym wsparciu finansowym ze strony Unii.</w:t>
      </w:r>
    </w:p>
    <w:p w14:paraId="0C43211B" w14:textId="7B3EE1F8" w:rsidR="009C6959" w:rsidRPr="0014596D" w:rsidRDefault="00305FA4"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Państwa członkowskie zacieśniają swoją </w:t>
      </w:r>
      <w:r>
        <w:rPr>
          <w:rFonts w:ascii="Times New Roman" w:hAnsi="Times New Roman"/>
          <w:b/>
          <w:noProof/>
          <w:sz w:val="24"/>
        </w:rPr>
        <w:t>współpracę operacyjną</w:t>
      </w:r>
      <w:r>
        <w:rPr>
          <w:rFonts w:ascii="Times New Roman" w:hAnsi="Times New Roman"/>
          <w:noProof/>
          <w:sz w:val="24"/>
        </w:rPr>
        <w:t>, wprowadzając</w:t>
      </w:r>
      <w:r w:rsidR="00D136C6">
        <w:rPr>
          <w:rFonts w:ascii="Times New Roman" w:hAnsi="Times New Roman"/>
          <w:noProof/>
          <w:sz w:val="24"/>
        </w:rPr>
        <w:t xml:space="preserve"> w życ</w:t>
      </w:r>
      <w:r>
        <w:rPr>
          <w:rFonts w:ascii="Times New Roman" w:hAnsi="Times New Roman"/>
          <w:noProof/>
          <w:sz w:val="24"/>
        </w:rPr>
        <w:t>ie zalecenie Rady</w:t>
      </w:r>
      <w:r w:rsidR="00D136C6">
        <w:rPr>
          <w:rFonts w:ascii="Times New Roman" w:hAnsi="Times New Roman"/>
          <w:noProof/>
          <w:sz w:val="24"/>
        </w:rPr>
        <w:t xml:space="preserve"> z dni</w:t>
      </w:r>
      <w:r>
        <w:rPr>
          <w:rFonts w:ascii="Times New Roman" w:hAnsi="Times New Roman"/>
          <w:noProof/>
          <w:sz w:val="24"/>
        </w:rPr>
        <w:t>a 9 czerwca 2022 r.</w:t>
      </w:r>
      <w:r w:rsidR="00D136C6">
        <w:rPr>
          <w:rFonts w:ascii="Times New Roman" w:hAnsi="Times New Roman"/>
          <w:noProof/>
          <w:sz w:val="24"/>
        </w:rPr>
        <w:t xml:space="preserve"> w spr</w:t>
      </w:r>
      <w:r>
        <w:rPr>
          <w:rFonts w:ascii="Times New Roman" w:hAnsi="Times New Roman"/>
          <w:noProof/>
          <w:sz w:val="24"/>
        </w:rPr>
        <w:t>awie współpracy operacyjnej organów ścigania, wykorzystując pościgi transgraniczne</w:t>
      </w:r>
      <w:r w:rsidR="00D136C6">
        <w:rPr>
          <w:rFonts w:ascii="Times New Roman" w:hAnsi="Times New Roman"/>
          <w:noProof/>
          <w:sz w:val="24"/>
        </w:rPr>
        <w:t xml:space="preserve"> i obs</w:t>
      </w:r>
      <w:r>
        <w:rPr>
          <w:rFonts w:ascii="Times New Roman" w:hAnsi="Times New Roman"/>
          <w:noProof/>
          <w:sz w:val="24"/>
        </w:rPr>
        <w:t>erwacje, wspólne operacje lub wspólne patrole, aby zwalczać przestępczość transgraniczną</w:t>
      </w:r>
      <w:r>
        <w:rPr>
          <w:rFonts w:ascii="Times New Roman" w:hAnsi="Times New Roman" w:cs="Times New Roman"/>
          <w:noProof/>
          <w:sz w:val="24"/>
          <w:szCs w:val="24"/>
          <w:vertAlign w:val="superscript"/>
        </w:rPr>
        <w:footnoteReference w:id="27"/>
      </w:r>
      <w:r w:rsidRPr="00D136C6">
        <w:rPr>
          <w:rFonts w:ascii="Times New Roman" w:hAnsi="Times New Roman"/>
          <w:noProof/>
          <w:sz w:val="24"/>
        </w:rPr>
        <w:t>.</w:t>
      </w:r>
      <w:r w:rsidR="00D136C6" w:rsidRPr="00D136C6">
        <w:rPr>
          <w:rFonts w:ascii="Times New Roman" w:hAnsi="Times New Roman"/>
          <w:noProof/>
          <w:sz w:val="24"/>
        </w:rPr>
        <w:t xml:space="preserve"> </w:t>
      </w:r>
      <w:r w:rsidRPr="00D136C6">
        <w:rPr>
          <w:rFonts w:ascii="Times New Roman" w:hAnsi="Times New Roman"/>
          <w:noProof/>
          <w:sz w:val="24"/>
        </w:rPr>
        <w:t>K</w:t>
      </w:r>
      <w:r>
        <w:rPr>
          <w:rFonts w:ascii="Times New Roman" w:hAnsi="Times New Roman"/>
          <w:noProof/>
          <w:sz w:val="24"/>
        </w:rPr>
        <w:t>omisja wspiera państwa członkowskie</w:t>
      </w:r>
      <w:r w:rsidR="00D136C6">
        <w:rPr>
          <w:rFonts w:ascii="Times New Roman" w:hAnsi="Times New Roman"/>
          <w:noProof/>
          <w:sz w:val="24"/>
        </w:rPr>
        <w:t xml:space="preserve"> w rea</w:t>
      </w:r>
      <w:r>
        <w:rPr>
          <w:rFonts w:ascii="Times New Roman" w:hAnsi="Times New Roman"/>
          <w:noProof/>
          <w:sz w:val="24"/>
        </w:rPr>
        <w:t>lizacji działań określonych</w:t>
      </w:r>
      <w:r w:rsidR="00D136C6">
        <w:rPr>
          <w:rFonts w:ascii="Times New Roman" w:hAnsi="Times New Roman"/>
          <w:noProof/>
          <w:sz w:val="24"/>
        </w:rPr>
        <w:t xml:space="preserve"> w zal</w:t>
      </w:r>
      <w:r>
        <w:rPr>
          <w:rFonts w:ascii="Times New Roman" w:hAnsi="Times New Roman"/>
          <w:noProof/>
          <w:sz w:val="24"/>
        </w:rPr>
        <w:t>eceniu,</w:t>
      </w:r>
      <w:r w:rsidR="00D136C6">
        <w:rPr>
          <w:rFonts w:ascii="Times New Roman" w:hAnsi="Times New Roman"/>
          <w:noProof/>
          <w:sz w:val="24"/>
        </w:rPr>
        <w:t xml:space="preserve"> w tym</w:t>
      </w:r>
      <w:r>
        <w:rPr>
          <w:rFonts w:ascii="Times New Roman" w:hAnsi="Times New Roman"/>
          <w:noProof/>
          <w:sz w:val="24"/>
        </w:rPr>
        <w:t xml:space="preserve"> za pomocą finansowania</w:t>
      </w:r>
      <w:r w:rsidR="00D136C6">
        <w:rPr>
          <w:rFonts w:ascii="Times New Roman" w:hAnsi="Times New Roman"/>
          <w:noProof/>
          <w:sz w:val="24"/>
        </w:rPr>
        <w:t xml:space="preserve"> w ram</w:t>
      </w:r>
      <w:r>
        <w:rPr>
          <w:rFonts w:ascii="Times New Roman" w:hAnsi="Times New Roman"/>
          <w:noProof/>
          <w:sz w:val="24"/>
        </w:rPr>
        <w:t>ach Funduszu Bezpieczeństwa Wewnętrznego</w:t>
      </w:r>
      <w:r w:rsidRPr="00D136C6">
        <w:rPr>
          <w:rFonts w:ascii="Times New Roman" w:hAnsi="Times New Roman"/>
          <w:noProof/>
          <w:sz w:val="24"/>
        </w:rPr>
        <w:t>.</w:t>
      </w:r>
      <w:r w:rsidR="00D136C6" w:rsidRPr="00D136C6">
        <w:rPr>
          <w:rFonts w:ascii="Times New Roman" w:hAnsi="Times New Roman"/>
          <w:noProof/>
          <w:sz w:val="24"/>
        </w:rPr>
        <w:t xml:space="preserve"> </w:t>
      </w:r>
      <w:r w:rsidRPr="00D136C6">
        <w:rPr>
          <w:rFonts w:ascii="Times New Roman" w:hAnsi="Times New Roman"/>
          <w:noProof/>
          <w:sz w:val="24"/>
        </w:rPr>
        <w:t>P</w:t>
      </w:r>
      <w:r>
        <w:rPr>
          <w:rFonts w:ascii="Times New Roman" w:hAnsi="Times New Roman"/>
          <w:noProof/>
          <w:sz w:val="24"/>
        </w:rPr>
        <w:t>aństwa członkowskie współpracują również</w:t>
      </w:r>
      <w:r w:rsidR="00D136C6">
        <w:rPr>
          <w:rFonts w:ascii="Times New Roman" w:hAnsi="Times New Roman"/>
          <w:noProof/>
          <w:sz w:val="24"/>
        </w:rPr>
        <w:t xml:space="preserve"> w ram</w:t>
      </w:r>
      <w:r>
        <w:rPr>
          <w:rFonts w:ascii="Times New Roman" w:hAnsi="Times New Roman"/>
          <w:noProof/>
          <w:sz w:val="24"/>
        </w:rPr>
        <w:t>ach wspólnych kontroli policyjnych prowadzonych na obszarach przygranicznych zgodnie</w:t>
      </w:r>
      <w:r w:rsidR="00D136C6">
        <w:rPr>
          <w:rFonts w:ascii="Times New Roman" w:hAnsi="Times New Roman"/>
          <w:noProof/>
          <w:sz w:val="24"/>
        </w:rPr>
        <w:t xml:space="preserve"> z zal</w:t>
      </w:r>
      <w:r>
        <w:rPr>
          <w:rFonts w:ascii="Times New Roman" w:hAnsi="Times New Roman"/>
          <w:noProof/>
          <w:sz w:val="24"/>
        </w:rPr>
        <w:t>eceniem Komisji dotyczącym proporcjonalnych kontroli policyjnych oraz współpracy policyjnej</w:t>
      </w:r>
      <w:r w:rsidR="00D136C6">
        <w:rPr>
          <w:rFonts w:ascii="Times New Roman" w:hAnsi="Times New Roman"/>
          <w:noProof/>
          <w:sz w:val="24"/>
        </w:rPr>
        <w:t xml:space="preserve"> w str</w:t>
      </w:r>
      <w:r>
        <w:rPr>
          <w:rFonts w:ascii="Times New Roman" w:hAnsi="Times New Roman"/>
          <w:noProof/>
          <w:sz w:val="24"/>
        </w:rPr>
        <w:t>efie Schengen</w:t>
      </w:r>
      <w:r>
        <w:rPr>
          <w:rStyle w:val="FootnoteReference"/>
          <w:rFonts w:ascii="Times New Roman" w:hAnsi="Times New Roman" w:cs="Times New Roman"/>
          <w:noProof/>
          <w:sz w:val="24"/>
          <w:szCs w:val="24"/>
        </w:rPr>
        <w:footnoteReference w:id="28"/>
      </w:r>
      <w:r>
        <w:rPr>
          <w:noProof/>
        </w:rPr>
        <w:t>.</w:t>
      </w:r>
    </w:p>
    <w:p w14:paraId="0659D2B1" w14:textId="3606DF92" w:rsidR="00305FA4" w:rsidRPr="0014596D" w:rsidRDefault="00CC660B"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Ponadto silna</w:t>
      </w:r>
      <w:r w:rsidR="00D136C6">
        <w:rPr>
          <w:rFonts w:ascii="Times New Roman" w:hAnsi="Times New Roman"/>
          <w:noProof/>
          <w:sz w:val="24"/>
        </w:rPr>
        <w:t xml:space="preserve"> i pra</w:t>
      </w:r>
      <w:r>
        <w:rPr>
          <w:rFonts w:ascii="Times New Roman" w:hAnsi="Times New Roman"/>
          <w:noProof/>
          <w:sz w:val="24"/>
        </w:rPr>
        <w:t>widłowo funkcjonująca strefa Schengen wymaga nie tylko odpowiedniego wdrażania dorobku Schengen, ale również ścisłej współpracy między państwami członkowskimi</w:t>
      </w:r>
      <w:r w:rsidR="00D136C6">
        <w:rPr>
          <w:rFonts w:ascii="Times New Roman" w:hAnsi="Times New Roman"/>
          <w:noProof/>
          <w:sz w:val="24"/>
        </w:rPr>
        <w:t xml:space="preserve"> w zak</w:t>
      </w:r>
      <w:r>
        <w:rPr>
          <w:rFonts w:ascii="Times New Roman" w:hAnsi="Times New Roman"/>
          <w:noProof/>
          <w:sz w:val="24"/>
        </w:rPr>
        <w:t>resie innych środków uzupełniających,</w:t>
      </w:r>
      <w:r w:rsidR="00D136C6">
        <w:rPr>
          <w:rFonts w:ascii="Times New Roman" w:hAnsi="Times New Roman"/>
          <w:noProof/>
          <w:sz w:val="24"/>
        </w:rPr>
        <w:t xml:space="preserve"> w tym w dzi</w:t>
      </w:r>
      <w:r>
        <w:rPr>
          <w:rFonts w:ascii="Times New Roman" w:hAnsi="Times New Roman"/>
          <w:noProof/>
          <w:sz w:val="24"/>
        </w:rPr>
        <w:t>edzinie migracji</w:t>
      </w:r>
      <w:r w:rsidR="00D136C6">
        <w:rPr>
          <w:rFonts w:ascii="Times New Roman" w:hAnsi="Times New Roman"/>
          <w:noProof/>
          <w:sz w:val="24"/>
        </w:rPr>
        <w:t xml:space="preserve"> i azy</w:t>
      </w:r>
      <w:r>
        <w:rPr>
          <w:rFonts w:ascii="Times New Roman" w:hAnsi="Times New Roman"/>
          <w:noProof/>
          <w:sz w:val="24"/>
        </w:rPr>
        <w:t>lu. Wiele już zrobiono</w:t>
      </w:r>
      <w:r w:rsidR="00D136C6">
        <w:rPr>
          <w:rFonts w:ascii="Times New Roman" w:hAnsi="Times New Roman"/>
          <w:noProof/>
          <w:sz w:val="24"/>
        </w:rPr>
        <w:t xml:space="preserve"> i pra</w:t>
      </w:r>
      <w:r>
        <w:rPr>
          <w:rFonts w:ascii="Times New Roman" w:hAnsi="Times New Roman"/>
          <w:noProof/>
          <w:sz w:val="24"/>
        </w:rPr>
        <w:t xml:space="preserve">ca ta będzie kontynuowana, aby zapewnić </w:t>
      </w:r>
      <w:r>
        <w:rPr>
          <w:rFonts w:ascii="Times New Roman" w:hAnsi="Times New Roman"/>
          <w:b/>
          <w:noProof/>
          <w:sz w:val="24"/>
        </w:rPr>
        <w:t>skuteczne zarządzanie wyzwaniami związanymi</w:t>
      </w:r>
      <w:r w:rsidR="00D136C6">
        <w:rPr>
          <w:rFonts w:ascii="Times New Roman" w:hAnsi="Times New Roman"/>
          <w:b/>
          <w:noProof/>
          <w:sz w:val="24"/>
        </w:rPr>
        <w:t xml:space="preserve"> z mig</w:t>
      </w:r>
      <w:r>
        <w:rPr>
          <w:rFonts w:ascii="Times New Roman" w:hAnsi="Times New Roman"/>
          <w:b/>
          <w:noProof/>
          <w:sz w:val="24"/>
        </w:rPr>
        <w:t>racją</w:t>
      </w:r>
      <w:r>
        <w:rPr>
          <w:rFonts w:ascii="Times New Roman" w:hAnsi="Times New Roman"/>
          <w:noProof/>
          <w:sz w:val="24"/>
        </w:rPr>
        <w:t>. Nawiązując do uzgodnionej</w:t>
      </w:r>
      <w:r w:rsidR="00D136C6">
        <w:rPr>
          <w:rFonts w:ascii="Times New Roman" w:hAnsi="Times New Roman"/>
          <w:noProof/>
          <w:sz w:val="24"/>
        </w:rPr>
        <w:t xml:space="preserve"> w cze</w:t>
      </w:r>
      <w:r>
        <w:rPr>
          <w:rFonts w:ascii="Times New Roman" w:hAnsi="Times New Roman"/>
          <w:noProof/>
          <w:sz w:val="24"/>
        </w:rPr>
        <w:t>rwcu deklaracji</w:t>
      </w:r>
      <w:r w:rsidR="00D136C6">
        <w:rPr>
          <w:rFonts w:ascii="Times New Roman" w:hAnsi="Times New Roman"/>
          <w:noProof/>
          <w:sz w:val="24"/>
        </w:rPr>
        <w:t xml:space="preserve"> w spr</w:t>
      </w:r>
      <w:r>
        <w:rPr>
          <w:rFonts w:ascii="Times New Roman" w:hAnsi="Times New Roman"/>
          <w:noProof/>
          <w:sz w:val="24"/>
        </w:rPr>
        <w:t>awie dobrowolnego mechanizmu solidarnościowego, Komisja ułatwia działania państw członkowskich na rzecz znalezienia wspólnych rozwiązań kwestii niedozwolonego wtórnego przemieszczania się</w:t>
      </w:r>
      <w:r w:rsidR="00D136C6">
        <w:rPr>
          <w:rFonts w:ascii="Times New Roman" w:hAnsi="Times New Roman"/>
          <w:noProof/>
          <w:sz w:val="24"/>
        </w:rPr>
        <w:t>. W szc</w:t>
      </w:r>
      <w:r>
        <w:rPr>
          <w:rFonts w:ascii="Times New Roman" w:hAnsi="Times New Roman"/>
          <w:noProof/>
          <w:sz w:val="24"/>
        </w:rPr>
        <w:t>zególności</w:t>
      </w:r>
      <w:r w:rsidR="00D136C6">
        <w:rPr>
          <w:rFonts w:ascii="Times New Roman" w:hAnsi="Times New Roman"/>
          <w:noProof/>
          <w:sz w:val="24"/>
        </w:rPr>
        <w:t xml:space="preserve"> w nas</w:t>
      </w:r>
      <w:r>
        <w:rPr>
          <w:rFonts w:ascii="Times New Roman" w:hAnsi="Times New Roman"/>
          <w:noProof/>
          <w:sz w:val="24"/>
        </w:rPr>
        <w:t>tępstwie dyskusji prowadzonych na posiedzeniu komitetu kontaktowego</w:t>
      </w:r>
      <w:r w:rsidR="00D136C6">
        <w:rPr>
          <w:rFonts w:ascii="Times New Roman" w:hAnsi="Times New Roman"/>
          <w:noProof/>
          <w:sz w:val="24"/>
        </w:rPr>
        <w:t xml:space="preserve"> w spr</w:t>
      </w:r>
      <w:r>
        <w:rPr>
          <w:rFonts w:ascii="Times New Roman" w:hAnsi="Times New Roman"/>
          <w:noProof/>
          <w:sz w:val="24"/>
        </w:rPr>
        <w:t xml:space="preserve">awie rozporządzenia Dublin III, które odbyło </w:t>
      </w:r>
      <w:r w:rsidRPr="00D136C6">
        <w:rPr>
          <w:rFonts w:ascii="Times New Roman" w:hAnsi="Times New Roman"/>
          <w:noProof/>
          <w:sz w:val="24"/>
        </w:rPr>
        <w:t>się</w:t>
      </w:r>
      <w:r w:rsidR="00D136C6" w:rsidRPr="00D136C6">
        <w:rPr>
          <w:rFonts w:ascii="Times New Roman" w:hAnsi="Times New Roman"/>
          <w:noProof/>
          <w:sz w:val="24"/>
        </w:rPr>
        <w:t> </w:t>
      </w:r>
      <w:r w:rsidRPr="00D136C6">
        <w:rPr>
          <w:rFonts w:ascii="Times New Roman" w:hAnsi="Times New Roman"/>
          <w:noProof/>
          <w:sz w:val="24"/>
        </w:rPr>
        <w:t>2</w:t>
      </w:r>
      <w:r>
        <w:rPr>
          <w:rFonts w:ascii="Times New Roman" w:hAnsi="Times New Roman"/>
          <w:noProof/>
          <w:sz w:val="24"/>
        </w:rPr>
        <w:t>4 czerwca 20</w:t>
      </w:r>
      <w:r w:rsidRPr="00D136C6">
        <w:rPr>
          <w:rFonts w:ascii="Times New Roman" w:hAnsi="Times New Roman"/>
          <w:noProof/>
          <w:sz w:val="24"/>
        </w:rPr>
        <w:t>22</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państwa członkowskie, Komisja</w:t>
      </w:r>
      <w:r w:rsidR="00D136C6">
        <w:rPr>
          <w:rFonts w:ascii="Times New Roman" w:hAnsi="Times New Roman"/>
          <w:noProof/>
          <w:sz w:val="24"/>
        </w:rPr>
        <w:t xml:space="preserve"> i Age</w:t>
      </w:r>
      <w:r>
        <w:rPr>
          <w:rFonts w:ascii="Times New Roman" w:hAnsi="Times New Roman"/>
          <w:noProof/>
          <w:sz w:val="24"/>
        </w:rPr>
        <w:t>ncja Unii Europejskiej ds. Azylu („AUEA”) uzgodniły, że będą pracować nad planem działania mającym na celu poprawę</w:t>
      </w:r>
      <w:r w:rsidR="00D136C6">
        <w:rPr>
          <w:rFonts w:ascii="Times New Roman" w:hAnsi="Times New Roman"/>
          <w:noProof/>
          <w:sz w:val="24"/>
        </w:rPr>
        <w:t xml:space="preserve"> i zap</w:t>
      </w:r>
      <w:r>
        <w:rPr>
          <w:rFonts w:ascii="Times New Roman" w:hAnsi="Times New Roman"/>
          <w:noProof/>
          <w:sz w:val="24"/>
        </w:rPr>
        <w:t>ewnienie realizacji przekazań na podstawie tego rozporządzenia we wszystkich państwach członkowskich. Współpraca oparta na działaniach, które określono wspólnie</w:t>
      </w:r>
      <w:r w:rsidR="00D136C6">
        <w:rPr>
          <w:rFonts w:ascii="Times New Roman" w:hAnsi="Times New Roman"/>
          <w:noProof/>
          <w:sz w:val="24"/>
        </w:rPr>
        <w:t xml:space="preserve"> w tym</w:t>
      </w:r>
      <w:r>
        <w:rPr>
          <w:rFonts w:ascii="Times New Roman" w:hAnsi="Times New Roman"/>
          <w:noProof/>
          <w:sz w:val="24"/>
        </w:rPr>
        <w:t xml:space="preserve"> planie działania, przyczyni się do wprowadzenia wymiernych ulepszeń</w:t>
      </w:r>
      <w:r w:rsidR="00D136C6">
        <w:rPr>
          <w:rFonts w:ascii="Times New Roman" w:hAnsi="Times New Roman"/>
          <w:noProof/>
          <w:sz w:val="24"/>
        </w:rPr>
        <w:t xml:space="preserve"> w sys</w:t>
      </w:r>
      <w:r>
        <w:rPr>
          <w:rFonts w:ascii="Times New Roman" w:hAnsi="Times New Roman"/>
          <w:noProof/>
          <w:sz w:val="24"/>
        </w:rPr>
        <w:t>temie dublińskim, co ma podstawowe znaczenie</w:t>
      </w:r>
      <w:r w:rsidR="00D136C6">
        <w:rPr>
          <w:rFonts w:ascii="Times New Roman" w:hAnsi="Times New Roman"/>
          <w:noProof/>
          <w:sz w:val="24"/>
        </w:rPr>
        <w:t xml:space="preserve"> w kon</w:t>
      </w:r>
      <w:r>
        <w:rPr>
          <w:rFonts w:ascii="Times New Roman" w:hAnsi="Times New Roman"/>
          <w:noProof/>
          <w:sz w:val="24"/>
        </w:rPr>
        <w:t>tekście dalszego budowania zaufania.</w:t>
      </w:r>
    </w:p>
    <w:p w14:paraId="3EF48786" w14:textId="079ECAC5" w:rsidR="00E87C83" w:rsidRPr="0014596D" w:rsidRDefault="00282ACD"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Jednocześnie kluczowy jest zdecydowany postęp</w:t>
      </w:r>
      <w:r w:rsidR="00D136C6">
        <w:rPr>
          <w:rFonts w:ascii="Times New Roman" w:hAnsi="Times New Roman"/>
          <w:noProof/>
          <w:sz w:val="24"/>
        </w:rPr>
        <w:t xml:space="preserve"> w prz</w:t>
      </w:r>
      <w:r>
        <w:rPr>
          <w:rFonts w:ascii="Times New Roman" w:hAnsi="Times New Roman"/>
          <w:noProof/>
          <w:sz w:val="24"/>
        </w:rPr>
        <w:t>yjmowaniu paktu, ponieważ pakt zawiera potrzebne rozwiązania przyczyniające się do skutecznego zarządzania migracjami, ściślejszej współpracy</w:t>
      </w:r>
      <w:r w:rsidR="00D136C6">
        <w:rPr>
          <w:rFonts w:ascii="Times New Roman" w:hAnsi="Times New Roman"/>
          <w:noProof/>
          <w:sz w:val="24"/>
        </w:rPr>
        <w:t xml:space="preserve"> i pod</w:t>
      </w:r>
      <w:r>
        <w:rPr>
          <w:rFonts w:ascii="Times New Roman" w:hAnsi="Times New Roman"/>
          <w:noProof/>
          <w:sz w:val="24"/>
        </w:rPr>
        <w:t>ziału odpowiedzialności między państwami członkowskimi, wzmacniając tym samym wzajemne zaufanie</w:t>
      </w:r>
      <w:r w:rsidR="00D136C6">
        <w:rPr>
          <w:rFonts w:ascii="Times New Roman" w:hAnsi="Times New Roman"/>
          <w:noProof/>
          <w:sz w:val="24"/>
        </w:rPr>
        <w:t xml:space="preserve"> i w rez</w:t>
      </w:r>
      <w:r>
        <w:rPr>
          <w:rFonts w:ascii="Times New Roman" w:hAnsi="Times New Roman"/>
          <w:noProof/>
          <w:sz w:val="24"/>
        </w:rPr>
        <w:t>ultacie wspierając silną strefę Schengen.</w:t>
      </w:r>
    </w:p>
    <w:p w14:paraId="45FFF480" w14:textId="77777777" w:rsidR="00305FA4" w:rsidRPr="0014596D" w:rsidRDefault="009E7C9D" w:rsidP="00605EC6">
      <w:pPr>
        <w:keepNext/>
        <w:numPr>
          <w:ilvl w:val="0"/>
          <w:numId w:val="1"/>
        </w:numPr>
        <w:spacing w:before="240" w:line="276" w:lineRule="auto"/>
        <w:ind w:left="720"/>
        <w:jc w:val="both"/>
        <w:rPr>
          <w:rFonts w:ascii="Times New Roman" w:hAnsi="Times New Roman" w:cs="Times New Roman"/>
          <w:b/>
          <w:noProof/>
          <w:sz w:val="24"/>
          <w:szCs w:val="24"/>
        </w:rPr>
      </w:pPr>
      <w:r>
        <w:rPr>
          <w:rFonts w:ascii="Times New Roman" w:hAnsi="Times New Roman"/>
          <w:b/>
          <w:noProof/>
          <w:sz w:val="24"/>
        </w:rPr>
        <w:t>Wykorzystanie pełnego potencjału Schengen</w:t>
      </w:r>
    </w:p>
    <w:p w14:paraId="07539DA8" w14:textId="1F276055" w:rsidR="00754149" w:rsidRPr="0014596D" w:rsidRDefault="00754149" w:rsidP="00605EC6">
      <w:pPr>
        <w:spacing w:before="240" w:line="276" w:lineRule="auto"/>
        <w:jc w:val="both"/>
        <w:rPr>
          <w:rFonts w:ascii="Times New Roman" w:hAnsi="Times New Roman" w:cs="Times New Roman"/>
          <w:noProof/>
          <w:sz w:val="24"/>
          <w:szCs w:val="24"/>
        </w:rPr>
      </w:pPr>
      <w:r>
        <w:rPr>
          <w:rFonts w:ascii="Times New Roman" w:hAnsi="Times New Roman"/>
          <w:noProof/>
          <w:sz w:val="24"/>
        </w:rPr>
        <w:t>Przystąpienie Bułgarii, Rumunii</w:t>
      </w:r>
      <w:r w:rsidR="00D136C6">
        <w:rPr>
          <w:rFonts w:ascii="Times New Roman" w:hAnsi="Times New Roman"/>
          <w:noProof/>
          <w:sz w:val="24"/>
        </w:rPr>
        <w:t xml:space="preserve"> i Cho</w:t>
      </w:r>
      <w:r>
        <w:rPr>
          <w:rFonts w:ascii="Times New Roman" w:hAnsi="Times New Roman"/>
          <w:noProof/>
          <w:sz w:val="24"/>
        </w:rPr>
        <w:t>rwacji do strefy Schengen jest odpowiedzią zarówno na europejską obietnicę, jak i na uzasadnione oczekiwanie, że członkostwo nastąpi po sprawdzeniu</w:t>
      </w:r>
      <w:r w:rsidR="00D136C6">
        <w:rPr>
          <w:rFonts w:ascii="Times New Roman" w:hAnsi="Times New Roman"/>
          <w:noProof/>
          <w:sz w:val="24"/>
        </w:rPr>
        <w:t xml:space="preserve"> i spe</w:t>
      </w:r>
      <w:r>
        <w:rPr>
          <w:rFonts w:ascii="Times New Roman" w:hAnsi="Times New Roman"/>
          <w:noProof/>
          <w:sz w:val="24"/>
        </w:rPr>
        <w:t>łnieniu wszystkich uzgodnionych warunków. Strefa Schengen cieszy się ogromnym poparciem społeczeństwa europejskiego</w:t>
      </w:r>
      <w:r>
        <w:rPr>
          <w:rStyle w:val="FootnoteReference"/>
          <w:rFonts w:ascii="Times New Roman" w:eastAsia="Calibri" w:hAnsi="Times New Roman" w:cs="Times New Roman"/>
          <w:noProof/>
          <w:sz w:val="24"/>
          <w:szCs w:val="24"/>
        </w:rPr>
        <w:footnoteReference w:id="29"/>
      </w:r>
      <w:r>
        <w:rPr>
          <w:rFonts w:ascii="Times New Roman" w:hAnsi="Times New Roman"/>
          <w:noProof/>
          <w:sz w:val="24"/>
        </w:rPr>
        <w:t>, należy więc uniknąć wszelkich dalszych opóźnień</w:t>
      </w:r>
      <w:r w:rsidR="00D136C6">
        <w:rPr>
          <w:rFonts w:ascii="Times New Roman" w:hAnsi="Times New Roman"/>
          <w:noProof/>
          <w:sz w:val="24"/>
        </w:rPr>
        <w:t xml:space="preserve"> w kor</w:t>
      </w:r>
      <w:r>
        <w:rPr>
          <w:rFonts w:ascii="Times New Roman" w:hAnsi="Times New Roman"/>
          <w:noProof/>
          <w:sz w:val="24"/>
        </w:rPr>
        <w:t>zystaniu przez obywateli Bułgarii, Rumunii</w:t>
      </w:r>
      <w:r w:rsidR="00D136C6">
        <w:rPr>
          <w:rFonts w:ascii="Times New Roman" w:hAnsi="Times New Roman"/>
          <w:noProof/>
          <w:sz w:val="24"/>
        </w:rPr>
        <w:t xml:space="preserve"> i Cho</w:t>
      </w:r>
      <w:r>
        <w:rPr>
          <w:rFonts w:ascii="Times New Roman" w:hAnsi="Times New Roman"/>
          <w:noProof/>
          <w:sz w:val="24"/>
        </w:rPr>
        <w:t>rwacji</w:t>
      </w:r>
      <w:r w:rsidR="00D136C6">
        <w:rPr>
          <w:rFonts w:ascii="Times New Roman" w:hAnsi="Times New Roman"/>
          <w:noProof/>
          <w:sz w:val="24"/>
        </w:rPr>
        <w:t xml:space="preserve"> z prz</w:t>
      </w:r>
      <w:r>
        <w:rPr>
          <w:rFonts w:ascii="Times New Roman" w:hAnsi="Times New Roman"/>
          <w:noProof/>
          <w:sz w:val="24"/>
        </w:rPr>
        <w:t>ysługujących im praw. Parlament Europejski, prezydencja</w:t>
      </w:r>
      <w:r w:rsidR="00D136C6">
        <w:rPr>
          <w:rFonts w:ascii="Times New Roman" w:hAnsi="Times New Roman"/>
          <w:noProof/>
          <w:sz w:val="24"/>
        </w:rPr>
        <w:t xml:space="preserve"> w Rad</w:t>
      </w:r>
      <w:r>
        <w:rPr>
          <w:rFonts w:ascii="Times New Roman" w:hAnsi="Times New Roman"/>
          <w:noProof/>
          <w:sz w:val="24"/>
        </w:rPr>
        <w:t>zie UE oraz Komisja Europejska pokazały zdecydowane zaangażowanie na rzecz tych nowych przystąpień do strefy Schengen bez kontroli na granicach wewnętrznych,</w:t>
      </w:r>
      <w:r w:rsidR="00D136C6">
        <w:rPr>
          <w:rFonts w:ascii="Times New Roman" w:hAnsi="Times New Roman"/>
          <w:noProof/>
          <w:sz w:val="24"/>
        </w:rPr>
        <w:t xml:space="preserve"> a tak</w:t>
      </w:r>
      <w:r>
        <w:rPr>
          <w:rFonts w:ascii="Times New Roman" w:hAnsi="Times New Roman"/>
          <w:noProof/>
          <w:sz w:val="24"/>
        </w:rPr>
        <w:t>że zapewniły pełne</w:t>
      </w:r>
      <w:r w:rsidR="00D136C6">
        <w:rPr>
          <w:rFonts w:ascii="Times New Roman" w:hAnsi="Times New Roman"/>
          <w:noProof/>
          <w:sz w:val="24"/>
        </w:rPr>
        <w:t xml:space="preserve"> i sta</w:t>
      </w:r>
      <w:r>
        <w:rPr>
          <w:rFonts w:ascii="Times New Roman" w:hAnsi="Times New Roman"/>
          <w:noProof/>
          <w:sz w:val="24"/>
        </w:rPr>
        <w:t>łe wsparcie polityczne</w:t>
      </w:r>
      <w:r w:rsidR="00D136C6">
        <w:rPr>
          <w:rFonts w:ascii="Times New Roman" w:hAnsi="Times New Roman"/>
          <w:noProof/>
          <w:sz w:val="24"/>
        </w:rPr>
        <w:t xml:space="preserve"> i tec</w:t>
      </w:r>
      <w:r>
        <w:rPr>
          <w:rFonts w:ascii="Times New Roman" w:hAnsi="Times New Roman"/>
          <w:noProof/>
          <w:sz w:val="24"/>
        </w:rPr>
        <w:t>hniczne tego procesu.</w:t>
      </w:r>
    </w:p>
    <w:p w14:paraId="2DD3F0A0" w14:textId="14C98F85" w:rsidR="000D79D8" w:rsidRPr="0014596D" w:rsidRDefault="00305FA4"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Bułgaria, Rumunia</w:t>
      </w:r>
      <w:r w:rsidR="00D136C6">
        <w:rPr>
          <w:rFonts w:ascii="Times New Roman" w:hAnsi="Times New Roman"/>
          <w:noProof/>
          <w:sz w:val="24"/>
        </w:rPr>
        <w:t xml:space="preserve"> i Cho</w:t>
      </w:r>
      <w:r>
        <w:rPr>
          <w:rFonts w:ascii="Times New Roman" w:hAnsi="Times New Roman"/>
          <w:noProof/>
          <w:sz w:val="24"/>
        </w:rPr>
        <w:t>rwacja są gotowe do pełnego wdrożenia dorobku Schengen i do przystąpienia do strefy Schengen. Przystąpienie tych państw ma kluczowe znaczenie</w:t>
      </w:r>
      <w:r w:rsidR="00D136C6">
        <w:rPr>
          <w:rFonts w:ascii="Times New Roman" w:hAnsi="Times New Roman"/>
          <w:noProof/>
          <w:sz w:val="24"/>
        </w:rPr>
        <w:t xml:space="preserve"> w kon</w:t>
      </w:r>
      <w:r>
        <w:rPr>
          <w:rFonts w:ascii="Times New Roman" w:hAnsi="Times New Roman"/>
          <w:noProof/>
          <w:sz w:val="24"/>
        </w:rPr>
        <w:t>tekście kontynuacji</w:t>
      </w:r>
      <w:r w:rsidR="00D136C6">
        <w:rPr>
          <w:rFonts w:ascii="Times New Roman" w:hAnsi="Times New Roman"/>
          <w:noProof/>
          <w:sz w:val="24"/>
        </w:rPr>
        <w:t xml:space="preserve"> i wzm</w:t>
      </w:r>
      <w:r>
        <w:rPr>
          <w:rFonts w:ascii="Times New Roman" w:hAnsi="Times New Roman"/>
          <w:noProof/>
          <w:sz w:val="24"/>
        </w:rPr>
        <w:t>ocnienia wzajemnego zaufania</w:t>
      </w:r>
      <w:r w:rsidR="00D136C6">
        <w:rPr>
          <w:rFonts w:ascii="Times New Roman" w:hAnsi="Times New Roman"/>
          <w:noProof/>
          <w:sz w:val="24"/>
        </w:rPr>
        <w:t xml:space="preserve"> w str</w:t>
      </w:r>
      <w:r>
        <w:rPr>
          <w:rFonts w:ascii="Times New Roman" w:hAnsi="Times New Roman"/>
          <w:noProof/>
          <w:sz w:val="24"/>
        </w:rPr>
        <w:t>efie Schengen. Ponadto ich przystąpienie przyczyni się do wyeliminowania barier na jednolitym rynku,</w:t>
      </w:r>
      <w:r w:rsidR="00D136C6">
        <w:rPr>
          <w:rFonts w:ascii="Times New Roman" w:hAnsi="Times New Roman"/>
          <w:noProof/>
          <w:sz w:val="24"/>
        </w:rPr>
        <w:t xml:space="preserve"> w szc</w:t>
      </w:r>
      <w:r>
        <w:rPr>
          <w:rFonts w:ascii="Times New Roman" w:hAnsi="Times New Roman"/>
          <w:noProof/>
          <w:sz w:val="24"/>
        </w:rPr>
        <w:t>zególności</w:t>
      </w:r>
      <w:r w:rsidR="00D136C6">
        <w:rPr>
          <w:rFonts w:ascii="Times New Roman" w:hAnsi="Times New Roman"/>
          <w:noProof/>
          <w:sz w:val="24"/>
        </w:rPr>
        <w:t xml:space="preserve"> w zak</w:t>
      </w:r>
      <w:r>
        <w:rPr>
          <w:rFonts w:ascii="Times New Roman" w:hAnsi="Times New Roman"/>
          <w:noProof/>
          <w:sz w:val="24"/>
        </w:rPr>
        <w:t>resie ułatwiania przepływów transportowych,</w:t>
      </w:r>
      <w:r w:rsidR="00D136C6">
        <w:rPr>
          <w:rFonts w:ascii="Times New Roman" w:hAnsi="Times New Roman"/>
          <w:noProof/>
          <w:sz w:val="24"/>
        </w:rPr>
        <w:t xml:space="preserve"> a tak</w:t>
      </w:r>
      <w:r>
        <w:rPr>
          <w:rFonts w:ascii="Times New Roman" w:hAnsi="Times New Roman"/>
          <w:noProof/>
          <w:sz w:val="24"/>
        </w:rPr>
        <w:t>że do wspierania konkurencyjności</w:t>
      </w:r>
      <w:r w:rsidR="00D136C6">
        <w:rPr>
          <w:rFonts w:ascii="Times New Roman" w:hAnsi="Times New Roman"/>
          <w:noProof/>
          <w:sz w:val="24"/>
        </w:rPr>
        <w:t xml:space="preserve"> i pot</w:t>
      </w:r>
      <w:r>
        <w:rPr>
          <w:rFonts w:ascii="Times New Roman" w:hAnsi="Times New Roman"/>
          <w:noProof/>
          <w:sz w:val="24"/>
        </w:rPr>
        <w:t>encjału wzrostu UE. Dodanie gruntownie wyszkolonego</w:t>
      </w:r>
      <w:r w:rsidR="00D136C6">
        <w:rPr>
          <w:rFonts w:ascii="Times New Roman" w:hAnsi="Times New Roman"/>
          <w:noProof/>
          <w:sz w:val="24"/>
        </w:rPr>
        <w:t xml:space="preserve"> i wys</w:t>
      </w:r>
      <w:r>
        <w:rPr>
          <w:rFonts w:ascii="Times New Roman" w:hAnsi="Times New Roman"/>
          <w:noProof/>
          <w:sz w:val="24"/>
        </w:rPr>
        <w:t>pecjalizowanego personelu</w:t>
      </w:r>
      <w:r w:rsidR="00D136C6">
        <w:rPr>
          <w:rFonts w:ascii="Times New Roman" w:hAnsi="Times New Roman"/>
          <w:noProof/>
          <w:sz w:val="24"/>
        </w:rPr>
        <w:t xml:space="preserve"> z Buł</w:t>
      </w:r>
      <w:r>
        <w:rPr>
          <w:rFonts w:ascii="Times New Roman" w:hAnsi="Times New Roman"/>
          <w:noProof/>
          <w:sz w:val="24"/>
        </w:rPr>
        <w:t>garii, Rumunii</w:t>
      </w:r>
      <w:r w:rsidR="00D136C6">
        <w:rPr>
          <w:rFonts w:ascii="Times New Roman" w:hAnsi="Times New Roman"/>
          <w:noProof/>
          <w:sz w:val="24"/>
        </w:rPr>
        <w:t xml:space="preserve"> i Cho</w:t>
      </w:r>
      <w:r>
        <w:rPr>
          <w:rFonts w:ascii="Times New Roman" w:hAnsi="Times New Roman"/>
          <w:noProof/>
          <w:sz w:val="24"/>
        </w:rPr>
        <w:t>rwacji oraz najnowocześniejszej infrastruktury</w:t>
      </w:r>
      <w:r w:rsidR="00D136C6">
        <w:rPr>
          <w:rFonts w:ascii="Times New Roman" w:hAnsi="Times New Roman"/>
          <w:noProof/>
          <w:sz w:val="24"/>
        </w:rPr>
        <w:t xml:space="preserve"> i wie</w:t>
      </w:r>
      <w:r>
        <w:rPr>
          <w:rFonts w:ascii="Times New Roman" w:hAnsi="Times New Roman"/>
          <w:noProof/>
          <w:sz w:val="24"/>
        </w:rPr>
        <w:t>dzy fachowej tych państw do wspólnego zestawu narzędzi zarządzania strefą Schengen usprawni zarządzanie granicami</w:t>
      </w:r>
      <w:r w:rsidR="00D136C6">
        <w:rPr>
          <w:rFonts w:ascii="Times New Roman" w:hAnsi="Times New Roman"/>
          <w:noProof/>
          <w:sz w:val="24"/>
        </w:rPr>
        <w:t xml:space="preserve"> i zwi</w:t>
      </w:r>
      <w:r>
        <w:rPr>
          <w:rFonts w:ascii="Times New Roman" w:hAnsi="Times New Roman"/>
          <w:noProof/>
          <w:sz w:val="24"/>
        </w:rPr>
        <w:t>ększy bezpieczeństwo</w:t>
      </w:r>
      <w:r w:rsidR="00D136C6">
        <w:rPr>
          <w:rFonts w:ascii="Times New Roman" w:hAnsi="Times New Roman"/>
          <w:noProof/>
          <w:sz w:val="24"/>
        </w:rPr>
        <w:t xml:space="preserve"> w cał</w:t>
      </w:r>
      <w:r>
        <w:rPr>
          <w:rFonts w:ascii="Times New Roman" w:hAnsi="Times New Roman"/>
          <w:noProof/>
          <w:sz w:val="24"/>
        </w:rPr>
        <w:t>ej UE</w:t>
      </w:r>
      <w:r w:rsidR="00D136C6">
        <w:rPr>
          <w:rFonts w:ascii="Times New Roman" w:hAnsi="Times New Roman"/>
          <w:noProof/>
          <w:sz w:val="24"/>
        </w:rPr>
        <w:t>. Z kol</w:t>
      </w:r>
      <w:r>
        <w:rPr>
          <w:rFonts w:ascii="Times New Roman" w:hAnsi="Times New Roman"/>
          <w:noProof/>
          <w:sz w:val="24"/>
        </w:rPr>
        <w:t>ei nowi członkowie Schengen będą mogli również korzystać</w:t>
      </w:r>
      <w:r w:rsidR="00D136C6">
        <w:rPr>
          <w:rFonts w:ascii="Times New Roman" w:hAnsi="Times New Roman"/>
          <w:noProof/>
          <w:sz w:val="24"/>
        </w:rPr>
        <w:t xml:space="preserve"> w peł</w:t>
      </w:r>
      <w:r>
        <w:rPr>
          <w:rFonts w:ascii="Times New Roman" w:hAnsi="Times New Roman"/>
          <w:noProof/>
          <w:sz w:val="24"/>
        </w:rPr>
        <w:t>ni ze wszystkich dostępnych narzędzi, takich jak narzędzia związane</w:t>
      </w:r>
      <w:r w:rsidR="00D136C6">
        <w:rPr>
          <w:rFonts w:ascii="Times New Roman" w:hAnsi="Times New Roman"/>
          <w:noProof/>
          <w:sz w:val="24"/>
        </w:rPr>
        <w:t xml:space="preserve"> z wiz</w:t>
      </w:r>
      <w:r>
        <w:rPr>
          <w:rFonts w:ascii="Times New Roman" w:hAnsi="Times New Roman"/>
          <w:noProof/>
          <w:sz w:val="24"/>
        </w:rPr>
        <w:t>owym systemem informacyjnym oraz interoperacyjnością wielkoskalowych systemów informatycznych. Zapewni to również skuteczniejsze</w:t>
      </w:r>
      <w:r w:rsidR="00D136C6">
        <w:rPr>
          <w:rFonts w:ascii="Times New Roman" w:hAnsi="Times New Roman"/>
          <w:noProof/>
          <w:sz w:val="24"/>
        </w:rPr>
        <w:t xml:space="preserve"> i bar</w:t>
      </w:r>
      <w:r>
        <w:rPr>
          <w:rFonts w:ascii="Times New Roman" w:hAnsi="Times New Roman"/>
          <w:noProof/>
          <w:sz w:val="24"/>
        </w:rPr>
        <w:t>dziej uporządkowane zarządzanie migracjami</w:t>
      </w:r>
      <w:r w:rsidR="00D136C6">
        <w:rPr>
          <w:rFonts w:ascii="Times New Roman" w:hAnsi="Times New Roman"/>
          <w:noProof/>
          <w:sz w:val="24"/>
        </w:rPr>
        <w:t xml:space="preserve"> z pań</w:t>
      </w:r>
      <w:r>
        <w:rPr>
          <w:rFonts w:ascii="Times New Roman" w:hAnsi="Times New Roman"/>
          <w:noProof/>
          <w:sz w:val="24"/>
        </w:rPr>
        <w:t>stwami trzecimi,</w:t>
      </w:r>
      <w:r w:rsidR="00D136C6">
        <w:rPr>
          <w:rFonts w:ascii="Times New Roman" w:hAnsi="Times New Roman"/>
          <w:noProof/>
          <w:sz w:val="24"/>
        </w:rPr>
        <w:t xml:space="preserve"> w szc</w:t>
      </w:r>
      <w:r>
        <w:rPr>
          <w:rFonts w:ascii="Times New Roman" w:hAnsi="Times New Roman"/>
          <w:noProof/>
          <w:sz w:val="24"/>
        </w:rPr>
        <w:t>zególności</w:t>
      </w:r>
      <w:r w:rsidR="00D136C6">
        <w:rPr>
          <w:rFonts w:ascii="Times New Roman" w:hAnsi="Times New Roman"/>
          <w:noProof/>
          <w:sz w:val="24"/>
        </w:rPr>
        <w:t xml:space="preserve"> z pań</w:t>
      </w:r>
      <w:r>
        <w:rPr>
          <w:rFonts w:ascii="Times New Roman" w:hAnsi="Times New Roman"/>
          <w:noProof/>
          <w:sz w:val="24"/>
        </w:rPr>
        <w:t>stwami objętymi europejską polityką sąsiedztwa, na naszych granicach zewnętrznych</w:t>
      </w:r>
      <w:r w:rsidR="00D136C6">
        <w:rPr>
          <w:rFonts w:ascii="Times New Roman" w:hAnsi="Times New Roman"/>
          <w:noProof/>
          <w:sz w:val="24"/>
        </w:rPr>
        <w:t xml:space="preserve"> i mię</w:t>
      </w:r>
      <w:r>
        <w:rPr>
          <w:rFonts w:ascii="Times New Roman" w:hAnsi="Times New Roman"/>
          <w:noProof/>
          <w:sz w:val="24"/>
        </w:rPr>
        <w:t>dzy państwami członkowskimi.</w:t>
      </w:r>
    </w:p>
    <w:p w14:paraId="36C3059D" w14:textId="37282BEB" w:rsidR="00305FA4" w:rsidRPr="0014596D" w:rsidRDefault="00305FA4"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Dzięki powiększonej strefie Schengen UE będzie silniejsza jako Unia, zarówno wewnętrznie, jak i na arenie światowej. Uczyni to Unię </w:t>
      </w:r>
      <w:r>
        <w:rPr>
          <w:rFonts w:ascii="Times New Roman" w:hAnsi="Times New Roman"/>
          <w:b/>
          <w:noProof/>
          <w:sz w:val="24"/>
        </w:rPr>
        <w:t>silniejszą</w:t>
      </w:r>
      <w:r>
        <w:rPr>
          <w:rFonts w:ascii="Times New Roman" w:hAnsi="Times New Roman"/>
          <w:noProof/>
          <w:sz w:val="24"/>
        </w:rPr>
        <w:t xml:space="preserve"> – dzięki wzmocnionej ochronie naszych wspólnych granic zewnętrznych</w:t>
      </w:r>
      <w:r w:rsidR="00D136C6">
        <w:rPr>
          <w:rFonts w:ascii="Times New Roman" w:hAnsi="Times New Roman"/>
          <w:noProof/>
          <w:sz w:val="24"/>
        </w:rPr>
        <w:t xml:space="preserve"> i sku</w:t>
      </w:r>
      <w:r>
        <w:rPr>
          <w:rFonts w:ascii="Times New Roman" w:hAnsi="Times New Roman"/>
          <w:noProof/>
          <w:sz w:val="24"/>
        </w:rPr>
        <w:t xml:space="preserve">tecznej współpracy policji – </w:t>
      </w:r>
      <w:r>
        <w:rPr>
          <w:rFonts w:ascii="Times New Roman" w:hAnsi="Times New Roman"/>
          <w:b/>
          <w:noProof/>
          <w:sz w:val="24"/>
        </w:rPr>
        <w:t>bardziej zamożną</w:t>
      </w:r>
      <w:r>
        <w:rPr>
          <w:rFonts w:ascii="Times New Roman" w:hAnsi="Times New Roman"/>
          <w:noProof/>
          <w:sz w:val="24"/>
        </w:rPr>
        <w:t xml:space="preserve"> – dzięki wyeliminowaniu strat czasu na granicach</w:t>
      </w:r>
      <w:r w:rsidR="00D136C6">
        <w:rPr>
          <w:rFonts w:ascii="Times New Roman" w:hAnsi="Times New Roman"/>
          <w:noProof/>
          <w:sz w:val="24"/>
        </w:rPr>
        <w:t xml:space="preserve"> i uła</w:t>
      </w:r>
      <w:r>
        <w:rPr>
          <w:rFonts w:ascii="Times New Roman" w:hAnsi="Times New Roman"/>
          <w:noProof/>
          <w:sz w:val="24"/>
        </w:rPr>
        <w:t>twieniu kontaktów międzyludzkich</w:t>
      </w:r>
      <w:r w:rsidR="00D136C6">
        <w:rPr>
          <w:rFonts w:ascii="Times New Roman" w:hAnsi="Times New Roman"/>
          <w:noProof/>
          <w:sz w:val="24"/>
        </w:rPr>
        <w:t xml:space="preserve"> i biz</w:t>
      </w:r>
      <w:r>
        <w:rPr>
          <w:rFonts w:ascii="Times New Roman" w:hAnsi="Times New Roman"/>
          <w:noProof/>
          <w:sz w:val="24"/>
        </w:rPr>
        <w:t xml:space="preserve">nesowych – oraz </w:t>
      </w:r>
      <w:r>
        <w:rPr>
          <w:rFonts w:ascii="Times New Roman" w:hAnsi="Times New Roman"/>
          <w:b/>
          <w:noProof/>
          <w:sz w:val="24"/>
        </w:rPr>
        <w:t>bardziej atrakcyjną</w:t>
      </w:r>
      <w:r>
        <w:rPr>
          <w:rFonts w:ascii="Times New Roman" w:hAnsi="Times New Roman"/>
          <w:noProof/>
          <w:sz w:val="24"/>
        </w:rPr>
        <w:t xml:space="preserve"> – dzięki znacznemu rozszerzeniu największego na świecie wspólnego obszaru bez kontroli na granicach wewnętrznych.</w:t>
      </w:r>
    </w:p>
    <w:p w14:paraId="72BB298E" w14:textId="309D3CAA" w:rsidR="00A51F28" w:rsidRPr="00EC04CE" w:rsidRDefault="00305FA4" w:rsidP="00605EC6">
      <w:pPr>
        <w:spacing w:before="120" w:line="276" w:lineRule="auto"/>
        <w:jc w:val="both"/>
        <w:rPr>
          <w:rFonts w:ascii="Times New Roman" w:hAnsi="Times New Roman" w:cs="Times New Roman"/>
          <w:noProof/>
          <w:sz w:val="24"/>
          <w:szCs w:val="24"/>
        </w:rPr>
      </w:pPr>
      <w:r>
        <w:rPr>
          <w:rFonts w:ascii="Times New Roman" w:hAnsi="Times New Roman"/>
          <w:noProof/>
          <w:sz w:val="24"/>
        </w:rPr>
        <w:t>W grudniu Rada ds. Schengen ma możliwość podjęcia historycznej decyzji. Komisja wzywa wszystkie państwa członkowskie do udzielenia pełnego wsparcia czeskiej prezydencji</w:t>
      </w:r>
      <w:r w:rsidR="00D136C6">
        <w:rPr>
          <w:rFonts w:ascii="Times New Roman" w:hAnsi="Times New Roman"/>
          <w:noProof/>
          <w:sz w:val="24"/>
        </w:rPr>
        <w:t xml:space="preserve"> w ost</w:t>
      </w:r>
      <w:r>
        <w:rPr>
          <w:rFonts w:ascii="Times New Roman" w:hAnsi="Times New Roman"/>
          <w:noProof/>
          <w:sz w:val="24"/>
        </w:rPr>
        <w:t>atnich działaniach zmierzających do osiągnięcia tego celu zgodnie</w:t>
      </w:r>
      <w:r w:rsidR="00D136C6">
        <w:rPr>
          <w:rFonts w:ascii="Times New Roman" w:hAnsi="Times New Roman"/>
          <w:noProof/>
          <w:sz w:val="24"/>
        </w:rPr>
        <w:t xml:space="preserve"> z Akt</w:t>
      </w:r>
      <w:r>
        <w:rPr>
          <w:rFonts w:ascii="Times New Roman" w:hAnsi="Times New Roman"/>
          <w:noProof/>
          <w:sz w:val="24"/>
        </w:rPr>
        <w:t>ami przystąpienia odpowiednio Bułgarii</w:t>
      </w:r>
      <w:r w:rsidR="00D136C6">
        <w:rPr>
          <w:rFonts w:ascii="Times New Roman" w:hAnsi="Times New Roman"/>
          <w:noProof/>
          <w:sz w:val="24"/>
        </w:rPr>
        <w:t xml:space="preserve"> i Rum</w:t>
      </w:r>
      <w:r>
        <w:rPr>
          <w:rFonts w:ascii="Times New Roman" w:hAnsi="Times New Roman"/>
          <w:noProof/>
          <w:sz w:val="24"/>
        </w:rPr>
        <w:t>unii</w:t>
      </w:r>
      <w:r w:rsidR="00D136C6">
        <w:rPr>
          <w:rFonts w:ascii="Times New Roman" w:hAnsi="Times New Roman"/>
          <w:noProof/>
          <w:sz w:val="24"/>
        </w:rPr>
        <w:t xml:space="preserve"> z 2</w:t>
      </w:r>
      <w:r>
        <w:rPr>
          <w:rFonts w:ascii="Times New Roman" w:hAnsi="Times New Roman"/>
          <w:noProof/>
          <w:sz w:val="24"/>
        </w:rPr>
        <w:t>0</w:t>
      </w:r>
      <w:r w:rsidRPr="00D136C6">
        <w:rPr>
          <w:rFonts w:ascii="Times New Roman" w:hAnsi="Times New Roman"/>
          <w:noProof/>
          <w:sz w:val="24"/>
        </w:rPr>
        <w:t>05</w:t>
      </w:r>
      <w:r w:rsidR="00D136C6" w:rsidRPr="00D136C6">
        <w:rPr>
          <w:rFonts w:ascii="Times New Roman" w:hAnsi="Times New Roman"/>
          <w:noProof/>
          <w:sz w:val="24"/>
        </w:rPr>
        <w:t> </w:t>
      </w:r>
      <w:r w:rsidRPr="00D136C6">
        <w:rPr>
          <w:rFonts w:ascii="Times New Roman" w:hAnsi="Times New Roman"/>
          <w:noProof/>
          <w:sz w:val="24"/>
        </w:rPr>
        <w:t>r.</w:t>
      </w:r>
      <w:r>
        <w:rPr>
          <w:rFonts w:ascii="Times New Roman" w:hAnsi="Times New Roman"/>
          <w:noProof/>
          <w:sz w:val="24"/>
        </w:rPr>
        <w:t xml:space="preserve"> oraz Chorwacji</w:t>
      </w:r>
      <w:r w:rsidR="00D136C6">
        <w:rPr>
          <w:rFonts w:ascii="Times New Roman" w:hAnsi="Times New Roman"/>
          <w:noProof/>
          <w:sz w:val="24"/>
        </w:rPr>
        <w:t xml:space="preserve"> z 2</w:t>
      </w:r>
      <w:r>
        <w:rPr>
          <w:rFonts w:ascii="Times New Roman" w:hAnsi="Times New Roman"/>
          <w:noProof/>
          <w:sz w:val="24"/>
        </w:rPr>
        <w:t>0</w:t>
      </w:r>
      <w:r w:rsidRPr="00D136C6">
        <w:rPr>
          <w:rFonts w:ascii="Times New Roman" w:hAnsi="Times New Roman"/>
          <w:noProof/>
          <w:sz w:val="24"/>
        </w:rPr>
        <w:t>11</w:t>
      </w:r>
      <w:r w:rsidR="00D136C6" w:rsidRPr="00D136C6">
        <w:rPr>
          <w:rFonts w:ascii="Times New Roman" w:hAnsi="Times New Roman"/>
          <w:noProof/>
          <w:sz w:val="24"/>
        </w:rPr>
        <w:t> </w:t>
      </w:r>
      <w:r w:rsidRPr="00D136C6">
        <w:rPr>
          <w:rFonts w:ascii="Times New Roman" w:hAnsi="Times New Roman"/>
          <w:noProof/>
          <w:sz w:val="24"/>
        </w:rPr>
        <w:t>r.</w:t>
      </w:r>
    </w:p>
    <w:sectPr w:rsidR="00A51F28" w:rsidRPr="00EC04CE" w:rsidSect="00B3174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325EF" w14:textId="77777777" w:rsidR="00AE5EF8" w:rsidRDefault="00AE5EF8">
      <w:pPr>
        <w:spacing w:after="0" w:line="240" w:lineRule="auto"/>
      </w:pPr>
      <w:r>
        <w:separator/>
      </w:r>
    </w:p>
  </w:endnote>
  <w:endnote w:type="continuationSeparator" w:id="0">
    <w:p w14:paraId="5F7640B5" w14:textId="77777777" w:rsidR="00AE5EF8" w:rsidRDefault="00AE5EF8">
      <w:pPr>
        <w:spacing w:after="0" w:line="240" w:lineRule="auto"/>
      </w:pPr>
      <w:r>
        <w:continuationSeparator/>
      </w:r>
    </w:p>
  </w:endnote>
  <w:endnote w:type="continuationNotice" w:id="1">
    <w:p w14:paraId="6D3AD9E6" w14:textId="77777777" w:rsidR="00AE5EF8" w:rsidRDefault="00AE5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6CFC3" w14:textId="77777777" w:rsidR="002370A4" w:rsidRPr="002370A4" w:rsidRDefault="002370A4" w:rsidP="00237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1C53" w14:textId="6C9461BC" w:rsidR="00591A0A" w:rsidRPr="002370A4" w:rsidRDefault="002370A4" w:rsidP="002370A4">
    <w:pPr>
      <w:pStyle w:val="FooterCoverPage"/>
      <w:rPr>
        <w:rFonts w:ascii="Arial" w:hAnsi="Arial" w:cs="Arial"/>
        <w:b/>
        <w:sz w:val="48"/>
      </w:rPr>
    </w:pPr>
    <w:r w:rsidRPr="002370A4">
      <w:rPr>
        <w:rFonts w:ascii="Arial" w:hAnsi="Arial" w:cs="Arial"/>
        <w:b/>
        <w:sz w:val="48"/>
      </w:rPr>
      <w:t>PL</w:t>
    </w:r>
    <w:r w:rsidRPr="002370A4">
      <w:rPr>
        <w:rFonts w:ascii="Arial" w:hAnsi="Arial" w:cs="Arial"/>
        <w:b/>
        <w:sz w:val="48"/>
      </w:rPr>
      <w:tab/>
    </w:r>
    <w:r w:rsidRPr="002370A4">
      <w:rPr>
        <w:rFonts w:ascii="Arial" w:hAnsi="Arial" w:cs="Arial"/>
        <w:b/>
        <w:sz w:val="48"/>
      </w:rPr>
      <w:tab/>
    </w:r>
    <w:r w:rsidRPr="002370A4">
      <w:tab/>
    </w:r>
    <w:r w:rsidRPr="002370A4">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039C" w14:textId="77777777" w:rsidR="002370A4" w:rsidRPr="002370A4" w:rsidRDefault="002370A4" w:rsidP="002370A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F481" w14:textId="77777777" w:rsidR="00615841" w:rsidRDefault="006158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83F0" w14:textId="22B445A5" w:rsidR="00615841" w:rsidRPr="00FB6DE0" w:rsidRDefault="00615841" w:rsidP="00B31741">
    <w:pPr>
      <w:pStyle w:val="Footer"/>
      <w:rPr>
        <w:rFonts w:ascii="Times New Roman" w:hAnsi="Times New Roman" w:cs="Times New Roman"/>
        <w:b/>
        <w:sz w:val="48"/>
      </w:rPr>
    </w:pPr>
    <w: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370A4">
      <w:rPr>
        <w:rFonts w:ascii="Times New Roman" w:hAnsi="Times New Roman" w:cs="Times New Roman"/>
        <w:noProof/>
      </w:rPr>
      <w:t>1</w:t>
    </w:r>
    <w:r>
      <w:rPr>
        <w:rFonts w:ascii="Times New Roman" w:hAnsi="Times New Roman" w:cs="Times New Roman"/>
      </w:rP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0747" w14:textId="77777777" w:rsidR="00615841" w:rsidRPr="001F4926" w:rsidRDefault="00615841" w:rsidP="00B31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77E70" w14:textId="77777777" w:rsidR="00AE5EF8" w:rsidRDefault="00AE5EF8">
      <w:pPr>
        <w:spacing w:after="0" w:line="240" w:lineRule="auto"/>
      </w:pPr>
      <w:r>
        <w:separator/>
      </w:r>
    </w:p>
  </w:footnote>
  <w:footnote w:type="continuationSeparator" w:id="0">
    <w:p w14:paraId="745283C9" w14:textId="77777777" w:rsidR="00AE5EF8" w:rsidRDefault="00AE5EF8">
      <w:pPr>
        <w:spacing w:after="0" w:line="240" w:lineRule="auto"/>
      </w:pPr>
      <w:r>
        <w:continuationSeparator/>
      </w:r>
    </w:p>
  </w:footnote>
  <w:footnote w:type="continuationNotice" w:id="1">
    <w:p w14:paraId="5D5DB481" w14:textId="77777777" w:rsidR="00AE5EF8" w:rsidRDefault="00AE5EF8">
      <w:pPr>
        <w:spacing w:after="0" w:line="240" w:lineRule="auto"/>
      </w:pPr>
    </w:p>
  </w:footnote>
  <w:footnote w:id="2">
    <w:p w14:paraId="66A4C43E" w14:textId="51FD7A5E" w:rsidR="00615841" w:rsidRPr="0014596D" w:rsidRDefault="00615841" w:rsidP="00605EC6">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Art. 7 Protokołu </w:t>
      </w:r>
      <w:r w:rsidRPr="00D136C6">
        <w:rPr>
          <w:rFonts w:ascii="Times New Roman" w:hAnsi="Times New Roman"/>
        </w:rPr>
        <w:t>nr</w:t>
      </w:r>
      <w:r w:rsidR="00D136C6" w:rsidRPr="00D136C6">
        <w:rPr>
          <w:rFonts w:ascii="Times New Roman" w:hAnsi="Times New Roman"/>
        </w:rPr>
        <w:t> </w:t>
      </w:r>
      <w:r w:rsidRPr="00D136C6">
        <w:rPr>
          <w:rFonts w:ascii="Times New Roman" w:hAnsi="Times New Roman"/>
        </w:rPr>
        <w:t>1</w:t>
      </w:r>
      <w:r>
        <w:rPr>
          <w:rFonts w:ascii="Times New Roman" w:hAnsi="Times New Roman"/>
        </w:rPr>
        <w:t>9 załączonego do Traktatu</w:t>
      </w:r>
      <w:r w:rsidR="00D136C6">
        <w:rPr>
          <w:rFonts w:ascii="Times New Roman" w:hAnsi="Times New Roman"/>
        </w:rPr>
        <w:t xml:space="preserve"> o Uni</w:t>
      </w:r>
      <w:r>
        <w:rPr>
          <w:rFonts w:ascii="Times New Roman" w:hAnsi="Times New Roman"/>
        </w:rPr>
        <w:t>i Europejskiej</w:t>
      </w:r>
      <w:r w:rsidR="00D136C6">
        <w:rPr>
          <w:rFonts w:ascii="Times New Roman" w:hAnsi="Times New Roman"/>
        </w:rPr>
        <w:t xml:space="preserve"> i Tra</w:t>
      </w:r>
      <w:r>
        <w:rPr>
          <w:rFonts w:ascii="Times New Roman" w:hAnsi="Times New Roman"/>
        </w:rPr>
        <w:t>ktatu</w:t>
      </w:r>
      <w:r w:rsidR="00D136C6">
        <w:rPr>
          <w:rFonts w:ascii="Times New Roman" w:hAnsi="Times New Roman"/>
        </w:rPr>
        <w:t xml:space="preserve"> o fun</w:t>
      </w:r>
      <w:r>
        <w:rPr>
          <w:rFonts w:ascii="Times New Roman" w:hAnsi="Times New Roman"/>
        </w:rPr>
        <w:t>kcjonowaniu Unii Europejskiej.</w:t>
      </w:r>
    </w:p>
  </w:footnote>
  <w:footnote w:id="3">
    <w:p w14:paraId="205EA93A" w14:textId="0A761F50" w:rsidR="00607A97" w:rsidRPr="0014596D" w:rsidRDefault="00607A97" w:rsidP="00607A97">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Zgodnie</w:t>
      </w:r>
      <w:r w:rsidR="00D136C6">
        <w:rPr>
          <w:rFonts w:ascii="Times New Roman" w:hAnsi="Times New Roman"/>
        </w:rPr>
        <w:t xml:space="preserve"> z </w:t>
      </w:r>
      <w:r w:rsidR="00D136C6" w:rsidRPr="00D136C6">
        <w:rPr>
          <w:rFonts w:ascii="Times New Roman" w:hAnsi="Times New Roman"/>
        </w:rPr>
        <w:t>art</w:t>
      </w:r>
      <w:r w:rsidRPr="00D136C6">
        <w:rPr>
          <w:rFonts w:ascii="Times New Roman" w:hAnsi="Times New Roman"/>
        </w:rPr>
        <w:t>.</w:t>
      </w:r>
      <w:r w:rsidR="00D136C6" w:rsidRPr="00D136C6">
        <w:rPr>
          <w:rFonts w:ascii="Times New Roman" w:hAnsi="Times New Roman"/>
        </w:rPr>
        <w:t> </w:t>
      </w:r>
      <w:r w:rsidRPr="00D136C6">
        <w:rPr>
          <w:rFonts w:ascii="Times New Roman" w:hAnsi="Times New Roman"/>
        </w:rPr>
        <w:t>3</w:t>
      </w:r>
      <w:r>
        <w:rPr>
          <w:rFonts w:ascii="Times New Roman" w:hAnsi="Times New Roman"/>
        </w:rPr>
        <w:t xml:space="preserve"> </w:t>
      </w:r>
      <w:r w:rsidRPr="00D136C6">
        <w:rPr>
          <w:rFonts w:ascii="Times New Roman" w:hAnsi="Times New Roman"/>
        </w:rPr>
        <w:t>ust.</w:t>
      </w:r>
      <w:r w:rsidR="00D136C6" w:rsidRPr="00D136C6">
        <w:rPr>
          <w:rFonts w:ascii="Times New Roman" w:hAnsi="Times New Roman"/>
        </w:rPr>
        <w:t> </w:t>
      </w:r>
      <w:r w:rsidRPr="00D136C6">
        <w:rPr>
          <w:rFonts w:ascii="Times New Roman" w:hAnsi="Times New Roman"/>
        </w:rPr>
        <w:t>1</w:t>
      </w:r>
      <w:r w:rsidR="00D136C6">
        <w:rPr>
          <w:rFonts w:ascii="Times New Roman" w:hAnsi="Times New Roman"/>
        </w:rPr>
        <w:t xml:space="preserve"> i 2</w:t>
      </w:r>
      <w:r>
        <w:rPr>
          <w:rFonts w:ascii="Times New Roman" w:hAnsi="Times New Roman"/>
        </w:rPr>
        <w:t xml:space="preserve"> Aktu przystąpienia</w:t>
      </w:r>
      <w:r w:rsidR="00D136C6">
        <w:rPr>
          <w:rFonts w:ascii="Times New Roman" w:hAnsi="Times New Roman"/>
        </w:rPr>
        <w:t xml:space="preserve"> z 2</w:t>
      </w:r>
      <w:r>
        <w:rPr>
          <w:rFonts w:ascii="Times New Roman" w:hAnsi="Times New Roman"/>
        </w:rPr>
        <w:t>0</w:t>
      </w:r>
      <w:r w:rsidRPr="00D136C6">
        <w:rPr>
          <w:rFonts w:ascii="Times New Roman" w:hAnsi="Times New Roman"/>
        </w:rPr>
        <w:t>03</w:t>
      </w:r>
      <w:r w:rsidR="00D136C6" w:rsidRPr="00D136C6">
        <w:rPr>
          <w:rFonts w:ascii="Times New Roman" w:hAnsi="Times New Roman"/>
        </w:rPr>
        <w:t> </w:t>
      </w:r>
      <w:r w:rsidRPr="00D136C6">
        <w:rPr>
          <w:rFonts w:ascii="Times New Roman" w:hAnsi="Times New Roman"/>
        </w:rPr>
        <w:t>r.</w:t>
      </w:r>
      <w:r>
        <w:rPr>
          <w:rFonts w:ascii="Times New Roman" w:hAnsi="Times New Roman"/>
        </w:rPr>
        <w:t xml:space="preserve"> niektóre przepisy dorobku Schengen są już stosowane na Cyprze od dnia przystąpienia. 28 maja 20</w:t>
      </w:r>
      <w:r w:rsidRPr="00D136C6">
        <w:rPr>
          <w:rFonts w:ascii="Times New Roman" w:hAnsi="Times New Roman"/>
        </w:rPr>
        <w:t>19</w:t>
      </w:r>
      <w:r w:rsidR="00D136C6" w:rsidRPr="00D136C6">
        <w:rPr>
          <w:rFonts w:ascii="Times New Roman" w:hAnsi="Times New Roman"/>
        </w:rPr>
        <w:t> </w:t>
      </w:r>
      <w:r w:rsidRPr="00D136C6">
        <w:rPr>
          <w:rFonts w:ascii="Times New Roman" w:hAnsi="Times New Roman"/>
        </w:rPr>
        <w:t>r.</w:t>
      </w:r>
      <w:r>
        <w:rPr>
          <w:rFonts w:ascii="Times New Roman" w:hAnsi="Times New Roman"/>
        </w:rPr>
        <w:t xml:space="preserve"> Cypr zadeklarował gotowość</w:t>
      </w:r>
      <w:r w:rsidR="00D136C6">
        <w:rPr>
          <w:rFonts w:ascii="Times New Roman" w:hAnsi="Times New Roman"/>
        </w:rPr>
        <w:t xml:space="preserve"> i zob</w:t>
      </w:r>
      <w:r>
        <w:rPr>
          <w:rFonts w:ascii="Times New Roman" w:hAnsi="Times New Roman"/>
        </w:rPr>
        <w:t>owiązanie do stosowania wszystkich części dorobku Schengen i do poddania się ocenie stosowania dorobku Schengen,</w:t>
      </w:r>
      <w:r w:rsidR="00D136C6">
        <w:rPr>
          <w:rFonts w:ascii="Times New Roman" w:hAnsi="Times New Roman"/>
        </w:rPr>
        <w:t xml:space="preserve"> w moż</w:t>
      </w:r>
      <w:r>
        <w:rPr>
          <w:rFonts w:ascii="Times New Roman" w:hAnsi="Times New Roman"/>
        </w:rPr>
        <w:t>liwym zakresie, biorąc pod uwagę szczególne okoliczności dotyczące Cypru uznane</w:t>
      </w:r>
      <w:r w:rsidR="00D136C6">
        <w:rPr>
          <w:rFonts w:ascii="Times New Roman" w:hAnsi="Times New Roman"/>
        </w:rPr>
        <w:t xml:space="preserve"> w Pro</w:t>
      </w:r>
      <w:r>
        <w:rPr>
          <w:rFonts w:ascii="Times New Roman" w:hAnsi="Times New Roman"/>
        </w:rPr>
        <w:t xml:space="preserve">tokole </w:t>
      </w:r>
      <w:r w:rsidRPr="00D136C6">
        <w:rPr>
          <w:rFonts w:ascii="Times New Roman" w:hAnsi="Times New Roman"/>
        </w:rPr>
        <w:t>nr</w:t>
      </w:r>
      <w:r w:rsidR="00D136C6" w:rsidRPr="00D136C6">
        <w:rPr>
          <w:rFonts w:ascii="Times New Roman" w:hAnsi="Times New Roman"/>
        </w:rPr>
        <w:t> </w:t>
      </w:r>
      <w:r w:rsidRPr="00D136C6">
        <w:rPr>
          <w:rFonts w:ascii="Times New Roman" w:hAnsi="Times New Roman"/>
        </w:rPr>
        <w:t>1</w:t>
      </w:r>
      <w:r>
        <w:rPr>
          <w:rFonts w:ascii="Times New Roman" w:hAnsi="Times New Roman"/>
        </w:rPr>
        <w:t>0 do Aktu przystąpienia</w:t>
      </w:r>
      <w:r w:rsidR="00D136C6">
        <w:rPr>
          <w:rFonts w:ascii="Times New Roman" w:hAnsi="Times New Roman"/>
        </w:rPr>
        <w:t xml:space="preserve"> z 2</w:t>
      </w:r>
      <w:r>
        <w:rPr>
          <w:rFonts w:ascii="Times New Roman" w:hAnsi="Times New Roman"/>
        </w:rPr>
        <w:t>0</w:t>
      </w:r>
      <w:r w:rsidRPr="00D136C6">
        <w:rPr>
          <w:rFonts w:ascii="Times New Roman" w:hAnsi="Times New Roman"/>
        </w:rPr>
        <w:t>03</w:t>
      </w:r>
      <w:r w:rsidR="00D136C6" w:rsidRPr="00D136C6">
        <w:rPr>
          <w:rFonts w:ascii="Times New Roman" w:hAnsi="Times New Roman"/>
        </w:rPr>
        <w:t> </w:t>
      </w:r>
      <w:r w:rsidRPr="00D136C6">
        <w:rPr>
          <w:rFonts w:ascii="Times New Roman" w:hAnsi="Times New Roman"/>
        </w:rPr>
        <w:t>r.</w:t>
      </w:r>
    </w:p>
  </w:footnote>
  <w:footnote w:id="4">
    <w:p w14:paraId="5A097ECD" w14:textId="72CA17FF"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Zob. na przykład sprawozdanie</w:t>
      </w:r>
      <w:r w:rsidR="00D136C6">
        <w:rPr>
          <w:rFonts w:ascii="Times New Roman" w:hAnsi="Times New Roman"/>
        </w:rPr>
        <w:t xml:space="preserve"> w spr</w:t>
      </w:r>
      <w:r>
        <w:rPr>
          <w:rFonts w:ascii="Times New Roman" w:hAnsi="Times New Roman"/>
        </w:rPr>
        <w:t>awie stanu strefy Schengen</w:t>
      </w:r>
      <w:r w:rsidR="00D136C6">
        <w:rPr>
          <w:rFonts w:ascii="Times New Roman" w:hAnsi="Times New Roman"/>
        </w:rPr>
        <w:t xml:space="preserve"> z 2</w:t>
      </w:r>
      <w:r>
        <w:rPr>
          <w:rFonts w:ascii="Times New Roman" w:hAnsi="Times New Roman"/>
        </w:rPr>
        <w:t>0</w:t>
      </w:r>
      <w:r w:rsidRPr="00D136C6">
        <w:rPr>
          <w:rFonts w:ascii="Times New Roman" w:hAnsi="Times New Roman"/>
        </w:rPr>
        <w:t>22</w:t>
      </w:r>
      <w:r w:rsidR="00D136C6" w:rsidRPr="00D136C6">
        <w:rPr>
          <w:rFonts w:ascii="Times New Roman" w:hAnsi="Times New Roman"/>
        </w:rPr>
        <w:t> </w:t>
      </w:r>
      <w:r w:rsidRPr="00D136C6">
        <w:rPr>
          <w:rFonts w:ascii="Times New Roman" w:hAnsi="Times New Roman"/>
        </w:rPr>
        <w:t>r.</w:t>
      </w:r>
    </w:p>
  </w:footnote>
  <w:footnote w:id="5">
    <w:p w14:paraId="3952571D" w14:textId="5C22D5EB" w:rsidR="00615841" w:rsidRPr="00367A4A" w:rsidRDefault="00615841" w:rsidP="0062112F">
      <w:pPr>
        <w:pStyle w:val="FootnoteText"/>
        <w:keepLines/>
        <w:ind w:left="567" w:hanging="567"/>
        <w:jc w:val="both"/>
        <w:rPr>
          <w:rFonts w:ascii="Times New Roman" w:hAnsi="Times New Roman"/>
        </w:rPr>
      </w:pPr>
      <w:r>
        <w:rPr>
          <w:rStyle w:val="FootnoteReference"/>
          <w:rFonts w:ascii="Times New Roman" w:hAnsi="Times New Roman" w:cs="Times New Roman"/>
        </w:rPr>
        <w:footnoteRef/>
      </w:r>
      <w:r>
        <w:tab/>
      </w:r>
      <w:r w:rsidRPr="00367A4A">
        <w:rPr>
          <w:rFonts w:ascii="Times New Roman" w:hAnsi="Times New Roman"/>
        </w:rPr>
        <w:t>Zob. rezolucja Parlamentu Europejskiego 2018/2092(INI)</w:t>
      </w:r>
      <w:r w:rsidR="00D136C6" w:rsidRPr="00367A4A">
        <w:rPr>
          <w:rFonts w:ascii="Times New Roman" w:hAnsi="Times New Roman"/>
        </w:rPr>
        <w:t xml:space="preserve"> z</w:t>
      </w:r>
      <w:r w:rsidR="00D136C6">
        <w:rPr>
          <w:rFonts w:ascii="Times New Roman" w:hAnsi="Times New Roman"/>
        </w:rPr>
        <w:t> </w:t>
      </w:r>
      <w:r w:rsidR="00D136C6" w:rsidRPr="00367A4A">
        <w:rPr>
          <w:rFonts w:ascii="Times New Roman" w:hAnsi="Times New Roman"/>
        </w:rPr>
        <w:t>1</w:t>
      </w:r>
      <w:r w:rsidRPr="00367A4A">
        <w:rPr>
          <w:rFonts w:ascii="Times New Roman" w:hAnsi="Times New Roman"/>
        </w:rPr>
        <w:t>1.12.20</w:t>
      </w:r>
      <w:r w:rsidRPr="00D136C6">
        <w:rPr>
          <w:rFonts w:ascii="Times New Roman" w:hAnsi="Times New Roman"/>
        </w:rPr>
        <w:t>18</w:t>
      </w:r>
      <w:r w:rsidR="00D136C6" w:rsidRPr="00D136C6">
        <w:rPr>
          <w:rFonts w:ascii="Times New Roman" w:hAnsi="Times New Roman"/>
        </w:rPr>
        <w:t> </w:t>
      </w:r>
      <w:r w:rsidRPr="00D136C6">
        <w:rPr>
          <w:rFonts w:ascii="Times New Roman" w:hAnsi="Times New Roman"/>
        </w:rPr>
        <w:t>r.</w:t>
      </w:r>
      <w:r w:rsidR="00D136C6" w:rsidRPr="00367A4A">
        <w:rPr>
          <w:rFonts w:ascii="Times New Roman" w:hAnsi="Times New Roman"/>
        </w:rPr>
        <w:t xml:space="preserve"> i</w:t>
      </w:r>
      <w:r w:rsidR="00D136C6">
        <w:rPr>
          <w:rFonts w:ascii="Times New Roman" w:hAnsi="Times New Roman"/>
        </w:rPr>
        <w:t> </w:t>
      </w:r>
      <w:r w:rsidR="00D136C6" w:rsidRPr="00367A4A">
        <w:rPr>
          <w:rFonts w:ascii="Times New Roman" w:hAnsi="Times New Roman"/>
        </w:rPr>
        <w:t>naj</w:t>
      </w:r>
      <w:r w:rsidRPr="00367A4A">
        <w:rPr>
          <w:rFonts w:ascii="Times New Roman" w:hAnsi="Times New Roman"/>
        </w:rPr>
        <w:t>nowsza rezolucja 2022/2852 (RSP)</w:t>
      </w:r>
      <w:r w:rsidR="00D136C6" w:rsidRPr="00367A4A">
        <w:rPr>
          <w:rFonts w:ascii="Times New Roman" w:hAnsi="Times New Roman"/>
        </w:rPr>
        <w:t xml:space="preserve"> z</w:t>
      </w:r>
      <w:r w:rsidR="00D136C6">
        <w:rPr>
          <w:rFonts w:ascii="Times New Roman" w:hAnsi="Times New Roman"/>
        </w:rPr>
        <w:t> </w:t>
      </w:r>
      <w:r w:rsidR="00D136C6" w:rsidRPr="00367A4A">
        <w:rPr>
          <w:rFonts w:ascii="Times New Roman" w:hAnsi="Times New Roman"/>
        </w:rPr>
        <w:t>1</w:t>
      </w:r>
      <w:r w:rsidRPr="00367A4A">
        <w:rPr>
          <w:rFonts w:ascii="Times New Roman" w:hAnsi="Times New Roman"/>
        </w:rPr>
        <w:t>8.10.20</w:t>
      </w:r>
      <w:r w:rsidRPr="00D136C6">
        <w:rPr>
          <w:rFonts w:ascii="Times New Roman" w:hAnsi="Times New Roman"/>
        </w:rPr>
        <w:t>22</w:t>
      </w:r>
      <w:r w:rsidR="00D136C6" w:rsidRPr="00D136C6">
        <w:rPr>
          <w:rFonts w:ascii="Times New Roman" w:hAnsi="Times New Roman"/>
        </w:rPr>
        <w:t> </w:t>
      </w:r>
      <w:r w:rsidRPr="00D136C6">
        <w:rPr>
          <w:rFonts w:ascii="Times New Roman" w:hAnsi="Times New Roman"/>
        </w:rPr>
        <w:t>r.</w:t>
      </w:r>
      <w:r w:rsidRPr="00367A4A">
        <w:rPr>
          <w:rFonts w:ascii="Times New Roman" w:hAnsi="Times New Roman"/>
        </w:rPr>
        <w:t xml:space="preserve"> oraz głosowanie Parlamentu Europejskiego</w:t>
      </w:r>
      <w:r w:rsidR="00D136C6" w:rsidRPr="00367A4A">
        <w:rPr>
          <w:rFonts w:ascii="Times New Roman" w:hAnsi="Times New Roman"/>
        </w:rPr>
        <w:t xml:space="preserve"> z</w:t>
      </w:r>
      <w:r w:rsidR="00D136C6">
        <w:rPr>
          <w:rFonts w:ascii="Times New Roman" w:hAnsi="Times New Roman"/>
        </w:rPr>
        <w:t> </w:t>
      </w:r>
      <w:r w:rsidR="00D136C6" w:rsidRPr="00367A4A">
        <w:rPr>
          <w:rFonts w:ascii="Times New Roman" w:hAnsi="Times New Roman"/>
        </w:rPr>
        <w:t>1</w:t>
      </w:r>
      <w:r w:rsidRPr="00367A4A">
        <w:rPr>
          <w:rFonts w:ascii="Times New Roman" w:hAnsi="Times New Roman"/>
        </w:rPr>
        <w:t>0.11.20</w:t>
      </w:r>
      <w:r w:rsidRPr="00D136C6">
        <w:rPr>
          <w:rFonts w:ascii="Times New Roman" w:hAnsi="Times New Roman"/>
        </w:rPr>
        <w:t>22</w:t>
      </w:r>
      <w:r w:rsidR="00D136C6" w:rsidRPr="00D136C6">
        <w:rPr>
          <w:rFonts w:ascii="Times New Roman" w:hAnsi="Times New Roman"/>
        </w:rPr>
        <w:t> </w:t>
      </w:r>
      <w:r w:rsidRPr="00D136C6">
        <w:rPr>
          <w:rFonts w:ascii="Times New Roman" w:hAnsi="Times New Roman"/>
        </w:rPr>
        <w:t>r.</w:t>
      </w:r>
      <w:r w:rsidRPr="00367A4A">
        <w:rPr>
          <w:rFonts w:ascii="Times New Roman" w:hAnsi="Times New Roman"/>
        </w:rPr>
        <w:t xml:space="preserve"> za przystąpieniem Chorwacji do strefy Schengen.</w:t>
      </w:r>
    </w:p>
  </w:footnote>
  <w:footnote w:id="6">
    <w:p w14:paraId="26E4C8CE" w14:textId="66959373"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Zgodnie</w:t>
      </w:r>
      <w:r w:rsidR="00D136C6">
        <w:rPr>
          <w:rFonts w:ascii="Times New Roman" w:hAnsi="Times New Roman"/>
        </w:rPr>
        <w:t xml:space="preserve"> z </w:t>
      </w:r>
      <w:r w:rsidR="00D136C6" w:rsidRPr="00D136C6">
        <w:rPr>
          <w:rFonts w:ascii="Times New Roman" w:hAnsi="Times New Roman"/>
        </w:rPr>
        <w:t>art</w:t>
      </w:r>
      <w:r w:rsidRPr="00D136C6">
        <w:rPr>
          <w:rFonts w:ascii="Times New Roman" w:hAnsi="Times New Roman"/>
        </w:rPr>
        <w:t>.</w:t>
      </w:r>
      <w:r w:rsidR="00D136C6" w:rsidRPr="00D136C6">
        <w:rPr>
          <w:rFonts w:ascii="Times New Roman" w:hAnsi="Times New Roman"/>
        </w:rPr>
        <w:t> </w:t>
      </w:r>
      <w:r w:rsidRPr="00D136C6">
        <w:rPr>
          <w:rFonts w:ascii="Times New Roman" w:hAnsi="Times New Roman"/>
        </w:rPr>
        <w:t>4</w:t>
      </w:r>
      <w:r>
        <w:rPr>
          <w:rFonts w:ascii="Times New Roman" w:hAnsi="Times New Roman"/>
        </w:rPr>
        <w:t xml:space="preserve"> </w:t>
      </w:r>
      <w:r w:rsidRPr="00D136C6">
        <w:rPr>
          <w:rFonts w:ascii="Times New Roman" w:hAnsi="Times New Roman"/>
        </w:rPr>
        <w:t>ust.</w:t>
      </w:r>
      <w:r w:rsidR="00D136C6" w:rsidRPr="00D136C6">
        <w:rPr>
          <w:rFonts w:ascii="Times New Roman" w:hAnsi="Times New Roman"/>
        </w:rPr>
        <w:t> </w:t>
      </w:r>
      <w:r w:rsidRPr="00D136C6">
        <w:rPr>
          <w:rFonts w:ascii="Times New Roman" w:hAnsi="Times New Roman"/>
        </w:rPr>
        <w:t>1</w:t>
      </w:r>
      <w:r w:rsidR="00D136C6">
        <w:rPr>
          <w:rFonts w:ascii="Times New Roman" w:hAnsi="Times New Roman"/>
        </w:rPr>
        <w:t xml:space="preserve"> i 2</w:t>
      </w:r>
      <w:r>
        <w:rPr>
          <w:rFonts w:ascii="Times New Roman" w:hAnsi="Times New Roman"/>
        </w:rPr>
        <w:t xml:space="preserve"> Aktu przystąpienia</w:t>
      </w:r>
      <w:r w:rsidR="00D136C6">
        <w:rPr>
          <w:rFonts w:ascii="Times New Roman" w:hAnsi="Times New Roman"/>
        </w:rPr>
        <w:t xml:space="preserve"> z 2</w:t>
      </w:r>
      <w:r>
        <w:rPr>
          <w:rFonts w:ascii="Times New Roman" w:hAnsi="Times New Roman"/>
        </w:rPr>
        <w:t>0</w:t>
      </w:r>
      <w:r w:rsidRPr="00D136C6">
        <w:rPr>
          <w:rFonts w:ascii="Times New Roman" w:hAnsi="Times New Roman"/>
        </w:rPr>
        <w:t>05</w:t>
      </w:r>
      <w:r w:rsidR="00D136C6" w:rsidRPr="00D136C6">
        <w:rPr>
          <w:rFonts w:ascii="Times New Roman" w:hAnsi="Times New Roman"/>
        </w:rPr>
        <w:t> </w:t>
      </w:r>
      <w:r w:rsidRPr="00D136C6">
        <w:rPr>
          <w:rFonts w:ascii="Times New Roman" w:hAnsi="Times New Roman"/>
        </w:rPr>
        <w:t>r.</w:t>
      </w:r>
      <w:r>
        <w:rPr>
          <w:rFonts w:ascii="Times New Roman" w:hAnsi="Times New Roman"/>
        </w:rPr>
        <w:t xml:space="preserve"> Bułgaria</w:t>
      </w:r>
      <w:r w:rsidR="00D136C6">
        <w:rPr>
          <w:rFonts w:ascii="Times New Roman" w:hAnsi="Times New Roman"/>
        </w:rPr>
        <w:t xml:space="preserve"> i Rum</w:t>
      </w:r>
      <w:r>
        <w:rPr>
          <w:rFonts w:ascii="Times New Roman" w:hAnsi="Times New Roman"/>
        </w:rPr>
        <w:t>unia nie stosują jeszcze tych przepisów dorobku Schengen włączonych</w:t>
      </w:r>
      <w:r w:rsidR="00D136C6">
        <w:rPr>
          <w:rFonts w:ascii="Times New Roman" w:hAnsi="Times New Roman"/>
        </w:rPr>
        <w:t xml:space="preserve"> w ram</w:t>
      </w:r>
      <w:r>
        <w:rPr>
          <w:rFonts w:ascii="Times New Roman" w:hAnsi="Times New Roman"/>
        </w:rPr>
        <w:t>y Unii Europejskiej oraz aktów na nim opartych lub</w:t>
      </w:r>
      <w:r w:rsidR="00D136C6">
        <w:rPr>
          <w:rFonts w:ascii="Times New Roman" w:hAnsi="Times New Roman"/>
        </w:rPr>
        <w:t xml:space="preserve"> w inn</w:t>
      </w:r>
      <w:r>
        <w:rPr>
          <w:rFonts w:ascii="Times New Roman" w:hAnsi="Times New Roman"/>
        </w:rPr>
        <w:t>y sposób</w:t>
      </w:r>
      <w:r w:rsidR="00D136C6">
        <w:rPr>
          <w:rFonts w:ascii="Times New Roman" w:hAnsi="Times New Roman"/>
        </w:rPr>
        <w:t xml:space="preserve"> z nim</w:t>
      </w:r>
      <w:r>
        <w:rPr>
          <w:rFonts w:ascii="Times New Roman" w:hAnsi="Times New Roman"/>
        </w:rPr>
        <w:t xml:space="preserve"> związanych, które nie są częścią Protokołu </w:t>
      </w:r>
      <w:r w:rsidRPr="00D136C6">
        <w:rPr>
          <w:rFonts w:ascii="Times New Roman" w:hAnsi="Times New Roman"/>
        </w:rPr>
        <w:t>nr</w:t>
      </w:r>
      <w:r w:rsidR="00D136C6" w:rsidRPr="00D136C6">
        <w:rPr>
          <w:rFonts w:ascii="Times New Roman" w:hAnsi="Times New Roman"/>
        </w:rPr>
        <w:t> </w:t>
      </w:r>
      <w:r w:rsidRPr="00D136C6">
        <w:rPr>
          <w:rFonts w:ascii="Times New Roman" w:hAnsi="Times New Roman"/>
        </w:rPr>
        <w:t>1</w:t>
      </w:r>
      <w:r>
        <w:rPr>
          <w:rFonts w:ascii="Times New Roman" w:hAnsi="Times New Roman"/>
        </w:rPr>
        <w:t>7 do konstytucji dotyczącej dorobku Schengen lub</w:t>
      </w:r>
      <w:r w:rsidR="00D136C6">
        <w:rPr>
          <w:rFonts w:ascii="Times New Roman" w:hAnsi="Times New Roman"/>
        </w:rPr>
        <w:t xml:space="preserve"> w inn</w:t>
      </w:r>
      <w:r>
        <w:rPr>
          <w:rFonts w:ascii="Times New Roman" w:hAnsi="Times New Roman"/>
        </w:rPr>
        <w:t>y sposób</w:t>
      </w:r>
      <w:r w:rsidR="00D136C6">
        <w:rPr>
          <w:rFonts w:ascii="Times New Roman" w:hAnsi="Times New Roman"/>
        </w:rPr>
        <w:t xml:space="preserve"> z nim</w:t>
      </w:r>
      <w:r>
        <w:rPr>
          <w:rFonts w:ascii="Times New Roman" w:hAnsi="Times New Roman"/>
        </w:rPr>
        <w:t xml:space="preserve"> związanych</w:t>
      </w:r>
      <w:r w:rsidR="00D136C6">
        <w:rPr>
          <w:rFonts w:ascii="Times New Roman" w:hAnsi="Times New Roman"/>
        </w:rPr>
        <w:t xml:space="preserve"> i któ</w:t>
      </w:r>
      <w:r>
        <w:rPr>
          <w:rFonts w:ascii="Times New Roman" w:hAnsi="Times New Roman"/>
        </w:rPr>
        <w:t>re zostały wymienione</w:t>
      </w:r>
      <w:r w:rsidR="00D136C6">
        <w:rPr>
          <w:rFonts w:ascii="Times New Roman" w:hAnsi="Times New Roman"/>
        </w:rPr>
        <w:t xml:space="preserve"> w zał</w:t>
      </w:r>
      <w:r>
        <w:rPr>
          <w:rFonts w:ascii="Times New Roman" w:hAnsi="Times New Roman"/>
        </w:rPr>
        <w:t>ączniku II do Aktu przystąpienia</w:t>
      </w:r>
      <w:r w:rsidR="00D136C6">
        <w:rPr>
          <w:rFonts w:ascii="Times New Roman" w:hAnsi="Times New Roman"/>
        </w:rPr>
        <w:t xml:space="preserve"> z 2</w:t>
      </w:r>
      <w:r>
        <w:rPr>
          <w:rFonts w:ascii="Times New Roman" w:hAnsi="Times New Roman"/>
        </w:rPr>
        <w:t>0</w:t>
      </w:r>
      <w:r w:rsidRPr="00D136C6">
        <w:rPr>
          <w:rFonts w:ascii="Times New Roman" w:hAnsi="Times New Roman"/>
        </w:rPr>
        <w:t>05</w:t>
      </w:r>
      <w:r w:rsidR="00D136C6" w:rsidRPr="00D136C6">
        <w:rPr>
          <w:rFonts w:ascii="Times New Roman" w:hAnsi="Times New Roman"/>
        </w:rPr>
        <w:t> </w:t>
      </w:r>
      <w:r w:rsidRPr="00D136C6">
        <w:rPr>
          <w:rFonts w:ascii="Times New Roman" w:hAnsi="Times New Roman"/>
        </w:rPr>
        <w:t>r.</w:t>
      </w:r>
      <w:r>
        <w:rPr>
          <w:rFonts w:ascii="Times New Roman" w:hAnsi="Times New Roman"/>
        </w:rPr>
        <w:t xml:space="preserve"> Od czasu zakończenia ocen</w:t>
      </w:r>
      <w:r w:rsidR="00D136C6">
        <w:rPr>
          <w:rFonts w:ascii="Times New Roman" w:hAnsi="Times New Roman"/>
        </w:rPr>
        <w:t xml:space="preserve"> w 2</w:t>
      </w:r>
      <w:r>
        <w:rPr>
          <w:rFonts w:ascii="Times New Roman" w:hAnsi="Times New Roman"/>
        </w:rPr>
        <w:t>0</w:t>
      </w:r>
      <w:r w:rsidRPr="00D136C6">
        <w:rPr>
          <w:rFonts w:ascii="Times New Roman" w:hAnsi="Times New Roman"/>
        </w:rPr>
        <w:t>11</w:t>
      </w:r>
      <w:r w:rsidR="00D136C6" w:rsidRPr="00D136C6">
        <w:rPr>
          <w:rFonts w:ascii="Times New Roman" w:hAnsi="Times New Roman"/>
        </w:rPr>
        <w:t> </w:t>
      </w:r>
      <w:r w:rsidRPr="00D136C6">
        <w:rPr>
          <w:rFonts w:ascii="Times New Roman" w:hAnsi="Times New Roman"/>
        </w:rPr>
        <w:t>r.</w:t>
      </w:r>
      <w:r>
        <w:rPr>
          <w:rFonts w:ascii="Times New Roman" w:hAnsi="Times New Roman"/>
        </w:rPr>
        <w:t xml:space="preserve"> Bułgaria</w:t>
      </w:r>
      <w:r w:rsidR="00D136C6">
        <w:rPr>
          <w:rFonts w:ascii="Times New Roman" w:hAnsi="Times New Roman"/>
        </w:rPr>
        <w:t xml:space="preserve"> i Rum</w:t>
      </w:r>
      <w:r>
        <w:rPr>
          <w:rFonts w:ascii="Times New Roman" w:hAnsi="Times New Roman"/>
        </w:rPr>
        <w:t>unia aktywnie uczestniczyły jednak</w:t>
      </w:r>
      <w:r w:rsidR="00D136C6">
        <w:rPr>
          <w:rFonts w:ascii="Times New Roman" w:hAnsi="Times New Roman"/>
        </w:rPr>
        <w:t xml:space="preserve"> w roz</w:t>
      </w:r>
      <w:r>
        <w:rPr>
          <w:rFonts w:ascii="Times New Roman" w:hAnsi="Times New Roman"/>
        </w:rPr>
        <w:t>woju dorobku Schengen.</w:t>
      </w:r>
    </w:p>
  </w:footnote>
  <w:footnote w:id="7">
    <w:p w14:paraId="31F85570" w14:textId="2F242038" w:rsidR="00274821" w:rsidRPr="00367A4A" w:rsidRDefault="00274821" w:rsidP="001A10FF">
      <w:pPr>
        <w:pStyle w:val="FootnoteText"/>
        <w:ind w:left="567" w:hanging="567"/>
        <w:jc w:val="both"/>
        <w:rPr>
          <w:rFonts w:ascii="Times New Roman" w:hAnsi="Times New Roman"/>
        </w:rPr>
      </w:pPr>
      <w:r>
        <w:rPr>
          <w:rStyle w:val="FootnoteReference"/>
          <w:rFonts w:ascii="Times New Roman" w:hAnsi="Times New Roman" w:cs="Times New Roman"/>
        </w:rPr>
        <w:footnoteRef/>
      </w:r>
      <w:r>
        <w:tab/>
      </w:r>
      <w:r w:rsidRPr="00367A4A">
        <w:rPr>
          <w:rFonts w:ascii="Times New Roman" w:hAnsi="Times New Roman"/>
        </w:rPr>
        <w:t>Rozporządzenie Rady (UE) 2022/922</w:t>
      </w:r>
      <w:r w:rsidR="00D136C6" w:rsidRPr="00367A4A">
        <w:rPr>
          <w:rFonts w:ascii="Times New Roman" w:hAnsi="Times New Roman"/>
        </w:rPr>
        <w:t xml:space="preserve"> z</w:t>
      </w:r>
      <w:r w:rsidR="00D136C6">
        <w:rPr>
          <w:rFonts w:ascii="Times New Roman" w:hAnsi="Times New Roman"/>
        </w:rPr>
        <w:t> </w:t>
      </w:r>
      <w:r w:rsidR="00D136C6" w:rsidRPr="00367A4A">
        <w:rPr>
          <w:rFonts w:ascii="Times New Roman" w:hAnsi="Times New Roman"/>
        </w:rPr>
        <w:t>dni</w:t>
      </w:r>
      <w:r w:rsidRPr="00367A4A">
        <w:rPr>
          <w:rFonts w:ascii="Times New Roman" w:hAnsi="Times New Roman"/>
        </w:rPr>
        <w:t>a 9 czerwca 20</w:t>
      </w:r>
      <w:r w:rsidRPr="00D136C6">
        <w:rPr>
          <w:rFonts w:ascii="Times New Roman" w:hAnsi="Times New Roman"/>
        </w:rPr>
        <w:t>22</w:t>
      </w:r>
      <w:r w:rsidR="00D136C6" w:rsidRPr="00D136C6">
        <w:rPr>
          <w:rFonts w:ascii="Times New Roman" w:hAnsi="Times New Roman"/>
        </w:rPr>
        <w:t> </w:t>
      </w:r>
      <w:r w:rsidRPr="00D136C6">
        <w:rPr>
          <w:rFonts w:ascii="Times New Roman" w:hAnsi="Times New Roman"/>
        </w:rPr>
        <w:t>r.</w:t>
      </w:r>
      <w:r w:rsidR="00D136C6" w:rsidRPr="00367A4A">
        <w:rPr>
          <w:rFonts w:ascii="Times New Roman" w:hAnsi="Times New Roman"/>
        </w:rPr>
        <w:t xml:space="preserve"> w</w:t>
      </w:r>
      <w:r w:rsidR="00D136C6">
        <w:rPr>
          <w:rFonts w:ascii="Times New Roman" w:hAnsi="Times New Roman"/>
        </w:rPr>
        <w:t> </w:t>
      </w:r>
      <w:r w:rsidR="00D136C6" w:rsidRPr="00367A4A">
        <w:rPr>
          <w:rFonts w:ascii="Times New Roman" w:hAnsi="Times New Roman"/>
        </w:rPr>
        <w:t>spr</w:t>
      </w:r>
      <w:r w:rsidRPr="00367A4A">
        <w:rPr>
          <w:rFonts w:ascii="Times New Roman" w:hAnsi="Times New Roman"/>
        </w:rPr>
        <w:t>awie ustanowienia</w:t>
      </w:r>
      <w:r w:rsidR="00D136C6" w:rsidRPr="00367A4A">
        <w:rPr>
          <w:rFonts w:ascii="Times New Roman" w:hAnsi="Times New Roman"/>
        </w:rPr>
        <w:t xml:space="preserve"> i</w:t>
      </w:r>
      <w:r w:rsidR="00D136C6">
        <w:rPr>
          <w:rFonts w:ascii="Times New Roman" w:hAnsi="Times New Roman"/>
        </w:rPr>
        <w:t> </w:t>
      </w:r>
      <w:r w:rsidR="00D136C6" w:rsidRPr="00367A4A">
        <w:rPr>
          <w:rFonts w:ascii="Times New Roman" w:hAnsi="Times New Roman"/>
        </w:rPr>
        <w:t>fun</w:t>
      </w:r>
      <w:r w:rsidRPr="00367A4A">
        <w:rPr>
          <w:rFonts w:ascii="Times New Roman" w:hAnsi="Times New Roman"/>
        </w:rPr>
        <w:t>kcjonowania mechanizmu oceny</w:t>
      </w:r>
      <w:r w:rsidR="00D136C6" w:rsidRPr="00367A4A">
        <w:rPr>
          <w:rFonts w:ascii="Times New Roman" w:hAnsi="Times New Roman"/>
        </w:rPr>
        <w:t xml:space="preserve"> i</w:t>
      </w:r>
      <w:r w:rsidR="00D136C6">
        <w:rPr>
          <w:rFonts w:ascii="Times New Roman" w:hAnsi="Times New Roman"/>
        </w:rPr>
        <w:t> </w:t>
      </w:r>
      <w:r w:rsidR="00D136C6" w:rsidRPr="00367A4A">
        <w:rPr>
          <w:rFonts w:ascii="Times New Roman" w:hAnsi="Times New Roman"/>
        </w:rPr>
        <w:t>mon</w:t>
      </w:r>
      <w:r w:rsidRPr="00367A4A">
        <w:rPr>
          <w:rFonts w:ascii="Times New Roman" w:hAnsi="Times New Roman"/>
        </w:rPr>
        <w:t>itorowania</w:t>
      </w:r>
      <w:r w:rsidR="00D136C6" w:rsidRPr="00367A4A">
        <w:rPr>
          <w:rFonts w:ascii="Times New Roman" w:hAnsi="Times New Roman"/>
        </w:rPr>
        <w:t xml:space="preserve"> w</w:t>
      </w:r>
      <w:r w:rsidR="00D136C6">
        <w:rPr>
          <w:rFonts w:ascii="Times New Roman" w:hAnsi="Times New Roman"/>
        </w:rPr>
        <w:t> </w:t>
      </w:r>
      <w:r w:rsidR="00D136C6" w:rsidRPr="00367A4A">
        <w:rPr>
          <w:rFonts w:ascii="Times New Roman" w:hAnsi="Times New Roman"/>
        </w:rPr>
        <w:t>cel</w:t>
      </w:r>
      <w:r w:rsidRPr="00367A4A">
        <w:rPr>
          <w:rFonts w:ascii="Times New Roman" w:hAnsi="Times New Roman"/>
        </w:rPr>
        <w:t>u weryfikacji stosowania dorobku Schengen oraz</w:t>
      </w:r>
      <w:r w:rsidR="00D136C6" w:rsidRPr="00367A4A">
        <w:rPr>
          <w:rFonts w:ascii="Times New Roman" w:hAnsi="Times New Roman"/>
        </w:rPr>
        <w:t xml:space="preserve"> w</w:t>
      </w:r>
      <w:r w:rsidR="00D136C6">
        <w:rPr>
          <w:rFonts w:ascii="Times New Roman" w:hAnsi="Times New Roman"/>
        </w:rPr>
        <w:t> </w:t>
      </w:r>
      <w:r w:rsidR="00D136C6" w:rsidRPr="00367A4A">
        <w:rPr>
          <w:rFonts w:ascii="Times New Roman" w:hAnsi="Times New Roman"/>
        </w:rPr>
        <w:t>spr</w:t>
      </w:r>
      <w:r w:rsidRPr="00367A4A">
        <w:rPr>
          <w:rFonts w:ascii="Times New Roman" w:hAnsi="Times New Roman"/>
        </w:rPr>
        <w:t xml:space="preserve">awie uchylenia rozporządzenia (UE) </w:t>
      </w:r>
      <w:r w:rsidRPr="00D136C6">
        <w:rPr>
          <w:rFonts w:ascii="Times New Roman" w:hAnsi="Times New Roman"/>
        </w:rPr>
        <w:t>nr</w:t>
      </w:r>
      <w:r w:rsidR="00D136C6" w:rsidRPr="00D136C6">
        <w:rPr>
          <w:rFonts w:ascii="Times New Roman" w:hAnsi="Times New Roman"/>
        </w:rPr>
        <w:t> </w:t>
      </w:r>
      <w:r w:rsidRPr="00D136C6">
        <w:rPr>
          <w:rFonts w:ascii="Times New Roman" w:hAnsi="Times New Roman"/>
        </w:rPr>
        <w:t>1</w:t>
      </w:r>
      <w:r w:rsidRPr="00367A4A">
        <w:rPr>
          <w:rFonts w:ascii="Times New Roman" w:hAnsi="Times New Roman"/>
        </w:rPr>
        <w:t>053/2013, Dz.U. L 160</w:t>
      </w:r>
      <w:r w:rsidR="00D136C6" w:rsidRPr="00367A4A">
        <w:rPr>
          <w:rFonts w:ascii="Times New Roman" w:hAnsi="Times New Roman"/>
        </w:rPr>
        <w:t xml:space="preserve"> z</w:t>
      </w:r>
      <w:r w:rsidR="00D136C6">
        <w:rPr>
          <w:rFonts w:ascii="Times New Roman" w:hAnsi="Times New Roman"/>
        </w:rPr>
        <w:t> </w:t>
      </w:r>
      <w:r w:rsidR="00D136C6" w:rsidRPr="00367A4A">
        <w:rPr>
          <w:rFonts w:ascii="Times New Roman" w:hAnsi="Times New Roman"/>
        </w:rPr>
        <w:t>1</w:t>
      </w:r>
      <w:r w:rsidRPr="00367A4A">
        <w:rPr>
          <w:rFonts w:ascii="Times New Roman" w:hAnsi="Times New Roman"/>
        </w:rPr>
        <w:t>5.6.2022, s. 1.</w:t>
      </w:r>
    </w:p>
  </w:footnote>
  <w:footnote w:id="8">
    <w:p w14:paraId="1EF271EC" w14:textId="1757EFB3" w:rsidR="00615841" w:rsidRPr="00ED596A" w:rsidRDefault="00615841" w:rsidP="000C7E31">
      <w:pPr>
        <w:pStyle w:val="FootnoteText"/>
        <w:keepLines/>
        <w:ind w:left="567" w:hanging="567"/>
        <w:jc w:val="both"/>
        <w:rPr>
          <w:rFonts w:ascii="Times New Roman" w:hAnsi="Times New Roman"/>
        </w:rPr>
      </w:pPr>
      <w:r>
        <w:rPr>
          <w:rStyle w:val="FootnoteReference"/>
          <w:rFonts w:ascii="Times New Roman" w:hAnsi="Times New Roman" w:cs="Times New Roman"/>
        </w:rPr>
        <w:footnoteRef/>
      </w:r>
      <w:r>
        <w:tab/>
      </w:r>
      <w:r w:rsidRPr="00ED596A">
        <w:rPr>
          <w:rFonts w:ascii="Times New Roman" w:hAnsi="Times New Roman"/>
        </w:rPr>
        <w:t xml:space="preserve">Art. 23 </w:t>
      </w:r>
      <w:r w:rsidRPr="00D136C6">
        <w:rPr>
          <w:rFonts w:ascii="Times New Roman" w:hAnsi="Times New Roman"/>
        </w:rPr>
        <w:t>ust.</w:t>
      </w:r>
      <w:r w:rsidR="00D136C6" w:rsidRPr="00D136C6">
        <w:rPr>
          <w:rFonts w:ascii="Times New Roman" w:hAnsi="Times New Roman"/>
        </w:rPr>
        <w:t> </w:t>
      </w:r>
      <w:r w:rsidRPr="00D136C6">
        <w:rPr>
          <w:rFonts w:ascii="Times New Roman" w:hAnsi="Times New Roman"/>
        </w:rPr>
        <w:t>6</w:t>
      </w:r>
      <w:r w:rsidRPr="00ED596A">
        <w:rPr>
          <w:rFonts w:ascii="Times New Roman" w:hAnsi="Times New Roman"/>
        </w:rPr>
        <w:t xml:space="preserve"> rozporządzenia Rady (UE) 2022/922</w:t>
      </w:r>
      <w:r w:rsidR="00D136C6" w:rsidRPr="00ED596A">
        <w:rPr>
          <w:rFonts w:ascii="Times New Roman" w:hAnsi="Times New Roman"/>
        </w:rPr>
        <w:t xml:space="preserve"> z</w:t>
      </w:r>
      <w:r w:rsidR="00D136C6">
        <w:rPr>
          <w:rFonts w:ascii="Times New Roman" w:hAnsi="Times New Roman"/>
        </w:rPr>
        <w:t> </w:t>
      </w:r>
      <w:r w:rsidR="00D136C6" w:rsidRPr="00ED596A">
        <w:rPr>
          <w:rFonts w:ascii="Times New Roman" w:hAnsi="Times New Roman"/>
        </w:rPr>
        <w:t>dni</w:t>
      </w:r>
      <w:r w:rsidRPr="00ED596A">
        <w:rPr>
          <w:rFonts w:ascii="Times New Roman" w:hAnsi="Times New Roman"/>
        </w:rPr>
        <w:t>a 9 czerwca 20</w:t>
      </w:r>
      <w:r w:rsidRPr="00D136C6">
        <w:rPr>
          <w:rFonts w:ascii="Times New Roman" w:hAnsi="Times New Roman"/>
        </w:rPr>
        <w:t>22</w:t>
      </w:r>
      <w:r w:rsidR="00D136C6" w:rsidRPr="00D136C6">
        <w:rPr>
          <w:rFonts w:ascii="Times New Roman" w:hAnsi="Times New Roman"/>
        </w:rPr>
        <w:t> </w:t>
      </w:r>
      <w:r w:rsidRPr="00D136C6">
        <w:rPr>
          <w:rFonts w:ascii="Times New Roman" w:hAnsi="Times New Roman"/>
        </w:rPr>
        <w:t>r.</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spr</w:t>
      </w:r>
      <w:r w:rsidRPr="00ED596A">
        <w:rPr>
          <w:rFonts w:ascii="Times New Roman" w:hAnsi="Times New Roman"/>
        </w:rPr>
        <w:t>awie ustanowienia</w:t>
      </w:r>
      <w:r w:rsidR="00D136C6" w:rsidRPr="00ED596A">
        <w:rPr>
          <w:rFonts w:ascii="Times New Roman" w:hAnsi="Times New Roman"/>
        </w:rPr>
        <w:t xml:space="preserve"> i</w:t>
      </w:r>
      <w:r w:rsidR="00D136C6">
        <w:rPr>
          <w:rFonts w:ascii="Times New Roman" w:hAnsi="Times New Roman"/>
        </w:rPr>
        <w:t> </w:t>
      </w:r>
      <w:r w:rsidR="00D136C6" w:rsidRPr="00ED596A">
        <w:rPr>
          <w:rFonts w:ascii="Times New Roman" w:hAnsi="Times New Roman"/>
        </w:rPr>
        <w:t>fun</w:t>
      </w:r>
      <w:r w:rsidRPr="00ED596A">
        <w:rPr>
          <w:rFonts w:ascii="Times New Roman" w:hAnsi="Times New Roman"/>
        </w:rPr>
        <w:t>kcjonowania mechanizmu oceny</w:t>
      </w:r>
      <w:r w:rsidR="00D136C6" w:rsidRPr="00ED596A">
        <w:rPr>
          <w:rFonts w:ascii="Times New Roman" w:hAnsi="Times New Roman"/>
        </w:rPr>
        <w:t xml:space="preserve"> i</w:t>
      </w:r>
      <w:r w:rsidR="00D136C6">
        <w:rPr>
          <w:rFonts w:ascii="Times New Roman" w:hAnsi="Times New Roman"/>
        </w:rPr>
        <w:t> </w:t>
      </w:r>
      <w:r w:rsidR="00D136C6" w:rsidRPr="00ED596A">
        <w:rPr>
          <w:rFonts w:ascii="Times New Roman" w:hAnsi="Times New Roman"/>
        </w:rPr>
        <w:t>mon</w:t>
      </w:r>
      <w:r w:rsidRPr="00ED596A">
        <w:rPr>
          <w:rFonts w:ascii="Times New Roman" w:hAnsi="Times New Roman"/>
        </w:rPr>
        <w:t>itorowania</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cel</w:t>
      </w:r>
      <w:r w:rsidRPr="00ED596A">
        <w:rPr>
          <w:rFonts w:ascii="Times New Roman" w:hAnsi="Times New Roman"/>
        </w:rPr>
        <w:t>u weryfikacji stosowania dorobku Schengen oraz</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spr</w:t>
      </w:r>
      <w:r w:rsidRPr="00ED596A">
        <w:rPr>
          <w:rFonts w:ascii="Times New Roman" w:hAnsi="Times New Roman"/>
        </w:rPr>
        <w:t xml:space="preserve">awie uchylenia rozporządzenia (UE) </w:t>
      </w:r>
      <w:r w:rsidRPr="00D136C6">
        <w:rPr>
          <w:rFonts w:ascii="Times New Roman" w:hAnsi="Times New Roman"/>
        </w:rPr>
        <w:t>nr</w:t>
      </w:r>
      <w:r w:rsidR="00D136C6" w:rsidRPr="00D136C6">
        <w:rPr>
          <w:rFonts w:ascii="Times New Roman" w:hAnsi="Times New Roman"/>
        </w:rPr>
        <w:t> </w:t>
      </w:r>
      <w:r w:rsidRPr="00D136C6">
        <w:rPr>
          <w:rFonts w:ascii="Times New Roman" w:hAnsi="Times New Roman"/>
        </w:rPr>
        <w:t>1</w:t>
      </w:r>
      <w:r w:rsidRPr="00ED596A">
        <w:rPr>
          <w:rFonts w:ascii="Times New Roman" w:hAnsi="Times New Roman"/>
        </w:rPr>
        <w:t>053/2013.</w:t>
      </w:r>
    </w:p>
  </w:footnote>
  <w:footnote w:id="9">
    <w:p w14:paraId="376E4891" w14:textId="07FE779F" w:rsidR="005F071A" w:rsidRPr="00ED596A" w:rsidRDefault="005F071A" w:rsidP="005F071A">
      <w:pPr>
        <w:pStyle w:val="FootnoteText"/>
        <w:keepLines/>
        <w:ind w:left="567" w:hanging="567"/>
        <w:jc w:val="both"/>
      </w:pPr>
      <w:r>
        <w:rPr>
          <w:rStyle w:val="FootnoteReference"/>
          <w:rFonts w:ascii="Times New Roman" w:hAnsi="Times New Roman" w:cs="Times New Roman"/>
        </w:rPr>
        <w:footnoteRef/>
      </w:r>
      <w:r>
        <w:tab/>
      </w:r>
      <w:r w:rsidRPr="00ED596A">
        <w:rPr>
          <w:rFonts w:ascii="Times New Roman" w:hAnsi="Times New Roman"/>
        </w:rPr>
        <w:t xml:space="preserve">Na podstawie </w:t>
      </w:r>
      <w:r w:rsidRPr="00D136C6">
        <w:rPr>
          <w:rFonts w:ascii="Times New Roman" w:hAnsi="Times New Roman"/>
        </w:rPr>
        <w:t>art.</w:t>
      </w:r>
      <w:r w:rsidR="00D136C6" w:rsidRPr="00D136C6">
        <w:rPr>
          <w:rFonts w:ascii="Times New Roman" w:hAnsi="Times New Roman"/>
        </w:rPr>
        <w:t> </w:t>
      </w:r>
      <w:r w:rsidRPr="00D136C6">
        <w:rPr>
          <w:rFonts w:ascii="Times New Roman" w:hAnsi="Times New Roman"/>
        </w:rPr>
        <w:t>4</w:t>
      </w:r>
      <w:r w:rsidRPr="00ED596A">
        <w:rPr>
          <w:rFonts w:ascii="Times New Roman" w:hAnsi="Times New Roman"/>
        </w:rPr>
        <w:t xml:space="preserve"> </w:t>
      </w:r>
      <w:r w:rsidRPr="00D136C6">
        <w:rPr>
          <w:rFonts w:ascii="Times New Roman" w:hAnsi="Times New Roman"/>
        </w:rPr>
        <w:t>ust.</w:t>
      </w:r>
      <w:r w:rsidR="00D136C6" w:rsidRPr="00D136C6">
        <w:rPr>
          <w:rFonts w:ascii="Times New Roman" w:hAnsi="Times New Roman"/>
        </w:rPr>
        <w:t> </w:t>
      </w:r>
      <w:r w:rsidRPr="00D136C6">
        <w:rPr>
          <w:rFonts w:ascii="Times New Roman" w:hAnsi="Times New Roman"/>
        </w:rPr>
        <w:t>2</w:t>
      </w:r>
      <w:r w:rsidRPr="00ED596A">
        <w:rPr>
          <w:rFonts w:ascii="Times New Roman" w:hAnsi="Times New Roman"/>
        </w:rPr>
        <w:t xml:space="preserve"> Aktu przystąpienia</w:t>
      </w:r>
      <w:r w:rsidR="00D136C6" w:rsidRPr="00ED596A">
        <w:rPr>
          <w:rFonts w:ascii="Times New Roman" w:hAnsi="Times New Roman"/>
        </w:rPr>
        <w:t xml:space="preserve"> z</w:t>
      </w:r>
      <w:r w:rsidR="00D136C6">
        <w:rPr>
          <w:rFonts w:ascii="Times New Roman" w:hAnsi="Times New Roman"/>
        </w:rPr>
        <w:t> </w:t>
      </w:r>
      <w:r w:rsidR="00D136C6" w:rsidRPr="00ED596A">
        <w:rPr>
          <w:rFonts w:ascii="Times New Roman" w:hAnsi="Times New Roman"/>
        </w:rPr>
        <w:t>2</w:t>
      </w:r>
      <w:r w:rsidRPr="00ED596A">
        <w:rPr>
          <w:rFonts w:ascii="Times New Roman" w:hAnsi="Times New Roman"/>
        </w:rPr>
        <w:t>0</w:t>
      </w:r>
      <w:r w:rsidRPr="00D136C6">
        <w:rPr>
          <w:rFonts w:ascii="Times New Roman" w:hAnsi="Times New Roman"/>
        </w:rPr>
        <w:t>05</w:t>
      </w:r>
      <w:r w:rsidR="00D136C6" w:rsidRPr="00D136C6">
        <w:rPr>
          <w:rFonts w:ascii="Times New Roman" w:hAnsi="Times New Roman"/>
        </w:rPr>
        <w:t> </w:t>
      </w:r>
      <w:r w:rsidRPr="00D136C6">
        <w:rPr>
          <w:rFonts w:ascii="Times New Roman" w:hAnsi="Times New Roman"/>
        </w:rPr>
        <w:t>r.</w:t>
      </w:r>
      <w:r w:rsidRPr="00ED596A">
        <w:rPr>
          <w:rFonts w:ascii="Times New Roman" w:hAnsi="Times New Roman"/>
        </w:rPr>
        <w:t xml:space="preserve"> oraz</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nas</w:t>
      </w:r>
      <w:r w:rsidRPr="00ED596A">
        <w:rPr>
          <w:rFonts w:ascii="Times New Roman" w:hAnsi="Times New Roman"/>
        </w:rPr>
        <w:t>tępstwie deklaracji</w:t>
      </w:r>
      <w:r w:rsidR="00D136C6" w:rsidRPr="00ED596A">
        <w:rPr>
          <w:rFonts w:ascii="Times New Roman" w:hAnsi="Times New Roman"/>
        </w:rPr>
        <w:t xml:space="preserve"> o</w:t>
      </w:r>
      <w:r w:rsidR="00D136C6">
        <w:rPr>
          <w:rFonts w:ascii="Times New Roman" w:hAnsi="Times New Roman"/>
        </w:rPr>
        <w:t> </w:t>
      </w:r>
      <w:r w:rsidR="00D136C6" w:rsidRPr="00ED596A">
        <w:rPr>
          <w:rFonts w:ascii="Times New Roman" w:hAnsi="Times New Roman"/>
        </w:rPr>
        <w:t>got</w:t>
      </w:r>
      <w:r w:rsidRPr="00ED596A">
        <w:rPr>
          <w:rFonts w:ascii="Times New Roman" w:hAnsi="Times New Roman"/>
        </w:rPr>
        <w:t>owości do rozpoczęcia procesu oceny stosowania dorobku Schengen złożonych przez Bułgarię</w:t>
      </w:r>
      <w:r w:rsidR="00D136C6" w:rsidRPr="00ED596A">
        <w:rPr>
          <w:rFonts w:ascii="Times New Roman" w:hAnsi="Times New Roman"/>
        </w:rPr>
        <w:t xml:space="preserve"> i</w:t>
      </w:r>
      <w:r w:rsidR="00D136C6">
        <w:rPr>
          <w:rFonts w:ascii="Times New Roman" w:hAnsi="Times New Roman"/>
        </w:rPr>
        <w:t> </w:t>
      </w:r>
      <w:r w:rsidR="00D136C6" w:rsidRPr="00ED596A">
        <w:rPr>
          <w:rFonts w:ascii="Times New Roman" w:hAnsi="Times New Roman"/>
        </w:rPr>
        <w:t>Rum</w:t>
      </w:r>
      <w:r w:rsidRPr="00ED596A">
        <w:rPr>
          <w:rFonts w:ascii="Times New Roman" w:hAnsi="Times New Roman"/>
        </w:rPr>
        <w:t>unię</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2</w:t>
      </w:r>
      <w:r w:rsidRPr="00ED596A">
        <w:rPr>
          <w:rFonts w:ascii="Times New Roman" w:hAnsi="Times New Roman"/>
        </w:rPr>
        <w:t>0</w:t>
      </w:r>
      <w:r w:rsidRPr="00D136C6">
        <w:rPr>
          <w:rFonts w:ascii="Times New Roman" w:hAnsi="Times New Roman"/>
        </w:rPr>
        <w:t>07</w:t>
      </w:r>
      <w:r w:rsidR="00D136C6" w:rsidRPr="00D136C6">
        <w:rPr>
          <w:rFonts w:ascii="Times New Roman" w:hAnsi="Times New Roman"/>
        </w:rPr>
        <w:t> </w:t>
      </w:r>
      <w:r w:rsidRPr="00D136C6">
        <w:rPr>
          <w:rFonts w:ascii="Times New Roman" w:hAnsi="Times New Roman"/>
        </w:rPr>
        <w:t>r.</w:t>
      </w:r>
      <w:r w:rsidR="00D136C6" w:rsidRPr="00ED596A">
        <w:rPr>
          <w:rFonts w:ascii="Times New Roman" w:hAnsi="Times New Roman"/>
        </w:rPr>
        <w:t xml:space="preserve"> i</w:t>
      </w:r>
      <w:r w:rsidR="00D136C6">
        <w:rPr>
          <w:rFonts w:ascii="Times New Roman" w:hAnsi="Times New Roman"/>
        </w:rPr>
        <w:t> </w:t>
      </w:r>
      <w:r w:rsidR="00D136C6" w:rsidRPr="00ED596A">
        <w:rPr>
          <w:rFonts w:ascii="Times New Roman" w:hAnsi="Times New Roman"/>
        </w:rPr>
        <w:t>2</w:t>
      </w:r>
      <w:r w:rsidRPr="00ED596A">
        <w:rPr>
          <w:rFonts w:ascii="Times New Roman" w:hAnsi="Times New Roman"/>
        </w:rPr>
        <w:t>0</w:t>
      </w:r>
      <w:r w:rsidRPr="00D136C6">
        <w:rPr>
          <w:rFonts w:ascii="Times New Roman" w:hAnsi="Times New Roman"/>
        </w:rPr>
        <w:t>08</w:t>
      </w:r>
      <w:r w:rsidR="00D136C6" w:rsidRPr="00D136C6">
        <w:rPr>
          <w:rFonts w:ascii="Times New Roman" w:hAnsi="Times New Roman"/>
        </w:rPr>
        <w:t> </w:t>
      </w:r>
      <w:r w:rsidRPr="00D136C6">
        <w:rPr>
          <w:rFonts w:ascii="Times New Roman" w:hAnsi="Times New Roman"/>
        </w:rPr>
        <w:t>r.</w:t>
      </w:r>
      <w:r w:rsidRPr="00ED596A">
        <w:rPr>
          <w:rFonts w:ascii="Times New Roman" w:hAnsi="Times New Roman"/>
        </w:rPr>
        <w:t xml:space="preserve"> (Rumunia: dokument Rady 10611/07</w:t>
      </w:r>
      <w:r w:rsidR="00D136C6" w:rsidRPr="00ED596A">
        <w:rPr>
          <w:rFonts w:ascii="Times New Roman" w:hAnsi="Times New Roman"/>
        </w:rPr>
        <w:t xml:space="preserve"> z</w:t>
      </w:r>
      <w:r w:rsidR="00D136C6">
        <w:rPr>
          <w:rFonts w:ascii="Times New Roman" w:hAnsi="Times New Roman"/>
        </w:rPr>
        <w:t> </w:t>
      </w:r>
      <w:r w:rsidR="00D136C6" w:rsidRPr="00ED596A">
        <w:rPr>
          <w:rFonts w:ascii="Times New Roman" w:hAnsi="Times New Roman"/>
        </w:rPr>
        <w:t>dni</w:t>
      </w:r>
      <w:r w:rsidRPr="00ED596A">
        <w:rPr>
          <w:rFonts w:ascii="Times New Roman" w:hAnsi="Times New Roman"/>
        </w:rPr>
        <w:t>a 8 czerwca 20</w:t>
      </w:r>
      <w:r w:rsidRPr="00D136C6">
        <w:rPr>
          <w:rFonts w:ascii="Times New Roman" w:hAnsi="Times New Roman"/>
        </w:rPr>
        <w:t>07</w:t>
      </w:r>
      <w:r w:rsidR="00D136C6" w:rsidRPr="00D136C6">
        <w:rPr>
          <w:rFonts w:ascii="Times New Roman" w:hAnsi="Times New Roman"/>
        </w:rPr>
        <w:t> </w:t>
      </w:r>
      <w:r w:rsidRPr="00D136C6">
        <w:rPr>
          <w:rFonts w:ascii="Times New Roman" w:hAnsi="Times New Roman"/>
        </w:rPr>
        <w:t>r.</w:t>
      </w:r>
      <w:r w:rsidRPr="00ED596A">
        <w:rPr>
          <w:rFonts w:ascii="Times New Roman" w:hAnsi="Times New Roman"/>
        </w:rPr>
        <w:t>; Bułgaria: dokument Rady 6145/08</w:t>
      </w:r>
      <w:r w:rsidR="00D136C6" w:rsidRPr="00ED596A">
        <w:rPr>
          <w:rFonts w:ascii="Times New Roman" w:hAnsi="Times New Roman"/>
        </w:rPr>
        <w:t xml:space="preserve"> z</w:t>
      </w:r>
      <w:r w:rsidR="00D136C6">
        <w:rPr>
          <w:rFonts w:ascii="Times New Roman" w:hAnsi="Times New Roman"/>
        </w:rPr>
        <w:t> </w:t>
      </w:r>
      <w:r w:rsidR="00D136C6" w:rsidRPr="00ED596A">
        <w:rPr>
          <w:rFonts w:ascii="Times New Roman" w:hAnsi="Times New Roman"/>
        </w:rPr>
        <w:t>dni</w:t>
      </w:r>
      <w:r w:rsidRPr="00ED596A">
        <w:rPr>
          <w:rFonts w:ascii="Times New Roman" w:hAnsi="Times New Roman"/>
        </w:rPr>
        <w:t>a 25 stycznia 20</w:t>
      </w:r>
      <w:r w:rsidRPr="00D136C6">
        <w:rPr>
          <w:rFonts w:ascii="Times New Roman" w:hAnsi="Times New Roman"/>
        </w:rPr>
        <w:t>08</w:t>
      </w:r>
      <w:r w:rsidR="00D136C6" w:rsidRPr="00D136C6">
        <w:rPr>
          <w:rFonts w:ascii="Times New Roman" w:hAnsi="Times New Roman"/>
        </w:rPr>
        <w:t> </w:t>
      </w:r>
      <w:r w:rsidRPr="00D136C6">
        <w:rPr>
          <w:rFonts w:ascii="Times New Roman" w:hAnsi="Times New Roman"/>
        </w:rPr>
        <w:t>r.</w:t>
      </w:r>
      <w:r w:rsidRPr="00ED596A">
        <w:rPr>
          <w:rFonts w:ascii="Times New Roman" w:hAnsi="Times New Roman"/>
        </w:rPr>
        <w:t>).</w:t>
      </w:r>
    </w:p>
  </w:footnote>
  <w:footnote w:id="10">
    <w:p w14:paraId="3DF74D33" w14:textId="2110AB4C" w:rsidR="00615841" w:rsidRPr="00ED596A" w:rsidRDefault="00615841" w:rsidP="0062112F">
      <w:pPr>
        <w:pStyle w:val="FootnoteText"/>
        <w:keepLines/>
        <w:tabs>
          <w:tab w:val="left" w:pos="1320"/>
        </w:tabs>
        <w:ind w:left="567" w:hanging="567"/>
        <w:jc w:val="both"/>
        <w:rPr>
          <w:rFonts w:ascii="Times New Roman" w:hAnsi="Times New Roman"/>
        </w:rPr>
      </w:pPr>
      <w:r>
        <w:rPr>
          <w:rStyle w:val="FootnoteReference"/>
          <w:rFonts w:ascii="Times New Roman" w:hAnsi="Times New Roman" w:cs="Times New Roman"/>
        </w:rPr>
        <w:footnoteRef/>
      </w:r>
      <w:r>
        <w:tab/>
      </w:r>
      <w:r w:rsidRPr="00ED596A">
        <w:rPr>
          <w:rFonts w:ascii="Times New Roman" w:hAnsi="Times New Roman"/>
        </w:rPr>
        <w:t>Konkluzje Rady</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spr</w:t>
      </w:r>
      <w:r w:rsidRPr="00ED596A">
        <w:rPr>
          <w:rFonts w:ascii="Times New Roman" w:hAnsi="Times New Roman"/>
        </w:rPr>
        <w:t>awie zakończenia procesu oceny dotyczącej stanu przygotowania Rumunii do wdrożenia wszystkich przepisów dorobku Schengen (dokument Rady 9166/11</w:t>
      </w:r>
      <w:r w:rsidR="00D136C6" w:rsidRPr="00ED596A">
        <w:rPr>
          <w:rFonts w:ascii="Times New Roman" w:hAnsi="Times New Roman"/>
        </w:rPr>
        <w:t xml:space="preserve"> z</w:t>
      </w:r>
      <w:r w:rsidR="00D136C6">
        <w:rPr>
          <w:rFonts w:ascii="Times New Roman" w:hAnsi="Times New Roman"/>
        </w:rPr>
        <w:t> </w:t>
      </w:r>
      <w:r w:rsidR="00D136C6" w:rsidRPr="00ED596A">
        <w:rPr>
          <w:rFonts w:ascii="Times New Roman" w:hAnsi="Times New Roman"/>
        </w:rPr>
        <w:t>dni</w:t>
      </w:r>
      <w:r w:rsidRPr="00ED596A">
        <w:rPr>
          <w:rFonts w:ascii="Times New Roman" w:hAnsi="Times New Roman"/>
        </w:rPr>
        <w:t>a 9 czerwca) oraz konkluzje Rady</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spr</w:t>
      </w:r>
      <w:r w:rsidRPr="00ED596A">
        <w:rPr>
          <w:rFonts w:ascii="Times New Roman" w:hAnsi="Times New Roman"/>
        </w:rPr>
        <w:t>awie zakończenia procesu oceny dotyczącej stanu przygotowania Bułgarii do wdrożenia wszystkich przepisów dorobku Schengen (dokument Rady 9167/11</w:t>
      </w:r>
      <w:r w:rsidR="00D136C6" w:rsidRPr="00ED596A">
        <w:rPr>
          <w:rFonts w:ascii="Times New Roman" w:hAnsi="Times New Roman"/>
        </w:rPr>
        <w:t xml:space="preserve"> z</w:t>
      </w:r>
      <w:r w:rsidR="00D136C6">
        <w:rPr>
          <w:rFonts w:ascii="Times New Roman" w:hAnsi="Times New Roman"/>
        </w:rPr>
        <w:t> </w:t>
      </w:r>
      <w:r w:rsidR="00D136C6" w:rsidRPr="00ED596A">
        <w:rPr>
          <w:rFonts w:ascii="Times New Roman" w:hAnsi="Times New Roman"/>
        </w:rPr>
        <w:t>dni</w:t>
      </w:r>
      <w:r w:rsidRPr="00ED596A">
        <w:rPr>
          <w:rFonts w:ascii="Times New Roman" w:hAnsi="Times New Roman"/>
        </w:rPr>
        <w:t>a 9 czerwca 20</w:t>
      </w:r>
      <w:r w:rsidRPr="00D136C6">
        <w:rPr>
          <w:rFonts w:ascii="Times New Roman" w:hAnsi="Times New Roman"/>
        </w:rPr>
        <w:t>11</w:t>
      </w:r>
      <w:r w:rsidR="00D136C6" w:rsidRPr="00D136C6">
        <w:rPr>
          <w:rFonts w:ascii="Times New Roman" w:hAnsi="Times New Roman"/>
        </w:rPr>
        <w:t> </w:t>
      </w:r>
      <w:r w:rsidRPr="00D136C6">
        <w:rPr>
          <w:rFonts w:ascii="Times New Roman" w:hAnsi="Times New Roman"/>
        </w:rPr>
        <w:t>r.</w:t>
      </w:r>
      <w:r w:rsidRPr="00ED596A">
        <w:rPr>
          <w:rFonts w:ascii="Times New Roman" w:hAnsi="Times New Roman"/>
        </w:rPr>
        <w:t>).</w:t>
      </w:r>
    </w:p>
  </w:footnote>
  <w:footnote w:id="11">
    <w:p w14:paraId="535971F8" w14:textId="55CDEA14" w:rsidR="00615841" w:rsidRPr="00ED596A" w:rsidRDefault="00615841" w:rsidP="003C3035">
      <w:pPr>
        <w:pStyle w:val="FootnoteText"/>
        <w:keepLines/>
        <w:ind w:left="567" w:hanging="567"/>
        <w:jc w:val="both"/>
        <w:rPr>
          <w:rFonts w:ascii="Times New Roman" w:hAnsi="Times New Roman"/>
        </w:rPr>
      </w:pPr>
      <w:r>
        <w:rPr>
          <w:rStyle w:val="FootnoteReference"/>
          <w:rFonts w:ascii="Times New Roman" w:hAnsi="Times New Roman" w:cs="Times New Roman"/>
        </w:rPr>
        <w:footnoteRef/>
      </w:r>
      <w:r>
        <w:tab/>
      </w:r>
      <w:r w:rsidRPr="00ED596A">
        <w:rPr>
          <w:rFonts w:ascii="Times New Roman" w:hAnsi="Times New Roman"/>
        </w:rPr>
        <w:t>Rezolucja legislacyjna Parlamentu Europejskiego</w:t>
      </w:r>
      <w:r w:rsidR="00D136C6" w:rsidRPr="00ED596A">
        <w:rPr>
          <w:rFonts w:ascii="Times New Roman" w:hAnsi="Times New Roman"/>
        </w:rPr>
        <w:t xml:space="preserve"> z</w:t>
      </w:r>
      <w:r w:rsidR="00D136C6">
        <w:rPr>
          <w:rFonts w:ascii="Times New Roman" w:hAnsi="Times New Roman"/>
        </w:rPr>
        <w:t> </w:t>
      </w:r>
      <w:r w:rsidR="00D136C6" w:rsidRPr="00ED596A">
        <w:rPr>
          <w:rFonts w:ascii="Times New Roman" w:hAnsi="Times New Roman"/>
        </w:rPr>
        <w:t>dni</w:t>
      </w:r>
      <w:r w:rsidRPr="00ED596A">
        <w:rPr>
          <w:rFonts w:ascii="Times New Roman" w:hAnsi="Times New Roman"/>
        </w:rPr>
        <w:t>a 8 czerwca 20</w:t>
      </w:r>
      <w:r w:rsidRPr="00D136C6">
        <w:rPr>
          <w:rFonts w:ascii="Times New Roman" w:hAnsi="Times New Roman"/>
        </w:rPr>
        <w:t>11</w:t>
      </w:r>
      <w:r w:rsidR="00D136C6" w:rsidRPr="00D136C6">
        <w:rPr>
          <w:rFonts w:ascii="Times New Roman" w:hAnsi="Times New Roman"/>
        </w:rPr>
        <w:t> </w:t>
      </w:r>
      <w:r w:rsidRPr="00D136C6">
        <w:rPr>
          <w:rFonts w:ascii="Times New Roman" w:hAnsi="Times New Roman"/>
        </w:rPr>
        <w:t>r.</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spr</w:t>
      </w:r>
      <w:r w:rsidRPr="00ED596A">
        <w:rPr>
          <w:rFonts w:ascii="Times New Roman" w:hAnsi="Times New Roman"/>
        </w:rPr>
        <w:t>awie projektu decyzji Rady</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spr</w:t>
      </w:r>
      <w:r w:rsidRPr="00ED596A">
        <w:rPr>
          <w:rFonts w:ascii="Times New Roman" w:hAnsi="Times New Roman"/>
        </w:rPr>
        <w:t>awie stosowania wszystkich przepisów dorobku Schengen</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Rep</w:t>
      </w:r>
      <w:r w:rsidRPr="00ED596A">
        <w:rPr>
          <w:rFonts w:ascii="Times New Roman" w:hAnsi="Times New Roman"/>
        </w:rPr>
        <w:t>ublice Bułgarii</w:t>
      </w:r>
      <w:r w:rsidR="00D136C6" w:rsidRPr="00ED596A">
        <w:rPr>
          <w:rFonts w:ascii="Times New Roman" w:hAnsi="Times New Roman"/>
        </w:rPr>
        <w:t xml:space="preserve"> i</w:t>
      </w:r>
      <w:r w:rsidR="00D136C6">
        <w:rPr>
          <w:rFonts w:ascii="Times New Roman" w:hAnsi="Times New Roman"/>
        </w:rPr>
        <w:t> </w:t>
      </w:r>
      <w:r w:rsidR="00D136C6" w:rsidRPr="00ED596A">
        <w:rPr>
          <w:rFonts w:ascii="Times New Roman" w:hAnsi="Times New Roman"/>
        </w:rPr>
        <w:t>w</w:t>
      </w:r>
      <w:r w:rsidR="00D136C6">
        <w:rPr>
          <w:rFonts w:ascii="Times New Roman" w:hAnsi="Times New Roman"/>
        </w:rPr>
        <w:t> </w:t>
      </w:r>
      <w:r w:rsidR="00D136C6" w:rsidRPr="00ED596A">
        <w:rPr>
          <w:rFonts w:ascii="Times New Roman" w:hAnsi="Times New Roman"/>
        </w:rPr>
        <w:t>Rum</w:t>
      </w:r>
      <w:r w:rsidRPr="00ED596A">
        <w:rPr>
          <w:rFonts w:ascii="Times New Roman" w:hAnsi="Times New Roman"/>
        </w:rPr>
        <w:t>unii (14142/2010 – C7-0369/2010 – 2010/0820(NLE)).</w:t>
      </w:r>
    </w:p>
  </w:footnote>
  <w:footnote w:id="12">
    <w:p w14:paraId="3587E38D" w14:textId="3D148410"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hyperlink r:id="rId1" w:history="1">
        <w:r w:rsidR="00ED596A">
          <w:rPr>
            <w:rStyle w:val="Hyperlink"/>
            <w:rFonts w:ascii="Times New Roman" w:hAnsi="Times New Roman"/>
          </w:rPr>
          <w:t>https://home-affairs.ec.europa.eu/bulgaria-and-romania-fact-finding-mission-report_en</w:t>
        </w:r>
      </w:hyperlink>
    </w:p>
  </w:footnote>
  <w:footnote w:id="13">
    <w:p w14:paraId="393171D6" w14:textId="1F7FB36B" w:rsidR="00615841" w:rsidRPr="00ED596A" w:rsidRDefault="00615841" w:rsidP="0062112F">
      <w:pPr>
        <w:pStyle w:val="FootnoteText"/>
        <w:keepLines/>
        <w:tabs>
          <w:tab w:val="left" w:pos="600"/>
        </w:tabs>
        <w:ind w:left="567" w:hanging="567"/>
        <w:jc w:val="both"/>
        <w:rPr>
          <w:rFonts w:ascii="Times New Roman" w:hAnsi="Times New Roman"/>
        </w:rPr>
      </w:pPr>
      <w:r>
        <w:rPr>
          <w:rStyle w:val="FootnoteReference"/>
          <w:rFonts w:ascii="Times New Roman" w:hAnsi="Times New Roman" w:cs="Times New Roman"/>
        </w:rPr>
        <w:footnoteRef/>
      </w:r>
      <w:r>
        <w:tab/>
      </w:r>
      <w:r>
        <w:tab/>
      </w:r>
      <w:r w:rsidRPr="00ED596A">
        <w:rPr>
          <w:rFonts w:ascii="Times New Roman" w:hAnsi="Times New Roman"/>
        </w:rPr>
        <w:t>Komunikat Komisji do Parlamentu Europejskiego</w:t>
      </w:r>
      <w:r w:rsidR="00D136C6" w:rsidRPr="00ED596A">
        <w:rPr>
          <w:rFonts w:ascii="Times New Roman" w:hAnsi="Times New Roman"/>
        </w:rPr>
        <w:t xml:space="preserve"> i</w:t>
      </w:r>
      <w:r w:rsidR="00D136C6">
        <w:rPr>
          <w:rFonts w:ascii="Times New Roman" w:hAnsi="Times New Roman"/>
        </w:rPr>
        <w:t> </w:t>
      </w:r>
      <w:r w:rsidR="00D136C6" w:rsidRPr="00ED596A">
        <w:rPr>
          <w:rFonts w:ascii="Times New Roman" w:hAnsi="Times New Roman"/>
        </w:rPr>
        <w:t>Rad</w:t>
      </w:r>
      <w:r w:rsidRPr="00ED596A">
        <w:rPr>
          <w:rFonts w:ascii="Times New Roman" w:hAnsi="Times New Roman"/>
        </w:rPr>
        <w:t>y</w:t>
      </w:r>
      <w:r w:rsidR="00D136C6" w:rsidRPr="00ED596A">
        <w:rPr>
          <w:rFonts w:ascii="Times New Roman" w:hAnsi="Times New Roman"/>
        </w:rPr>
        <w:t xml:space="preserve"> w</w:t>
      </w:r>
      <w:r w:rsidR="00D136C6">
        <w:rPr>
          <w:rFonts w:ascii="Times New Roman" w:hAnsi="Times New Roman"/>
        </w:rPr>
        <w:t> </w:t>
      </w:r>
      <w:r w:rsidR="00D136C6" w:rsidRPr="00ED596A">
        <w:rPr>
          <w:rFonts w:ascii="Times New Roman" w:hAnsi="Times New Roman"/>
        </w:rPr>
        <w:t>spr</w:t>
      </w:r>
      <w:r w:rsidRPr="00ED596A">
        <w:rPr>
          <w:rFonts w:ascii="Times New Roman" w:hAnsi="Times New Roman"/>
        </w:rPr>
        <w:t>awie weryfikacji pełnego stosowania dorobku Schengen przez Chorwację, (COM(2019) 497 final</w:t>
      </w:r>
      <w:r w:rsidR="00D136C6" w:rsidRPr="00ED596A">
        <w:rPr>
          <w:rFonts w:ascii="Times New Roman" w:hAnsi="Times New Roman"/>
        </w:rPr>
        <w:t xml:space="preserve"> z</w:t>
      </w:r>
      <w:r w:rsidR="00D136C6">
        <w:rPr>
          <w:rFonts w:ascii="Times New Roman" w:hAnsi="Times New Roman"/>
        </w:rPr>
        <w:t> </w:t>
      </w:r>
      <w:r w:rsidR="00D136C6" w:rsidRPr="00ED596A">
        <w:rPr>
          <w:rFonts w:ascii="Times New Roman" w:hAnsi="Times New Roman"/>
        </w:rPr>
        <w:t>dni</w:t>
      </w:r>
      <w:r w:rsidRPr="00ED596A">
        <w:rPr>
          <w:rFonts w:ascii="Times New Roman" w:hAnsi="Times New Roman"/>
        </w:rPr>
        <w:t>a 22 października 20</w:t>
      </w:r>
      <w:r w:rsidRPr="00D136C6">
        <w:rPr>
          <w:rFonts w:ascii="Times New Roman" w:hAnsi="Times New Roman"/>
        </w:rPr>
        <w:t>19</w:t>
      </w:r>
      <w:r w:rsidR="00D136C6" w:rsidRPr="00D136C6">
        <w:rPr>
          <w:rFonts w:ascii="Times New Roman" w:hAnsi="Times New Roman"/>
        </w:rPr>
        <w:t> </w:t>
      </w:r>
      <w:r w:rsidRPr="00D136C6">
        <w:rPr>
          <w:rFonts w:ascii="Times New Roman" w:hAnsi="Times New Roman"/>
        </w:rPr>
        <w:t>r.</w:t>
      </w:r>
      <w:r w:rsidRPr="00ED596A">
        <w:rPr>
          <w:rFonts w:ascii="Times New Roman" w:hAnsi="Times New Roman"/>
        </w:rPr>
        <w:t>).</w:t>
      </w:r>
    </w:p>
  </w:footnote>
  <w:footnote w:id="14">
    <w:p w14:paraId="38E901E0" w14:textId="372DDF62"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sidRPr="00ED596A">
        <w:rPr>
          <w:rFonts w:ascii="Times New Roman" w:hAnsi="Times New Roman" w:cs="Times New Roman"/>
        </w:rPr>
        <w:t>Konkluzje Rady</w:t>
      </w:r>
      <w:r w:rsidR="00D136C6" w:rsidRPr="00ED596A">
        <w:rPr>
          <w:rFonts w:ascii="Times New Roman" w:hAnsi="Times New Roman" w:cs="Times New Roman"/>
        </w:rPr>
        <w:t xml:space="preserve"> w</w:t>
      </w:r>
      <w:r w:rsidR="00D136C6">
        <w:rPr>
          <w:rFonts w:ascii="Times New Roman" w:hAnsi="Times New Roman" w:cs="Times New Roman"/>
        </w:rPr>
        <w:t> </w:t>
      </w:r>
      <w:r w:rsidR="00D136C6" w:rsidRPr="00ED596A">
        <w:rPr>
          <w:rFonts w:ascii="Times New Roman" w:hAnsi="Times New Roman" w:cs="Times New Roman"/>
        </w:rPr>
        <w:t>spr</w:t>
      </w:r>
      <w:r w:rsidRPr="00ED596A">
        <w:rPr>
          <w:rFonts w:ascii="Times New Roman" w:hAnsi="Times New Roman" w:cs="Times New Roman"/>
        </w:rPr>
        <w:t>awie spełnienia warunków niezbędnych do pełnego stosowania dorobku Schengen</w:t>
      </w:r>
      <w:r w:rsidR="00D136C6" w:rsidRPr="00ED596A">
        <w:rPr>
          <w:rFonts w:ascii="Times New Roman" w:hAnsi="Times New Roman" w:cs="Times New Roman"/>
        </w:rPr>
        <w:t xml:space="preserve"> w</w:t>
      </w:r>
      <w:r w:rsidR="00D136C6">
        <w:rPr>
          <w:rFonts w:ascii="Times New Roman" w:hAnsi="Times New Roman" w:cs="Times New Roman"/>
        </w:rPr>
        <w:t> </w:t>
      </w:r>
      <w:r w:rsidR="00D136C6" w:rsidRPr="00ED596A">
        <w:rPr>
          <w:rFonts w:ascii="Times New Roman" w:hAnsi="Times New Roman" w:cs="Times New Roman"/>
        </w:rPr>
        <w:t>Cho</w:t>
      </w:r>
      <w:r w:rsidRPr="00ED596A">
        <w:rPr>
          <w:rFonts w:ascii="Times New Roman" w:hAnsi="Times New Roman" w:cs="Times New Roman"/>
        </w:rPr>
        <w:t>rwacji (dokument Rady 14883/21</w:t>
      </w:r>
      <w:r w:rsidR="00D136C6" w:rsidRPr="00ED596A">
        <w:rPr>
          <w:rFonts w:ascii="Times New Roman" w:hAnsi="Times New Roman" w:cs="Times New Roman"/>
        </w:rPr>
        <w:t xml:space="preserve"> z</w:t>
      </w:r>
      <w:r w:rsidR="00D136C6">
        <w:rPr>
          <w:rFonts w:ascii="Times New Roman" w:hAnsi="Times New Roman" w:cs="Times New Roman"/>
        </w:rPr>
        <w:t> </w:t>
      </w:r>
      <w:r w:rsidR="00D136C6" w:rsidRPr="00ED596A">
        <w:rPr>
          <w:rFonts w:ascii="Times New Roman" w:hAnsi="Times New Roman" w:cs="Times New Roman"/>
        </w:rPr>
        <w:t>dni</w:t>
      </w:r>
      <w:r w:rsidRPr="00ED596A">
        <w:rPr>
          <w:rFonts w:ascii="Times New Roman" w:hAnsi="Times New Roman" w:cs="Times New Roman"/>
        </w:rPr>
        <w:t>a 9 grudnia 20</w:t>
      </w:r>
      <w:r w:rsidRPr="00D136C6">
        <w:rPr>
          <w:rFonts w:ascii="Times New Roman" w:hAnsi="Times New Roman" w:cs="Times New Roman"/>
        </w:rPr>
        <w:t>21</w:t>
      </w:r>
      <w:r w:rsidR="00D136C6" w:rsidRPr="00D136C6">
        <w:rPr>
          <w:rFonts w:ascii="Times New Roman" w:hAnsi="Times New Roman" w:cs="Times New Roman"/>
        </w:rPr>
        <w:t> </w:t>
      </w:r>
      <w:r w:rsidRPr="00D136C6">
        <w:rPr>
          <w:rFonts w:ascii="Times New Roman" w:hAnsi="Times New Roman" w:cs="Times New Roman"/>
        </w:rPr>
        <w:t>r.</w:t>
      </w:r>
      <w:r w:rsidRPr="00ED596A">
        <w:rPr>
          <w:rFonts w:ascii="Times New Roman" w:hAnsi="Times New Roman" w:cs="Times New Roman"/>
        </w:rPr>
        <w:t>)</w:t>
      </w:r>
      <w:r>
        <w:t>.</w:t>
      </w:r>
      <w:r>
        <w:rPr>
          <w:rFonts w:ascii="Times New Roman" w:hAnsi="Times New Roman"/>
        </w:rPr>
        <w:t xml:space="preserve"> </w:t>
      </w:r>
    </w:p>
  </w:footnote>
  <w:footnote w:id="15">
    <w:p w14:paraId="5DF9ADC3" w14:textId="33C8FB15"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sidRPr="00ED596A">
        <w:rPr>
          <w:rFonts w:ascii="Times New Roman" w:hAnsi="Times New Roman" w:cs="Times New Roman"/>
        </w:rPr>
        <w:t>Mechanizm wszedł</w:t>
      </w:r>
      <w:r w:rsidR="00D136C6" w:rsidRPr="00ED596A">
        <w:rPr>
          <w:rFonts w:ascii="Times New Roman" w:hAnsi="Times New Roman" w:cs="Times New Roman"/>
        </w:rPr>
        <w:t xml:space="preserve"> w</w:t>
      </w:r>
      <w:r w:rsidR="00D136C6">
        <w:rPr>
          <w:rFonts w:ascii="Times New Roman" w:hAnsi="Times New Roman" w:cs="Times New Roman"/>
        </w:rPr>
        <w:t> </w:t>
      </w:r>
      <w:r w:rsidR="00D136C6" w:rsidRPr="00ED596A">
        <w:rPr>
          <w:rFonts w:ascii="Times New Roman" w:hAnsi="Times New Roman" w:cs="Times New Roman"/>
        </w:rPr>
        <w:t>życ</w:t>
      </w:r>
      <w:r w:rsidRPr="00ED596A">
        <w:rPr>
          <w:rFonts w:ascii="Times New Roman" w:hAnsi="Times New Roman" w:cs="Times New Roman"/>
        </w:rPr>
        <w:t>ie 8 czerwca 20</w:t>
      </w:r>
      <w:r w:rsidRPr="00D136C6">
        <w:rPr>
          <w:rFonts w:ascii="Times New Roman" w:hAnsi="Times New Roman" w:cs="Times New Roman"/>
        </w:rPr>
        <w:t>21</w:t>
      </w:r>
      <w:r w:rsidR="00D136C6" w:rsidRPr="00D136C6">
        <w:rPr>
          <w:rFonts w:ascii="Times New Roman" w:hAnsi="Times New Roman" w:cs="Times New Roman"/>
        </w:rPr>
        <w:t> </w:t>
      </w:r>
      <w:r w:rsidRPr="00D136C6">
        <w:rPr>
          <w:rFonts w:ascii="Times New Roman" w:hAnsi="Times New Roman" w:cs="Times New Roman"/>
        </w:rPr>
        <w:t>r.</w:t>
      </w:r>
      <w:r w:rsidRPr="00ED596A">
        <w:rPr>
          <w:rFonts w:ascii="Times New Roman" w:hAnsi="Times New Roman" w:cs="Times New Roman"/>
        </w:rPr>
        <w:t xml:space="preserve"> na podstawie umowy między organami chorwackimi</w:t>
      </w:r>
      <w:r w:rsidR="00D136C6" w:rsidRPr="00ED596A">
        <w:rPr>
          <w:rFonts w:ascii="Times New Roman" w:hAnsi="Times New Roman" w:cs="Times New Roman"/>
        </w:rPr>
        <w:t xml:space="preserve"> i</w:t>
      </w:r>
      <w:r w:rsidR="00D136C6">
        <w:rPr>
          <w:rFonts w:ascii="Times New Roman" w:hAnsi="Times New Roman" w:cs="Times New Roman"/>
        </w:rPr>
        <w:t> </w:t>
      </w:r>
      <w:r w:rsidR="00D136C6" w:rsidRPr="00ED596A">
        <w:rPr>
          <w:rFonts w:ascii="Times New Roman" w:hAnsi="Times New Roman" w:cs="Times New Roman"/>
        </w:rPr>
        <w:t>zai</w:t>
      </w:r>
      <w:r w:rsidRPr="00ED596A">
        <w:rPr>
          <w:rFonts w:ascii="Times New Roman" w:hAnsi="Times New Roman" w:cs="Times New Roman"/>
        </w:rPr>
        <w:t>nteresowanymi stronami</w:t>
      </w:r>
      <w:r w:rsidR="00D136C6" w:rsidRPr="00ED596A">
        <w:rPr>
          <w:rFonts w:ascii="Times New Roman" w:hAnsi="Times New Roman" w:cs="Times New Roman"/>
        </w:rPr>
        <w:t xml:space="preserve"> z</w:t>
      </w:r>
      <w:r w:rsidR="00D136C6">
        <w:rPr>
          <w:rFonts w:ascii="Times New Roman" w:hAnsi="Times New Roman" w:cs="Times New Roman"/>
        </w:rPr>
        <w:t> </w:t>
      </w:r>
      <w:r w:rsidR="00D136C6" w:rsidRPr="00ED596A">
        <w:rPr>
          <w:rFonts w:ascii="Times New Roman" w:hAnsi="Times New Roman" w:cs="Times New Roman"/>
        </w:rPr>
        <w:t>Cho</w:t>
      </w:r>
      <w:r w:rsidRPr="00ED596A">
        <w:rPr>
          <w:rFonts w:ascii="Times New Roman" w:hAnsi="Times New Roman" w:cs="Times New Roman"/>
        </w:rPr>
        <w:t>rwacji.</w:t>
      </w:r>
    </w:p>
  </w:footnote>
  <w:footnote w:id="16">
    <w:p w14:paraId="4E8C054E" w14:textId="6FFB8332"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sidRPr="00ED596A">
        <w:rPr>
          <w:rFonts w:ascii="Times New Roman" w:hAnsi="Times New Roman" w:cs="Times New Roman"/>
        </w:rPr>
        <w:t>Wniosek dotyczący rozporządzenia Parlamentu Europejskiego</w:t>
      </w:r>
      <w:r w:rsidR="00D136C6" w:rsidRPr="00ED596A">
        <w:rPr>
          <w:rFonts w:ascii="Times New Roman" w:hAnsi="Times New Roman" w:cs="Times New Roman"/>
        </w:rPr>
        <w:t xml:space="preserve"> i</w:t>
      </w:r>
      <w:r w:rsidR="00D136C6">
        <w:rPr>
          <w:rFonts w:ascii="Times New Roman" w:hAnsi="Times New Roman" w:cs="Times New Roman"/>
        </w:rPr>
        <w:t> </w:t>
      </w:r>
      <w:r w:rsidR="00D136C6" w:rsidRPr="00ED596A">
        <w:rPr>
          <w:rFonts w:ascii="Times New Roman" w:hAnsi="Times New Roman" w:cs="Times New Roman"/>
        </w:rPr>
        <w:t>Rad</w:t>
      </w:r>
      <w:r w:rsidRPr="00ED596A">
        <w:rPr>
          <w:rFonts w:ascii="Times New Roman" w:hAnsi="Times New Roman" w:cs="Times New Roman"/>
        </w:rPr>
        <w:t xml:space="preserve">y wprowadzającego kontrolę przesiewową obywateli państw trzecich na granicach zewnętrznych oraz zmieniającego rozporządzenia (WE) </w:t>
      </w:r>
      <w:r w:rsidRPr="00D136C6">
        <w:rPr>
          <w:rFonts w:ascii="Times New Roman" w:hAnsi="Times New Roman" w:cs="Times New Roman"/>
        </w:rPr>
        <w:t>nr</w:t>
      </w:r>
      <w:r w:rsidR="00D136C6" w:rsidRPr="00D136C6">
        <w:rPr>
          <w:rFonts w:ascii="Times New Roman" w:hAnsi="Times New Roman" w:cs="Times New Roman"/>
        </w:rPr>
        <w:t> </w:t>
      </w:r>
      <w:r w:rsidRPr="00D136C6">
        <w:rPr>
          <w:rFonts w:ascii="Times New Roman" w:hAnsi="Times New Roman" w:cs="Times New Roman"/>
        </w:rPr>
        <w:t>7</w:t>
      </w:r>
      <w:r w:rsidRPr="00ED596A">
        <w:rPr>
          <w:rFonts w:ascii="Times New Roman" w:hAnsi="Times New Roman" w:cs="Times New Roman"/>
        </w:rPr>
        <w:t>67/2008, (UE) 2017/2226, (UE) 2018/1240 i (UE) 2019/817, COM(2020) 612 final.</w:t>
      </w:r>
    </w:p>
  </w:footnote>
  <w:footnote w:id="17">
    <w:p w14:paraId="6CB457A7" w14:textId="283B51A6" w:rsidR="00615841" w:rsidRPr="00ED596A"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sidRPr="00ED596A">
        <w:rPr>
          <w:rFonts w:ascii="Times New Roman" w:hAnsi="Times New Roman" w:cs="Times New Roman"/>
        </w:rPr>
        <w:t>Wniosek dotyczący rozporządzenia Parlamentu Europejskiego</w:t>
      </w:r>
      <w:r w:rsidR="00D136C6" w:rsidRPr="00ED596A">
        <w:rPr>
          <w:rFonts w:ascii="Times New Roman" w:hAnsi="Times New Roman" w:cs="Times New Roman"/>
        </w:rPr>
        <w:t xml:space="preserve"> i</w:t>
      </w:r>
      <w:r w:rsidR="00D136C6">
        <w:rPr>
          <w:rFonts w:ascii="Times New Roman" w:hAnsi="Times New Roman" w:cs="Times New Roman"/>
        </w:rPr>
        <w:t> </w:t>
      </w:r>
      <w:r w:rsidR="00D136C6" w:rsidRPr="00ED596A">
        <w:rPr>
          <w:rFonts w:ascii="Times New Roman" w:hAnsi="Times New Roman" w:cs="Times New Roman"/>
        </w:rPr>
        <w:t>Rad</w:t>
      </w:r>
      <w:r w:rsidRPr="00ED596A">
        <w:rPr>
          <w:rFonts w:ascii="Times New Roman" w:hAnsi="Times New Roman" w:cs="Times New Roman"/>
        </w:rPr>
        <w:t>y (UE) zmieniającego rozporządzenie (UE) 2016/399</w:t>
      </w:r>
      <w:r w:rsidR="00D136C6" w:rsidRPr="00ED596A">
        <w:rPr>
          <w:rFonts w:ascii="Times New Roman" w:hAnsi="Times New Roman" w:cs="Times New Roman"/>
        </w:rPr>
        <w:t xml:space="preserve"> w</w:t>
      </w:r>
      <w:r w:rsidR="00D136C6">
        <w:rPr>
          <w:rFonts w:ascii="Times New Roman" w:hAnsi="Times New Roman" w:cs="Times New Roman"/>
        </w:rPr>
        <w:t> </w:t>
      </w:r>
      <w:r w:rsidR="00D136C6" w:rsidRPr="00ED596A">
        <w:rPr>
          <w:rFonts w:ascii="Times New Roman" w:hAnsi="Times New Roman" w:cs="Times New Roman"/>
        </w:rPr>
        <w:t>spr</w:t>
      </w:r>
      <w:r w:rsidRPr="00ED596A">
        <w:rPr>
          <w:rFonts w:ascii="Times New Roman" w:hAnsi="Times New Roman" w:cs="Times New Roman"/>
        </w:rPr>
        <w:t>awie unijnego kodeksu zasad regulujących przepływ osób przez granice (COM(2021) 891 final</w:t>
      </w:r>
      <w:r w:rsidR="00D136C6" w:rsidRPr="00ED596A">
        <w:rPr>
          <w:rFonts w:ascii="Times New Roman" w:hAnsi="Times New Roman" w:cs="Times New Roman"/>
        </w:rPr>
        <w:t xml:space="preserve"> z</w:t>
      </w:r>
      <w:r w:rsidR="00D136C6">
        <w:rPr>
          <w:rFonts w:ascii="Times New Roman" w:hAnsi="Times New Roman" w:cs="Times New Roman"/>
        </w:rPr>
        <w:t> </w:t>
      </w:r>
      <w:r w:rsidR="00D136C6" w:rsidRPr="00ED596A">
        <w:rPr>
          <w:rFonts w:ascii="Times New Roman" w:hAnsi="Times New Roman" w:cs="Times New Roman"/>
        </w:rPr>
        <w:t>dni</w:t>
      </w:r>
      <w:r w:rsidRPr="00ED596A">
        <w:rPr>
          <w:rFonts w:ascii="Times New Roman" w:hAnsi="Times New Roman" w:cs="Times New Roman"/>
        </w:rPr>
        <w:t>a 14 grudnia 20</w:t>
      </w:r>
      <w:r w:rsidRPr="00D136C6">
        <w:rPr>
          <w:rFonts w:ascii="Times New Roman" w:hAnsi="Times New Roman" w:cs="Times New Roman"/>
        </w:rPr>
        <w:t>21</w:t>
      </w:r>
      <w:r w:rsidR="00D136C6" w:rsidRPr="00D136C6">
        <w:rPr>
          <w:rFonts w:ascii="Times New Roman" w:hAnsi="Times New Roman" w:cs="Times New Roman"/>
        </w:rPr>
        <w:t> </w:t>
      </w:r>
      <w:r w:rsidRPr="00D136C6">
        <w:rPr>
          <w:rFonts w:ascii="Times New Roman" w:hAnsi="Times New Roman" w:cs="Times New Roman"/>
        </w:rPr>
        <w:t>r.</w:t>
      </w:r>
      <w:r w:rsidRPr="00ED596A">
        <w:rPr>
          <w:rFonts w:ascii="Times New Roman" w:hAnsi="Times New Roman" w:cs="Times New Roman"/>
        </w:rPr>
        <w:t>).</w:t>
      </w:r>
    </w:p>
  </w:footnote>
  <w:footnote w:id="18">
    <w:p w14:paraId="5D938519" w14:textId="527F0B37"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 lipcu 20</w:t>
      </w:r>
      <w:r w:rsidRPr="00D136C6">
        <w:rPr>
          <w:rFonts w:ascii="Times New Roman" w:hAnsi="Times New Roman"/>
        </w:rPr>
        <w:t>21</w:t>
      </w:r>
      <w:r w:rsidR="00D136C6" w:rsidRPr="00D136C6">
        <w:rPr>
          <w:rFonts w:ascii="Times New Roman" w:hAnsi="Times New Roman"/>
        </w:rPr>
        <w:t> </w:t>
      </w:r>
      <w:r w:rsidRPr="00D136C6">
        <w:rPr>
          <w:rFonts w:ascii="Times New Roman" w:hAnsi="Times New Roman"/>
        </w:rPr>
        <w:t>r.</w:t>
      </w:r>
      <w:r>
        <w:rPr>
          <w:rFonts w:ascii="Times New Roman" w:hAnsi="Times New Roman"/>
        </w:rPr>
        <w:t xml:space="preserve"> Komisja przedstawiła wniosek</w:t>
      </w:r>
      <w:r w:rsidR="00D136C6">
        <w:rPr>
          <w:rFonts w:ascii="Times New Roman" w:hAnsi="Times New Roman"/>
        </w:rPr>
        <w:t xml:space="preserve"> o nał</w:t>
      </w:r>
      <w:r>
        <w:rPr>
          <w:rFonts w:ascii="Times New Roman" w:hAnsi="Times New Roman"/>
        </w:rPr>
        <w:t>ożenie ograniczeń wizowych na trzy państwa</w:t>
      </w:r>
      <w:r w:rsidRPr="00D136C6">
        <w:rPr>
          <w:rFonts w:ascii="Times New Roman" w:hAnsi="Times New Roman"/>
        </w:rPr>
        <w:t>:</w:t>
      </w:r>
      <w:r w:rsidR="00D136C6" w:rsidRPr="00D136C6">
        <w:rPr>
          <w:rFonts w:ascii="Times New Roman" w:hAnsi="Times New Roman"/>
        </w:rPr>
        <w:t xml:space="preserve"> </w:t>
      </w:r>
      <w:r w:rsidRPr="00D136C6">
        <w:rPr>
          <w:rFonts w:ascii="Times New Roman" w:hAnsi="Times New Roman"/>
        </w:rPr>
        <w:t>B</w:t>
      </w:r>
      <w:r>
        <w:rPr>
          <w:rFonts w:ascii="Times New Roman" w:hAnsi="Times New Roman"/>
        </w:rPr>
        <w:t>angladesz, Gambię</w:t>
      </w:r>
      <w:r w:rsidR="00D136C6">
        <w:rPr>
          <w:rFonts w:ascii="Times New Roman" w:hAnsi="Times New Roman"/>
        </w:rPr>
        <w:t xml:space="preserve"> i Ira</w:t>
      </w:r>
      <w:r>
        <w:rPr>
          <w:rFonts w:ascii="Times New Roman" w:hAnsi="Times New Roman"/>
        </w:rPr>
        <w:t>k</w:t>
      </w:r>
      <w:r w:rsidR="00D136C6">
        <w:rPr>
          <w:rFonts w:ascii="Times New Roman" w:hAnsi="Times New Roman"/>
        </w:rPr>
        <w:t>. W paź</w:t>
      </w:r>
      <w:r>
        <w:rPr>
          <w:rFonts w:ascii="Times New Roman" w:hAnsi="Times New Roman"/>
        </w:rPr>
        <w:t>dzierniku,</w:t>
      </w:r>
      <w:r w:rsidR="00D136C6">
        <w:rPr>
          <w:rFonts w:ascii="Times New Roman" w:hAnsi="Times New Roman"/>
        </w:rPr>
        <w:t xml:space="preserve"> w nas</w:t>
      </w:r>
      <w:r>
        <w:rPr>
          <w:rFonts w:ascii="Times New Roman" w:hAnsi="Times New Roman"/>
        </w:rPr>
        <w:t>tępstwie wniosku Komisji, Rada przyjęła środki wizowe wobec Gambii</w:t>
      </w:r>
      <w:r w:rsidR="00D136C6">
        <w:rPr>
          <w:rFonts w:ascii="Times New Roman" w:hAnsi="Times New Roman"/>
        </w:rPr>
        <w:t>. W lis</w:t>
      </w:r>
      <w:r>
        <w:rPr>
          <w:rFonts w:ascii="Times New Roman" w:hAnsi="Times New Roman"/>
        </w:rPr>
        <w:t>topadzie, ze względu na późniejszą poprawę współpracy</w:t>
      </w:r>
      <w:r w:rsidR="00D136C6">
        <w:rPr>
          <w:rFonts w:ascii="Times New Roman" w:hAnsi="Times New Roman"/>
        </w:rPr>
        <w:t xml:space="preserve"> z Ban</w:t>
      </w:r>
      <w:r>
        <w:rPr>
          <w:rFonts w:ascii="Times New Roman" w:hAnsi="Times New Roman"/>
        </w:rPr>
        <w:t>gladeszem, Rada postanowiła nie podejmować działań</w:t>
      </w:r>
      <w:r w:rsidR="00D136C6">
        <w:rPr>
          <w:rFonts w:ascii="Times New Roman" w:hAnsi="Times New Roman"/>
        </w:rPr>
        <w:t xml:space="preserve"> w zwi</w:t>
      </w:r>
      <w:r>
        <w:rPr>
          <w:rFonts w:ascii="Times New Roman" w:hAnsi="Times New Roman"/>
        </w:rPr>
        <w:t>ązku</w:t>
      </w:r>
      <w:r w:rsidR="00D136C6">
        <w:rPr>
          <w:rFonts w:ascii="Times New Roman" w:hAnsi="Times New Roman"/>
        </w:rPr>
        <w:t xml:space="preserve"> z wni</w:t>
      </w:r>
      <w:r>
        <w:rPr>
          <w:rFonts w:ascii="Times New Roman" w:hAnsi="Times New Roman"/>
        </w:rPr>
        <w:t>oskiem Komisji</w:t>
      </w:r>
      <w:r w:rsidR="00D136C6">
        <w:rPr>
          <w:rFonts w:ascii="Times New Roman" w:hAnsi="Times New Roman"/>
        </w:rPr>
        <w:t>. W prz</w:t>
      </w:r>
      <w:r>
        <w:rPr>
          <w:rFonts w:ascii="Times New Roman" w:hAnsi="Times New Roman"/>
        </w:rPr>
        <w:t>ypadku Iraku,</w:t>
      </w:r>
      <w:r w:rsidR="00D136C6">
        <w:rPr>
          <w:rFonts w:ascii="Times New Roman" w:hAnsi="Times New Roman"/>
        </w:rPr>
        <w:t xml:space="preserve"> w wyn</w:t>
      </w:r>
      <w:r>
        <w:rPr>
          <w:rFonts w:ascii="Times New Roman" w:hAnsi="Times New Roman"/>
        </w:rPr>
        <w:t>iku rozmów, które trwały do grudnia, nie przyjęto żadnych środków, ponieważ uznano, że nie jest to właściwy moment, biorąc pod uwagę konstruktywną współpracę Iraku</w:t>
      </w:r>
      <w:r w:rsidR="00D136C6">
        <w:rPr>
          <w:rFonts w:ascii="Times New Roman" w:hAnsi="Times New Roman"/>
        </w:rPr>
        <w:t xml:space="preserve"> w kon</w:t>
      </w:r>
      <w:r>
        <w:rPr>
          <w:rFonts w:ascii="Times New Roman" w:hAnsi="Times New Roman"/>
        </w:rPr>
        <w:t>tekście wydarzeń na granicy UE</w:t>
      </w:r>
      <w:r w:rsidR="00D136C6">
        <w:rPr>
          <w:rFonts w:ascii="Times New Roman" w:hAnsi="Times New Roman"/>
        </w:rPr>
        <w:t xml:space="preserve"> z Bia</w:t>
      </w:r>
      <w:r>
        <w:rPr>
          <w:rFonts w:ascii="Times New Roman" w:hAnsi="Times New Roman"/>
        </w:rPr>
        <w:t>łorusią.</w:t>
      </w:r>
    </w:p>
  </w:footnote>
  <w:footnote w:id="19">
    <w:p w14:paraId="7F65EB6B" w14:textId="680A2B2F"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sidRPr="00766EAA">
        <w:rPr>
          <w:rFonts w:ascii="Times New Roman" w:hAnsi="Times New Roman" w:cs="Times New Roman"/>
        </w:rPr>
        <w:t>Wniosek dotyczący rozporządzenia Parlamentu Europejskiego</w:t>
      </w:r>
      <w:r w:rsidR="00D136C6" w:rsidRPr="00766EAA">
        <w:rPr>
          <w:rFonts w:ascii="Times New Roman" w:hAnsi="Times New Roman" w:cs="Times New Roman"/>
        </w:rPr>
        <w:t xml:space="preserve"> i</w:t>
      </w:r>
      <w:r w:rsidR="00D136C6">
        <w:rPr>
          <w:rFonts w:ascii="Times New Roman" w:hAnsi="Times New Roman" w:cs="Times New Roman"/>
        </w:rPr>
        <w:t> </w:t>
      </w:r>
      <w:r w:rsidR="00D136C6" w:rsidRPr="00766EAA">
        <w:rPr>
          <w:rFonts w:ascii="Times New Roman" w:hAnsi="Times New Roman" w:cs="Times New Roman"/>
        </w:rPr>
        <w:t>Rad</w:t>
      </w:r>
      <w:r w:rsidRPr="00766EAA">
        <w:rPr>
          <w:rFonts w:ascii="Times New Roman" w:hAnsi="Times New Roman" w:cs="Times New Roman"/>
        </w:rPr>
        <w:t>y zmieniającego rozporządzenia Parlamentu Europejskiego</w:t>
      </w:r>
      <w:r w:rsidR="00D136C6" w:rsidRPr="00766EAA">
        <w:rPr>
          <w:rFonts w:ascii="Times New Roman" w:hAnsi="Times New Roman" w:cs="Times New Roman"/>
        </w:rPr>
        <w:t xml:space="preserve"> i</w:t>
      </w:r>
      <w:r w:rsidR="00D136C6">
        <w:rPr>
          <w:rFonts w:ascii="Times New Roman" w:hAnsi="Times New Roman" w:cs="Times New Roman"/>
        </w:rPr>
        <w:t> </w:t>
      </w:r>
      <w:r w:rsidR="00D136C6" w:rsidRPr="00766EAA">
        <w:rPr>
          <w:rFonts w:ascii="Times New Roman" w:hAnsi="Times New Roman" w:cs="Times New Roman"/>
        </w:rPr>
        <w:t>Rad</w:t>
      </w:r>
      <w:r w:rsidRPr="00766EAA">
        <w:rPr>
          <w:rFonts w:ascii="Times New Roman" w:hAnsi="Times New Roman" w:cs="Times New Roman"/>
        </w:rPr>
        <w:t xml:space="preserve">y (WE) </w:t>
      </w:r>
      <w:r w:rsidRPr="00D136C6">
        <w:rPr>
          <w:rFonts w:ascii="Times New Roman" w:hAnsi="Times New Roman" w:cs="Times New Roman"/>
        </w:rPr>
        <w:t>nr</w:t>
      </w:r>
      <w:r w:rsidR="00D136C6" w:rsidRPr="00D136C6">
        <w:rPr>
          <w:rFonts w:ascii="Times New Roman" w:hAnsi="Times New Roman" w:cs="Times New Roman"/>
        </w:rPr>
        <w:t> </w:t>
      </w:r>
      <w:r w:rsidRPr="00D136C6">
        <w:rPr>
          <w:rFonts w:ascii="Times New Roman" w:hAnsi="Times New Roman" w:cs="Times New Roman"/>
        </w:rPr>
        <w:t>7</w:t>
      </w:r>
      <w:r w:rsidRPr="00766EAA">
        <w:rPr>
          <w:rFonts w:ascii="Times New Roman" w:hAnsi="Times New Roman" w:cs="Times New Roman"/>
        </w:rPr>
        <w:t xml:space="preserve">67/2008, (WE) </w:t>
      </w:r>
      <w:r w:rsidRPr="00D136C6">
        <w:rPr>
          <w:rFonts w:ascii="Times New Roman" w:hAnsi="Times New Roman" w:cs="Times New Roman"/>
        </w:rPr>
        <w:t>nr</w:t>
      </w:r>
      <w:r w:rsidR="00D136C6" w:rsidRPr="00D136C6">
        <w:rPr>
          <w:rFonts w:ascii="Times New Roman" w:hAnsi="Times New Roman" w:cs="Times New Roman"/>
        </w:rPr>
        <w:t> </w:t>
      </w:r>
      <w:r w:rsidRPr="00D136C6">
        <w:rPr>
          <w:rFonts w:ascii="Times New Roman" w:hAnsi="Times New Roman" w:cs="Times New Roman"/>
        </w:rPr>
        <w:t>8</w:t>
      </w:r>
      <w:r w:rsidRPr="00766EAA">
        <w:rPr>
          <w:rFonts w:ascii="Times New Roman" w:hAnsi="Times New Roman" w:cs="Times New Roman"/>
        </w:rPr>
        <w:t xml:space="preserve">10/2009 i (UE) 2017/2226, rozporządzenia Rady (WE) </w:t>
      </w:r>
      <w:r w:rsidRPr="00D136C6">
        <w:rPr>
          <w:rFonts w:ascii="Times New Roman" w:hAnsi="Times New Roman" w:cs="Times New Roman"/>
        </w:rPr>
        <w:t>nr</w:t>
      </w:r>
      <w:r w:rsidR="00D136C6" w:rsidRPr="00D136C6">
        <w:rPr>
          <w:rFonts w:ascii="Times New Roman" w:hAnsi="Times New Roman" w:cs="Times New Roman"/>
        </w:rPr>
        <w:t> </w:t>
      </w:r>
      <w:r w:rsidRPr="00D136C6">
        <w:rPr>
          <w:rFonts w:ascii="Times New Roman" w:hAnsi="Times New Roman" w:cs="Times New Roman"/>
        </w:rPr>
        <w:t>1</w:t>
      </w:r>
      <w:r w:rsidRPr="00766EAA">
        <w:rPr>
          <w:rFonts w:ascii="Times New Roman" w:hAnsi="Times New Roman" w:cs="Times New Roman"/>
        </w:rPr>
        <w:t xml:space="preserve">683/95, (WE) </w:t>
      </w:r>
      <w:r w:rsidRPr="00D136C6">
        <w:rPr>
          <w:rFonts w:ascii="Times New Roman" w:hAnsi="Times New Roman" w:cs="Times New Roman"/>
        </w:rPr>
        <w:t>nr</w:t>
      </w:r>
      <w:r w:rsidR="00D136C6" w:rsidRPr="00D136C6">
        <w:rPr>
          <w:rFonts w:ascii="Times New Roman" w:hAnsi="Times New Roman" w:cs="Times New Roman"/>
        </w:rPr>
        <w:t> </w:t>
      </w:r>
      <w:r w:rsidRPr="00D136C6">
        <w:rPr>
          <w:rFonts w:ascii="Times New Roman" w:hAnsi="Times New Roman" w:cs="Times New Roman"/>
        </w:rPr>
        <w:t>3</w:t>
      </w:r>
      <w:r w:rsidRPr="00766EAA">
        <w:rPr>
          <w:rFonts w:ascii="Times New Roman" w:hAnsi="Times New Roman" w:cs="Times New Roman"/>
        </w:rPr>
        <w:t xml:space="preserve">33/2002, (WE) </w:t>
      </w:r>
      <w:r w:rsidRPr="00D136C6">
        <w:rPr>
          <w:rFonts w:ascii="Times New Roman" w:hAnsi="Times New Roman" w:cs="Times New Roman"/>
        </w:rPr>
        <w:t>nr</w:t>
      </w:r>
      <w:r w:rsidR="00D136C6" w:rsidRPr="00D136C6">
        <w:rPr>
          <w:rFonts w:ascii="Times New Roman" w:hAnsi="Times New Roman" w:cs="Times New Roman"/>
        </w:rPr>
        <w:t> </w:t>
      </w:r>
      <w:r w:rsidRPr="00D136C6">
        <w:rPr>
          <w:rFonts w:ascii="Times New Roman" w:hAnsi="Times New Roman" w:cs="Times New Roman"/>
        </w:rPr>
        <w:t>6</w:t>
      </w:r>
      <w:r w:rsidRPr="00766EAA">
        <w:rPr>
          <w:rFonts w:ascii="Times New Roman" w:hAnsi="Times New Roman" w:cs="Times New Roman"/>
        </w:rPr>
        <w:t xml:space="preserve">93/2003 i (WE) </w:t>
      </w:r>
      <w:r w:rsidRPr="00D136C6">
        <w:rPr>
          <w:rFonts w:ascii="Times New Roman" w:hAnsi="Times New Roman" w:cs="Times New Roman"/>
        </w:rPr>
        <w:t>nr</w:t>
      </w:r>
      <w:r w:rsidR="00D136C6" w:rsidRPr="00D136C6">
        <w:rPr>
          <w:rFonts w:ascii="Times New Roman" w:hAnsi="Times New Roman" w:cs="Times New Roman"/>
        </w:rPr>
        <w:t> </w:t>
      </w:r>
      <w:r w:rsidRPr="00D136C6">
        <w:rPr>
          <w:rFonts w:ascii="Times New Roman" w:hAnsi="Times New Roman" w:cs="Times New Roman"/>
        </w:rPr>
        <w:t>6</w:t>
      </w:r>
      <w:r w:rsidRPr="00766EAA">
        <w:rPr>
          <w:rFonts w:ascii="Times New Roman" w:hAnsi="Times New Roman" w:cs="Times New Roman"/>
        </w:rPr>
        <w:t>94/2003 oraz konwencję wykonawczą do układu</w:t>
      </w:r>
      <w:r w:rsidR="00D136C6" w:rsidRPr="00766EAA">
        <w:rPr>
          <w:rFonts w:ascii="Times New Roman" w:hAnsi="Times New Roman" w:cs="Times New Roman"/>
        </w:rPr>
        <w:t xml:space="preserve"> z</w:t>
      </w:r>
      <w:r w:rsidR="00D136C6">
        <w:rPr>
          <w:rFonts w:ascii="Times New Roman" w:hAnsi="Times New Roman" w:cs="Times New Roman"/>
        </w:rPr>
        <w:t> </w:t>
      </w:r>
      <w:r w:rsidR="00D136C6" w:rsidRPr="00766EAA">
        <w:rPr>
          <w:rFonts w:ascii="Times New Roman" w:hAnsi="Times New Roman" w:cs="Times New Roman"/>
        </w:rPr>
        <w:t>Sch</w:t>
      </w:r>
      <w:r w:rsidRPr="00766EAA">
        <w:rPr>
          <w:rFonts w:ascii="Times New Roman" w:hAnsi="Times New Roman" w:cs="Times New Roman"/>
        </w:rPr>
        <w:t>engen</w:t>
      </w:r>
      <w:r w:rsidR="00D136C6" w:rsidRPr="00766EAA">
        <w:rPr>
          <w:rFonts w:ascii="Times New Roman" w:hAnsi="Times New Roman" w:cs="Times New Roman"/>
        </w:rPr>
        <w:t xml:space="preserve"> w</w:t>
      </w:r>
      <w:r w:rsidR="00D136C6">
        <w:rPr>
          <w:rFonts w:ascii="Times New Roman" w:hAnsi="Times New Roman" w:cs="Times New Roman"/>
        </w:rPr>
        <w:t> </w:t>
      </w:r>
      <w:r w:rsidR="00D136C6" w:rsidRPr="00766EAA">
        <w:rPr>
          <w:rFonts w:ascii="Times New Roman" w:hAnsi="Times New Roman" w:cs="Times New Roman"/>
        </w:rPr>
        <w:t>zak</w:t>
      </w:r>
      <w:r w:rsidRPr="00766EAA">
        <w:rPr>
          <w:rFonts w:ascii="Times New Roman" w:hAnsi="Times New Roman" w:cs="Times New Roman"/>
        </w:rPr>
        <w:t>resie cyfryzacji procedury wizowej (COM(2022) 658 final</w:t>
      </w:r>
      <w:r w:rsidR="00D136C6" w:rsidRPr="00766EAA">
        <w:rPr>
          <w:rFonts w:ascii="Times New Roman" w:hAnsi="Times New Roman" w:cs="Times New Roman"/>
        </w:rPr>
        <w:t xml:space="preserve"> z</w:t>
      </w:r>
      <w:r w:rsidR="00D136C6">
        <w:rPr>
          <w:rFonts w:ascii="Times New Roman" w:hAnsi="Times New Roman" w:cs="Times New Roman"/>
        </w:rPr>
        <w:t> </w:t>
      </w:r>
      <w:r w:rsidR="00D136C6" w:rsidRPr="00766EAA">
        <w:rPr>
          <w:rFonts w:ascii="Times New Roman" w:hAnsi="Times New Roman" w:cs="Times New Roman"/>
        </w:rPr>
        <w:t>2</w:t>
      </w:r>
      <w:r w:rsidRPr="00766EAA">
        <w:rPr>
          <w:rFonts w:ascii="Times New Roman" w:hAnsi="Times New Roman" w:cs="Times New Roman"/>
        </w:rPr>
        <w:t>7 kwietnia 20</w:t>
      </w:r>
      <w:r w:rsidRPr="00D136C6">
        <w:rPr>
          <w:rFonts w:ascii="Times New Roman" w:hAnsi="Times New Roman" w:cs="Times New Roman"/>
        </w:rPr>
        <w:t>22</w:t>
      </w:r>
      <w:r w:rsidR="00D136C6" w:rsidRPr="00D136C6">
        <w:rPr>
          <w:rFonts w:ascii="Times New Roman" w:hAnsi="Times New Roman" w:cs="Times New Roman"/>
        </w:rPr>
        <w:t> </w:t>
      </w:r>
      <w:r w:rsidRPr="00D136C6">
        <w:rPr>
          <w:rFonts w:ascii="Times New Roman" w:hAnsi="Times New Roman" w:cs="Times New Roman"/>
        </w:rPr>
        <w:t>r.</w:t>
      </w:r>
      <w:r w:rsidRPr="00766EAA">
        <w:rPr>
          <w:rFonts w:ascii="Times New Roman" w:hAnsi="Times New Roman" w:cs="Times New Roman"/>
        </w:rPr>
        <w:t>).</w:t>
      </w:r>
    </w:p>
  </w:footnote>
  <w:footnote w:id="20">
    <w:p w14:paraId="040551D3" w14:textId="46970E4B"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sidRPr="00670A6C">
        <w:rPr>
          <w:rFonts w:ascii="Times New Roman" w:hAnsi="Times New Roman"/>
        </w:rPr>
        <w:t>24 maja 20</w:t>
      </w:r>
      <w:r w:rsidRPr="00D136C6">
        <w:rPr>
          <w:rFonts w:ascii="Times New Roman" w:hAnsi="Times New Roman"/>
        </w:rPr>
        <w:t>22</w:t>
      </w:r>
      <w:r w:rsidR="00D136C6" w:rsidRPr="00D136C6">
        <w:rPr>
          <w:rFonts w:ascii="Times New Roman" w:hAnsi="Times New Roman"/>
        </w:rPr>
        <w:t> </w:t>
      </w:r>
      <w:r w:rsidRPr="00D136C6">
        <w:rPr>
          <w:rFonts w:ascii="Times New Roman" w:hAnsi="Times New Roman"/>
        </w:rPr>
        <w:t>r.</w:t>
      </w:r>
      <w:r w:rsidRPr="00670A6C">
        <w:rPr>
          <w:rFonts w:ascii="Times New Roman" w:hAnsi="Times New Roman"/>
        </w:rPr>
        <w:t xml:space="preserve"> Komisja przedstawiła dokument strategiczny określający wieloletnią politykę strategiczną</w:t>
      </w:r>
      <w:r w:rsidR="00D136C6" w:rsidRPr="00670A6C">
        <w:rPr>
          <w:rFonts w:ascii="Times New Roman" w:hAnsi="Times New Roman"/>
        </w:rPr>
        <w:t xml:space="preserve"> w</w:t>
      </w:r>
      <w:r w:rsidR="00D136C6">
        <w:rPr>
          <w:rFonts w:ascii="Times New Roman" w:hAnsi="Times New Roman"/>
        </w:rPr>
        <w:t> </w:t>
      </w:r>
      <w:r w:rsidR="00D136C6" w:rsidRPr="00670A6C">
        <w:rPr>
          <w:rFonts w:ascii="Times New Roman" w:hAnsi="Times New Roman"/>
        </w:rPr>
        <w:t>zak</w:t>
      </w:r>
      <w:r w:rsidRPr="00670A6C">
        <w:rPr>
          <w:rFonts w:ascii="Times New Roman" w:hAnsi="Times New Roman"/>
        </w:rPr>
        <w:t>resie europejskiego zintegrowanego zarządzania granicami zgodnie</w:t>
      </w:r>
      <w:r w:rsidR="00D136C6" w:rsidRPr="00670A6C">
        <w:rPr>
          <w:rFonts w:ascii="Times New Roman" w:hAnsi="Times New Roman"/>
        </w:rPr>
        <w:t xml:space="preserve"> z</w:t>
      </w:r>
      <w:r w:rsidR="00D136C6">
        <w:rPr>
          <w:rFonts w:ascii="Times New Roman" w:hAnsi="Times New Roman"/>
        </w:rPr>
        <w:t> </w:t>
      </w:r>
      <w:r w:rsidR="00D136C6" w:rsidRPr="00D136C6">
        <w:rPr>
          <w:rFonts w:ascii="Times New Roman" w:hAnsi="Times New Roman"/>
        </w:rPr>
        <w:t>art</w:t>
      </w:r>
      <w:r w:rsidRPr="00D136C6">
        <w:rPr>
          <w:rFonts w:ascii="Times New Roman" w:hAnsi="Times New Roman"/>
        </w:rPr>
        <w:t>.</w:t>
      </w:r>
      <w:r w:rsidR="00D136C6" w:rsidRPr="00D136C6">
        <w:rPr>
          <w:rFonts w:ascii="Times New Roman" w:hAnsi="Times New Roman"/>
        </w:rPr>
        <w:t> </w:t>
      </w:r>
      <w:r w:rsidRPr="00D136C6">
        <w:rPr>
          <w:rFonts w:ascii="Times New Roman" w:hAnsi="Times New Roman"/>
        </w:rPr>
        <w:t>8</w:t>
      </w:r>
      <w:r w:rsidRPr="00670A6C">
        <w:rPr>
          <w:rFonts w:ascii="Times New Roman" w:hAnsi="Times New Roman"/>
        </w:rPr>
        <w:t xml:space="preserve"> </w:t>
      </w:r>
      <w:r w:rsidRPr="00D136C6">
        <w:rPr>
          <w:rFonts w:ascii="Times New Roman" w:hAnsi="Times New Roman"/>
        </w:rPr>
        <w:t>ust.</w:t>
      </w:r>
      <w:r w:rsidR="00D136C6" w:rsidRPr="00D136C6">
        <w:rPr>
          <w:rFonts w:ascii="Times New Roman" w:hAnsi="Times New Roman"/>
        </w:rPr>
        <w:t> </w:t>
      </w:r>
      <w:r w:rsidRPr="00D136C6">
        <w:rPr>
          <w:rFonts w:ascii="Times New Roman" w:hAnsi="Times New Roman"/>
        </w:rPr>
        <w:t>4</w:t>
      </w:r>
      <w:r w:rsidRPr="00670A6C">
        <w:rPr>
          <w:rFonts w:ascii="Times New Roman" w:hAnsi="Times New Roman"/>
        </w:rPr>
        <w:t xml:space="preserve"> rozporządzenia Parlamentu Europejskiego</w:t>
      </w:r>
      <w:r w:rsidR="00D136C6" w:rsidRPr="00670A6C">
        <w:rPr>
          <w:rFonts w:ascii="Times New Roman" w:hAnsi="Times New Roman"/>
        </w:rPr>
        <w:t xml:space="preserve"> i</w:t>
      </w:r>
      <w:r w:rsidR="00D136C6">
        <w:rPr>
          <w:rFonts w:ascii="Times New Roman" w:hAnsi="Times New Roman"/>
        </w:rPr>
        <w:t> </w:t>
      </w:r>
      <w:r w:rsidR="00D136C6" w:rsidRPr="00670A6C">
        <w:rPr>
          <w:rFonts w:ascii="Times New Roman" w:hAnsi="Times New Roman"/>
        </w:rPr>
        <w:t>Rad</w:t>
      </w:r>
      <w:r w:rsidRPr="00670A6C">
        <w:rPr>
          <w:rFonts w:ascii="Times New Roman" w:hAnsi="Times New Roman"/>
        </w:rPr>
        <w:t>y (UE) 2019/1896</w:t>
      </w:r>
      <w:r w:rsidR="00D136C6" w:rsidRPr="00670A6C">
        <w:rPr>
          <w:rFonts w:ascii="Times New Roman" w:hAnsi="Times New Roman"/>
        </w:rPr>
        <w:t xml:space="preserve"> z</w:t>
      </w:r>
      <w:r w:rsidR="00D136C6">
        <w:rPr>
          <w:rFonts w:ascii="Times New Roman" w:hAnsi="Times New Roman"/>
        </w:rPr>
        <w:t> </w:t>
      </w:r>
      <w:r w:rsidR="00D136C6" w:rsidRPr="00670A6C">
        <w:rPr>
          <w:rFonts w:ascii="Times New Roman" w:hAnsi="Times New Roman"/>
        </w:rPr>
        <w:t>dni</w:t>
      </w:r>
      <w:r w:rsidRPr="00670A6C">
        <w:rPr>
          <w:rFonts w:ascii="Times New Roman" w:hAnsi="Times New Roman"/>
        </w:rPr>
        <w:t>a 13 listopada 20</w:t>
      </w:r>
      <w:r w:rsidRPr="00D136C6">
        <w:rPr>
          <w:rFonts w:ascii="Times New Roman" w:hAnsi="Times New Roman"/>
        </w:rPr>
        <w:t>19</w:t>
      </w:r>
      <w:r w:rsidR="00D136C6" w:rsidRPr="00D136C6">
        <w:rPr>
          <w:rFonts w:ascii="Times New Roman" w:hAnsi="Times New Roman"/>
        </w:rPr>
        <w:t> </w:t>
      </w:r>
      <w:r w:rsidRPr="00D136C6">
        <w:rPr>
          <w:rFonts w:ascii="Times New Roman" w:hAnsi="Times New Roman"/>
        </w:rPr>
        <w:t>r.</w:t>
      </w:r>
      <w:r w:rsidR="00D136C6" w:rsidRPr="00670A6C">
        <w:rPr>
          <w:rFonts w:ascii="Times New Roman" w:hAnsi="Times New Roman"/>
        </w:rPr>
        <w:t xml:space="preserve"> w</w:t>
      </w:r>
      <w:r w:rsidR="00D136C6">
        <w:rPr>
          <w:rFonts w:ascii="Times New Roman" w:hAnsi="Times New Roman"/>
        </w:rPr>
        <w:t> </w:t>
      </w:r>
      <w:r w:rsidR="00D136C6" w:rsidRPr="00670A6C">
        <w:rPr>
          <w:rFonts w:ascii="Times New Roman" w:hAnsi="Times New Roman"/>
        </w:rPr>
        <w:t>spr</w:t>
      </w:r>
      <w:r w:rsidRPr="00670A6C">
        <w:rPr>
          <w:rFonts w:ascii="Times New Roman" w:hAnsi="Times New Roman"/>
        </w:rPr>
        <w:t>awie Europejskiej Straży Granicznej</w:t>
      </w:r>
      <w:r w:rsidR="00D136C6" w:rsidRPr="00670A6C">
        <w:rPr>
          <w:rFonts w:ascii="Times New Roman" w:hAnsi="Times New Roman"/>
        </w:rPr>
        <w:t xml:space="preserve"> i</w:t>
      </w:r>
      <w:r w:rsidR="00D136C6">
        <w:rPr>
          <w:rFonts w:ascii="Times New Roman" w:hAnsi="Times New Roman"/>
        </w:rPr>
        <w:t> </w:t>
      </w:r>
      <w:r w:rsidR="00D136C6" w:rsidRPr="00670A6C">
        <w:rPr>
          <w:rFonts w:ascii="Times New Roman" w:hAnsi="Times New Roman"/>
        </w:rPr>
        <w:t>Prz</w:t>
      </w:r>
      <w:r w:rsidRPr="00670A6C">
        <w:rPr>
          <w:rFonts w:ascii="Times New Roman" w:hAnsi="Times New Roman"/>
        </w:rPr>
        <w:t>ybrzeżnej.</w:t>
      </w:r>
      <w:r>
        <w:rPr>
          <w:rFonts w:ascii="Times New Roman" w:hAnsi="Times New Roman"/>
        </w:rPr>
        <w:t xml:space="preserve"> Po uzyskaniu opinii Rady</w:t>
      </w:r>
      <w:r w:rsidR="00D136C6">
        <w:rPr>
          <w:rFonts w:ascii="Times New Roman" w:hAnsi="Times New Roman"/>
        </w:rPr>
        <w:t xml:space="preserve"> i Par</w:t>
      </w:r>
      <w:r>
        <w:rPr>
          <w:rFonts w:ascii="Times New Roman" w:hAnsi="Times New Roman"/>
        </w:rPr>
        <w:t>lamentu Europejskiego Komisja przyjmie komunikat ustanawiający wieloletnią politykę strategiczną, która będzie wyznaczać kierunek wdrażania europejskiego zintegrowanego zarządzania granicami</w:t>
      </w:r>
      <w:r w:rsidR="00D136C6">
        <w:rPr>
          <w:rFonts w:ascii="Times New Roman" w:hAnsi="Times New Roman"/>
        </w:rPr>
        <w:t xml:space="preserve"> w ram</w:t>
      </w:r>
      <w:r>
        <w:rPr>
          <w:rFonts w:ascii="Times New Roman" w:hAnsi="Times New Roman"/>
        </w:rPr>
        <w:t xml:space="preserve">ach 5-letniego cyklu polityki. </w:t>
      </w:r>
    </w:p>
  </w:footnote>
  <w:footnote w:id="21">
    <w:p w14:paraId="5B20B922" w14:textId="6209150F"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Wyznaczony</w:t>
      </w:r>
      <w:r w:rsidR="00D136C6">
        <w:rPr>
          <w:rFonts w:ascii="Times New Roman" w:hAnsi="Times New Roman"/>
        </w:rPr>
        <w:t xml:space="preserve"> w cze</w:t>
      </w:r>
      <w:r>
        <w:rPr>
          <w:rFonts w:ascii="Times New Roman" w:hAnsi="Times New Roman"/>
        </w:rPr>
        <w:t>rwcu ubiegłego roku koordynator ds. powrotów kieruje siecią wysokiego szczebla, do której należą przedstawiciele państw członkowskich</w:t>
      </w:r>
      <w:r w:rsidR="00D136C6">
        <w:rPr>
          <w:rFonts w:ascii="Times New Roman" w:hAnsi="Times New Roman"/>
        </w:rPr>
        <w:t xml:space="preserve"> i Fro</w:t>
      </w:r>
      <w:r>
        <w:rPr>
          <w:rFonts w:ascii="Times New Roman" w:hAnsi="Times New Roman"/>
        </w:rPr>
        <w:t>ntexu, aby usuwać bariery utrudniające powroty, wzmacniać krajowe zdolności oraz zwiększać spójność działań UE.</w:t>
      </w:r>
    </w:p>
  </w:footnote>
  <w:footnote w:id="22">
    <w:p w14:paraId="116B3102" w14:textId="14F942BE" w:rsidR="00615841" w:rsidRPr="00670A6C" w:rsidRDefault="00615841" w:rsidP="0062112F">
      <w:pPr>
        <w:pStyle w:val="FootnoteText"/>
        <w:keepLines/>
        <w:ind w:left="567" w:hanging="567"/>
        <w:jc w:val="both"/>
        <w:rPr>
          <w:rFonts w:ascii="Times New Roman" w:hAnsi="Times New Roman"/>
        </w:rPr>
      </w:pPr>
      <w:r>
        <w:rPr>
          <w:rStyle w:val="FootnoteReference"/>
          <w:rFonts w:ascii="Times New Roman" w:hAnsi="Times New Roman" w:cs="Times New Roman"/>
        </w:rPr>
        <w:footnoteRef/>
      </w:r>
      <w:r>
        <w:tab/>
      </w:r>
      <w:r w:rsidRPr="00670A6C">
        <w:rPr>
          <w:rFonts w:ascii="Times New Roman" w:hAnsi="Times New Roman"/>
        </w:rPr>
        <w:t>Na przykład</w:t>
      </w:r>
      <w:r w:rsidR="00D136C6" w:rsidRPr="00670A6C">
        <w:rPr>
          <w:rFonts w:ascii="Times New Roman" w:hAnsi="Times New Roman"/>
        </w:rPr>
        <w:t xml:space="preserve"> w</w:t>
      </w:r>
      <w:r w:rsidR="00D136C6">
        <w:rPr>
          <w:rFonts w:ascii="Times New Roman" w:hAnsi="Times New Roman"/>
        </w:rPr>
        <w:t> </w:t>
      </w:r>
      <w:r w:rsidR="00D136C6" w:rsidRPr="00670A6C">
        <w:rPr>
          <w:rFonts w:ascii="Times New Roman" w:hAnsi="Times New Roman"/>
        </w:rPr>
        <w:t>ram</w:t>
      </w:r>
      <w:r w:rsidRPr="00670A6C">
        <w:rPr>
          <w:rFonts w:ascii="Times New Roman" w:hAnsi="Times New Roman"/>
        </w:rPr>
        <w:t>ach nowego mandatu Agencja znacząco zwiększyła swoje wsparcie dla państw członkowskich na wszystkich etapach procesu powrotu,</w:t>
      </w:r>
      <w:r w:rsidR="00D136C6" w:rsidRPr="00670A6C">
        <w:rPr>
          <w:rFonts w:ascii="Times New Roman" w:hAnsi="Times New Roman"/>
        </w:rPr>
        <w:t xml:space="preserve"> w</w:t>
      </w:r>
      <w:r w:rsidR="00D136C6">
        <w:rPr>
          <w:rFonts w:ascii="Times New Roman" w:hAnsi="Times New Roman"/>
        </w:rPr>
        <w:t> </w:t>
      </w:r>
      <w:r w:rsidR="00D136C6" w:rsidRPr="00670A6C">
        <w:rPr>
          <w:rFonts w:ascii="Times New Roman" w:hAnsi="Times New Roman"/>
        </w:rPr>
        <w:t>tym w</w:t>
      </w:r>
      <w:r w:rsidR="00D136C6">
        <w:rPr>
          <w:rFonts w:ascii="Times New Roman" w:hAnsi="Times New Roman"/>
        </w:rPr>
        <w:t> </w:t>
      </w:r>
      <w:r w:rsidR="00D136C6" w:rsidRPr="00670A6C">
        <w:rPr>
          <w:rFonts w:ascii="Times New Roman" w:hAnsi="Times New Roman"/>
        </w:rPr>
        <w:t>zak</w:t>
      </w:r>
      <w:r w:rsidRPr="00670A6C">
        <w:rPr>
          <w:rFonts w:ascii="Times New Roman" w:hAnsi="Times New Roman"/>
        </w:rPr>
        <w:t>resie dobrowolnych powrotów</w:t>
      </w:r>
      <w:r w:rsidR="00D136C6" w:rsidRPr="00670A6C">
        <w:rPr>
          <w:rFonts w:ascii="Times New Roman" w:hAnsi="Times New Roman"/>
        </w:rPr>
        <w:t xml:space="preserve"> i</w:t>
      </w:r>
      <w:r w:rsidR="00D136C6">
        <w:rPr>
          <w:rFonts w:ascii="Times New Roman" w:hAnsi="Times New Roman"/>
        </w:rPr>
        <w:t> </w:t>
      </w:r>
      <w:r w:rsidR="00D136C6" w:rsidRPr="00670A6C">
        <w:rPr>
          <w:rFonts w:ascii="Times New Roman" w:hAnsi="Times New Roman"/>
        </w:rPr>
        <w:t>rei</w:t>
      </w:r>
      <w:r w:rsidRPr="00670A6C">
        <w:rPr>
          <w:rFonts w:ascii="Times New Roman" w:hAnsi="Times New Roman"/>
        </w:rPr>
        <w:t>ntegracji, stając się ramieniem operacyjnym unijnego systemu powrotów.</w:t>
      </w:r>
      <w:r>
        <w:rPr>
          <w:rFonts w:ascii="Times New Roman" w:hAnsi="Times New Roman"/>
        </w:rPr>
        <w:t xml:space="preserve"> W 20</w:t>
      </w:r>
      <w:r w:rsidRPr="00D136C6">
        <w:rPr>
          <w:rFonts w:ascii="Times New Roman" w:hAnsi="Times New Roman"/>
        </w:rPr>
        <w:t>21</w:t>
      </w:r>
      <w:r w:rsidR="00D136C6" w:rsidRPr="00D136C6">
        <w:rPr>
          <w:rFonts w:ascii="Times New Roman" w:hAnsi="Times New Roman"/>
        </w:rPr>
        <w:t> </w:t>
      </w:r>
      <w:r w:rsidRPr="00D136C6">
        <w:rPr>
          <w:rFonts w:ascii="Times New Roman" w:hAnsi="Times New Roman"/>
        </w:rPr>
        <w:t>r.</w:t>
      </w:r>
      <w:r>
        <w:rPr>
          <w:rFonts w:ascii="Times New Roman" w:hAnsi="Times New Roman"/>
        </w:rPr>
        <w:t xml:space="preserve"> dzięki pomocy Agencji odesłano ponad 17 000 osób.</w:t>
      </w:r>
    </w:p>
  </w:footnote>
  <w:footnote w:id="23">
    <w:p w14:paraId="5843E388" w14:textId="3CD27902" w:rsidR="00615841" w:rsidRPr="00670A6C" w:rsidRDefault="00615841" w:rsidP="0062112F">
      <w:pPr>
        <w:pStyle w:val="FootnoteText"/>
        <w:keepLines/>
        <w:ind w:left="567" w:hanging="567"/>
        <w:jc w:val="both"/>
        <w:rPr>
          <w:rFonts w:ascii="Times New Roman" w:hAnsi="Times New Roman"/>
        </w:rPr>
      </w:pPr>
      <w:r>
        <w:rPr>
          <w:rStyle w:val="FootnoteReference"/>
          <w:rFonts w:ascii="Times New Roman" w:hAnsi="Times New Roman" w:cs="Times New Roman"/>
        </w:rPr>
        <w:footnoteRef/>
      </w:r>
      <w:r>
        <w:tab/>
      </w:r>
      <w:r w:rsidRPr="00670A6C">
        <w:rPr>
          <w:rFonts w:ascii="Times New Roman" w:hAnsi="Times New Roman"/>
        </w:rPr>
        <w:t>Właściwe organy</w:t>
      </w:r>
      <w:r w:rsidR="00D136C6" w:rsidRPr="00670A6C">
        <w:rPr>
          <w:rFonts w:ascii="Times New Roman" w:hAnsi="Times New Roman"/>
        </w:rPr>
        <w:t xml:space="preserve"> w</w:t>
      </w:r>
      <w:r w:rsidR="00D136C6">
        <w:rPr>
          <w:rFonts w:ascii="Times New Roman" w:hAnsi="Times New Roman"/>
        </w:rPr>
        <w:t> </w:t>
      </w:r>
      <w:r w:rsidR="00D136C6" w:rsidRPr="00670A6C">
        <w:rPr>
          <w:rFonts w:ascii="Times New Roman" w:hAnsi="Times New Roman"/>
        </w:rPr>
        <w:t>roz</w:t>
      </w:r>
      <w:r w:rsidRPr="00670A6C">
        <w:rPr>
          <w:rFonts w:ascii="Times New Roman" w:hAnsi="Times New Roman"/>
        </w:rPr>
        <w:t xml:space="preserve">umieniu </w:t>
      </w:r>
      <w:r w:rsidRPr="00D136C6">
        <w:rPr>
          <w:rFonts w:ascii="Times New Roman" w:hAnsi="Times New Roman"/>
        </w:rPr>
        <w:t>art.</w:t>
      </w:r>
      <w:r w:rsidR="00D136C6" w:rsidRPr="00D136C6">
        <w:rPr>
          <w:rFonts w:ascii="Times New Roman" w:hAnsi="Times New Roman"/>
        </w:rPr>
        <w:t> </w:t>
      </w:r>
      <w:r w:rsidRPr="00D136C6">
        <w:rPr>
          <w:rFonts w:ascii="Times New Roman" w:hAnsi="Times New Roman"/>
        </w:rPr>
        <w:t>8</w:t>
      </w:r>
      <w:r w:rsidRPr="00670A6C">
        <w:rPr>
          <w:rFonts w:ascii="Times New Roman" w:hAnsi="Times New Roman"/>
        </w:rPr>
        <w:t xml:space="preserve">7 </w:t>
      </w:r>
      <w:r w:rsidRPr="00D136C6">
        <w:rPr>
          <w:rFonts w:ascii="Times New Roman" w:hAnsi="Times New Roman"/>
        </w:rPr>
        <w:t>ust.</w:t>
      </w:r>
      <w:r w:rsidR="00D136C6" w:rsidRPr="00D136C6">
        <w:rPr>
          <w:rFonts w:ascii="Times New Roman" w:hAnsi="Times New Roman"/>
        </w:rPr>
        <w:t> </w:t>
      </w:r>
      <w:r w:rsidRPr="00D136C6">
        <w:rPr>
          <w:rFonts w:ascii="Times New Roman" w:hAnsi="Times New Roman"/>
        </w:rPr>
        <w:t>1</w:t>
      </w:r>
      <w:r w:rsidRPr="00670A6C">
        <w:rPr>
          <w:rFonts w:ascii="Times New Roman" w:hAnsi="Times New Roman"/>
        </w:rPr>
        <w:t xml:space="preserve"> TFUE.</w:t>
      </w:r>
    </w:p>
  </w:footnote>
  <w:footnote w:id="24">
    <w:p w14:paraId="3F7CAF06" w14:textId="3B0FE2ED" w:rsidR="00615841" w:rsidRPr="00670A6C" w:rsidRDefault="00615841" w:rsidP="0062112F">
      <w:pPr>
        <w:pStyle w:val="FootnoteText"/>
        <w:keepLines/>
        <w:ind w:left="567" w:hanging="567"/>
        <w:jc w:val="both"/>
        <w:rPr>
          <w:rFonts w:ascii="Times New Roman" w:hAnsi="Times New Roman"/>
        </w:rPr>
      </w:pPr>
      <w:r w:rsidRPr="00670A6C">
        <w:rPr>
          <w:rStyle w:val="FootnoteReference"/>
          <w:rFonts w:ascii="Times New Roman" w:hAnsi="Times New Roman" w:cs="Times New Roman"/>
        </w:rPr>
        <w:footnoteRef/>
      </w:r>
      <w:r w:rsidRPr="00670A6C">
        <w:rPr>
          <w:rFonts w:ascii="Times New Roman" w:hAnsi="Times New Roman"/>
        </w:rPr>
        <w:tab/>
        <w:t>Wniosek dotyczący dyrektywy Parlamentu Europejskiego</w:t>
      </w:r>
      <w:r w:rsidR="00D136C6" w:rsidRPr="00670A6C">
        <w:rPr>
          <w:rFonts w:ascii="Times New Roman" w:hAnsi="Times New Roman"/>
        </w:rPr>
        <w:t xml:space="preserve"> i</w:t>
      </w:r>
      <w:r w:rsidR="00D136C6">
        <w:rPr>
          <w:rFonts w:ascii="Times New Roman" w:hAnsi="Times New Roman"/>
        </w:rPr>
        <w:t> </w:t>
      </w:r>
      <w:r w:rsidR="00D136C6" w:rsidRPr="00670A6C">
        <w:rPr>
          <w:rFonts w:ascii="Times New Roman" w:hAnsi="Times New Roman"/>
        </w:rPr>
        <w:t>Rad</w:t>
      </w:r>
      <w:r w:rsidRPr="00670A6C">
        <w:rPr>
          <w:rFonts w:ascii="Times New Roman" w:hAnsi="Times New Roman"/>
        </w:rPr>
        <w:t>y</w:t>
      </w:r>
      <w:r w:rsidR="00D136C6" w:rsidRPr="00670A6C">
        <w:rPr>
          <w:rFonts w:ascii="Times New Roman" w:hAnsi="Times New Roman"/>
        </w:rPr>
        <w:t xml:space="preserve"> w</w:t>
      </w:r>
      <w:r w:rsidR="00D136C6">
        <w:rPr>
          <w:rFonts w:ascii="Times New Roman" w:hAnsi="Times New Roman"/>
        </w:rPr>
        <w:t> </w:t>
      </w:r>
      <w:r w:rsidR="00D136C6" w:rsidRPr="00670A6C">
        <w:rPr>
          <w:rFonts w:ascii="Times New Roman" w:hAnsi="Times New Roman"/>
        </w:rPr>
        <w:t>spr</w:t>
      </w:r>
      <w:r w:rsidRPr="00670A6C">
        <w:rPr>
          <w:rFonts w:ascii="Times New Roman" w:hAnsi="Times New Roman"/>
        </w:rPr>
        <w:t>awie wymiany informacji między organami ścigania państw członkowskich, uchylającej decyzję ramową Rady 2006/960/WSiSW (COM(2021) 782 final</w:t>
      </w:r>
      <w:r w:rsidR="00D136C6" w:rsidRPr="00670A6C">
        <w:rPr>
          <w:rFonts w:ascii="Times New Roman" w:hAnsi="Times New Roman"/>
        </w:rPr>
        <w:t xml:space="preserve"> z</w:t>
      </w:r>
      <w:r w:rsidR="00D136C6">
        <w:rPr>
          <w:rFonts w:ascii="Times New Roman" w:hAnsi="Times New Roman"/>
        </w:rPr>
        <w:t> </w:t>
      </w:r>
      <w:r w:rsidR="00D136C6" w:rsidRPr="00670A6C">
        <w:rPr>
          <w:rFonts w:ascii="Times New Roman" w:hAnsi="Times New Roman"/>
        </w:rPr>
        <w:t>8</w:t>
      </w:r>
      <w:r w:rsidRPr="00670A6C">
        <w:rPr>
          <w:rFonts w:ascii="Times New Roman" w:hAnsi="Times New Roman"/>
        </w:rPr>
        <w:t xml:space="preserve"> grudnia 20</w:t>
      </w:r>
      <w:r w:rsidRPr="00D136C6">
        <w:rPr>
          <w:rFonts w:ascii="Times New Roman" w:hAnsi="Times New Roman"/>
        </w:rPr>
        <w:t>21</w:t>
      </w:r>
      <w:r w:rsidR="00D136C6" w:rsidRPr="00D136C6">
        <w:rPr>
          <w:rFonts w:ascii="Times New Roman" w:hAnsi="Times New Roman"/>
        </w:rPr>
        <w:t> </w:t>
      </w:r>
      <w:r w:rsidRPr="00D136C6">
        <w:rPr>
          <w:rFonts w:ascii="Times New Roman" w:hAnsi="Times New Roman"/>
        </w:rPr>
        <w:t>r.</w:t>
      </w:r>
      <w:r w:rsidRPr="00670A6C">
        <w:rPr>
          <w:rFonts w:ascii="Times New Roman" w:hAnsi="Times New Roman"/>
        </w:rPr>
        <w:t>).</w:t>
      </w:r>
    </w:p>
  </w:footnote>
  <w:footnote w:id="25">
    <w:p w14:paraId="2D53521F" w14:textId="30DC9A39"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sidRPr="009407E0">
        <w:rPr>
          <w:rFonts w:ascii="Times New Roman" w:hAnsi="Times New Roman"/>
        </w:rPr>
        <w:t>Rozporządzenie Parlamentu Europejskiego</w:t>
      </w:r>
      <w:r w:rsidR="00D136C6" w:rsidRPr="009407E0">
        <w:rPr>
          <w:rFonts w:ascii="Times New Roman" w:hAnsi="Times New Roman"/>
        </w:rPr>
        <w:t xml:space="preserve"> i</w:t>
      </w:r>
      <w:r w:rsidR="00D136C6">
        <w:rPr>
          <w:rFonts w:ascii="Times New Roman" w:hAnsi="Times New Roman"/>
        </w:rPr>
        <w:t> </w:t>
      </w:r>
      <w:r w:rsidR="00D136C6" w:rsidRPr="009407E0">
        <w:rPr>
          <w:rFonts w:ascii="Times New Roman" w:hAnsi="Times New Roman"/>
        </w:rPr>
        <w:t>Rad</w:t>
      </w:r>
      <w:r w:rsidRPr="009407E0">
        <w:rPr>
          <w:rFonts w:ascii="Times New Roman" w:hAnsi="Times New Roman"/>
        </w:rPr>
        <w:t>y (UE) 2022/991</w:t>
      </w:r>
      <w:r w:rsidR="00D136C6" w:rsidRPr="009407E0">
        <w:rPr>
          <w:rFonts w:ascii="Times New Roman" w:hAnsi="Times New Roman"/>
        </w:rPr>
        <w:t xml:space="preserve"> z</w:t>
      </w:r>
      <w:r w:rsidR="00D136C6">
        <w:rPr>
          <w:rFonts w:ascii="Times New Roman" w:hAnsi="Times New Roman"/>
        </w:rPr>
        <w:t> </w:t>
      </w:r>
      <w:r w:rsidR="00D136C6" w:rsidRPr="009407E0">
        <w:rPr>
          <w:rFonts w:ascii="Times New Roman" w:hAnsi="Times New Roman"/>
        </w:rPr>
        <w:t>dni</w:t>
      </w:r>
      <w:r w:rsidRPr="009407E0">
        <w:rPr>
          <w:rFonts w:ascii="Times New Roman" w:hAnsi="Times New Roman"/>
        </w:rPr>
        <w:t>a 8 czerwca 20</w:t>
      </w:r>
      <w:r w:rsidRPr="00D136C6">
        <w:rPr>
          <w:rFonts w:ascii="Times New Roman" w:hAnsi="Times New Roman"/>
        </w:rPr>
        <w:t>22</w:t>
      </w:r>
      <w:r w:rsidR="00D136C6" w:rsidRPr="00D136C6">
        <w:rPr>
          <w:rFonts w:ascii="Times New Roman" w:hAnsi="Times New Roman"/>
        </w:rPr>
        <w:t> </w:t>
      </w:r>
      <w:r w:rsidRPr="00D136C6">
        <w:rPr>
          <w:rFonts w:ascii="Times New Roman" w:hAnsi="Times New Roman"/>
        </w:rPr>
        <w:t>r.</w:t>
      </w:r>
      <w:r w:rsidRPr="009407E0">
        <w:rPr>
          <w:rFonts w:ascii="Times New Roman" w:hAnsi="Times New Roman"/>
        </w:rPr>
        <w:t xml:space="preserve"> zmieniające rozporządzenie (UE) 2016/794</w:t>
      </w:r>
      <w:r w:rsidR="00D136C6" w:rsidRPr="009407E0">
        <w:rPr>
          <w:rFonts w:ascii="Times New Roman" w:hAnsi="Times New Roman"/>
        </w:rPr>
        <w:t xml:space="preserve"> w</w:t>
      </w:r>
      <w:r w:rsidR="00D136C6">
        <w:rPr>
          <w:rFonts w:ascii="Times New Roman" w:hAnsi="Times New Roman"/>
        </w:rPr>
        <w:t> </w:t>
      </w:r>
      <w:r w:rsidR="00D136C6" w:rsidRPr="009407E0">
        <w:rPr>
          <w:rFonts w:ascii="Times New Roman" w:hAnsi="Times New Roman"/>
        </w:rPr>
        <w:t>odn</w:t>
      </w:r>
      <w:r w:rsidRPr="009407E0">
        <w:rPr>
          <w:rFonts w:ascii="Times New Roman" w:hAnsi="Times New Roman"/>
        </w:rPr>
        <w:t>iesieniu do współpracy Europolu</w:t>
      </w:r>
      <w:r w:rsidR="00D136C6" w:rsidRPr="009407E0">
        <w:rPr>
          <w:rFonts w:ascii="Times New Roman" w:hAnsi="Times New Roman"/>
        </w:rPr>
        <w:t xml:space="preserve"> z</w:t>
      </w:r>
      <w:r w:rsidR="00D136C6">
        <w:rPr>
          <w:rFonts w:ascii="Times New Roman" w:hAnsi="Times New Roman"/>
        </w:rPr>
        <w:t> </w:t>
      </w:r>
      <w:r w:rsidR="00D136C6" w:rsidRPr="009407E0">
        <w:rPr>
          <w:rFonts w:ascii="Times New Roman" w:hAnsi="Times New Roman"/>
        </w:rPr>
        <w:t>pod</w:t>
      </w:r>
      <w:r w:rsidRPr="009407E0">
        <w:rPr>
          <w:rFonts w:ascii="Times New Roman" w:hAnsi="Times New Roman"/>
        </w:rPr>
        <w:t>miotami prywatnymi, przetwarzania danych osobowych przez Europol</w:t>
      </w:r>
      <w:r w:rsidR="00D136C6" w:rsidRPr="009407E0">
        <w:rPr>
          <w:rFonts w:ascii="Times New Roman" w:hAnsi="Times New Roman"/>
        </w:rPr>
        <w:t xml:space="preserve"> w</w:t>
      </w:r>
      <w:r w:rsidR="00D136C6">
        <w:rPr>
          <w:rFonts w:ascii="Times New Roman" w:hAnsi="Times New Roman"/>
        </w:rPr>
        <w:t> </w:t>
      </w:r>
      <w:r w:rsidR="00D136C6" w:rsidRPr="009407E0">
        <w:rPr>
          <w:rFonts w:ascii="Times New Roman" w:hAnsi="Times New Roman"/>
        </w:rPr>
        <w:t>cel</w:t>
      </w:r>
      <w:r w:rsidRPr="009407E0">
        <w:rPr>
          <w:rFonts w:ascii="Times New Roman" w:hAnsi="Times New Roman"/>
        </w:rPr>
        <w:t>u wspierania postępowań przygotowawczych oraz roli Europolu</w:t>
      </w:r>
      <w:r w:rsidR="00D136C6" w:rsidRPr="009407E0">
        <w:rPr>
          <w:rFonts w:ascii="Times New Roman" w:hAnsi="Times New Roman"/>
        </w:rPr>
        <w:t xml:space="preserve"> w</w:t>
      </w:r>
      <w:r w:rsidR="00D136C6">
        <w:rPr>
          <w:rFonts w:ascii="Times New Roman" w:hAnsi="Times New Roman"/>
        </w:rPr>
        <w:t> </w:t>
      </w:r>
      <w:r w:rsidR="00D136C6" w:rsidRPr="009407E0">
        <w:rPr>
          <w:rFonts w:ascii="Times New Roman" w:hAnsi="Times New Roman"/>
        </w:rPr>
        <w:t>zak</w:t>
      </w:r>
      <w:r w:rsidRPr="009407E0">
        <w:rPr>
          <w:rFonts w:ascii="Times New Roman" w:hAnsi="Times New Roman"/>
        </w:rPr>
        <w:t>resie badań naukowych</w:t>
      </w:r>
      <w:r w:rsidR="00D136C6" w:rsidRPr="009407E0">
        <w:rPr>
          <w:rFonts w:ascii="Times New Roman" w:hAnsi="Times New Roman"/>
        </w:rPr>
        <w:t xml:space="preserve"> i</w:t>
      </w:r>
      <w:r w:rsidR="00D136C6">
        <w:rPr>
          <w:rFonts w:ascii="Times New Roman" w:hAnsi="Times New Roman"/>
        </w:rPr>
        <w:t> </w:t>
      </w:r>
      <w:r w:rsidR="00D136C6" w:rsidRPr="009407E0">
        <w:rPr>
          <w:rFonts w:ascii="Times New Roman" w:hAnsi="Times New Roman"/>
        </w:rPr>
        <w:t>inn</w:t>
      </w:r>
      <w:r w:rsidRPr="009407E0">
        <w:rPr>
          <w:rFonts w:ascii="Times New Roman" w:hAnsi="Times New Roman"/>
        </w:rPr>
        <w:t>owacji</w:t>
      </w:r>
      <w:r>
        <w:t>.</w:t>
      </w:r>
    </w:p>
  </w:footnote>
  <w:footnote w:id="26">
    <w:p w14:paraId="70823A0A" w14:textId="20D49D09"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przykład podczas koordynowanych przez EMPACT dni wspólnego działania, które odbyły się</w:t>
      </w:r>
      <w:r w:rsidR="00D136C6">
        <w:rPr>
          <w:rFonts w:ascii="Times New Roman" w:hAnsi="Times New Roman"/>
        </w:rPr>
        <w:t xml:space="preserve"> w dni</w:t>
      </w:r>
      <w:r>
        <w:rPr>
          <w:rFonts w:ascii="Times New Roman" w:hAnsi="Times New Roman"/>
        </w:rPr>
        <w:t>ach 26–29 października, organy ścigania wspólnie zmierzyły się</w:t>
      </w:r>
      <w:r w:rsidR="00D136C6">
        <w:rPr>
          <w:rFonts w:ascii="Times New Roman" w:hAnsi="Times New Roman"/>
        </w:rPr>
        <w:t xml:space="preserve"> z pro</w:t>
      </w:r>
      <w:r>
        <w:rPr>
          <w:rFonts w:ascii="Times New Roman" w:hAnsi="Times New Roman"/>
        </w:rPr>
        <w:t>blemami nielegalnego handlu bronią, nielegalnego obrotu środkami odurzającymi, przemytu migrantów</w:t>
      </w:r>
      <w:r w:rsidR="00D136C6">
        <w:rPr>
          <w:rFonts w:ascii="Times New Roman" w:hAnsi="Times New Roman"/>
        </w:rPr>
        <w:t xml:space="preserve"> i han</w:t>
      </w:r>
      <w:r>
        <w:rPr>
          <w:rFonts w:ascii="Times New Roman" w:hAnsi="Times New Roman"/>
        </w:rPr>
        <w:t>dlu ludźmi. Wsparcie działań operacyjnych</w:t>
      </w:r>
      <w:r w:rsidR="00D136C6">
        <w:rPr>
          <w:rFonts w:ascii="Times New Roman" w:hAnsi="Times New Roman"/>
        </w:rPr>
        <w:t xml:space="preserve"> z udz</w:t>
      </w:r>
      <w:r>
        <w:rPr>
          <w:rFonts w:ascii="Times New Roman" w:hAnsi="Times New Roman"/>
        </w:rPr>
        <w:t>iałem 28 państw</w:t>
      </w:r>
      <w:r w:rsidR="00D136C6">
        <w:rPr>
          <w:rFonts w:ascii="Times New Roman" w:hAnsi="Times New Roman"/>
        </w:rPr>
        <w:t xml:space="preserve"> z cał</w:t>
      </w:r>
      <w:r>
        <w:rPr>
          <w:rFonts w:ascii="Times New Roman" w:hAnsi="Times New Roman"/>
        </w:rPr>
        <w:t>ej Europy zapewniły również Eurojust, Frontex, INTERPOL, SELEC oraz inne organizacje międzynarodowe. Podstawą planowania dni wspólnego działania EMPACT było podejście oparte na danych wywiadowczych, które obejmowało współpracę niemal 16 000 funkcjonariuszy</w:t>
      </w:r>
      <w:r w:rsidR="00D136C6">
        <w:rPr>
          <w:rFonts w:ascii="Times New Roman" w:hAnsi="Times New Roman"/>
        </w:rPr>
        <w:t xml:space="preserve"> i prz</w:t>
      </w:r>
      <w:r>
        <w:rPr>
          <w:rFonts w:ascii="Times New Roman" w:hAnsi="Times New Roman"/>
        </w:rPr>
        <w:t>yczyniło się między innymi do zatrzymania 382 osób podejrzanych, wykrycia 2 476 przypadków niedozwolonego przekroczenia granicy</w:t>
      </w:r>
      <w:r w:rsidR="00D136C6">
        <w:rPr>
          <w:rFonts w:ascii="Times New Roman" w:hAnsi="Times New Roman"/>
        </w:rPr>
        <w:t xml:space="preserve"> i wsz</w:t>
      </w:r>
      <w:r>
        <w:rPr>
          <w:rFonts w:ascii="Times New Roman" w:hAnsi="Times New Roman"/>
        </w:rPr>
        <w:t xml:space="preserve">częcia 130 nowych postępowań przygotowawczych </w:t>
      </w:r>
      <w:hyperlink r:id="rId2" w:history="1">
        <w:r>
          <w:rPr>
            <w:rStyle w:val="Hyperlink"/>
            <w:rFonts w:ascii="Times New Roman" w:hAnsi="Times New Roman"/>
          </w:rPr>
          <w:t>https://www.europol.europa.eu/media-press/newsroom/news/382-arrests-during-joint-actions-against-traffickers-using-balkan-route?mtm_campaign=newsletter</w:t>
        </w:r>
      </w:hyperlink>
    </w:p>
  </w:footnote>
  <w:footnote w:id="27">
    <w:p w14:paraId="4EF9761C" w14:textId="42D9B8ED" w:rsidR="00615841" w:rsidRPr="009407E0" w:rsidRDefault="00615841" w:rsidP="0062112F">
      <w:pPr>
        <w:pStyle w:val="FootnoteText"/>
        <w:keepLines/>
        <w:ind w:left="567" w:hanging="567"/>
        <w:jc w:val="both"/>
        <w:rPr>
          <w:rFonts w:ascii="Times New Roman" w:hAnsi="Times New Roman"/>
        </w:rPr>
      </w:pPr>
      <w:r>
        <w:rPr>
          <w:rStyle w:val="FootnoteReference"/>
          <w:rFonts w:ascii="Times New Roman" w:hAnsi="Times New Roman" w:cs="Times New Roman"/>
        </w:rPr>
        <w:footnoteRef/>
      </w:r>
      <w:r>
        <w:tab/>
      </w:r>
      <w:r w:rsidRPr="009407E0">
        <w:rPr>
          <w:rFonts w:ascii="Times New Roman" w:hAnsi="Times New Roman"/>
        </w:rPr>
        <w:t>Zalecenie Rady (UE) 2022/915</w:t>
      </w:r>
      <w:r w:rsidR="00D136C6" w:rsidRPr="009407E0">
        <w:rPr>
          <w:rFonts w:ascii="Times New Roman" w:hAnsi="Times New Roman"/>
        </w:rPr>
        <w:t xml:space="preserve"> z</w:t>
      </w:r>
      <w:r w:rsidR="00D136C6">
        <w:rPr>
          <w:rFonts w:ascii="Times New Roman" w:hAnsi="Times New Roman"/>
        </w:rPr>
        <w:t> </w:t>
      </w:r>
      <w:r w:rsidR="00D136C6" w:rsidRPr="009407E0">
        <w:rPr>
          <w:rFonts w:ascii="Times New Roman" w:hAnsi="Times New Roman"/>
        </w:rPr>
        <w:t>dni</w:t>
      </w:r>
      <w:r w:rsidRPr="009407E0">
        <w:rPr>
          <w:rFonts w:ascii="Times New Roman" w:hAnsi="Times New Roman"/>
        </w:rPr>
        <w:t>a 9 czerwca 2022 r.</w:t>
      </w:r>
      <w:r w:rsidR="00D136C6" w:rsidRPr="009407E0">
        <w:rPr>
          <w:rFonts w:ascii="Times New Roman" w:hAnsi="Times New Roman"/>
        </w:rPr>
        <w:t xml:space="preserve"> w</w:t>
      </w:r>
      <w:r w:rsidR="00D136C6">
        <w:rPr>
          <w:rFonts w:ascii="Times New Roman" w:hAnsi="Times New Roman"/>
        </w:rPr>
        <w:t> </w:t>
      </w:r>
      <w:r w:rsidR="00D136C6" w:rsidRPr="009407E0">
        <w:rPr>
          <w:rFonts w:ascii="Times New Roman" w:hAnsi="Times New Roman"/>
        </w:rPr>
        <w:t>spr</w:t>
      </w:r>
      <w:r w:rsidRPr="009407E0">
        <w:rPr>
          <w:rFonts w:ascii="Times New Roman" w:hAnsi="Times New Roman"/>
        </w:rPr>
        <w:t>awie współpracy operacyjnej organów ścigania.</w:t>
      </w:r>
    </w:p>
  </w:footnote>
  <w:footnote w:id="28">
    <w:p w14:paraId="53350057" w14:textId="2CE2853A"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sidRPr="009407E0">
        <w:rPr>
          <w:rFonts w:ascii="Times New Roman" w:hAnsi="Times New Roman"/>
        </w:rPr>
        <w:t>Zalecenie Komisji (UE) 2017/820</w:t>
      </w:r>
      <w:r w:rsidR="00D136C6" w:rsidRPr="009407E0">
        <w:rPr>
          <w:rFonts w:ascii="Times New Roman" w:hAnsi="Times New Roman"/>
        </w:rPr>
        <w:t xml:space="preserve"> z</w:t>
      </w:r>
      <w:r w:rsidR="00D136C6">
        <w:rPr>
          <w:rFonts w:ascii="Times New Roman" w:hAnsi="Times New Roman"/>
        </w:rPr>
        <w:t> </w:t>
      </w:r>
      <w:r w:rsidR="00D136C6" w:rsidRPr="009407E0">
        <w:rPr>
          <w:rFonts w:ascii="Times New Roman" w:hAnsi="Times New Roman"/>
        </w:rPr>
        <w:t>dni</w:t>
      </w:r>
      <w:r w:rsidRPr="009407E0">
        <w:rPr>
          <w:rFonts w:ascii="Times New Roman" w:hAnsi="Times New Roman"/>
        </w:rPr>
        <w:t>a 12 maja 20</w:t>
      </w:r>
      <w:r w:rsidRPr="00D136C6">
        <w:rPr>
          <w:rFonts w:ascii="Times New Roman" w:hAnsi="Times New Roman"/>
        </w:rPr>
        <w:t>17</w:t>
      </w:r>
      <w:r w:rsidR="00D136C6" w:rsidRPr="00D136C6">
        <w:rPr>
          <w:rFonts w:ascii="Times New Roman" w:hAnsi="Times New Roman"/>
        </w:rPr>
        <w:t> </w:t>
      </w:r>
      <w:r w:rsidRPr="00D136C6">
        <w:rPr>
          <w:rFonts w:ascii="Times New Roman" w:hAnsi="Times New Roman"/>
        </w:rPr>
        <w:t>r.</w:t>
      </w:r>
      <w:r w:rsidRPr="009407E0">
        <w:rPr>
          <w:rFonts w:ascii="Times New Roman" w:hAnsi="Times New Roman"/>
        </w:rPr>
        <w:t xml:space="preserve"> dotyczące proporcjonalnych kontroli policyjnych oraz współpracy policyjnej</w:t>
      </w:r>
      <w:r w:rsidR="00D136C6" w:rsidRPr="009407E0">
        <w:rPr>
          <w:rFonts w:ascii="Times New Roman" w:hAnsi="Times New Roman"/>
        </w:rPr>
        <w:t xml:space="preserve"> w</w:t>
      </w:r>
      <w:r w:rsidR="00D136C6">
        <w:rPr>
          <w:rFonts w:ascii="Times New Roman" w:hAnsi="Times New Roman"/>
        </w:rPr>
        <w:t> </w:t>
      </w:r>
      <w:r w:rsidR="00D136C6" w:rsidRPr="009407E0">
        <w:rPr>
          <w:rFonts w:ascii="Times New Roman" w:hAnsi="Times New Roman"/>
        </w:rPr>
        <w:t>str</w:t>
      </w:r>
      <w:r w:rsidRPr="009407E0">
        <w:rPr>
          <w:rFonts w:ascii="Times New Roman" w:hAnsi="Times New Roman"/>
        </w:rPr>
        <w:t>efie Schengen.</w:t>
      </w:r>
    </w:p>
  </w:footnote>
  <w:footnote w:id="29">
    <w:p w14:paraId="335AE039" w14:textId="77777777" w:rsidR="00615841" w:rsidRPr="00F547A3"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Badanie Eurobarometr – zima 2021/2022.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499F" w14:textId="77777777" w:rsidR="002370A4" w:rsidRPr="002370A4" w:rsidRDefault="002370A4" w:rsidP="00237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DCB3" w14:textId="77777777" w:rsidR="002370A4" w:rsidRPr="002370A4" w:rsidRDefault="002370A4" w:rsidP="002370A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12156" w14:textId="77777777" w:rsidR="002370A4" w:rsidRPr="002370A4" w:rsidRDefault="002370A4" w:rsidP="002370A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B4BC" w14:textId="77777777" w:rsidR="00615841" w:rsidRDefault="006158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CE57" w14:textId="77777777" w:rsidR="00615841" w:rsidRDefault="006158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F1CD" w14:textId="77777777" w:rsidR="00615841" w:rsidRDefault="0061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656"/>
    <w:multiLevelType w:val="hybridMultilevel"/>
    <w:tmpl w:val="C05AC53E"/>
    <w:lvl w:ilvl="0" w:tplc="B8F4E69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B6ECD"/>
    <w:multiLevelType w:val="hybridMultilevel"/>
    <w:tmpl w:val="CD1663CA"/>
    <w:lvl w:ilvl="0" w:tplc="21808ADC">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63932AE"/>
    <w:multiLevelType w:val="hybridMultilevel"/>
    <w:tmpl w:val="E026CD56"/>
    <w:lvl w:ilvl="0" w:tplc="9AB00000">
      <w:start w:val="1"/>
      <w:numFmt w:val="bullet"/>
      <w:lvlText w:val="-"/>
      <w:lvlJc w:val="left"/>
      <w:pPr>
        <w:ind w:left="1440" w:hanging="360"/>
      </w:pPr>
      <w:rPr>
        <w:rFonts w:ascii="Calibri" w:eastAsiaTheme="minorHAnsi" w:hAnsi="Calibri" w:cs="Calibri" w:hint="default"/>
      </w:rPr>
    </w:lvl>
    <w:lvl w:ilvl="1" w:tplc="1809000D">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CDA1A3B"/>
    <w:multiLevelType w:val="hybridMultilevel"/>
    <w:tmpl w:val="328A4598"/>
    <w:numStyleLink w:val="ImportedStyle1"/>
  </w:abstractNum>
  <w:abstractNum w:abstractNumId="4" w15:restartNumberingAfterBreak="0">
    <w:nsid w:val="23C047F1"/>
    <w:multiLevelType w:val="hybridMultilevel"/>
    <w:tmpl w:val="328A4598"/>
    <w:styleLink w:val="ImportedStyle1"/>
    <w:lvl w:ilvl="0" w:tplc="6644D348">
      <w:start w:val="1"/>
      <w:numFmt w:val="decimal"/>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B875EC">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720F54">
      <w:start w:val="1"/>
      <w:numFmt w:val="lowerRoman"/>
      <w:lvlText w:val="%3."/>
      <w:lvlJc w:val="left"/>
      <w:pPr>
        <w:ind w:left="216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2A79E2">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589480">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F6E73C">
      <w:start w:val="1"/>
      <w:numFmt w:val="lowerRoman"/>
      <w:lvlText w:val="%6."/>
      <w:lvlJc w:val="left"/>
      <w:pPr>
        <w:ind w:left="432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6606BA">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281A14">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7ECB8C">
      <w:start w:val="1"/>
      <w:numFmt w:val="lowerRoman"/>
      <w:lvlText w:val="%9."/>
      <w:lvlJc w:val="left"/>
      <w:pPr>
        <w:ind w:left="648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3E41EE4"/>
    <w:multiLevelType w:val="hybridMultilevel"/>
    <w:tmpl w:val="8D1861B6"/>
    <w:lvl w:ilvl="0" w:tplc="D6B8EB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32C34"/>
    <w:multiLevelType w:val="hybridMultilevel"/>
    <w:tmpl w:val="DF125042"/>
    <w:lvl w:ilvl="0" w:tplc="731C9AB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51B1E14"/>
    <w:multiLevelType w:val="hybridMultilevel"/>
    <w:tmpl w:val="9D5EB040"/>
    <w:lvl w:ilvl="0" w:tplc="593E0F4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F322D"/>
    <w:multiLevelType w:val="hybridMultilevel"/>
    <w:tmpl w:val="3222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E7100"/>
    <w:multiLevelType w:val="hybridMultilevel"/>
    <w:tmpl w:val="77F0992E"/>
    <w:lvl w:ilvl="0" w:tplc="E9645500">
      <w:start w:val="1"/>
      <w:numFmt w:val="low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401B1C74"/>
    <w:multiLevelType w:val="hybridMultilevel"/>
    <w:tmpl w:val="32D2229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425752E5"/>
    <w:multiLevelType w:val="hybridMultilevel"/>
    <w:tmpl w:val="DED40420"/>
    <w:lvl w:ilvl="0" w:tplc="92CACC1C">
      <w:start w:val="1"/>
      <w:numFmt w:val="decimal"/>
      <w:lvlText w:val="%1."/>
      <w:lvlJc w:val="left"/>
      <w:pPr>
        <w:ind w:left="1440" w:hanging="360"/>
      </w:pPr>
      <w:rPr>
        <w:rFonts w:hint="default"/>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4D2840CC"/>
    <w:multiLevelType w:val="hybridMultilevel"/>
    <w:tmpl w:val="7C1EEAE2"/>
    <w:lvl w:ilvl="0" w:tplc="6E66D4EC">
      <w:start w:val="1"/>
      <w:numFmt w:val="bullet"/>
      <w:lvlText w:val="-"/>
      <w:lvlJc w:val="left"/>
      <w:pPr>
        <w:ind w:left="644" w:hanging="360"/>
      </w:pPr>
      <w:rPr>
        <w:rFonts w:ascii="Calibri" w:eastAsiaTheme="minorHAnsi" w:hAnsi="Calibri" w:cs="Calibri" w:hint="default"/>
      </w:rPr>
    </w:lvl>
    <w:lvl w:ilvl="1" w:tplc="18090001">
      <w:start w:val="1"/>
      <w:numFmt w:val="bullet"/>
      <w:lvlText w:val=""/>
      <w:lvlJc w:val="left"/>
      <w:pPr>
        <w:ind w:left="1069" w:hanging="360"/>
      </w:pPr>
      <w:rPr>
        <w:rFonts w:ascii="Symbol" w:hAnsi="Symbol" w:hint="default"/>
      </w:rPr>
    </w:lvl>
    <w:lvl w:ilvl="2" w:tplc="18090005">
      <w:start w:val="1"/>
      <w:numFmt w:val="bullet"/>
      <w:lvlText w:val=""/>
      <w:lvlJc w:val="left"/>
      <w:pPr>
        <w:ind w:left="1494"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016AF6"/>
    <w:multiLevelType w:val="hybridMultilevel"/>
    <w:tmpl w:val="591269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8682554"/>
    <w:multiLevelType w:val="hybridMultilevel"/>
    <w:tmpl w:val="46F2275E"/>
    <w:lvl w:ilvl="0" w:tplc="9AB00000">
      <w:start w:val="1"/>
      <w:numFmt w:val="bullet"/>
      <w:lvlText w:val="-"/>
      <w:lvlJc w:val="left"/>
      <w:pPr>
        <w:ind w:left="1440" w:hanging="360"/>
      </w:pPr>
      <w:rPr>
        <w:rFonts w:ascii="Calibri" w:eastAsiaTheme="minorHAnsi" w:hAnsi="Calibri" w:cs="Calibri"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73C65569"/>
    <w:multiLevelType w:val="hybridMultilevel"/>
    <w:tmpl w:val="A9E2F63C"/>
    <w:lvl w:ilvl="0" w:tplc="E5102242">
      <w:start w:val="1"/>
      <w:numFmt w:val="upperRoman"/>
      <w:lvlText w:val="%1."/>
      <w:lvlJc w:val="left"/>
      <w:pPr>
        <w:ind w:left="2988"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BCE722A"/>
    <w:multiLevelType w:val="multilevel"/>
    <w:tmpl w:val="1174F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2"/>
  </w:num>
  <w:num w:numId="4">
    <w:abstractNumId w:val="1"/>
  </w:num>
  <w:num w:numId="5">
    <w:abstractNumId w:val="4"/>
  </w:num>
  <w:num w:numId="6">
    <w:abstractNumId w:val="3"/>
  </w:num>
  <w:num w:numId="7">
    <w:abstractNumId w:val="9"/>
  </w:num>
  <w:num w:numId="8">
    <w:abstractNumId w:val="11"/>
  </w:num>
  <w:num w:numId="9">
    <w:abstractNumId w:val="7"/>
  </w:num>
  <w:num w:numId="10">
    <w:abstractNumId w:val="6"/>
  </w:num>
  <w:num w:numId="11">
    <w:abstractNumId w:val="5"/>
  </w:num>
  <w:num w:numId="12">
    <w:abstractNumId w:val="8"/>
  </w:num>
  <w:num w:numId="13">
    <w:abstractNumId w:val="13"/>
  </w:num>
  <w:num w:numId="14">
    <w:abstractNumId w:val="16"/>
  </w:num>
  <w:num w:numId="15">
    <w:abstractNumId w:val="0"/>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D7B9FEE-A7D9-43E9-815B-C7F6C9020E9D"/>
    <w:docVar w:name="LW_COVERPAGE_TYPE" w:val="1"/>
    <w:docVar w:name="LW_CROSSREFERENCE" w:val="&lt;UNUSED&gt;"/>
    <w:docVar w:name="LW_DocType" w:val="NORMAL"/>
    <w:docVar w:name="LW_EMISSION" w:val="16.11.2022"/>
    <w:docVar w:name="LW_EMISSION_ISODATE" w:val="2022-11-16"/>
    <w:docVar w:name="LW_EMISSION_LOCATION" w:val="BRX"/>
    <w:docVar w:name="LW_EMISSION_PREFIX" w:val="Bruksela, dnia "/>
    <w:docVar w:name="LW_EMISSION_SUFFIX" w:val=" r."/>
    <w:docVar w:name="LW_ID_DOCTYPE_NONLW" w:val="CP-012"/>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2) 6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Wzmocnienie strefy Schengen dzięki pełnemu uczestnictwu Bułgarii, Rumunii i Chorwacji w obszarze bez kontroli na granicach wewnętrznych_x000d__x000d__x000d__x000d__x000d__x000d__x000d__x000b__x000d__x000d__x000d__x000d__x000d__x000d__x000d__x000d__x000d__x000b_"/>
    <w:docVar w:name="LW_TYPE.DOC.CP" w:val="KOMUNIKAT KOMISJI DO PARLAMENTU EUROPEJSKIEGO I RADY"/>
    <w:docVar w:name="LW_TYPE.DOC.CP.USERTEXT" w:val="&lt;EMPTY&gt;"/>
    <w:docVar w:name="LwApiVersions" w:val="LW4CoDe 1.23.2.0; LW 8.0, Build 20211117"/>
  </w:docVars>
  <w:rsids>
    <w:rsidRoot w:val="00A51F28"/>
    <w:rsid w:val="000025DF"/>
    <w:rsid w:val="00012414"/>
    <w:rsid w:val="00013FE8"/>
    <w:rsid w:val="00014A5A"/>
    <w:rsid w:val="000162CA"/>
    <w:rsid w:val="00021B18"/>
    <w:rsid w:val="00022612"/>
    <w:rsid w:val="00026B49"/>
    <w:rsid w:val="00036B17"/>
    <w:rsid w:val="00043F3D"/>
    <w:rsid w:val="00045BD1"/>
    <w:rsid w:val="000562B4"/>
    <w:rsid w:val="00057010"/>
    <w:rsid w:val="0006770D"/>
    <w:rsid w:val="00071FD2"/>
    <w:rsid w:val="00074601"/>
    <w:rsid w:val="0007500F"/>
    <w:rsid w:val="00076A9D"/>
    <w:rsid w:val="00076F2F"/>
    <w:rsid w:val="0008416B"/>
    <w:rsid w:val="000962FF"/>
    <w:rsid w:val="00096DE8"/>
    <w:rsid w:val="000A6531"/>
    <w:rsid w:val="000B28F0"/>
    <w:rsid w:val="000B34D8"/>
    <w:rsid w:val="000B38E1"/>
    <w:rsid w:val="000B3C18"/>
    <w:rsid w:val="000C5BAA"/>
    <w:rsid w:val="000C7E31"/>
    <w:rsid w:val="000D79D8"/>
    <w:rsid w:val="000E1B06"/>
    <w:rsid w:val="000E3433"/>
    <w:rsid w:val="000E6C35"/>
    <w:rsid w:val="000F22AC"/>
    <w:rsid w:val="001062EB"/>
    <w:rsid w:val="00121416"/>
    <w:rsid w:val="0012513D"/>
    <w:rsid w:val="00125F0F"/>
    <w:rsid w:val="00126B0E"/>
    <w:rsid w:val="001329DF"/>
    <w:rsid w:val="00136981"/>
    <w:rsid w:val="00141F05"/>
    <w:rsid w:val="0014596D"/>
    <w:rsid w:val="00146332"/>
    <w:rsid w:val="001510A3"/>
    <w:rsid w:val="00152E8B"/>
    <w:rsid w:val="001533E9"/>
    <w:rsid w:val="00153E72"/>
    <w:rsid w:val="001702B4"/>
    <w:rsid w:val="001711A7"/>
    <w:rsid w:val="00175E01"/>
    <w:rsid w:val="00176551"/>
    <w:rsid w:val="0018394E"/>
    <w:rsid w:val="00185C33"/>
    <w:rsid w:val="00187651"/>
    <w:rsid w:val="00193DC0"/>
    <w:rsid w:val="00196A8F"/>
    <w:rsid w:val="00196D68"/>
    <w:rsid w:val="00197504"/>
    <w:rsid w:val="001A10FF"/>
    <w:rsid w:val="001A2A21"/>
    <w:rsid w:val="001A5E35"/>
    <w:rsid w:val="001B1EED"/>
    <w:rsid w:val="001B7A2E"/>
    <w:rsid w:val="001C17D0"/>
    <w:rsid w:val="001C462D"/>
    <w:rsid w:val="001C49C1"/>
    <w:rsid w:val="001C6898"/>
    <w:rsid w:val="001E041A"/>
    <w:rsid w:val="001F0312"/>
    <w:rsid w:val="001F46F3"/>
    <w:rsid w:val="00201D14"/>
    <w:rsid w:val="00210C6B"/>
    <w:rsid w:val="0021221A"/>
    <w:rsid w:val="0021494C"/>
    <w:rsid w:val="00220AFF"/>
    <w:rsid w:val="00221636"/>
    <w:rsid w:val="00222F9F"/>
    <w:rsid w:val="00225BB7"/>
    <w:rsid w:val="00227B15"/>
    <w:rsid w:val="00230AD0"/>
    <w:rsid w:val="00233639"/>
    <w:rsid w:val="002370A4"/>
    <w:rsid w:val="00237C61"/>
    <w:rsid w:val="00240458"/>
    <w:rsid w:val="00241B4E"/>
    <w:rsid w:val="002532D1"/>
    <w:rsid w:val="00253944"/>
    <w:rsid w:val="002542ED"/>
    <w:rsid w:val="0026361B"/>
    <w:rsid w:val="0026460F"/>
    <w:rsid w:val="00271D6D"/>
    <w:rsid w:val="00274821"/>
    <w:rsid w:val="00275310"/>
    <w:rsid w:val="00275320"/>
    <w:rsid w:val="00282ACD"/>
    <w:rsid w:val="00285917"/>
    <w:rsid w:val="00287CCF"/>
    <w:rsid w:val="002900BD"/>
    <w:rsid w:val="002949A9"/>
    <w:rsid w:val="002A13E9"/>
    <w:rsid w:val="002B6582"/>
    <w:rsid w:val="002B665B"/>
    <w:rsid w:val="002B7B52"/>
    <w:rsid w:val="002C1513"/>
    <w:rsid w:val="002C438C"/>
    <w:rsid w:val="002D7AD9"/>
    <w:rsid w:val="002E377F"/>
    <w:rsid w:val="002E484E"/>
    <w:rsid w:val="002E668C"/>
    <w:rsid w:val="002E6BC5"/>
    <w:rsid w:val="002F150C"/>
    <w:rsid w:val="002F1EBA"/>
    <w:rsid w:val="002F3F76"/>
    <w:rsid w:val="002F485E"/>
    <w:rsid w:val="002F5F4E"/>
    <w:rsid w:val="00301EAA"/>
    <w:rsid w:val="00302CAC"/>
    <w:rsid w:val="00305FA4"/>
    <w:rsid w:val="00306469"/>
    <w:rsid w:val="003106DF"/>
    <w:rsid w:val="00312AF5"/>
    <w:rsid w:val="003142CD"/>
    <w:rsid w:val="00316E7E"/>
    <w:rsid w:val="003170DB"/>
    <w:rsid w:val="00322DA0"/>
    <w:rsid w:val="003230A2"/>
    <w:rsid w:val="0032700F"/>
    <w:rsid w:val="003356DD"/>
    <w:rsid w:val="00347151"/>
    <w:rsid w:val="00347FCA"/>
    <w:rsid w:val="003543FD"/>
    <w:rsid w:val="00360AB5"/>
    <w:rsid w:val="00367A4A"/>
    <w:rsid w:val="00370739"/>
    <w:rsid w:val="00373BE6"/>
    <w:rsid w:val="003741CB"/>
    <w:rsid w:val="00377233"/>
    <w:rsid w:val="003847CD"/>
    <w:rsid w:val="0038484A"/>
    <w:rsid w:val="00384C7A"/>
    <w:rsid w:val="003861F2"/>
    <w:rsid w:val="0039087D"/>
    <w:rsid w:val="0039625D"/>
    <w:rsid w:val="00397257"/>
    <w:rsid w:val="003B3889"/>
    <w:rsid w:val="003C3035"/>
    <w:rsid w:val="003D05F7"/>
    <w:rsid w:val="003D2664"/>
    <w:rsid w:val="003D5863"/>
    <w:rsid w:val="003E1285"/>
    <w:rsid w:val="003E597C"/>
    <w:rsid w:val="003F7795"/>
    <w:rsid w:val="0040529A"/>
    <w:rsid w:val="0041032C"/>
    <w:rsid w:val="00410E20"/>
    <w:rsid w:val="00411874"/>
    <w:rsid w:val="0041299E"/>
    <w:rsid w:val="004151A0"/>
    <w:rsid w:val="00420E24"/>
    <w:rsid w:val="0042243E"/>
    <w:rsid w:val="0042713C"/>
    <w:rsid w:val="00432B88"/>
    <w:rsid w:val="0043386F"/>
    <w:rsid w:val="00433CB5"/>
    <w:rsid w:val="004369E9"/>
    <w:rsid w:val="004414B4"/>
    <w:rsid w:val="00460167"/>
    <w:rsid w:val="0046448E"/>
    <w:rsid w:val="004673EA"/>
    <w:rsid w:val="00473C80"/>
    <w:rsid w:val="00475748"/>
    <w:rsid w:val="00481178"/>
    <w:rsid w:val="00481E78"/>
    <w:rsid w:val="00483929"/>
    <w:rsid w:val="00485B96"/>
    <w:rsid w:val="00485CD8"/>
    <w:rsid w:val="00491F55"/>
    <w:rsid w:val="004A0640"/>
    <w:rsid w:val="004B06A4"/>
    <w:rsid w:val="004B5E32"/>
    <w:rsid w:val="004B79F0"/>
    <w:rsid w:val="004C4757"/>
    <w:rsid w:val="004C5DB2"/>
    <w:rsid w:val="004C63A9"/>
    <w:rsid w:val="004D12EA"/>
    <w:rsid w:val="004D77F9"/>
    <w:rsid w:val="004F488E"/>
    <w:rsid w:val="00501491"/>
    <w:rsid w:val="0050584D"/>
    <w:rsid w:val="00505FDB"/>
    <w:rsid w:val="00512E40"/>
    <w:rsid w:val="00515249"/>
    <w:rsid w:val="005152C2"/>
    <w:rsid w:val="00521239"/>
    <w:rsid w:val="00527BE6"/>
    <w:rsid w:val="00541643"/>
    <w:rsid w:val="005445EA"/>
    <w:rsid w:val="0054514C"/>
    <w:rsid w:val="00545F54"/>
    <w:rsid w:val="005465A7"/>
    <w:rsid w:val="00554B2E"/>
    <w:rsid w:val="005560E9"/>
    <w:rsid w:val="005615EE"/>
    <w:rsid w:val="0056470B"/>
    <w:rsid w:val="00565685"/>
    <w:rsid w:val="00566A86"/>
    <w:rsid w:val="00570A22"/>
    <w:rsid w:val="005736F4"/>
    <w:rsid w:val="005751D8"/>
    <w:rsid w:val="00575C27"/>
    <w:rsid w:val="005834E8"/>
    <w:rsid w:val="00590EBC"/>
    <w:rsid w:val="00591172"/>
    <w:rsid w:val="00591A0A"/>
    <w:rsid w:val="005A045A"/>
    <w:rsid w:val="005A703C"/>
    <w:rsid w:val="005C0573"/>
    <w:rsid w:val="005C1EE3"/>
    <w:rsid w:val="005C41C7"/>
    <w:rsid w:val="005C4E3A"/>
    <w:rsid w:val="005C545E"/>
    <w:rsid w:val="005D1636"/>
    <w:rsid w:val="005D530C"/>
    <w:rsid w:val="005D64B5"/>
    <w:rsid w:val="005D7433"/>
    <w:rsid w:val="005E123C"/>
    <w:rsid w:val="005E1FD8"/>
    <w:rsid w:val="005F071A"/>
    <w:rsid w:val="005F2876"/>
    <w:rsid w:val="006003BD"/>
    <w:rsid w:val="00602BE7"/>
    <w:rsid w:val="00605EC6"/>
    <w:rsid w:val="0060717F"/>
    <w:rsid w:val="00607A97"/>
    <w:rsid w:val="0061324B"/>
    <w:rsid w:val="00615841"/>
    <w:rsid w:val="0062112F"/>
    <w:rsid w:val="00622C3B"/>
    <w:rsid w:val="006270B8"/>
    <w:rsid w:val="00630C7A"/>
    <w:rsid w:val="00636FF5"/>
    <w:rsid w:val="00641CD2"/>
    <w:rsid w:val="006422A7"/>
    <w:rsid w:val="00645265"/>
    <w:rsid w:val="006454CD"/>
    <w:rsid w:val="00646D77"/>
    <w:rsid w:val="00653435"/>
    <w:rsid w:val="00654A1A"/>
    <w:rsid w:val="0065545C"/>
    <w:rsid w:val="0065710C"/>
    <w:rsid w:val="00661A8D"/>
    <w:rsid w:val="00670A6C"/>
    <w:rsid w:val="00671469"/>
    <w:rsid w:val="0067383A"/>
    <w:rsid w:val="0067393B"/>
    <w:rsid w:val="00675131"/>
    <w:rsid w:val="006779E7"/>
    <w:rsid w:val="00681119"/>
    <w:rsid w:val="00684537"/>
    <w:rsid w:val="0068584F"/>
    <w:rsid w:val="00685BA3"/>
    <w:rsid w:val="006910B6"/>
    <w:rsid w:val="00692E80"/>
    <w:rsid w:val="006934FF"/>
    <w:rsid w:val="00693597"/>
    <w:rsid w:val="006A2EA4"/>
    <w:rsid w:val="006A3390"/>
    <w:rsid w:val="006A5315"/>
    <w:rsid w:val="006A58B9"/>
    <w:rsid w:val="006C3D21"/>
    <w:rsid w:val="006C47EC"/>
    <w:rsid w:val="006D3506"/>
    <w:rsid w:val="006D59EF"/>
    <w:rsid w:val="006D5F13"/>
    <w:rsid w:val="006F3D25"/>
    <w:rsid w:val="006F5255"/>
    <w:rsid w:val="0070609F"/>
    <w:rsid w:val="00707F49"/>
    <w:rsid w:val="00714D7F"/>
    <w:rsid w:val="00715134"/>
    <w:rsid w:val="00717B38"/>
    <w:rsid w:val="00720D3E"/>
    <w:rsid w:val="00721ABA"/>
    <w:rsid w:val="00724460"/>
    <w:rsid w:val="0073351D"/>
    <w:rsid w:val="007356BD"/>
    <w:rsid w:val="007406BA"/>
    <w:rsid w:val="00741295"/>
    <w:rsid w:val="007468E5"/>
    <w:rsid w:val="00754149"/>
    <w:rsid w:val="00757C7F"/>
    <w:rsid w:val="00762D77"/>
    <w:rsid w:val="00763E84"/>
    <w:rsid w:val="00766EAA"/>
    <w:rsid w:val="00770855"/>
    <w:rsid w:val="00770AED"/>
    <w:rsid w:val="00772395"/>
    <w:rsid w:val="00775B44"/>
    <w:rsid w:val="0077699F"/>
    <w:rsid w:val="007802BE"/>
    <w:rsid w:val="00781608"/>
    <w:rsid w:val="00783EF5"/>
    <w:rsid w:val="00787138"/>
    <w:rsid w:val="007927E6"/>
    <w:rsid w:val="007A4147"/>
    <w:rsid w:val="007B63C1"/>
    <w:rsid w:val="007E1976"/>
    <w:rsid w:val="007F058A"/>
    <w:rsid w:val="007F2F4D"/>
    <w:rsid w:val="007F3DB0"/>
    <w:rsid w:val="00801880"/>
    <w:rsid w:val="008121D8"/>
    <w:rsid w:val="00812BDF"/>
    <w:rsid w:val="00815D06"/>
    <w:rsid w:val="00817710"/>
    <w:rsid w:val="00822EB5"/>
    <w:rsid w:val="00823328"/>
    <w:rsid w:val="0082549E"/>
    <w:rsid w:val="008321E9"/>
    <w:rsid w:val="00841C31"/>
    <w:rsid w:val="00860AB5"/>
    <w:rsid w:val="008628D5"/>
    <w:rsid w:val="0086444D"/>
    <w:rsid w:val="0086701A"/>
    <w:rsid w:val="00867EC3"/>
    <w:rsid w:val="00871332"/>
    <w:rsid w:val="00872EA9"/>
    <w:rsid w:val="00872F68"/>
    <w:rsid w:val="00875A5D"/>
    <w:rsid w:val="00876AA6"/>
    <w:rsid w:val="00880F7D"/>
    <w:rsid w:val="00890630"/>
    <w:rsid w:val="00893A19"/>
    <w:rsid w:val="0089475D"/>
    <w:rsid w:val="008A27D4"/>
    <w:rsid w:val="008A288C"/>
    <w:rsid w:val="008A3710"/>
    <w:rsid w:val="008A3E64"/>
    <w:rsid w:val="008A7EB4"/>
    <w:rsid w:val="008B5D38"/>
    <w:rsid w:val="008C0F78"/>
    <w:rsid w:val="008C1235"/>
    <w:rsid w:val="008C180E"/>
    <w:rsid w:val="008C4388"/>
    <w:rsid w:val="008D7003"/>
    <w:rsid w:val="008E3EE3"/>
    <w:rsid w:val="00903DD2"/>
    <w:rsid w:val="0091283E"/>
    <w:rsid w:val="00914707"/>
    <w:rsid w:val="009147E3"/>
    <w:rsid w:val="0092231B"/>
    <w:rsid w:val="00925B9C"/>
    <w:rsid w:val="00935E4E"/>
    <w:rsid w:val="009407E0"/>
    <w:rsid w:val="0094132A"/>
    <w:rsid w:val="00943BB8"/>
    <w:rsid w:val="0097318E"/>
    <w:rsid w:val="009740CC"/>
    <w:rsid w:val="00975F37"/>
    <w:rsid w:val="009768B9"/>
    <w:rsid w:val="00980A4C"/>
    <w:rsid w:val="00981B9F"/>
    <w:rsid w:val="00991695"/>
    <w:rsid w:val="009A101E"/>
    <w:rsid w:val="009A15B0"/>
    <w:rsid w:val="009A361F"/>
    <w:rsid w:val="009B33B3"/>
    <w:rsid w:val="009B52B7"/>
    <w:rsid w:val="009B7C7B"/>
    <w:rsid w:val="009C14FE"/>
    <w:rsid w:val="009C1F65"/>
    <w:rsid w:val="009C35FA"/>
    <w:rsid w:val="009C65D0"/>
    <w:rsid w:val="009C6959"/>
    <w:rsid w:val="009C7267"/>
    <w:rsid w:val="009C7487"/>
    <w:rsid w:val="009D53BA"/>
    <w:rsid w:val="009D7A14"/>
    <w:rsid w:val="009D7FF5"/>
    <w:rsid w:val="009E02B9"/>
    <w:rsid w:val="009E6A35"/>
    <w:rsid w:val="009E7C9D"/>
    <w:rsid w:val="009F49FA"/>
    <w:rsid w:val="009F6CF1"/>
    <w:rsid w:val="00A00D88"/>
    <w:rsid w:val="00A0358A"/>
    <w:rsid w:val="00A04A39"/>
    <w:rsid w:val="00A11D02"/>
    <w:rsid w:val="00A1235D"/>
    <w:rsid w:val="00A27EE5"/>
    <w:rsid w:val="00A40AA6"/>
    <w:rsid w:val="00A511E3"/>
    <w:rsid w:val="00A51F28"/>
    <w:rsid w:val="00A56C52"/>
    <w:rsid w:val="00A6012B"/>
    <w:rsid w:val="00A70E13"/>
    <w:rsid w:val="00A72A00"/>
    <w:rsid w:val="00A922E8"/>
    <w:rsid w:val="00A942E2"/>
    <w:rsid w:val="00A9731C"/>
    <w:rsid w:val="00AA1EFB"/>
    <w:rsid w:val="00AA7248"/>
    <w:rsid w:val="00AA7C35"/>
    <w:rsid w:val="00AB69CF"/>
    <w:rsid w:val="00AB7EDE"/>
    <w:rsid w:val="00AC2FC7"/>
    <w:rsid w:val="00AC78F2"/>
    <w:rsid w:val="00AD388E"/>
    <w:rsid w:val="00AD67CE"/>
    <w:rsid w:val="00AD7827"/>
    <w:rsid w:val="00AE19A6"/>
    <w:rsid w:val="00AE3F59"/>
    <w:rsid w:val="00AE5EF8"/>
    <w:rsid w:val="00B10788"/>
    <w:rsid w:val="00B12405"/>
    <w:rsid w:val="00B14A79"/>
    <w:rsid w:val="00B21418"/>
    <w:rsid w:val="00B24ECF"/>
    <w:rsid w:val="00B30E27"/>
    <w:rsid w:val="00B31741"/>
    <w:rsid w:val="00B3762F"/>
    <w:rsid w:val="00B4031C"/>
    <w:rsid w:val="00B447E9"/>
    <w:rsid w:val="00B44E2E"/>
    <w:rsid w:val="00B467F8"/>
    <w:rsid w:val="00B500A1"/>
    <w:rsid w:val="00B50351"/>
    <w:rsid w:val="00B5161A"/>
    <w:rsid w:val="00B550D1"/>
    <w:rsid w:val="00B5676D"/>
    <w:rsid w:val="00B56C9C"/>
    <w:rsid w:val="00B65D2B"/>
    <w:rsid w:val="00B67C89"/>
    <w:rsid w:val="00B72657"/>
    <w:rsid w:val="00B775B7"/>
    <w:rsid w:val="00B82F9E"/>
    <w:rsid w:val="00B86C79"/>
    <w:rsid w:val="00B92696"/>
    <w:rsid w:val="00B942D0"/>
    <w:rsid w:val="00B95CFA"/>
    <w:rsid w:val="00B9656E"/>
    <w:rsid w:val="00BA377A"/>
    <w:rsid w:val="00BB2E2D"/>
    <w:rsid w:val="00BC0B6C"/>
    <w:rsid w:val="00BC10E7"/>
    <w:rsid w:val="00BC4853"/>
    <w:rsid w:val="00BC772C"/>
    <w:rsid w:val="00BD04C0"/>
    <w:rsid w:val="00BE3673"/>
    <w:rsid w:val="00BF5F1C"/>
    <w:rsid w:val="00BF6B75"/>
    <w:rsid w:val="00C01874"/>
    <w:rsid w:val="00C05444"/>
    <w:rsid w:val="00C14B90"/>
    <w:rsid w:val="00C1671D"/>
    <w:rsid w:val="00C1775B"/>
    <w:rsid w:val="00C21C03"/>
    <w:rsid w:val="00C239DD"/>
    <w:rsid w:val="00C309AD"/>
    <w:rsid w:val="00C32ABD"/>
    <w:rsid w:val="00C33826"/>
    <w:rsid w:val="00C41255"/>
    <w:rsid w:val="00C4199A"/>
    <w:rsid w:val="00C432F3"/>
    <w:rsid w:val="00C4703D"/>
    <w:rsid w:val="00C47899"/>
    <w:rsid w:val="00C50438"/>
    <w:rsid w:val="00C67B32"/>
    <w:rsid w:val="00C67EB4"/>
    <w:rsid w:val="00C71C15"/>
    <w:rsid w:val="00C73A39"/>
    <w:rsid w:val="00C73DFD"/>
    <w:rsid w:val="00C74106"/>
    <w:rsid w:val="00C85CF7"/>
    <w:rsid w:val="00C860C3"/>
    <w:rsid w:val="00C86DDB"/>
    <w:rsid w:val="00C86F8F"/>
    <w:rsid w:val="00C87ADA"/>
    <w:rsid w:val="00C90879"/>
    <w:rsid w:val="00C942A4"/>
    <w:rsid w:val="00C974EC"/>
    <w:rsid w:val="00CA0537"/>
    <w:rsid w:val="00CA4A02"/>
    <w:rsid w:val="00CA58E7"/>
    <w:rsid w:val="00CB0F41"/>
    <w:rsid w:val="00CB16C1"/>
    <w:rsid w:val="00CC048E"/>
    <w:rsid w:val="00CC0C46"/>
    <w:rsid w:val="00CC660B"/>
    <w:rsid w:val="00CC7296"/>
    <w:rsid w:val="00CD11EA"/>
    <w:rsid w:val="00CD789F"/>
    <w:rsid w:val="00CD7D73"/>
    <w:rsid w:val="00CE1056"/>
    <w:rsid w:val="00CE2281"/>
    <w:rsid w:val="00CE5AB3"/>
    <w:rsid w:val="00CE5C3F"/>
    <w:rsid w:val="00CE782F"/>
    <w:rsid w:val="00CF17D1"/>
    <w:rsid w:val="00D0035D"/>
    <w:rsid w:val="00D01C31"/>
    <w:rsid w:val="00D05557"/>
    <w:rsid w:val="00D10F88"/>
    <w:rsid w:val="00D12C8F"/>
    <w:rsid w:val="00D136C6"/>
    <w:rsid w:val="00D145FC"/>
    <w:rsid w:val="00D219DC"/>
    <w:rsid w:val="00D220FA"/>
    <w:rsid w:val="00D23750"/>
    <w:rsid w:val="00D45110"/>
    <w:rsid w:val="00D52E5E"/>
    <w:rsid w:val="00D53F19"/>
    <w:rsid w:val="00D55918"/>
    <w:rsid w:val="00D6029C"/>
    <w:rsid w:val="00D6185E"/>
    <w:rsid w:val="00D61A67"/>
    <w:rsid w:val="00D74CC1"/>
    <w:rsid w:val="00D74F15"/>
    <w:rsid w:val="00D76407"/>
    <w:rsid w:val="00D80764"/>
    <w:rsid w:val="00D83C1B"/>
    <w:rsid w:val="00D85B7B"/>
    <w:rsid w:val="00D94229"/>
    <w:rsid w:val="00D9457F"/>
    <w:rsid w:val="00DA2E68"/>
    <w:rsid w:val="00DA4108"/>
    <w:rsid w:val="00DB2DE4"/>
    <w:rsid w:val="00DC66DC"/>
    <w:rsid w:val="00DD5D03"/>
    <w:rsid w:val="00DD631F"/>
    <w:rsid w:val="00DD6CFE"/>
    <w:rsid w:val="00DE11A4"/>
    <w:rsid w:val="00DE1BA2"/>
    <w:rsid w:val="00DE3AAB"/>
    <w:rsid w:val="00DF1933"/>
    <w:rsid w:val="00DF2B31"/>
    <w:rsid w:val="00E03805"/>
    <w:rsid w:val="00E061B9"/>
    <w:rsid w:val="00E13F1D"/>
    <w:rsid w:val="00E46688"/>
    <w:rsid w:val="00E46DE3"/>
    <w:rsid w:val="00E5086E"/>
    <w:rsid w:val="00E52CD4"/>
    <w:rsid w:val="00E61BD3"/>
    <w:rsid w:val="00E665FE"/>
    <w:rsid w:val="00E67193"/>
    <w:rsid w:val="00E76950"/>
    <w:rsid w:val="00E87C83"/>
    <w:rsid w:val="00EA0D04"/>
    <w:rsid w:val="00EA4E78"/>
    <w:rsid w:val="00EA7FD1"/>
    <w:rsid w:val="00EB0A10"/>
    <w:rsid w:val="00EB26DB"/>
    <w:rsid w:val="00EB36A9"/>
    <w:rsid w:val="00EB5C2B"/>
    <w:rsid w:val="00EB78D6"/>
    <w:rsid w:val="00EC04CE"/>
    <w:rsid w:val="00EC1123"/>
    <w:rsid w:val="00ED00FB"/>
    <w:rsid w:val="00ED3099"/>
    <w:rsid w:val="00ED596A"/>
    <w:rsid w:val="00EE2AF6"/>
    <w:rsid w:val="00EE384B"/>
    <w:rsid w:val="00EE5F44"/>
    <w:rsid w:val="00EF0173"/>
    <w:rsid w:val="00EF1400"/>
    <w:rsid w:val="00EF5835"/>
    <w:rsid w:val="00EF6770"/>
    <w:rsid w:val="00F008B0"/>
    <w:rsid w:val="00F054E7"/>
    <w:rsid w:val="00F115F4"/>
    <w:rsid w:val="00F1795B"/>
    <w:rsid w:val="00F17E02"/>
    <w:rsid w:val="00F2253C"/>
    <w:rsid w:val="00F250A1"/>
    <w:rsid w:val="00F2562E"/>
    <w:rsid w:val="00F305A0"/>
    <w:rsid w:val="00F30C0C"/>
    <w:rsid w:val="00F405A2"/>
    <w:rsid w:val="00F45CED"/>
    <w:rsid w:val="00F4692F"/>
    <w:rsid w:val="00F47508"/>
    <w:rsid w:val="00F539E8"/>
    <w:rsid w:val="00F547A3"/>
    <w:rsid w:val="00F5686B"/>
    <w:rsid w:val="00F60DB0"/>
    <w:rsid w:val="00F63C0D"/>
    <w:rsid w:val="00F6464A"/>
    <w:rsid w:val="00F651B7"/>
    <w:rsid w:val="00F65260"/>
    <w:rsid w:val="00F65561"/>
    <w:rsid w:val="00F662F7"/>
    <w:rsid w:val="00F71338"/>
    <w:rsid w:val="00F72630"/>
    <w:rsid w:val="00F728C4"/>
    <w:rsid w:val="00F736FC"/>
    <w:rsid w:val="00F77EED"/>
    <w:rsid w:val="00F85CED"/>
    <w:rsid w:val="00F86686"/>
    <w:rsid w:val="00F87FF0"/>
    <w:rsid w:val="00F90D37"/>
    <w:rsid w:val="00F9314B"/>
    <w:rsid w:val="00F95C95"/>
    <w:rsid w:val="00F979CE"/>
    <w:rsid w:val="00FA0DD6"/>
    <w:rsid w:val="00FA20C9"/>
    <w:rsid w:val="00FA20FF"/>
    <w:rsid w:val="00FA4C4F"/>
    <w:rsid w:val="00FA4DB0"/>
    <w:rsid w:val="00FA66C5"/>
    <w:rsid w:val="00FB52B8"/>
    <w:rsid w:val="00FB6DE0"/>
    <w:rsid w:val="00FC0269"/>
    <w:rsid w:val="00FD545A"/>
    <w:rsid w:val="00FD750B"/>
    <w:rsid w:val="00FE3C50"/>
    <w:rsid w:val="00FE435C"/>
    <w:rsid w:val="00FE51B6"/>
    <w:rsid w:val="00FF4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9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BVI fnr"/>
    <w:basedOn w:val="DefaultParagraphFont"/>
    <w:uiPriority w:val="99"/>
    <w:unhideWhenUsed/>
    <w:rPr>
      <w:vertAlign w:val="superscript"/>
    </w:rPr>
  </w:style>
  <w:style w:type="paragraph" w:customStyle="1" w:styleId="SecurityMarking">
    <w:name w:val="SecurityMarking"/>
    <w:basedOn w:val="Normal"/>
    <w:rsid w:val="008D7003"/>
    <w:pPr>
      <w:spacing w:after="0" w:line="276" w:lineRule="auto"/>
      <w:ind w:left="5103"/>
    </w:pPr>
    <w:rPr>
      <w:rFonts w:ascii="Times New Roman" w:eastAsiaTheme="minorHAnsi" w:hAnsi="Times New Roman" w:cs="Times New Roman"/>
      <w:sz w:val="28"/>
      <w:szCs w:val="22"/>
    </w:rPr>
  </w:style>
  <w:style w:type="paragraph" w:customStyle="1" w:styleId="DateMarking">
    <w:name w:val="DateMarking"/>
    <w:basedOn w:val="Normal"/>
    <w:rsid w:val="008D7003"/>
    <w:pPr>
      <w:spacing w:after="0" w:line="276" w:lineRule="auto"/>
      <w:ind w:left="5103"/>
    </w:pPr>
    <w:rPr>
      <w:rFonts w:ascii="Times New Roman" w:eastAsiaTheme="minorHAnsi" w:hAnsi="Times New Roman" w:cs="Times New Roman"/>
      <w:i/>
      <w:sz w:val="28"/>
      <w:szCs w:val="22"/>
    </w:rPr>
  </w:style>
  <w:style w:type="paragraph" w:customStyle="1" w:styleId="ReleasableTo">
    <w:name w:val="ReleasableTo"/>
    <w:basedOn w:val="Normal"/>
    <w:rsid w:val="008D7003"/>
    <w:pPr>
      <w:spacing w:after="0" w:line="276" w:lineRule="auto"/>
      <w:ind w:left="5103"/>
    </w:pPr>
    <w:rPr>
      <w:rFonts w:ascii="Times New Roman" w:eastAsiaTheme="minorHAnsi" w:hAnsi="Times New Roman" w:cs="Times New Roman"/>
      <w:i/>
      <w:sz w:val="28"/>
      <w:szCs w:val="22"/>
    </w:rPr>
  </w:style>
  <w:style w:type="paragraph" w:customStyle="1" w:styleId="HeaderSensitivityRight">
    <w:name w:val="Header Sensitivity Right"/>
    <w:basedOn w:val="Normal"/>
    <w:rsid w:val="008D7003"/>
    <w:pPr>
      <w:spacing w:line="240" w:lineRule="auto"/>
      <w:jc w:val="right"/>
    </w:pPr>
    <w:rPr>
      <w:rFonts w:ascii="Times New Roman" w:hAnsi="Times New Roman" w:cs="Times New Roman"/>
      <w:sz w:val="28"/>
    </w:rPr>
  </w:style>
  <w:style w:type="character" w:styleId="Hyperlink">
    <w:name w:val="Hyperlink"/>
    <w:rPr>
      <w:u w:val="single"/>
    </w:rPr>
  </w:style>
  <w:style w:type="numbering" w:customStyle="1" w:styleId="ImportedStyle1">
    <w:name w:val="Imported Style 1"/>
    <w:pPr>
      <w:numPr>
        <w:numId w:val="5"/>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60"/>
      <w:ind w:left="720" w:right="72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spacing w:val="5"/>
      <w:u w:val="single"/>
    </w:rPr>
  </w:style>
  <w:style w:type="character" w:styleId="BookTitle">
    <w:name w:val="Book Title"/>
    <w:basedOn w:val="DefaultParagraphFont"/>
    <w:uiPriority w:val="33"/>
    <w:qFormat/>
    <w:rPr>
      <w:b/>
      <w:bCs/>
      <w:smallCaps/>
    </w:rPr>
  </w:style>
  <w:style w:type="paragraph" w:styleId="TOCHeading">
    <w:name w:val="TOC Heading"/>
    <w:basedOn w:val="Heading1"/>
    <w:next w:val="Normal"/>
    <w:uiPriority w:val="39"/>
    <w:semiHidden/>
    <w:unhideWhenUsed/>
    <w:qFormat/>
    <w:pPr>
      <w:outlineLvl w:val="9"/>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1">
    <w:name w:val="Body text|1_"/>
    <w:basedOn w:val="DefaultParagraphFont"/>
    <w:link w:val="Bodytext10"/>
    <w:rsid w:val="003E597C"/>
  </w:style>
  <w:style w:type="paragraph" w:customStyle="1" w:styleId="Bodytext10">
    <w:name w:val="Body text|1"/>
    <w:basedOn w:val="Normal"/>
    <w:link w:val="Bodytext1"/>
    <w:rsid w:val="003E597C"/>
    <w:pPr>
      <w:widowControl w:val="0"/>
      <w:spacing w:after="100" w:line="240" w:lineRule="auto"/>
    </w:pPr>
  </w:style>
  <w:style w:type="character" w:customStyle="1" w:styleId="UnresolvedMention1">
    <w:name w:val="Unresolved Mention1"/>
    <w:basedOn w:val="DefaultParagraphFont"/>
    <w:uiPriority w:val="99"/>
    <w:semiHidden/>
    <w:unhideWhenUsed/>
    <w:rsid w:val="006F3D25"/>
    <w:rPr>
      <w:color w:val="605E5C"/>
      <w:shd w:val="clear" w:color="auto" w:fill="E1DFDD"/>
    </w:rPr>
  </w:style>
  <w:style w:type="paragraph" w:customStyle="1" w:styleId="Disclaimer">
    <w:name w:val="Disclaimer"/>
    <w:basedOn w:val="Normal"/>
    <w:rsid w:val="008D700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jc w:val="both"/>
    </w:pPr>
    <w:rPr>
      <w:rFonts w:ascii="Times New Roman" w:eastAsiaTheme="minorHAnsi" w:hAnsi="Times New Roman" w:cs="Times New Roman"/>
      <w:sz w:val="24"/>
      <w:szCs w:val="22"/>
    </w:rPr>
  </w:style>
  <w:style w:type="character" w:customStyle="1" w:styleId="UnresolvedMention2">
    <w:name w:val="Unresolved Mention2"/>
    <w:basedOn w:val="DefaultParagraphFont"/>
    <w:uiPriority w:val="99"/>
    <w:semiHidden/>
    <w:unhideWhenUsed/>
    <w:rsid w:val="007E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4309">
      <w:bodyDiv w:val="1"/>
      <w:marLeft w:val="0"/>
      <w:marRight w:val="0"/>
      <w:marTop w:val="0"/>
      <w:marBottom w:val="0"/>
      <w:divBdr>
        <w:top w:val="none" w:sz="0" w:space="0" w:color="auto"/>
        <w:left w:val="none" w:sz="0" w:space="0" w:color="auto"/>
        <w:bottom w:val="none" w:sz="0" w:space="0" w:color="auto"/>
        <w:right w:val="none" w:sz="0" w:space="0" w:color="auto"/>
      </w:divBdr>
    </w:div>
    <w:div w:id="192616676">
      <w:bodyDiv w:val="1"/>
      <w:marLeft w:val="0"/>
      <w:marRight w:val="0"/>
      <w:marTop w:val="0"/>
      <w:marBottom w:val="0"/>
      <w:divBdr>
        <w:top w:val="none" w:sz="0" w:space="0" w:color="auto"/>
        <w:left w:val="none" w:sz="0" w:space="0" w:color="auto"/>
        <w:bottom w:val="none" w:sz="0" w:space="0" w:color="auto"/>
        <w:right w:val="none" w:sz="0" w:space="0" w:color="auto"/>
      </w:divBdr>
    </w:div>
    <w:div w:id="242179948">
      <w:bodyDiv w:val="1"/>
      <w:marLeft w:val="0"/>
      <w:marRight w:val="0"/>
      <w:marTop w:val="0"/>
      <w:marBottom w:val="0"/>
      <w:divBdr>
        <w:top w:val="none" w:sz="0" w:space="0" w:color="auto"/>
        <w:left w:val="none" w:sz="0" w:space="0" w:color="auto"/>
        <w:bottom w:val="none" w:sz="0" w:space="0" w:color="auto"/>
        <w:right w:val="none" w:sz="0" w:space="0" w:color="auto"/>
      </w:divBdr>
    </w:div>
    <w:div w:id="269244967">
      <w:bodyDiv w:val="1"/>
      <w:marLeft w:val="0"/>
      <w:marRight w:val="0"/>
      <w:marTop w:val="0"/>
      <w:marBottom w:val="0"/>
      <w:divBdr>
        <w:top w:val="none" w:sz="0" w:space="0" w:color="auto"/>
        <w:left w:val="none" w:sz="0" w:space="0" w:color="auto"/>
        <w:bottom w:val="none" w:sz="0" w:space="0" w:color="auto"/>
        <w:right w:val="none" w:sz="0" w:space="0" w:color="auto"/>
      </w:divBdr>
    </w:div>
    <w:div w:id="368532611">
      <w:bodyDiv w:val="1"/>
      <w:marLeft w:val="0"/>
      <w:marRight w:val="0"/>
      <w:marTop w:val="0"/>
      <w:marBottom w:val="0"/>
      <w:divBdr>
        <w:top w:val="none" w:sz="0" w:space="0" w:color="auto"/>
        <w:left w:val="none" w:sz="0" w:space="0" w:color="auto"/>
        <w:bottom w:val="none" w:sz="0" w:space="0" w:color="auto"/>
        <w:right w:val="none" w:sz="0" w:space="0" w:color="auto"/>
      </w:divBdr>
    </w:div>
    <w:div w:id="445396129">
      <w:bodyDiv w:val="1"/>
      <w:marLeft w:val="0"/>
      <w:marRight w:val="0"/>
      <w:marTop w:val="0"/>
      <w:marBottom w:val="0"/>
      <w:divBdr>
        <w:top w:val="none" w:sz="0" w:space="0" w:color="auto"/>
        <w:left w:val="none" w:sz="0" w:space="0" w:color="auto"/>
        <w:bottom w:val="none" w:sz="0" w:space="0" w:color="auto"/>
        <w:right w:val="none" w:sz="0" w:space="0" w:color="auto"/>
      </w:divBdr>
    </w:div>
    <w:div w:id="472677889">
      <w:bodyDiv w:val="1"/>
      <w:marLeft w:val="0"/>
      <w:marRight w:val="0"/>
      <w:marTop w:val="0"/>
      <w:marBottom w:val="0"/>
      <w:divBdr>
        <w:top w:val="none" w:sz="0" w:space="0" w:color="auto"/>
        <w:left w:val="none" w:sz="0" w:space="0" w:color="auto"/>
        <w:bottom w:val="none" w:sz="0" w:space="0" w:color="auto"/>
        <w:right w:val="none" w:sz="0" w:space="0" w:color="auto"/>
      </w:divBdr>
    </w:div>
    <w:div w:id="691304975">
      <w:bodyDiv w:val="1"/>
      <w:marLeft w:val="0"/>
      <w:marRight w:val="0"/>
      <w:marTop w:val="0"/>
      <w:marBottom w:val="0"/>
      <w:divBdr>
        <w:top w:val="none" w:sz="0" w:space="0" w:color="auto"/>
        <w:left w:val="none" w:sz="0" w:space="0" w:color="auto"/>
        <w:bottom w:val="none" w:sz="0" w:space="0" w:color="auto"/>
        <w:right w:val="none" w:sz="0" w:space="0" w:color="auto"/>
      </w:divBdr>
    </w:div>
    <w:div w:id="954479870">
      <w:bodyDiv w:val="1"/>
      <w:marLeft w:val="0"/>
      <w:marRight w:val="0"/>
      <w:marTop w:val="0"/>
      <w:marBottom w:val="0"/>
      <w:divBdr>
        <w:top w:val="none" w:sz="0" w:space="0" w:color="auto"/>
        <w:left w:val="none" w:sz="0" w:space="0" w:color="auto"/>
        <w:bottom w:val="none" w:sz="0" w:space="0" w:color="auto"/>
        <w:right w:val="none" w:sz="0" w:space="0" w:color="auto"/>
      </w:divBdr>
    </w:div>
    <w:div w:id="980888022">
      <w:bodyDiv w:val="1"/>
      <w:marLeft w:val="0"/>
      <w:marRight w:val="0"/>
      <w:marTop w:val="0"/>
      <w:marBottom w:val="0"/>
      <w:divBdr>
        <w:top w:val="none" w:sz="0" w:space="0" w:color="auto"/>
        <w:left w:val="none" w:sz="0" w:space="0" w:color="auto"/>
        <w:bottom w:val="none" w:sz="0" w:space="0" w:color="auto"/>
        <w:right w:val="none" w:sz="0" w:space="0" w:color="auto"/>
      </w:divBdr>
    </w:div>
    <w:div w:id="1021132105">
      <w:bodyDiv w:val="1"/>
      <w:marLeft w:val="0"/>
      <w:marRight w:val="0"/>
      <w:marTop w:val="0"/>
      <w:marBottom w:val="0"/>
      <w:divBdr>
        <w:top w:val="none" w:sz="0" w:space="0" w:color="auto"/>
        <w:left w:val="none" w:sz="0" w:space="0" w:color="auto"/>
        <w:bottom w:val="none" w:sz="0" w:space="0" w:color="auto"/>
        <w:right w:val="none" w:sz="0" w:space="0" w:color="auto"/>
      </w:divBdr>
    </w:div>
    <w:div w:id="1054544757">
      <w:bodyDiv w:val="1"/>
      <w:marLeft w:val="0"/>
      <w:marRight w:val="0"/>
      <w:marTop w:val="0"/>
      <w:marBottom w:val="0"/>
      <w:divBdr>
        <w:top w:val="none" w:sz="0" w:space="0" w:color="auto"/>
        <w:left w:val="none" w:sz="0" w:space="0" w:color="auto"/>
        <w:bottom w:val="none" w:sz="0" w:space="0" w:color="auto"/>
        <w:right w:val="none" w:sz="0" w:space="0" w:color="auto"/>
      </w:divBdr>
    </w:div>
    <w:div w:id="1101756075">
      <w:bodyDiv w:val="1"/>
      <w:marLeft w:val="0"/>
      <w:marRight w:val="0"/>
      <w:marTop w:val="0"/>
      <w:marBottom w:val="0"/>
      <w:divBdr>
        <w:top w:val="none" w:sz="0" w:space="0" w:color="auto"/>
        <w:left w:val="none" w:sz="0" w:space="0" w:color="auto"/>
        <w:bottom w:val="none" w:sz="0" w:space="0" w:color="auto"/>
        <w:right w:val="none" w:sz="0" w:space="0" w:color="auto"/>
      </w:divBdr>
    </w:div>
    <w:div w:id="1459371014">
      <w:bodyDiv w:val="1"/>
      <w:marLeft w:val="0"/>
      <w:marRight w:val="0"/>
      <w:marTop w:val="0"/>
      <w:marBottom w:val="0"/>
      <w:divBdr>
        <w:top w:val="none" w:sz="0" w:space="0" w:color="auto"/>
        <w:left w:val="none" w:sz="0" w:space="0" w:color="auto"/>
        <w:bottom w:val="none" w:sz="0" w:space="0" w:color="auto"/>
        <w:right w:val="none" w:sz="0" w:space="0" w:color="auto"/>
      </w:divBdr>
    </w:div>
    <w:div w:id="1629317556">
      <w:bodyDiv w:val="1"/>
      <w:marLeft w:val="0"/>
      <w:marRight w:val="0"/>
      <w:marTop w:val="0"/>
      <w:marBottom w:val="0"/>
      <w:divBdr>
        <w:top w:val="none" w:sz="0" w:space="0" w:color="auto"/>
        <w:left w:val="none" w:sz="0" w:space="0" w:color="auto"/>
        <w:bottom w:val="none" w:sz="0" w:space="0" w:color="auto"/>
        <w:right w:val="none" w:sz="0" w:space="0" w:color="auto"/>
      </w:divBdr>
    </w:div>
    <w:div w:id="1779787953">
      <w:bodyDiv w:val="1"/>
      <w:marLeft w:val="0"/>
      <w:marRight w:val="0"/>
      <w:marTop w:val="0"/>
      <w:marBottom w:val="0"/>
      <w:divBdr>
        <w:top w:val="none" w:sz="0" w:space="0" w:color="auto"/>
        <w:left w:val="none" w:sz="0" w:space="0" w:color="auto"/>
        <w:bottom w:val="none" w:sz="0" w:space="0" w:color="auto"/>
        <w:right w:val="none" w:sz="0" w:space="0" w:color="auto"/>
      </w:divBdr>
    </w:div>
    <w:div w:id="1851404281">
      <w:bodyDiv w:val="1"/>
      <w:marLeft w:val="0"/>
      <w:marRight w:val="0"/>
      <w:marTop w:val="0"/>
      <w:marBottom w:val="0"/>
      <w:divBdr>
        <w:top w:val="none" w:sz="0" w:space="0" w:color="auto"/>
        <w:left w:val="none" w:sz="0" w:space="0" w:color="auto"/>
        <w:bottom w:val="none" w:sz="0" w:space="0" w:color="auto"/>
        <w:right w:val="none" w:sz="0" w:space="0" w:color="auto"/>
      </w:divBdr>
    </w:div>
    <w:div w:id="1859729260">
      <w:bodyDiv w:val="1"/>
      <w:marLeft w:val="0"/>
      <w:marRight w:val="0"/>
      <w:marTop w:val="0"/>
      <w:marBottom w:val="0"/>
      <w:divBdr>
        <w:top w:val="none" w:sz="0" w:space="0" w:color="auto"/>
        <w:left w:val="none" w:sz="0" w:space="0" w:color="auto"/>
        <w:bottom w:val="none" w:sz="0" w:space="0" w:color="auto"/>
        <w:right w:val="none" w:sz="0" w:space="0" w:color="auto"/>
      </w:divBdr>
    </w:div>
    <w:div w:id="1925071744">
      <w:bodyDiv w:val="1"/>
      <w:marLeft w:val="0"/>
      <w:marRight w:val="0"/>
      <w:marTop w:val="0"/>
      <w:marBottom w:val="0"/>
      <w:divBdr>
        <w:top w:val="none" w:sz="0" w:space="0" w:color="auto"/>
        <w:left w:val="none" w:sz="0" w:space="0" w:color="auto"/>
        <w:bottom w:val="none" w:sz="0" w:space="0" w:color="auto"/>
        <w:right w:val="none" w:sz="0" w:space="0" w:color="auto"/>
      </w:divBdr>
    </w:div>
    <w:div w:id="19452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www.europol.europa.eu/media-press/newsroom/news/382-arrests-during-joint-actions-against-traffickers-using-balkan-route?mtm_campaign=newsletter" TargetMode="External"/><Relationship Id="rId1" Type="http://schemas.openxmlformats.org/officeDocument/2006/relationships/hyperlink" Target="https://home-affairs.ec.europa.eu/bulgaria-and-romania-fact-finding-mission-repor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17730c43-1c7a-490c-8af6-e0e078c4a587">EN</EC_Collab_DocumentLanguage>
    <EC_Collab_Status xmlns="17730c43-1c7a-490c-8af6-e0e078c4a587">Not Started</EC_Collab_Status>
    <Sort_x0020_order_x0020_no xmlns="17730c43-1c7a-490c-8af6-e0e078c4a587" xsi:nil="true"/>
    <_Status xmlns="http://schemas.microsoft.com/sharepoint/v3/fields">Not Started</_Status>
    <EC_Collab_Reference xmlns="17730c43-1c7a-490c-8af6-e0e078c4a5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3" ma:contentTypeDescription="Create a new document in this library." ma:contentTypeScope="" ma:versionID="7894ad8daead64fa987f84de761d8f1f">
  <xsd:schema xmlns:xsd="http://www.w3.org/2001/XMLSchema" xmlns:xs="http://www.w3.org/2001/XMLSchema" xmlns:p="http://schemas.microsoft.com/office/2006/metadata/properties" xmlns:ns2="http://schemas.microsoft.com/sharepoint/v3/fields" xmlns:ns3="17730c43-1c7a-490c-8af6-e0e078c4a587" xmlns:ns4="5844f193-b267-46d7-afe9-1f837dd55ee2" targetNamespace="http://schemas.microsoft.com/office/2006/metadata/properties" ma:root="true" ma:fieldsID="234d4add1c35cf14fdb9ed3443d065cb" ns2:_="" ns3:_="" ns4:_="">
    <xsd:import namespace="http://schemas.microsoft.com/sharepoint/v3/fields"/>
    <xsd:import namespace="17730c43-1c7a-490c-8af6-e0e078c4a587"/>
    <xsd:import namespace="5844f193-b267-46d7-afe9-1f837dd55ee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44f193-b267-46d7-afe9-1f837dd55e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FEA353-93DC-4CBA-8289-4C480B85D2CD}">
  <ds:schemaRefs>
    <ds:schemaRef ds:uri="http://schemas.microsoft.com/sharepoint/v3/contenttype/forms"/>
  </ds:schemaRefs>
</ds:datastoreItem>
</file>

<file path=customXml/itemProps2.xml><?xml version="1.0" encoding="utf-8"?>
<ds:datastoreItem xmlns:ds="http://schemas.openxmlformats.org/officeDocument/2006/customXml" ds:itemID="{CEF1D116-A96E-45AD-B761-86FC7EF3BC6F}">
  <ds:schemaRefs>
    <ds:schemaRef ds:uri="http://schemas.microsoft.com/office/2006/metadata/properties"/>
    <ds:schemaRef ds:uri="http://schemas.microsoft.com/office/infopath/2007/PartnerControls"/>
    <ds:schemaRef ds:uri="17730c43-1c7a-490c-8af6-e0e078c4a587"/>
    <ds:schemaRef ds:uri="http://schemas.microsoft.com/sharepoint/v3/fields"/>
  </ds:schemaRefs>
</ds:datastoreItem>
</file>

<file path=customXml/itemProps3.xml><?xml version="1.0" encoding="utf-8"?>
<ds:datastoreItem xmlns:ds="http://schemas.openxmlformats.org/officeDocument/2006/customXml" ds:itemID="{2A694145-6E69-4BFE-A405-FB2F21329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5844f193-b267-46d7-afe9-1f837dd5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0208C-E57B-4203-ABF1-C7AF9711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4325</Words>
  <Characters>29979</Characters>
  <Application>Microsoft Office Word</Application>
  <DocSecurity>0</DocSecurity>
  <Lines>428</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2022-11-14T18:08:00Z</dcterms:created>
  <dcterms:modified xsi:type="dcterms:W3CDTF">2022-11-17T17:32:00Z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2022-11-05T08:47:53Z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f53a3b37-64dd-46d9-9b5d-dddba7baa08c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CP-012</vt:lpwstr>
  </property>
  <property fmtid="{D5CDD505-2E9C-101B-9397-08002B2CF9AE}" pid="15" name="ContentTypeId">
    <vt:lpwstr>0x010100258AA79CEB83498886A3A08681123250006EF9D13EB5B09F479C3B8323D523042B</vt:lpwstr>
  </property>
</Properties>
</file>