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BBAA6E5-B3A2-4126-9639-A6FC43C12941" style="width:450.75pt;height:321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line="240" w:lineRule="auto"/>
        <w:jc w:val="both"/>
        <w:rPr>
          <w:rFonts w:ascii="Times New Roman" w:hAnsi="Times New Roman" w:cs="Times New Roman"/>
          <w:noProof/>
          <w:sz w:val="24"/>
          <w:szCs w:val="24"/>
        </w:rPr>
      </w:pPr>
      <w:bookmarkStart w:id="1" w:name="_GoBack"/>
      <w:bookmarkEnd w:id="1"/>
      <w:r>
        <w:rPr>
          <w:rFonts w:ascii="Times New Roman" w:hAnsi="Times New Roman"/>
          <w:noProof/>
          <w:sz w:val="24"/>
          <w:szCs w:val="24"/>
        </w:rPr>
        <w:lastRenderedPageBreak/>
        <w:t>W maju 2014 r. Parlament Europejski i Rada przyjęły decyzję</w:t>
      </w:r>
      <w:r>
        <w:rPr>
          <w:rStyle w:val="FootnoteReference"/>
          <w:rFonts w:ascii="Times New Roman" w:hAnsi="Times New Roman" w:cs="Times New Roman"/>
          <w:noProof/>
          <w:sz w:val="24"/>
          <w:szCs w:val="24"/>
        </w:rPr>
        <w:footnoteReference w:id="1"/>
      </w:r>
      <w:r>
        <w:rPr>
          <w:rFonts w:ascii="Times New Roman" w:hAnsi="Times New Roman"/>
          <w:noProof/>
          <w:sz w:val="24"/>
          <w:szCs w:val="24"/>
        </w:rPr>
        <w:t xml:space="preserve"> o operacji w zakresie pomocy makrofinansowej o wartości 300 mln EUR, służącej wsparciu Tunezji w pokonaniu kryzysu bilansu płatniczego, który pogłębił się w następstwie jaśminowej rewolucji w 2011 r. oraz późniejszych przemian politycznych i gospodarczych. Kwota operacji została wypłacona w całości, w trzech transzach, w okresie od maja 2015 r. do lipca 2017 r.</w:t>
      </w:r>
    </w:p>
    <w:p>
      <w:pPr>
        <w:pStyle w:val="Default"/>
        <w:jc w:val="both"/>
        <w:rPr>
          <w:noProof/>
          <w:color w:val="auto"/>
        </w:rPr>
      </w:pPr>
      <w:r>
        <w:rPr>
          <w:bCs/>
          <w:noProof/>
          <w:color w:val="auto"/>
        </w:rPr>
        <w:t xml:space="preserve">Do przeprowadzenia oceny ex post operacji MFA-I w Tunezji, która to ocena stanowi podstawę dołączonego dokumentu roboczego służb Komisji, wyznaczono wykonawcę zewnętrznego – ICF, we współpracy z Cambridge Econometrics. </w:t>
      </w:r>
      <w:r>
        <w:rPr>
          <w:noProof/>
          <w:color w:val="auto"/>
        </w:rPr>
        <w:t>Przedmiotem oceny zewnętrznej była ocena adekwatności, efektywności, skuteczności, spójności i unijnej wartości dodanej operacji pomocy makrofinansowej. Przeanalizowano również społeczne skutki programu i jego wpływ na długookresową zdolność Tunezji do obsługi długu. Ocena opiera się na dowodach zgromadzonych za pomocą rozmaitych ilościowych i jakościowych technik badawczych, w tym konsultacji z głównymi zainteresowanymi stronami. Stwierdzono szereg ograniczeń metodologicznych, które jednak nie mają wpływu na ogólną wiarygodność analizy w ramach oceny. Zidentyfikowane zagrożenia i ograniczenia złagodzono dzięki wykorzystaniu szerokiego wachlarza źródeł, różnych technik oceny, alternatywnych scenariuszy i wielokrotnych rund informacji zwrotnych.</w:t>
      </w:r>
    </w:p>
    <w:p>
      <w:pPr>
        <w:pStyle w:val="Default"/>
        <w:jc w:val="both"/>
        <w:rPr>
          <w:noProof/>
          <w:color w:val="auto"/>
        </w:rPr>
      </w:pPr>
    </w:p>
    <w:p>
      <w:pPr>
        <w:spacing w:line="240" w:lineRule="auto"/>
        <w:jc w:val="both"/>
        <w:rPr>
          <w:rFonts w:ascii="Times New Roman" w:hAnsi="Times New Roman" w:cs="Times New Roman"/>
          <w:noProof/>
          <w:sz w:val="24"/>
          <w:szCs w:val="24"/>
        </w:rPr>
      </w:pPr>
      <w:r>
        <w:rPr>
          <w:rFonts w:ascii="Times New Roman" w:hAnsi="Times New Roman"/>
          <w:noProof/>
          <w:sz w:val="24"/>
          <w:szCs w:val="24"/>
        </w:rPr>
        <w:t>Ocena zewnętrzna i dokument roboczy służb Komisji służą (1) przedstawieniu informacji na potrzeby przyszłego wykorzystania instrumentu pomocy makrofinansowej oraz (2) zapewnieniu przejrzystości i rozliczalności, zgodnie z rozporządzeniem finansowym</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i decyzją w sprawie pomocy makrofinansowej dla Tunezji.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W toku oceny stwierdzono, że operacja MFA-I była </w:t>
      </w:r>
      <w:r>
        <w:rPr>
          <w:rFonts w:ascii="Times New Roman" w:hAnsi="Times New Roman"/>
          <w:b/>
          <w:noProof/>
          <w:sz w:val="24"/>
          <w:szCs w:val="24"/>
        </w:rPr>
        <w:t>odpowiednia</w:t>
      </w:r>
      <w:r>
        <w:rPr>
          <w:rFonts w:ascii="Times New Roman" w:hAnsi="Times New Roman"/>
          <w:noProof/>
          <w:sz w:val="24"/>
          <w:szCs w:val="24"/>
        </w:rPr>
        <w:t xml:space="preserve"> pod względem celów, puli środków finansowych i warunków strukturalnych. Warunki dotyczące polityki w zakresie pomocy makrofinansowej obejmowały najważniejsze wyzwania związane z reformami w Tunezji, a mianowicie dotyczące: opodatkowania; zarządzania finansami publicznymi; siatki bezpieczeństwa socjalnego; sektora finansowego; publicznego systemu statystycznego; handlu. Jakkolwiek kraj z powodzeniem spełnił wszystkie uzgodnione warunki w zakresie reform, napotkano trudności pod względem reform w dziedzinie siatki bezpieczeństwa socjalnego oraz handlu. W toku oceny zewnętrznej stwierdzono, że wyraźniejszym postępom tych działań sprzyjałyby większe zdolności właściwych instytucji tunezyjskich, biorąc pod uwagę stojące przed ciągle młodymi instytucjami wyzwania w zakresie zdolności administracyjnych i poczucia odpowiedzialności, a także ogólny kontekst niestabilności politycznej. W ustaleniu tym podkreślono również potrzebę opracowania reform w sposób zapewniający osiągnięcie realistycznych celów, z uwzględnieniem niestabilnego kontekstu instytucjonalnego i rozdrobnienia politycznego, które to czynniki mogłyby opóźnić realizację programu reform, jak miało to miejsce w latach 2015-2017. Fakt, że wiele warunków w ramach MFA-I (w zakresie opodatkowania, zarządzania finansami publicznymi, siatki bezpieczeństwa socjalnego i sektora finansowego) zostało następnie uwzględnionych w ramach MFA-II, podkreśla wspólny zamiar UE i rządu Tunezji, by skoncentrować wysiłki na dążeniu do stałych postępów w tych kluczowych obszarach reform.</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MFA-I </w:t>
      </w:r>
      <w:r>
        <w:rPr>
          <w:rFonts w:ascii="Times New Roman" w:hAnsi="Times New Roman"/>
          <w:b/>
          <w:noProof/>
          <w:sz w:val="24"/>
          <w:szCs w:val="24"/>
        </w:rPr>
        <w:t>skutecznie</w:t>
      </w:r>
      <w:r>
        <w:rPr>
          <w:rFonts w:ascii="Times New Roman" w:hAnsi="Times New Roman"/>
          <w:noProof/>
          <w:sz w:val="24"/>
          <w:szCs w:val="24"/>
        </w:rPr>
        <w:t xml:space="preserve"> przyczyniła się do poprawy bilansu płatniczego Tunezji, a także do wsparcia konsolidacji fiskalnej dzięki bardzo preferencyjnym warunkom finansowym i politycznym. Pomoc makrofinansowa pokryła około 11,3 % pozostającej do pokrycia luki w finansowaniu odnoszącej się do lat 2015-2016 i zwiększyła zaufanie do gospodarki Tunezji (poprzez zmniejszenie kosztów finansowania rynkowego oraz pomoc w ustabilizowaniu waluty krajowej).</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MFA-I została opracowana i wdrożona </w:t>
      </w:r>
      <w:r>
        <w:rPr>
          <w:rFonts w:ascii="Times New Roman" w:hAnsi="Times New Roman"/>
          <w:b/>
          <w:noProof/>
          <w:sz w:val="24"/>
          <w:szCs w:val="24"/>
        </w:rPr>
        <w:t>efektywnie</w:t>
      </w:r>
      <w:r>
        <w:rPr>
          <w:rFonts w:ascii="Times New Roman" w:hAnsi="Times New Roman"/>
          <w:noProof/>
          <w:sz w:val="24"/>
          <w:szCs w:val="24"/>
        </w:rPr>
        <w:t xml:space="preserve"> i była </w:t>
      </w:r>
      <w:r>
        <w:rPr>
          <w:rFonts w:ascii="Times New Roman" w:hAnsi="Times New Roman"/>
          <w:b/>
          <w:noProof/>
          <w:sz w:val="24"/>
          <w:szCs w:val="24"/>
        </w:rPr>
        <w:t>spójna</w:t>
      </w:r>
      <w:r>
        <w:rPr>
          <w:rFonts w:ascii="Times New Roman" w:hAnsi="Times New Roman"/>
          <w:noProof/>
          <w:sz w:val="24"/>
          <w:szCs w:val="24"/>
        </w:rPr>
        <w:t xml:space="preserve"> z ogólnymi ramami polityki regulującymi stosunki UE-Tunezja. Również poziom spójności zewnętrznej z interwencjami innych międzynarodowych darczyńców jest wysoki. Pomoc makrofinansowa przyczyniła się nie tylko do „podziału obciążeń” z Międzynarodowym Funduszem Walutowym (MFW) i innymi darczyńcami pod względem finansowym, ale również do wzmocnienia reform promowanych przez MFW i Bank Światowy poprzez stosowanie warunków wiązanych i uzupełniających. Niezależnie od pierwotnego zamiaru ograniczenia stosowania warunków wiązanych, w toku oceny potwierdzono, że decyzja o skoncentrowaniu się na kluczowych obszarach reform, nawet jeśli były one już przedmiotem innych działań, odniosła korzystny skutek. Zaleca się podobne podejście w kontekście przyszłych działań. </w:t>
      </w:r>
    </w:p>
    <w:p>
      <w:pPr>
        <w:pStyle w:val="Bullet1Space"/>
        <w:tabs>
          <w:tab w:val="clear" w:pos="283"/>
        </w:tabs>
        <w:ind w:left="0" w:firstLine="0"/>
        <w:jc w:val="both"/>
        <w:rPr>
          <w:rFonts w:ascii="Times New Roman" w:hAnsi="Times New Roman" w:cs="Times New Roman"/>
          <w:noProof/>
          <w:color w:val="auto"/>
          <w:sz w:val="24"/>
          <w:szCs w:val="24"/>
          <w:bdr w:val="none" w:sz="0" w:space="0" w:color="auto" w:frame="1"/>
        </w:rPr>
      </w:pPr>
      <w:r>
        <w:rPr>
          <w:rFonts w:ascii="Times New Roman" w:hAnsi="Times New Roman"/>
          <w:b/>
          <w:noProof/>
          <w:color w:val="auto"/>
          <w:sz w:val="24"/>
          <w:szCs w:val="24"/>
        </w:rPr>
        <w:t>Unijna wartość dodana</w:t>
      </w:r>
      <w:r>
        <w:rPr>
          <w:rFonts w:ascii="Times New Roman" w:hAnsi="Times New Roman"/>
          <w:noProof/>
          <w:color w:val="auto"/>
          <w:sz w:val="24"/>
          <w:szCs w:val="24"/>
        </w:rPr>
        <w:t xml:space="preserve"> dotyczyła przede wszystkim korzyści finansowych przyznanych gospodarce Tunezji – bardzo preferencyjne warunki pożyczek w ramach pomocy makrofinansowej umożliwiły oszczędności budżetowe i stopniowe dostosowanie pierwotnego deficytu publicznego. W niektórych obszarach reform pomoc makrofinansowa stanowiła dodatkowe wsparcie reform promowanych przez MFW (w sektorze finansowym) i przez Bank Światowy (w zakresie siatki bezpieczeństwa socjalnego), przyczyniając się do trwałej mobilizacji władz lokalnych w tych kwestiach. Ponadto MFA-I była jedynym instrumentem stymulującym stosowanie uproszczonego systemu deklaracji podatkowych (</w:t>
      </w:r>
      <w:r>
        <w:rPr>
          <w:rFonts w:ascii="Times New Roman" w:hAnsi="Times New Roman"/>
          <w:i/>
          <w:noProof/>
          <w:color w:val="auto"/>
          <w:sz w:val="24"/>
          <w:szCs w:val="24"/>
        </w:rPr>
        <w:t>régime forfaitaire</w:t>
      </w:r>
      <w:r>
        <w:rPr>
          <w:rFonts w:ascii="Times New Roman" w:hAnsi="Times New Roman"/>
          <w:noProof/>
          <w:color w:val="auto"/>
          <w:sz w:val="24"/>
          <w:szCs w:val="24"/>
        </w:rPr>
        <w:t>).</w:t>
      </w:r>
      <w:r>
        <w:rPr>
          <w:rFonts w:ascii="Times New Roman" w:hAnsi="Times New Roman"/>
          <w:noProof/>
          <w:color w:val="auto"/>
          <w:sz w:val="24"/>
          <w:szCs w:val="24"/>
          <w:bdr w:val="none" w:sz="0" w:space="0" w:color="auto" w:frame="1"/>
        </w:rPr>
        <w:t xml:space="preserve"> </w:t>
      </w:r>
    </w:p>
    <w:p>
      <w:pPr>
        <w:spacing w:after="120" w:line="240" w:lineRule="auto"/>
        <w:jc w:val="both"/>
        <w:rPr>
          <w:rFonts w:ascii="Times New Roman" w:hAnsi="Times New Roman" w:cs="Times New Roman"/>
          <w:noProof/>
          <w:sz w:val="24"/>
          <w:szCs w:val="24"/>
          <w:highlight w:val="yellow"/>
        </w:rPr>
      </w:pPr>
      <w:r>
        <w:rPr>
          <w:rFonts w:ascii="Times New Roman" w:hAnsi="Times New Roman"/>
          <w:noProof/>
          <w:sz w:val="24"/>
          <w:szCs w:val="24"/>
        </w:rPr>
        <w:t xml:space="preserve">Z analizy alternatywnej dotyczącej </w:t>
      </w:r>
      <w:r>
        <w:rPr>
          <w:rFonts w:ascii="Times New Roman" w:hAnsi="Times New Roman"/>
          <w:b/>
          <w:noProof/>
          <w:sz w:val="24"/>
          <w:szCs w:val="24"/>
        </w:rPr>
        <w:t>skutków społecznych</w:t>
      </w:r>
      <w:r>
        <w:rPr>
          <w:rFonts w:ascii="Times New Roman" w:hAnsi="Times New Roman"/>
          <w:noProof/>
          <w:sz w:val="24"/>
          <w:szCs w:val="24"/>
        </w:rPr>
        <w:t xml:space="preserve"> pomocy makrofinansowej wynika, że gdyby pomoc makrofinansowa nie została udzielona, natomiast kontynuowana byłaby pomoc MFW, pośredni wpływ na sytuację społeczną w Tunezji byłby ograniczony. Pomoc makrofinansowa wywierała większy wpływ </w:t>
      </w:r>
      <w:r>
        <w:rPr>
          <w:rFonts w:ascii="Times New Roman" w:hAnsi="Times New Roman"/>
          <w:i/>
          <w:noProof/>
          <w:sz w:val="24"/>
          <w:szCs w:val="24"/>
        </w:rPr>
        <w:t>kanałami bezpośrednimi</w:t>
      </w:r>
      <w:r>
        <w:rPr>
          <w:rFonts w:ascii="Times New Roman" w:hAnsi="Times New Roman"/>
          <w:noProof/>
          <w:sz w:val="24"/>
          <w:szCs w:val="24"/>
        </w:rPr>
        <w:t>, mianowicie warunkami określonymi w protokole ustaleń w odniesieniu do reform siatki bezpieczeństwa socjalnego.</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W toku oceny stwierdzono wreszcie, że MFA-I miała pozytywny wpływ na </w:t>
      </w:r>
      <w:r>
        <w:rPr>
          <w:rFonts w:ascii="Times New Roman" w:hAnsi="Times New Roman"/>
          <w:b/>
          <w:noProof/>
          <w:sz w:val="24"/>
          <w:szCs w:val="24"/>
        </w:rPr>
        <w:t>długookresową zdolność Tunezji do obsługi długu</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Umożliwiła oszczędności budżetowe dzięki bardzo korzystnym warunkom finansowym operacji, a także pomogła Tunezji w utrzymaniu się na ścieżce dostosowania, tworząc przestrzeń fiskalną dla pozostałych reform i dla utrzymania wydatków socjalnych. Biorąc jednak pod uwagę jej stosunkowo ograniczoną wielkość, jest mało prawdopodobne, aby brak MFA-I miał znaczący wpływ na długookresową zdolność Tunezji do obsługi długu.</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Podsumowując, MFA-I stanowiła odpowiednie wsparcie ożywienia gospodarczego Tunezji po jaśminowej rewolucji w 2011 r. i późniejszych przemianach politycznych, zapewniając oszczędności budżetowe i korzyści finansowe, a także zwiększając zaufanie sektora prywatnego. Pakiet warunkowości pomocy makrofinansowej został w pełni dostosowany do powiązanego programu MFW i stworzył polityczny efekt wzmacniający, który przyczynił się do mobilizacji władz lokalnych wokół kluczowych reform, nawet w obszarach nieobjętych programami innych darczyńców międzynarodowych. Dokument roboczy służb Komisji stanowiący podstawę niniejszego sprawozdania zawiera szczegółową i kompleksową ocenę interwencji w ramach pomocy makrofinansowej. </w:t>
      </w: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9268922"/>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Decyzja Parlamentu Europejskiego i Rady nr 534/2014/UE z dnia 15 maja 2014 r. w sprawie udzielenia pomocy makrofinansowej Republice Tunezyjskiej. Dostępna na stronie internetowej: </w:t>
      </w:r>
      <w:hyperlink r:id="rId1" w:history="1">
        <w:r>
          <w:rPr>
            <w:rStyle w:val="Hyperlink"/>
            <w:rFonts w:ascii="Times New Roman" w:hAnsi="Times New Roman"/>
            <w:color w:val="auto"/>
          </w:rPr>
          <w:t>https://eur-lex.europa.eu/legal-content/PL/TXT/?uri=CELEX%3A32014D0534&amp;qid=1611078396184</w:t>
        </w:r>
      </w:hyperlink>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color w:val="auto"/>
          </w:rPr>
          <w:t>https://eur-lex.europa.eu/legal-content/PL/TXT/?uri=CELEX:32018R1046</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BBAA6E5-B3A2-4126-9639-A6FC43C12941"/>
    <w:docVar w:name="LW_COVERPAGE_TYPE" w:val="1"/>
    <w:docVar w:name="LW_CROSSREFERENCE" w:val="{SWD(2021) 8 final}"/>
    <w:docVar w:name="LW_DocType" w:val="NORMAL"/>
    <w:docVar w:name="LW_EMISSION" w:val="29.1.2021"/>
    <w:docVar w:name="LW_EMISSION_ISODATE" w:val="2021-01-29"/>
    <w:docVar w:name="LW_EMISSION_LOCATION" w:val="BRX"/>
    <w:docVar w:name="LW_EMISSION_PREFIX" w:val="Bruksela, dnia "/>
    <w:docVar w:name="LW_EMISSION_SUFFIX" w:val=" r."/>
    <w:docVar w:name="LW_ID_DOCTYPE_NONLW" w:val="CP-006"/>
    <w:docVar w:name="LW_LANGUE" w:val="PL"/>
    <w:docVar w:name="LW_LEVEL_OF_SENSITIVITY" w:val="Standard treatmen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21) 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cena decyzji Parlamentu Europejskiego i Rady nr 534/2014/UE z dnia 15 maja 2014 r. w sprawie udzielenia pomocy makrofinansowej Tunezji&lt;/FMT&gt;"/>
    <w:docVar w:name="LW_TYPE.DOC.CP" w:val="SPRAWOZDANIE KOMISJI DLA PARLAMENTU EUROPEJSKIEGO I RADY"/>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chriftart: 9 pt,Schriftart: 10 pt,Schriftart: 8 pt,WB-Fußnotentext,fn,Footnotes,Footnote ak,Footnote text,Footnote Text Char Char Char Char,Footnote Text Char Char,Footnote Text Char Char Char Char Char,Footnote Text Char Char Char,Char,o"/>
    <w:basedOn w:val="Normal"/>
    <w:link w:val="FootnoteTextChar"/>
    <w:unhideWhenUsed/>
    <w:qFormat/>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 Char Char Char Char1,Footnote Text Char Char Char1,Char Char,o Char"/>
    <w:basedOn w:val="DefaultParagraphFont"/>
    <w:link w:val="FootnoteText"/>
    <w:rPr>
      <w:sz w:val="20"/>
      <w:szCs w:val="20"/>
      <w:lang w:val="pl-PL"/>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nhideWhenUsed/>
    <w:qFormat/>
    <w:rPr>
      <w:sz w:val="20"/>
      <w:vertAlign w:val="superscript"/>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l-PL"/>
    </w:rPr>
  </w:style>
  <w:style w:type="paragraph" w:styleId="BodyText">
    <w:name w:val="Body Text"/>
    <w:aliases w:val="Document,Doc,Body Text2,doc,Standard paragraph,BodyText,(Norm),Body Text 12,bt,gl,uvlaka 2,heading3,Body Text - Level 2,1body,BodText,body text,Body Txt,Body Text-10,Body Text Char2,Text Char1,Text,Τίτλος Μελέτης,- TF,b,F4 Main Text,-"/>
    <w:basedOn w:val="Normal"/>
    <w:link w:val="BodyTextChar"/>
    <w:uiPriority w:val="1"/>
    <w:qFormat/>
    <w:pPr>
      <w:spacing w:before="120" w:after="120" w:line="260" w:lineRule="atLeast"/>
      <w:ind w:left="851"/>
    </w:pPr>
    <w:rPr>
      <w:rFonts w:ascii="Arial" w:hAnsi="Arial" w:cs="Times New Roman"/>
      <w:szCs w:val="24"/>
    </w:rPr>
  </w:style>
  <w:style w:type="character" w:customStyle="1" w:styleId="BodyTextChar">
    <w:name w:val="Body Text Char"/>
    <w:aliases w:val="Document Char,Doc Char,Body Text2 Char,doc Char,Standard paragraph Char,BodyText Char,(Norm) Char,Body Text 12 Char,bt Char,gl Char,uvlaka 2 Char,heading3 Char,Body Text - Level 2 Char,1body Char,BodText Char,body text Char,Body Txt Char"/>
    <w:basedOn w:val="DefaultParagraphFont"/>
    <w:link w:val="BodyText"/>
    <w:uiPriority w:val="1"/>
    <w:rPr>
      <w:rFonts w:ascii="Arial" w:hAnsi="Arial" w:cs="Times New Roman"/>
      <w:szCs w:val="24"/>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pPr>
      <w:spacing w:before="60" w:after="160" w:line="240" w:lineRule="exact"/>
    </w:pPr>
    <w:rPr>
      <w:sz w:val="20"/>
      <w:vertAlign w:val="superscript"/>
    </w:rPr>
  </w:style>
  <w:style w:type="paragraph" w:styleId="CommentSubject">
    <w:name w:val="annotation subject"/>
    <w:basedOn w:val="CommentText"/>
    <w:next w:val="CommentText"/>
    <w:link w:val="CommentSubjectChar"/>
    <w:uiPriority w:val="99"/>
    <w:semiHidden/>
    <w:unhideWhenUsed/>
    <w:rPr>
      <w:rFonts w:asciiTheme="minorHAnsi" w:hAnsiTheme="minorHAnsi"/>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val="pl-P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pl-PL"/>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pl-PL"/>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Text">
    <w:name w:val="Default Text"/>
    <w:basedOn w:val="Normal"/>
    <w:link w:val="DefaultTextChar"/>
    <w:qFormat/>
    <w:pPr>
      <w:spacing w:after="0" w:line="280" w:lineRule="atLeast"/>
    </w:pPr>
    <w:rPr>
      <w:rFonts w:ascii="Arial" w:eastAsia="Times New Roman" w:hAnsi="Arial" w:cs="Times New Roman"/>
      <w:sz w:val="18"/>
      <w:szCs w:val="24"/>
      <w:lang w:eastAsia="nl-NL"/>
    </w:rPr>
  </w:style>
  <w:style w:type="character" w:customStyle="1" w:styleId="DefaultTextChar">
    <w:name w:val="Default Text Char"/>
    <w:basedOn w:val="DefaultParagraphFont"/>
    <w:link w:val="DefaultText"/>
    <w:rPr>
      <w:rFonts w:ascii="Arial" w:eastAsia="Times New Roman" w:hAnsi="Arial" w:cs="Times New Roman"/>
      <w:sz w:val="18"/>
      <w:szCs w:val="24"/>
      <w:lang w:eastAsia="nl-NL"/>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w:basedOn w:val="Normal"/>
    <w:next w:val="Normal"/>
    <w:pPr>
      <w:spacing w:before="30" w:after="160" w:line="240" w:lineRule="exact"/>
      <w:jc w:val="both"/>
    </w:pPr>
    <w:rPr>
      <w:sz w:val="20"/>
      <w:vertAlign w:val="superscript"/>
    </w:rPr>
  </w:style>
  <w:style w:type="paragraph" w:customStyle="1" w:styleId="Bullet1Space">
    <w:name w:val="Bullet 1 Space"/>
    <w:aliases w:val="Bullet1Last,BTBullet1Last"/>
    <w:basedOn w:val="Normal"/>
    <w:link w:val="BTBullet1LastChar"/>
    <w:uiPriority w:val="6"/>
    <w:qFormat/>
    <w:pPr>
      <w:tabs>
        <w:tab w:val="num" w:pos="283"/>
      </w:tabs>
      <w:spacing w:before="120" w:after="120" w:line="240" w:lineRule="auto"/>
      <w:ind w:left="283" w:hanging="283"/>
    </w:pPr>
    <w:rPr>
      <w:rFonts w:ascii="Verdana" w:hAnsi="Verdana"/>
      <w:color w:val="000000" w:themeColor="text1"/>
      <w:sz w:val="20"/>
    </w:rPr>
  </w:style>
  <w:style w:type="character" w:customStyle="1" w:styleId="BTBullet1LastChar">
    <w:name w:val="BTBullet1Last Char"/>
    <w:link w:val="Bullet1Space"/>
    <w:uiPriority w:val="6"/>
    <w:locked/>
    <w:rPr>
      <w:rFonts w:ascii="Verdana" w:hAnsi="Verdana"/>
      <w:color w:val="000000" w:themeColor="text1"/>
      <w:sz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chriftart: 9 pt,Schriftart: 10 pt,Schriftart: 8 pt,WB-Fußnotentext,fn,Footnotes,Footnote ak,Footnote text,Footnote Text Char Char Char Char,Footnote Text Char Char,Footnote Text Char Char Char Char Char,Footnote Text Char Char Char,Char,o"/>
    <w:basedOn w:val="Normal"/>
    <w:link w:val="FootnoteTextChar"/>
    <w:unhideWhenUsed/>
    <w:qFormat/>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 Char Char Char Char1,Footnote Text Char Char Char1,Char Char,o Char"/>
    <w:basedOn w:val="DefaultParagraphFont"/>
    <w:link w:val="FootnoteText"/>
    <w:rPr>
      <w:sz w:val="20"/>
      <w:szCs w:val="20"/>
      <w:lang w:val="pl-PL"/>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nhideWhenUsed/>
    <w:qFormat/>
    <w:rPr>
      <w:sz w:val="20"/>
      <w:vertAlign w:val="superscript"/>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l-PL"/>
    </w:rPr>
  </w:style>
  <w:style w:type="paragraph" w:styleId="BodyText">
    <w:name w:val="Body Text"/>
    <w:aliases w:val="Document,Doc,Body Text2,doc,Standard paragraph,BodyText,(Norm),Body Text 12,bt,gl,uvlaka 2,heading3,Body Text - Level 2,1body,BodText,body text,Body Txt,Body Text-10,Body Text Char2,Text Char1,Text,Τίτλος Μελέτης,- TF,b,F4 Main Text,-"/>
    <w:basedOn w:val="Normal"/>
    <w:link w:val="BodyTextChar"/>
    <w:uiPriority w:val="1"/>
    <w:qFormat/>
    <w:pPr>
      <w:spacing w:before="120" w:after="120" w:line="260" w:lineRule="atLeast"/>
      <w:ind w:left="851"/>
    </w:pPr>
    <w:rPr>
      <w:rFonts w:ascii="Arial" w:hAnsi="Arial" w:cs="Times New Roman"/>
      <w:szCs w:val="24"/>
    </w:rPr>
  </w:style>
  <w:style w:type="character" w:customStyle="1" w:styleId="BodyTextChar">
    <w:name w:val="Body Text Char"/>
    <w:aliases w:val="Document Char,Doc Char,Body Text2 Char,doc Char,Standard paragraph Char,BodyText Char,(Norm) Char,Body Text 12 Char,bt Char,gl Char,uvlaka 2 Char,heading3 Char,Body Text - Level 2 Char,1body Char,BodText Char,body text Char,Body Txt Char"/>
    <w:basedOn w:val="DefaultParagraphFont"/>
    <w:link w:val="BodyText"/>
    <w:uiPriority w:val="1"/>
    <w:rPr>
      <w:rFonts w:ascii="Arial" w:hAnsi="Arial" w:cs="Times New Roman"/>
      <w:szCs w:val="24"/>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pPr>
      <w:spacing w:before="60" w:after="160" w:line="240" w:lineRule="exact"/>
    </w:pPr>
    <w:rPr>
      <w:sz w:val="20"/>
      <w:vertAlign w:val="superscript"/>
    </w:rPr>
  </w:style>
  <w:style w:type="paragraph" w:styleId="CommentSubject">
    <w:name w:val="annotation subject"/>
    <w:basedOn w:val="CommentText"/>
    <w:next w:val="CommentText"/>
    <w:link w:val="CommentSubjectChar"/>
    <w:uiPriority w:val="99"/>
    <w:semiHidden/>
    <w:unhideWhenUsed/>
    <w:rPr>
      <w:rFonts w:asciiTheme="minorHAnsi" w:hAnsiTheme="minorHAnsi"/>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val="pl-P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pl-PL"/>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pl-PL"/>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Text">
    <w:name w:val="Default Text"/>
    <w:basedOn w:val="Normal"/>
    <w:link w:val="DefaultTextChar"/>
    <w:qFormat/>
    <w:pPr>
      <w:spacing w:after="0" w:line="280" w:lineRule="atLeast"/>
    </w:pPr>
    <w:rPr>
      <w:rFonts w:ascii="Arial" w:eastAsia="Times New Roman" w:hAnsi="Arial" w:cs="Times New Roman"/>
      <w:sz w:val="18"/>
      <w:szCs w:val="24"/>
      <w:lang w:eastAsia="nl-NL"/>
    </w:rPr>
  </w:style>
  <w:style w:type="character" w:customStyle="1" w:styleId="DefaultTextChar">
    <w:name w:val="Default Text Char"/>
    <w:basedOn w:val="DefaultParagraphFont"/>
    <w:link w:val="DefaultText"/>
    <w:rPr>
      <w:rFonts w:ascii="Arial" w:eastAsia="Times New Roman" w:hAnsi="Arial" w:cs="Times New Roman"/>
      <w:sz w:val="18"/>
      <w:szCs w:val="24"/>
      <w:lang w:eastAsia="nl-NL"/>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w:basedOn w:val="Normal"/>
    <w:next w:val="Normal"/>
    <w:pPr>
      <w:spacing w:before="30" w:after="160" w:line="240" w:lineRule="exact"/>
      <w:jc w:val="both"/>
    </w:pPr>
    <w:rPr>
      <w:sz w:val="20"/>
      <w:vertAlign w:val="superscript"/>
    </w:rPr>
  </w:style>
  <w:style w:type="paragraph" w:customStyle="1" w:styleId="Bullet1Space">
    <w:name w:val="Bullet 1 Space"/>
    <w:aliases w:val="Bullet1Last,BTBullet1Last"/>
    <w:basedOn w:val="Normal"/>
    <w:link w:val="BTBullet1LastChar"/>
    <w:uiPriority w:val="6"/>
    <w:qFormat/>
    <w:pPr>
      <w:tabs>
        <w:tab w:val="num" w:pos="283"/>
      </w:tabs>
      <w:spacing w:before="120" w:after="120" w:line="240" w:lineRule="auto"/>
      <w:ind w:left="283" w:hanging="283"/>
    </w:pPr>
    <w:rPr>
      <w:rFonts w:ascii="Verdana" w:hAnsi="Verdana"/>
      <w:color w:val="000000" w:themeColor="text1"/>
      <w:sz w:val="20"/>
    </w:rPr>
  </w:style>
  <w:style w:type="character" w:customStyle="1" w:styleId="BTBullet1LastChar">
    <w:name w:val="BTBullet1Last Char"/>
    <w:link w:val="Bullet1Space"/>
    <w:uiPriority w:val="6"/>
    <w:locked/>
    <w:rPr>
      <w:rFonts w:ascii="Verdana" w:hAnsi="Verdana"/>
      <w:color w:val="000000" w:themeColor="text1"/>
      <w:sz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65553">
      <w:bodyDiv w:val="1"/>
      <w:marLeft w:val="0"/>
      <w:marRight w:val="0"/>
      <w:marTop w:val="0"/>
      <w:marBottom w:val="0"/>
      <w:divBdr>
        <w:top w:val="none" w:sz="0" w:space="0" w:color="auto"/>
        <w:left w:val="none" w:sz="0" w:space="0" w:color="auto"/>
        <w:bottom w:val="none" w:sz="0" w:space="0" w:color="auto"/>
        <w:right w:val="none" w:sz="0" w:space="0" w:color="auto"/>
      </w:divBdr>
    </w:div>
    <w:div w:id="145301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PL/TXT/?uri=CELEX:32018R1046" TargetMode="External"/><Relationship Id="rId1" Type="http://schemas.openxmlformats.org/officeDocument/2006/relationships/hyperlink" Target="https://eur-lex.europa.eu/legal-content/PL/TXT/?uri=CELEX%3A32014D0534&amp;qid=16110783961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C437F1C-2043-4328-BCCD-BBCB694B7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849</Words>
  <Characters>6095</Characters>
  <Application>Microsoft Office Word</Application>
  <DocSecurity>0</DocSecurity>
  <Lines>92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dcterms:created xsi:type="dcterms:W3CDTF">2021-01-21T09:46:00Z</dcterms:created>
  <dcterms:modified xsi:type="dcterms:W3CDTF">2021-01-26T06:34:00Z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20190916</vt:lpwstr>
  </property>
  <property fmtid="{D5CDD505-2E9C-101B-9397-08002B2CF9AE}" pid="8" name="Created using">
    <vt:lpwstr>LW 7.0, Build 20190717</vt:lpwstr>
  </property>
  <property name="OP_sanitized" fmtid="{D5CDD505-2E9C-101B-9397-08002B2CF9AE}" pid="9">
    <vt:lpwstr>True</vt:lpwstr>
  </property>
</Properties>
</file>