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D37E1557-955F-454D-B559-64E61FECB004" style="width:450.75pt;height:366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UZASADNIENIE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KONTEKST WNIOSKU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Przyczyny i cele wniosku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noProof/>
        </w:rPr>
      </w:pPr>
      <w:r>
        <w:rPr>
          <w:noProof/>
        </w:rPr>
        <w:t>Celem niniejszego wniosku jest zmiana decyzji Rady 2008/376/WE</w:t>
      </w:r>
      <w:r>
        <w:rPr>
          <w:rStyle w:val="FootnoteReference"/>
          <w:rFonts w:eastAsia="Arial Unicode MS"/>
          <w:noProof/>
        </w:rPr>
        <w:footnoteReference w:id="1"/>
      </w:r>
      <w:r>
        <w:rPr>
          <w:noProof/>
        </w:rPr>
        <w:t xml:space="preserve"> w celu dostosowania jej do „celów Wspólnoty w dziedzinach nauki, techniki i polityki” zgodnie z art. 2 wspomnianej decyzji Rady 2008/376/WE. Bardziej konkretnie niniejszy wniosek ma na celu zmianę celów badawczych w dziedzinie węgla i stali w ramach programu badawczego Funduszu Badawczego Węgla i Stali (program badawczy FBWiS). We wniosku uwzględniono zalecenia zawarte w sprawozdaniu z monitorowania i oceny FBWiS (2011–2017)</w:t>
      </w:r>
      <w:r>
        <w:rPr>
          <w:rStyle w:val="FootnoteReference"/>
          <w:rFonts w:eastAsia="Arial Unicode MS"/>
          <w:noProof/>
        </w:rPr>
        <w:footnoteReference w:id="2"/>
      </w:r>
      <w:r>
        <w:rPr>
          <w:noProof/>
        </w:rPr>
        <w:t>, jak również zalecenie Grup Doradczych ds. Węgla i Stali</w:t>
      </w:r>
      <w:r>
        <w:rPr>
          <w:rStyle w:val="FootnoteReference"/>
          <w:rFonts w:eastAsia="Arial Unicode MS"/>
          <w:noProof/>
        </w:rPr>
        <w:footnoteReference w:id="3"/>
      </w:r>
      <w:r>
        <w:rPr>
          <w:noProof/>
        </w:rPr>
        <w:t xml:space="preserve"> oraz państw członkowskich reprezentowanych w Komitecie ds. Węgla i Stali</w:t>
      </w:r>
      <w:r>
        <w:rPr>
          <w:rStyle w:val="FootnoteReference"/>
          <w:rFonts w:eastAsia="Arial Unicode MS"/>
          <w:noProof/>
        </w:rPr>
        <w:footnoteReference w:id="4"/>
      </w:r>
      <w:r>
        <w:rPr>
          <w:noProof/>
        </w:rPr>
        <w:t>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Niniejszy wniosek Komisji ma na celu dostosowanie programu badawczego FBWiS, do porozumienia paryskiego</w:t>
      </w:r>
      <w:r>
        <w:rPr>
          <w:rStyle w:val="FootnoteReference"/>
          <w:rFonts w:eastAsia="Arial Unicode MS"/>
          <w:noProof/>
        </w:rPr>
        <w:footnoteReference w:id="5"/>
      </w:r>
      <w:r>
        <w:rPr>
          <w:noProof/>
        </w:rPr>
        <w:t>, zaproponowanego przez Komisję Europejskiego Zielonego Ładu</w:t>
      </w:r>
      <w:r>
        <w:rPr>
          <w:rStyle w:val="FootnoteReference"/>
          <w:rFonts w:eastAsia="Arial Unicode MS"/>
          <w:noProof/>
        </w:rPr>
        <w:footnoteReference w:id="6"/>
      </w:r>
      <w:r>
        <w:rPr>
          <w:noProof/>
        </w:rPr>
        <w:t>, komunikatów dotyczących planu inwestycyjnego „Zrównoważona Europa”</w:t>
      </w:r>
      <w:r>
        <w:rPr>
          <w:rStyle w:val="FootnoteReference"/>
          <w:rFonts w:eastAsia="Arial Unicode MS"/>
          <w:noProof/>
        </w:rPr>
        <w:footnoteReference w:id="7"/>
      </w:r>
      <w:r>
        <w:rPr>
          <w:noProof/>
        </w:rPr>
        <w:t>, nowego planu działania dotyczącego gospodarki o obiegu zamkniętym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i opracowanej przez Komisję nowej strategii przemysłowej dla Europy</w:t>
      </w:r>
      <w:r>
        <w:rPr>
          <w:rStyle w:val="FootnoteReference"/>
          <w:rFonts w:eastAsia="Arial Unicode MS"/>
          <w:noProof/>
        </w:rPr>
        <w:footnoteReference w:id="9"/>
      </w:r>
      <w:r>
        <w:rPr>
          <w:noProof/>
        </w:rPr>
        <w:t>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Celem wniosku jest:</w:t>
      </w:r>
    </w:p>
    <w:p>
      <w:pPr>
        <w:pStyle w:val="Bullet0"/>
        <w:numPr>
          <w:ilvl w:val="0"/>
          <w:numId w:val="2"/>
        </w:numPr>
        <w:rPr>
          <w:noProof/>
        </w:rPr>
      </w:pPr>
      <w:r>
        <w:rPr>
          <w:noProof/>
        </w:rPr>
        <w:t>aktualizacja celów badań w dziedzinie węgla kamiennego zgodnie z celami Komisji w zakresie klimatu, energii i środowiska. Jego celem jest również osiągnięcie do 2050 r. neutralności emisyjnej, a także stosowanie zasady „nie szkodzić” zapisanej w komunikacie w sprawie Europejskiego Zielonego Ładu;</w:t>
      </w:r>
    </w:p>
    <w:p>
      <w:pPr>
        <w:pStyle w:val="Bullet0"/>
        <w:rPr>
          <w:noProof/>
        </w:rPr>
      </w:pPr>
      <w:r>
        <w:rPr>
          <w:noProof/>
        </w:rPr>
        <w:t xml:space="preserve">wspieranie sprawiedliwej i uczciwej transformacji regionów górniczych zgodnie z zasadami mechanizmu sprawiedliwej transformacji; </w:t>
      </w:r>
    </w:p>
    <w:p>
      <w:pPr>
        <w:pStyle w:val="Bullet0"/>
        <w:rPr>
          <w:rFonts w:eastAsia="Arial Unicode MS"/>
          <w:noProof/>
        </w:rPr>
      </w:pPr>
      <w:r>
        <w:rPr>
          <w:noProof/>
        </w:rPr>
        <w:t>dokonanie przeglądu celów badań w dziedzinie stali w celu priorytetowego potraktowania technologii, zastosowań i wykorzystania w zakresie niemal bezemisyjnej produkcji stali;</w:t>
      </w:r>
    </w:p>
    <w:p>
      <w:pPr>
        <w:pStyle w:val="Bullet0"/>
        <w:rPr>
          <w:rFonts w:eastAsia="Arial Unicode MS"/>
          <w:noProof/>
        </w:rPr>
      </w:pPr>
      <w:r>
        <w:rPr>
          <w:noProof/>
        </w:rPr>
        <w:lastRenderedPageBreak/>
        <w:t>zapewnienie możliwości wdrożenia części programu badawczego FBWiS poprzez współprogramowane partnerstwa europejskie;</w:t>
      </w:r>
    </w:p>
    <w:p>
      <w:pPr>
        <w:pStyle w:val="Bullet0"/>
        <w:rPr>
          <w:noProof/>
        </w:rPr>
      </w:pPr>
      <w:r>
        <w:rPr>
          <w:noProof/>
        </w:rPr>
        <w:t>zastąpienie specjalnego systemu dla ekspertów na podstawie programu ramowego w zakresie badań ogólnymi zasadami dotyczącymi ekspertów zewnętrznych otrzymujących wynagrodzenie, określonymi w rozporządzeniu finansowym</w:t>
      </w:r>
      <w:r>
        <w:rPr>
          <w:rStyle w:val="FootnoteReference"/>
          <w:noProof/>
        </w:rPr>
        <w:footnoteReference w:id="10"/>
      </w:r>
      <w:r>
        <w:rPr>
          <w:noProof/>
        </w:rPr>
        <w:t>.</w:t>
      </w:r>
    </w:p>
    <w:p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Spójność z przepisami obowiązującymi w tej dziedzinie polityki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Wniosek jest częścią pakietu prawnego zmieniającego program badawczy FBWiS. Jest on w szczególności powiązany z wnioskami Komisji dotyczącymi zmiany decyzji Rady 2003/76/WE</w:t>
      </w:r>
      <w:r>
        <w:rPr>
          <w:rStyle w:val="FootnoteReference"/>
          <w:rFonts w:eastAsia="Arial Unicode MS"/>
          <w:noProof/>
        </w:rPr>
        <w:footnoteReference w:id="11"/>
      </w:r>
      <w:r>
        <w:rPr>
          <w:noProof/>
        </w:rPr>
        <w:t xml:space="preserve"> ustanawiającej środki niezbędne do wykonania Protokołu nr 37</w:t>
      </w:r>
      <w:r>
        <w:rPr>
          <w:rStyle w:val="FootnoteReference"/>
          <w:rFonts w:eastAsia="Arial Unicode MS"/>
          <w:noProof/>
        </w:rPr>
        <w:footnoteReference w:id="12"/>
      </w:r>
      <w:r>
        <w:rPr>
          <w:noProof/>
        </w:rPr>
        <w:t xml:space="preserve"> i decyzji Rady 2003/77/WE</w:t>
      </w:r>
      <w:r>
        <w:rPr>
          <w:rStyle w:val="FootnoteReference"/>
          <w:rFonts w:eastAsia="Arial Unicode MS"/>
          <w:noProof/>
        </w:rPr>
        <w:footnoteReference w:id="13"/>
      </w:r>
      <w:r>
        <w:rPr>
          <w:noProof/>
        </w:rPr>
        <w:t xml:space="preserve"> ustanawiającej wieloletnie wytyczne finansowe dotyczące zarządzania aktywami Europejskiej Wspólnoty Węgla i Stali (EWWiS) w likwidacji i, po zakończeniu likwidacji, majątkiem FBWiS. Zmiana decyzji Rady 2003/77/WE, wchodząca w zakres odpowiedzialności Dyrekcji Generalnej ds. Budżetu, jest również spójna z przeglądem Europejskiego Trybunału Obrachunkowego z 2019 r. w sprawie likwidacji EWWiS</w:t>
      </w:r>
      <w:r>
        <w:rPr>
          <w:rStyle w:val="FootnoteReference"/>
          <w:rFonts w:eastAsia="Arial Unicode MS"/>
          <w:noProof/>
        </w:rPr>
        <w:footnoteReference w:id="14"/>
      </w:r>
      <w:r>
        <w:rPr>
          <w:noProof/>
        </w:rPr>
        <w:t>.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Spójność z innymi politykami Unii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W dniu 11 grudnia 2019 r. Komisja Europejska przyjęła komunikat „Europejski Zielony Ład”</w:t>
      </w:r>
      <w:r>
        <w:rPr>
          <w:rStyle w:val="FootnoteReference"/>
          <w:rFonts w:eastAsia="Arial Unicode MS"/>
          <w:noProof/>
        </w:rPr>
        <w:footnoteReference w:id="15"/>
      </w:r>
      <w:r>
        <w:rPr>
          <w:noProof/>
        </w:rPr>
        <w:t>, w którym określono ramy przekształcenia UE w pierwszy kontynent neutralny dla klimatu do 2050 r. W Europejskim Zielonym Ładzie podjęto wyzwania związane z klimatem i środowiskiem przy jednoczesnym rozwoju nowoczesnej, zasobooszczędnej i konkurencyjnej gospodarki w ramach agendy ONZ na rzecz zrównoważonego rozwoju 2030 i celów zrównoważonego rozwoju</w:t>
      </w:r>
      <w:r>
        <w:rPr>
          <w:rStyle w:val="FootnoteReference"/>
          <w:rFonts w:eastAsia="Arial Unicode MS"/>
          <w:noProof/>
        </w:rPr>
        <w:footnoteReference w:id="16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W komunikacie w sprawie Europejskiego Zielonego Ładu podkreślono, że Komisja dąży do „wspierania przełomowych technologii czystej stali, dzięki którym najpóźniej w 2030 r. będzie możliwe rozpoczęcie bezemisyjnej produkcji oraz (...) zbadania, czy można wykorzystać na ten cel część funduszy pozostałych po Europejskiej Wspólnocie Węgla i Stali. W szerszym kontekście, fundusz innowacyjny unijnego systemu handlu uprawnieniami do emisji pomoże we wdrażaniu tego rodzaju projektów innowacyjnych na dużą skalę”</w:t>
      </w:r>
      <w:r>
        <w:rPr>
          <w:rStyle w:val="FootnoteReference"/>
          <w:rFonts w:eastAsia="Arial Unicode MS"/>
          <w:noProof/>
        </w:rPr>
        <w:footnoteReference w:id="17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lastRenderedPageBreak/>
        <w:t>Ponadto w komunikacie „Plan inwestycyjny na rzecz Europejskiego Zielonego Ładu. Plan inwestycyjny na rzecz zrównoważonej Europy”, przedstawionym w dniu 14 stycznia 2020 r., zobowiązano Komisję do „zaproponowania nowelizacji rozporządzeń w sprawie Funduszu Badawczego Węgla i Stali, aby umożliwić wykorzystanie części likwidowanych aktywów Europejskiej Wspólnoty Węgla i Stali. Pomoże to utrzymać środki programu badawczego</w:t>
      </w:r>
      <w:r>
        <w:rPr>
          <w:rStyle w:val="FootnoteReference"/>
          <w:rFonts w:eastAsia="Arial Unicode MS"/>
          <w:noProof/>
        </w:rPr>
        <w:footnoteReference w:id="18"/>
      </w:r>
      <w:r>
        <w:rPr>
          <w:noProof/>
        </w:rPr>
        <w:t xml:space="preserve"> na poziomie co najmniej 40 mln EUR rocznie oraz umożliwi finansowanie dużych przełomowych projektów badawczo-innowacyjnych dotyczących ekologicznego wyrobu stali. Działalność badawcza w sektorze węgla będzie się koncentrować na regionach przechodzących transformację zgodnie z zasadami mechanizmu sprawiedliwej transformacji.”</w:t>
      </w:r>
      <w:r>
        <w:rPr>
          <w:rStyle w:val="FootnoteReference"/>
          <w:rFonts w:eastAsia="Arial Unicode MS"/>
          <w:noProof/>
        </w:rPr>
        <w:footnoteReference w:id="19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Niniejszy wniosek jest również zgodny z komunikatem z 2018 r. „Czysta planeta dla wszystkich”</w:t>
      </w:r>
      <w:r>
        <w:rPr>
          <w:rStyle w:val="FootnoteReference"/>
          <w:rFonts w:eastAsia="Arial Unicode MS"/>
          <w:noProof/>
        </w:rPr>
        <w:footnoteReference w:id="20"/>
      </w:r>
      <w:r>
        <w:rPr>
          <w:noProof/>
        </w:rPr>
        <w:t>, w którym określono długoterminową wizję strategiczną Komisji Europejskiej dotyczącą gospodarki neutralnej dla klimatu, zgodnie z porozumieniem paryskim. W komunikacie tym przewidziano, że Komisja zbada, w jaki sposób aktywa Europejskiej Wspólnoty Węgla i Stali będącej w likwidacji mogłyby wspierać przełomowe technologie niskoemisyjnej produkcji stali. W dniu 4 marca 2020 r. Komisja przyjęła wniosek w sprawie Europejskiego prawa o klimacie, obejmujący prawnie wiążący cel dotyczący zerowej emisji gazów cieplarnianych netto do 2050 r. w UE</w:t>
      </w:r>
      <w:r>
        <w:rPr>
          <w:rStyle w:val="FootnoteReference"/>
          <w:noProof/>
        </w:rPr>
        <w:footnoteReference w:id="21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Nowelizacja ta uwzględnia również potrzebę stymulowania prywatnych i publicznych inwestycji w badania naukowe, innowacje i nowe technologie poprzez opracowanie rozwiązań na rzecz bardziej konkurencyjnego i zrównoważonego przemysłu, jak podkreślono w komunikacie Komisji z 2016 r. pt. „Przemysł stalowy: utrzymanie stabilnego zatrudnienia i zrównoważonego wzrostu gospodarczego w Europie”</w:t>
      </w:r>
      <w:r>
        <w:rPr>
          <w:rStyle w:val="FootnoteReference"/>
          <w:rFonts w:eastAsia="Arial Unicode MS"/>
          <w:noProof/>
        </w:rPr>
        <w:footnoteReference w:id="22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W świetle powyższego kierunku polityki konieczne jest zharmonizowanie celów programu badawczego FBWiS i jego wieloletnich wytycznych technicznych z powyższymi kierunkami polityki, a w szczególności z celami Europejskiego Zielonego Ładu.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PODSTAWA PRAWNA, POMOCNICZOŚĆ I PROPORCJONALNOŚĆ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Podstawa prawna</w:t>
      </w:r>
    </w:p>
    <w:p>
      <w:pPr>
        <w:spacing w:after="240"/>
        <w:rPr>
          <w:noProof/>
        </w:rPr>
      </w:pPr>
      <w:r>
        <w:rPr>
          <w:noProof/>
        </w:rPr>
        <w:t xml:space="preserve">Podstawą prawną jest art. 2 akapit drugi Protokołu nr 37 w sprawie skutków finansowych wygaśnięcia Traktatu o EWWiS oraz w sprawie Funduszu Badawczego Węgla i Stali, dołączonego do Traktatów.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 xml:space="preserve">Pomocniczość (w przypadku kompetencji niewyłącznych)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Proponowane zmiany w programie badawczym FBWiS mogą być wprowadzane wyłącznie na poziomie UE w drodze zmiany podstawy prawnej.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Proporcjonalność</w:t>
      </w:r>
    </w:p>
    <w:p>
      <w:pPr>
        <w:rPr>
          <w:noProof/>
        </w:rPr>
      </w:pPr>
      <w:r>
        <w:rPr>
          <w:noProof/>
        </w:rPr>
        <w:t>Wniosek jest konieczny w celu ustanowienia środków niezbędnych do wykonania protokołu, dołączonego do Traktatów UE, w sprawie skutków finansowych wygaśnięcia Traktatu EWWiS i w sprawie Funduszu Badawczego Węgla i Stali.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Wybór instrumentu</w:t>
      </w:r>
    </w:p>
    <w:p>
      <w:pPr>
        <w:rPr>
          <w:noProof/>
        </w:rPr>
      </w:pPr>
      <w:r>
        <w:rPr>
          <w:noProof/>
        </w:rPr>
        <w:t xml:space="preserve">Uwzględniając art. 2 akapit drugi Protokołu nr 37, decyzja Rady 2008/376/WE może zostać zmieniona przez Radę stanowiącą większością kwalifikowaną na wniosek Komisji i po konsultacji z Parlamentem Europejskim. 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WYNIKI OCEN EX POST, KONSULTACJI Z ZAINTERESOWANYMI STRONAMI I OCEN SKUTKÓW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 xml:space="preserve">Oceny </w:t>
      </w:r>
      <w:r>
        <w:rPr>
          <w:i/>
          <w:noProof/>
          <w:u w:color="000000"/>
          <w:bdr w:val="nil"/>
        </w:rPr>
        <w:t>ex post</w:t>
      </w:r>
      <w:r>
        <w:rPr>
          <w:noProof/>
          <w:u w:color="000000"/>
          <w:bdr w:val="nil"/>
        </w:rPr>
        <w:t>/oceny adekwatności obowiązującego prawodawstwa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Wniosek opiera się na wynikach sprawozdania obejmującego siedem lat, w ramach którego prowadzi się monitorowanie programu badawczego FBWiS, w tym ocenę oczekiwanych korzyści, przy udziale panelu wykwalifikowanych ekspertów</w:t>
      </w:r>
      <w:r>
        <w:rPr>
          <w:rStyle w:val="FootnoteReference"/>
          <w:noProof/>
        </w:rPr>
        <w:footnoteReference w:id="23"/>
      </w:r>
      <w:r>
        <w:rPr>
          <w:noProof/>
        </w:rPr>
        <w:t>. Ostatnie takie sprawozdanie zostało opublikowane w dniu 5 lutego 2020 r</w:t>
      </w:r>
      <w:r>
        <w:rPr>
          <w:rStyle w:val="FootnoteReference"/>
          <w:noProof/>
        </w:rPr>
        <w:footnoteReference w:id="24"/>
      </w:r>
      <w:r>
        <w:rPr>
          <w:noProof/>
        </w:rPr>
        <w:t xml:space="preserve">. Eksperci przeanalizowali funkcjonowanie programu badawczego FBWiS, ocenili rozwój technologiczny i oczekiwane korzyści zapewniane przez ten program na rzecz sektora i społeczeństwa oraz sporządzili zalecenia dotyczące jego usprawnienia, z uwzględnieniem nowelizacji podstawy prawnej.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Konsultacje z zainteresowanymi stronami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Zainteresowane strony FBWiS uczestniczyły w kilku spotkaniach </w:t>
      </w:r>
      <w:r>
        <w:rPr>
          <w:i/>
          <w:noProof/>
        </w:rPr>
        <w:t>ad hoc</w:t>
      </w:r>
      <w:r>
        <w:rPr>
          <w:noProof/>
        </w:rPr>
        <w:t xml:space="preserve">, w poszczególnych posiedzeniach grup doradczych (Grupa Doradcza ds. Węgla – CAG, Grupa Doradcza ds. Stali – SAG) oraz w posiedzeniach Komitetu ds. Węgla i Stali (odpowiednik Komitetu Programu w programie „Horyzont 2020”).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Gromadzenie i wykorzystanie wiedzy eksperckiej</w:t>
      </w:r>
    </w:p>
    <w:p>
      <w:pPr>
        <w:rPr>
          <w:noProof/>
        </w:rPr>
      </w:pPr>
      <w:r>
        <w:rPr>
          <w:noProof/>
        </w:rPr>
        <w:t>Wstępne wyniki obecnego sprawozdania z monitorowania FBWiS i sprawozdania z oceny przedstawiono na seminarium „Stal i węgiel: Nowe perspektywy. Europejskie badania naukowe i innowacje w działaniu”, prowadzonym przez Komisję Europejską, które odbyło się w dniu 28 marca 2019 r. z udziałem ponad 100 zainteresowanych stron</w:t>
      </w:r>
      <w:r>
        <w:rPr>
          <w:rStyle w:val="FootnoteReference"/>
          <w:noProof/>
          <w:szCs w:val="24"/>
        </w:rPr>
        <w:footnoteReference w:id="25"/>
      </w:r>
      <w:r>
        <w:rPr>
          <w:noProof/>
        </w:rPr>
        <w:t xml:space="preserve">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Ocena skutków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Ocena skutków nie jest konieczna w przypadku proponowanej zmiany.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Sprawność regulacyjna i uproszczenie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Wniosek opiera się na wynikach sprawozdania z monitorowania i oceny FBWiS obejmującego okres siedmiu lat, w którym przewidziano regularny przegląd programu badawczego FBWiS, z uwzględnieniem oceny oczekiwanych korzyści.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Prawa podstawowe</w:t>
      </w:r>
    </w:p>
    <w:p>
      <w:pPr>
        <w:rPr>
          <w:noProof/>
        </w:rPr>
      </w:pPr>
      <w:r>
        <w:rPr>
          <w:noProof/>
        </w:rPr>
        <w:t xml:space="preserve">Wniosek jest zgodny z przepisami w zakresie ochrony praw podstawowych. 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WPŁYW NA BUDŻET</w:t>
      </w:r>
    </w:p>
    <w:p>
      <w:pPr>
        <w:rPr>
          <w:noProof/>
        </w:rPr>
      </w:pPr>
      <w:r>
        <w:rPr>
          <w:noProof/>
        </w:rPr>
        <w:t>Wniosek nie tworzy żadnych nowych zobowiązań, które mają zostać nałożone na budżet ogólny w ramach obecnych WRF.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ELEMENTY FAKULTATYWNE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Plany wdrożenia i monitorowanie, ocena i sprawozdania</w:t>
      </w:r>
    </w:p>
    <w:p>
      <w:pPr>
        <w:rPr>
          <w:rFonts w:eastAsia="Arial Unicode MS"/>
          <w:noProof/>
        </w:rPr>
      </w:pPr>
      <w:r>
        <w:rPr>
          <w:noProof/>
        </w:rPr>
        <w:t>Monitorowanie i ocena realizacji programu FBWiS zostaną przeprowadzone w 2027 r.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Dokumenty wyjaśniające (w przypadku dyrektyw)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Nie dotyczy.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Szczegółowe objaśnienia poszczególnych przepisów wniosku</w:t>
      </w:r>
    </w:p>
    <w:p>
      <w:pPr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 xml:space="preserve">Zmiana dotyczy przepisów zawartych w sekcjach 1, 3 i 4 rozdziału II decyzji Rady 2008/376/WE (art. 2 i art. 4–10). W ramach nowelizacji zaproponowano również aktualizację art. 28, 39 i 41. Wreszcie zaproponowano dodanie nowego art. 17a w ramach kwalifikujących się działań określonych w rozdziale III sekcja 2. </w:t>
      </w:r>
    </w:p>
    <w:p>
      <w:pPr>
        <w:rPr>
          <w:rFonts w:eastAsia="Arial Unicode MS"/>
          <w:noProof/>
          <w:color w:val="000000"/>
          <w:szCs w:val="24"/>
          <w:u w:color="000000"/>
          <w:bdr w:val="nil"/>
        </w:rPr>
      </w:pPr>
      <w:r>
        <w:rPr>
          <w:noProof/>
          <w:color w:val="000000"/>
          <w:szCs w:val="24"/>
          <w:u w:color="000000"/>
          <w:bdr w:val="nil"/>
        </w:rPr>
        <w:t xml:space="preserve">Nowelizacja ma na celu: </w:t>
      </w:r>
    </w:p>
    <w:p>
      <w:pPr>
        <w:pStyle w:val="Bullet0"/>
        <w:numPr>
          <w:ilvl w:val="0"/>
          <w:numId w:val="2"/>
        </w:numPr>
        <w:rPr>
          <w:noProof/>
        </w:rPr>
      </w:pPr>
      <w:r>
        <w:rPr>
          <w:noProof/>
        </w:rPr>
        <w:t>aktualizację celów badań naukowych w odniesieniu do węgla (art. 4, 5, 6, 7) zgodnie z Europejskim Zielonym Ładem i mechanizmem sprawiedliwej transformacji;</w:t>
      </w:r>
    </w:p>
    <w:p>
      <w:pPr>
        <w:pStyle w:val="Bullet0"/>
        <w:rPr>
          <w:noProof/>
        </w:rPr>
      </w:pPr>
      <w:r>
        <w:rPr>
          <w:noProof/>
        </w:rPr>
        <w:t xml:space="preserve">aktualizację celów badań naukowych w odniesieniu do stali (art. 8, 9, 10 i 10a) zgodnie z Europejskim Zielonym Ładem i planem inwestycyjnym na rzecz zrównoważonej Europy; </w:t>
      </w:r>
    </w:p>
    <w:p>
      <w:pPr>
        <w:pStyle w:val="Bullet0"/>
        <w:rPr>
          <w:noProof/>
        </w:rPr>
      </w:pPr>
      <w:r>
        <w:rPr>
          <w:noProof/>
        </w:rPr>
        <w:t>dodanie nowego art. 17a do kwalifikujących się działań w ramach programu badawczego FBWiS w celu uwzględnienia, w ramach działań objętych finansowaniem, działalności badawczej wchodzącej w zakres współprogramowanych partnerstw europejskich. Partnerstwa te mogłyby w szczególności wspierać badania naukowe w sektorze stali poprzez opracowanie do 2030 r. niemal bezemisyjnych procesów produkcji stali, a także poprzez zwiększanie skali instalacji demonstracyjnych w ramach tych technologii do poziomu przemysłowego;</w:t>
      </w:r>
    </w:p>
    <w:p>
      <w:pPr>
        <w:pStyle w:val="Bullet0"/>
        <w:rPr>
          <w:noProof/>
        </w:rPr>
      </w:pPr>
      <w:r>
        <w:rPr>
          <w:noProof/>
        </w:rPr>
        <w:t>uchylenie odniesienia do konsultacji z komitetem (art. 28 i 41), w przypadku gdy szacowana kwota wkładu Unii Europejskiej w ramach programu badawczego FBWiS wynosi co najmniej 0,6 mln EUR;</w:t>
      </w:r>
    </w:p>
    <w:p>
      <w:pPr>
        <w:pStyle w:val="Bullet0"/>
        <w:rPr>
          <w:noProof/>
        </w:rPr>
      </w:pPr>
      <w:r>
        <w:rPr>
          <w:noProof/>
        </w:rPr>
        <w:t>zapewnienie stosowalności ogólnych zasad dotyczących ekspertów zewnętrznych otrzymujących wynagrodzenie, określonych w rozporządzeniu finansowym, zamiast specjalnego systemu dla ekspertów w ramach programu ramowego w zakresie badań naukowych;</w:t>
      </w:r>
    </w:p>
    <w:p>
      <w:pPr>
        <w:pStyle w:val="Bullet0"/>
        <w:rPr>
          <w:noProof/>
        </w:rPr>
      </w:pPr>
      <w:r>
        <w:rPr>
          <w:noProof/>
        </w:rPr>
        <w:t xml:space="preserve">uchylenie odniesienia do możliwości zmiany sekcji 3 i 4 rozdziału II za pomocą środków wykonawczych (art. 41) w celu stosowania </w:t>
      </w:r>
      <w:r>
        <w:rPr>
          <w:i/>
          <w:noProof/>
        </w:rPr>
        <w:t>mutatis mutandis</w:t>
      </w:r>
      <w:r>
        <w:rPr>
          <w:noProof/>
        </w:rPr>
        <w:t xml:space="preserve"> zasad mających zastosowanie do uprawnień udzielonych w aktach ustawodawczych, które są określone w porozumieniu międzyinstytucjonalnym z dnia 18 czerwca 2019 r. </w:t>
      </w:r>
      <w:r>
        <w:rPr>
          <w:noProof/>
        </w:rPr>
        <w:lastRenderedPageBreak/>
        <w:t>w sprawie niewiążących kryteriów stosowania art. 290 i 291 Traktatu o funkcjonowaniu Unii Europejskiej</w:t>
      </w:r>
      <w:r>
        <w:rPr>
          <w:rStyle w:val="FootnoteReference"/>
          <w:noProof/>
        </w:rPr>
        <w:footnoteReference w:id="26"/>
      </w:r>
      <w:r>
        <w:rPr>
          <w:noProof/>
          <w:shd w:val="clear" w:color="auto" w:fill="FFFFFF"/>
        </w:rPr>
        <w:t>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2020/0141 (NLE)</w:t>
      </w:r>
    </w:p>
    <w:p>
      <w:pPr>
        <w:pStyle w:val="Statut"/>
        <w:rPr>
          <w:noProof/>
        </w:rPr>
      </w:pPr>
      <w:r>
        <w:rPr>
          <w:noProof/>
        </w:rPr>
        <w:t>Wniosek</w:t>
      </w:r>
    </w:p>
    <w:p>
      <w:pPr>
        <w:pStyle w:val="Typedudocument"/>
        <w:rPr>
          <w:noProof/>
        </w:rPr>
      </w:pPr>
      <w:r>
        <w:rPr>
          <w:noProof/>
        </w:rPr>
        <w:t>DECYZJA RADY</w:t>
      </w:r>
    </w:p>
    <w:p>
      <w:pPr>
        <w:pStyle w:val="Titreobjet"/>
        <w:rPr>
          <w:noProof/>
        </w:rPr>
      </w:pPr>
      <w:r>
        <w:rPr>
          <w:noProof/>
        </w:rPr>
        <w:t>zmieniająca decyzję 2008/376/WE w sprawie przyjęcia Programu badawczego Funduszu Badawczego Węgla i Stali i wieloletnich wytycznych technicznych dotyczących tego programu</w:t>
      </w:r>
    </w:p>
    <w:p>
      <w:pPr>
        <w:pStyle w:val="Institutionquiagit"/>
        <w:rPr>
          <w:noProof/>
        </w:rPr>
      </w:pPr>
      <w:r>
        <w:rPr>
          <w:noProof/>
        </w:rPr>
        <w:t>RADA UNII EUROPEJSKIEJ,</w:t>
      </w:r>
    </w:p>
    <w:p>
      <w:pPr>
        <w:rPr>
          <w:noProof/>
        </w:rPr>
      </w:pPr>
      <w:r>
        <w:rPr>
          <w:noProof/>
        </w:rPr>
        <w:t xml:space="preserve">uwzględniając Traktat o funkcjonowaniu Unii Europejskiej, </w:t>
      </w:r>
    </w:p>
    <w:p>
      <w:pPr>
        <w:rPr>
          <w:noProof/>
        </w:rPr>
      </w:pPr>
      <w:r>
        <w:rPr>
          <w:noProof/>
        </w:rPr>
        <w:t>uwzględniając Protokół nr 37 w sprawie skutków finansowych wygaśnięcia Traktatu EWWiS oraz w sprawie Funduszu Badawczego Węgla i Stali, załączony do Traktatu o Unii Europejskiej i Traktatu o funkcjonowaniu Unii Europejskiej, w szczególności jego art. 2 akapit drugi,</w:t>
      </w:r>
    </w:p>
    <w:p>
      <w:pPr>
        <w:rPr>
          <w:noProof/>
        </w:rPr>
      </w:pPr>
      <w:r>
        <w:rPr>
          <w:noProof/>
        </w:rPr>
        <w:t>uwzględniając wniosek Komisji Europejskiej,</w:t>
      </w:r>
    </w:p>
    <w:p>
      <w:pPr>
        <w:rPr>
          <w:noProof/>
        </w:rPr>
      </w:pPr>
      <w:r>
        <w:rPr>
          <w:noProof/>
        </w:rPr>
        <w:t>uwzględniając opinię Parlamentu Europejskiego</w:t>
      </w:r>
      <w:r>
        <w:rPr>
          <w:rStyle w:val="FootnoteReference"/>
          <w:noProof/>
        </w:rPr>
        <w:footnoteReference w:id="27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a także mając na uwadze, co następuje: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W dniu 5 października 2016 r. Unia ratyfikowała porozumienie paryskie</w:t>
      </w:r>
      <w:r>
        <w:rPr>
          <w:rStyle w:val="FootnoteReference"/>
          <w:noProof/>
        </w:rPr>
        <w:footnoteReference w:id="28"/>
      </w:r>
      <w:r>
        <w:rPr>
          <w:noProof/>
        </w:rPr>
        <w:t>. W tej międzynarodowej umowie zachęca się strony, które ją ratyfikowały, do wzmocnienia globalnej reakcji na zagrożenia związane ze zmianą klimatu, poprzez ograniczenie wzrostu temperatury na świecie do poziomu znacznie poniżej 2 °C.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Zgodnie z porozumieniem paryskim Komisja Europejska opublikowała w dniu 11 grudnia 2019 r. komunikat zatytułowany „Europejski Zielony Ład”, w którym zobowiązała się do „rozwiązania problemów związanych z klimatem i środowiskiem naturalnym” oraz do „przekształcenia UE w sprawiedliwe i prosperujące społeczeństwo żyjące w nowoczesnej, zasobooszczędnej i konkurencyjnej gospodarce, która w 2050 r. osiągnie zerowy poziom emisji gazów cieplarnianych netto i w ramach której wzrost gospodarczy jest oddzielony od wykorzystania zasobów naturalnych”</w:t>
      </w:r>
      <w:r>
        <w:rPr>
          <w:rStyle w:val="FootnoteReference"/>
          <w:noProof/>
        </w:rPr>
        <w:footnoteReference w:id="29"/>
      </w:r>
      <w:r>
        <w:rPr>
          <w:noProof/>
        </w:rPr>
        <w:t xml:space="preserve">. W komunikacie w sprawie Europejskiego Zielonego Ładu, w którym wyznaczono nową strategię rozwoju, określono potrzebę wspierania przełomowych technologii czystej stali, dzięki którym najpóźniej w 2030 r. będzie możliwe rozpoczęcie bezemisyjnej produkcji oraz zbadania, czy można wykorzystać na ten cel część funduszy pozostałych po Europejskiej Wspólnocie Węgla i Stali. W komunikacie w sprawie Europejskiego Zielonego Ładu stwierdzono również, że „[w]szystkie działania i polityki UE powinny zostać połączone, aby pomóc UE w osiągnięciu pomyślnej i sprawiedliwej transformacji ku zrównoważonej przyszłości”. Zgodnie z zasadą „nie szkodzić”, zapisaną w komunikacie w sprawie Europejskiego Zielonego Ładu, dokonuje się przeglądu celów badawczych programu badawczego FBWiS, tak </w:t>
      </w:r>
      <w:r>
        <w:rPr>
          <w:noProof/>
        </w:rPr>
        <w:lastRenderedPageBreak/>
        <w:t xml:space="preserve">aby nie obejmowały one już działań, które ugruntowują wydobycie, przetwarzanie i wykorzystanie węgla na niezmienionym poziomie. </w:t>
      </w:r>
    </w:p>
    <w:p>
      <w:pPr>
        <w:pStyle w:val="ManualConsidrant"/>
        <w:rPr>
          <w:noProof/>
          <w:color w:val="444444"/>
          <w:sz w:val="27"/>
          <w:szCs w:val="27"/>
          <w:shd w:val="clear" w:color="auto" w:fill="FFFFFF"/>
        </w:rPr>
      </w:pPr>
      <w:r>
        <w:t>(3)</w:t>
      </w:r>
      <w:r>
        <w:tab/>
      </w:r>
      <w:r>
        <w:rPr>
          <w:noProof/>
        </w:rPr>
        <w:t>Unia realizuje ambitną politykę w dziedzinie działań na rzecz klimatu i ustanowiła ramy regulacyjne dla osiągnięcia celu redukcji emisji gazów cieplarnianych do 2030 r. W szczególności rozporządzenie (UE) 2018/1999</w:t>
      </w:r>
      <w:r>
        <w:rPr>
          <w:rStyle w:val="FootnoteReference"/>
          <w:noProof/>
        </w:rPr>
        <w:footnoteReference w:id="30"/>
      </w:r>
      <w:r>
        <w:rPr>
          <w:noProof/>
        </w:rPr>
        <w:t xml:space="preserve"> określa podstawy prawne dla wiarygodnego, kompleksowego, racjonalnego pod względem kosztów, przejrzystego i przewidywalnego zarządzania unią energetyczną i działaniami w dziedzinie klimatu (mechanizm zarządzania), które zapewniają osiągnięcie celów na 2030 r. oraz długoterminowych celów i założeń unii energetycznej zgodnie z porozumieniem paryskim w sprawie zmian klimatu z 2015 r.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W swoim komunikacie „Plan inwestycyjny na rzecz zrównoważonej Europy. Plan inwestycyjny na rzecz Europejskiego Zielonego Ładu” Komisja ogłosiła, że zamierza zaproponować nowelizację decyzji Rady 2008/376/WE</w:t>
      </w:r>
      <w:r>
        <w:rPr>
          <w:rStyle w:val="FootnoteReference"/>
          <w:bCs/>
          <w:noProof/>
          <w:szCs w:val="24"/>
        </w:rPr>
        <w:footnoteReference w:id="31"/>
      </w:r>
      <w:r>
        <w:rPr>
          <w:noProof/>
        </w:rPr>
        <w:t>, również w celu umożliwienia finansowania dużych i przełomowych projektów badawczo-innowacyjnych w dziedzinie ekologicznej produkcji stali oraz działalności badawczej w sektorze węgla zgodnie z zasadami mechanizmu sprawiedliwej transformacji.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W sprawozdaniu w sprawie monitorowania i oceny programu badawczego Funduszu Badawczego Węgla i Stali (program badawczy) zaleca się zmianę celów badań dotyczących węgla i stali określonych w rozdziale II sekcja 3 i 4 decyzji 2008/376/WE oraz wspieranie przełomowych badań w sektorze stali oraz symbolicznych projektów w sektorze węgla.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 xml:space="preserve">Konieczne jest zatem ujednolicenie celów programu badawczego FBWiS z umowami międzynarodowymi, takimi jak porozumienie paryskie, a także z naukowymi, technologicznymi i politycznymi celami Unii w zakresie neutralności klimatycznej do 2050 r. 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Współprogramowane partnerstwa udowodniły, że są skuteczne pod względem łączenia zasobów na potrzeby wspólnego europejskiego celu badawczego. Aby pomóc w osiągnięciu gospodarki neutralnej dla klimatu do 2050 r., konieczne jest określenie możliwości udzielania wsparcia za pośrednictwem współprogramowanych partnerstw europejskich, w synergii i w kolejności z innymi programami. Partnerstwo europejskie mogłoby być idealnym instrumentem do łączenia zasobów w celu wspierania badań nad przełomowymi technologiami na rzecz redukcji emisji CO</w:t>
      </w:r>
      <w:r>
        <w:rPr>
          <w:noProof/>
          <w:vertAlign w:val="subscript"/>
        </w:rPr>
        <w:t>2</w:t>
      </w:r>
      <w:r>
        <w:rPr>
          <w:noProof/>
        </w:rPr>
        <w:t xml:space="preserve"> w sektorze przemysłu stalowego. 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Należy zatem odpowiednio zmienić decyzję 2008/376/WE,</w:t>
      </w:r>
    </w:p>
    <w:p>
      <w:pPr>
        <w:pStyle w:val="Formuledadoption"/>
        <w:rPr>
          <w:noProof/>
        </w:rPr>
      </w:pPr>
      <w:r>
        <w:rPr>
          <w:noProof/>
        </w:rPr>
        <w:t xml:space="preserve">PRZYJMUJE NINIEJSZĄ DECYZJĘ: </w:t>
      </w:r>
    </w:p>
    <w:p>
      <w:pPr>
        <w:pStyle w:val="Titrearticle"/>
        <w:rPr>
          <w:noProof/>
        </w:rPr>
      </w:pPr>
      <w:r>
        <w:rPr>
          <w:noProof/>
        </w:rPr>
        <w:t>Artykuł 1</w:t>
      </w:r>
    </w:p>
    <w:p>
      <w:pPr>
        <w:spacing w:line="360" w:lineRule="auto"/>
        <w:rPr>
          <w:noProof/>
          <w:szCs w:val="24"/>
        </w:rPr>
      </w:pPr>
      <w:r>
        <w:rPr>
          <w:noProof/>
        </w:rPr>
        <w:t>W decyzji 2008/376/WE wprowadza się następujące zmiany:</w:t>
      </w:r>
    </w:p>
    <w:p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  <w:t>art. 2 akapit drugi otrzymuje brzmienie:</w:t>
      </w:r>
    </w:p>
    <w:p>
      <w:pPr>
        <w:autoSpaceDE w:val="0"/>
        <w:autoSpaceDN w:val="0"/>
        <w:spacing w:after="0"/>
        <w:rPr>
          <w:noProof/>
        </w:rPr>
      </w:pPr>
      <w:r>
        <w:rPr>
          <w:noProof/>
        </w:rPr>
        <w:t xml:space="preserve">„Program badawczy zapewnia wsparcie na rzecz badań prowadzonych w ramach współpracy w sektorach węgla i stali. W ramach programu badawczego udziela się również wsparcia na </w:t>
      </w:r>
      <w:r>
        <w:rPr>
          <w:noProof/>
        </w:rPr>
        <w:lastRenderedPageBreak/>
        <w:t>rzecz przełomowych technologii czystej stali skutkujących projektami dotyczącymi niemal bezemisyjnej produkcji stali i projektami badawczymi dotyczącymi zarządzania sprawiedliwą transformacją wcześniej działających kopalni węgla kamiennego lub zamykanych kopalni węgla kamiennego i infrastruktury towarzyszącej zgodnie z mechanizmem sprawiedliwej transformacji i zgodnie z art. 4 ust. 2 decyzji Rady 2003/76/WE. Program badawczy jest zgodny z celami Unii w dziedzinach polityki, nauki i techniki oraz uzupełnia działania prowadzone w państwach członkowskich i w ramach realizowanych obecnie programów badawczych UE, w szczególności programu ramowego w zakresie badań, rozwoju technologicznego i demonstracji (zwanego dalej „programem ramowym w zakresie badań”).”;</w:t>
      </w:r>
    </w:p>
    <w:p>
      <w:pPr>
        <w:autoSpaceDE w:val="0"/>
        <w:autoSpaceDN w:val="0"/>
        <w:spacing w:after="0"/>
        <w:rPr>
          <w:noProof/>
          <w:sz w:val="22"/>
        </w:rPr>
      </w:pPr>
    </w:p>
    <w:p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  <w:t>art. 4 otrzymuje brzmienie:</w:t>
      </w:r>
    </w:p>
    <w:p>
      <w:pPr>
        <w:pStyle w:val="Titrearticle"/>
        <w:rPr>
          <w:noProof/>
        </w:rPr>
      </w:pPr>
      <w:r>
        <w:rPr>
          <w:noProof/>
        </w:rPr>
        <w:t>„Artykuł 4</w:t>
      </w:r>
    </w:p>
    <w:p>
      <w:pPr>
        <w:spacing w:before="60" w:line="360" w:lineRule="auto"/>
        <w:jc w:val="center"/>
        <w:rPr>
          <w:b/>
          <w:bCs/>
          <w:i/>
          <w:noProof/>
          <w:szCs w:val="24"/>
        </w:rPr>
      </w:pPr>
      <w:r>
        <w:rPr>
          <w:b/>
          <w:bCs/>
          <w:noProof/>
          <w:szCs w:val="24"/>
        </w:rPr>
        <w:t>Wspieranie sprawiedliwej transformacji sektora węgla i regionów wydobycia węgla kamiennego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W ramach projektów badawczych wspiera się przejście na neutralną dla klimatu gospodarkę Unii do 2050 r. w celu wsparcia stopniowego wycofywania paliw kopalnych, opracowania alternatywnych rodzajów działalności w dawnych kopalniach oraz uniknięcia szkód w środowisku spowodowanych przez zamykane kopalnie węgla kamiennego, wcześniej działające kopalnie węgla kamiennego i ich otoczenie lub usuwania skutków takich szkód. Projekty koncentrują się w szczególności na: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rozwoju i testowaniu technologii wychwytywania, wykorzystania i składowania dwutlenku węgla;</w:t>
      </w:r>
    </w:p>
    <w:p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wykorzystaniu energii geotermalnej w dawnych kopalniach węgla kamiennego;</w:t>
      </w:r>
    </w:p>
    <w:p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zastosowaniach innych niż produkcja energii i na produkcji surowców z odpadów górniczych i pozostałości z wcześniej działających kopalni węgla kamiennego lub kopalni zamykanych, przy właściwej ocenie, że wpływ na klimat, środowisko i zdrowie jest zminimalizowany i niższy niż w przypadku rozwiązań alternatywnych;</w:t>
      </w:r>
    </w:p>
    <w:p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  <w:t>zmianach przeznaczenia kopalni węgla kamiennego i brunatnego oraz infrastruktury związanej z węglem, z uwzględnieniem usług w zakresie dostaw energii elektrycznej, zgodnie z neutralną dla klimatu i przyjazną dla środowiska transformacją;</w:t>
      </w:r>
    </w:p>
    <w:p>
      <w:pPr>
        <w:pStyle w:val="Point0"/>
        <w:rPr>
          <w:noProof/>
          <w:u w:val="single"/>
        </w:rPr>
      </w:pPr>
      <w:r>
        <w:rPr>
          <w:noProof/>
        </w:rPr>
        <w:t>e)</w:t>
      </w:r>
      <w:r>
        <w:rPr>
          <w:noProof/>
        </w:rPr>
        <w:tab/>
        <w:t>wspieraniu rozwoju skutecznych programów w zakresie przekwalifikowania i podnoszenia kwalifikacji dla pracowników dotkniętych stopniowym wycofywaniem się z wydobycia węgla kamiennego. Obejmuje to badania nad szkoleniami i przekwalifikowaniem pracowników zatrudnionych lub uprzednio zatrudnionych w sektorze węgla.</w:t>
      </w:r>
      <w:r>
        <w:rPr>
          <w:noProof/>
          <w:szCs w:val="24"/>
          <w:u w:val="single"/>
        </w:rPr>
        <w:t xml:space="preserve">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Szczególną uwagę zwraca się na wzmocnienie wiodącej pozycji Europy w zakresie zarządzania procesem transformacji wcześniej działających kopalni węgla kamiennego i infrastruktury związanej z węglem kamiennym poprzez rozwiązania technologiczne i nietechnologiczne, a także na wspieranie transferu technologii i rozwiązań nietechnologicznych. Działania badawcze mające na celu osiągnięcie </w:t>
      </w:r>
      <w:r>
        <w:rPr>
          <w:noProof/>
        </w:rPr>
        <w:lastRenderedPageBreak/>
        <w:t>tych celów przedstawiają wymierne korzyści dla klimatu i środowiska zgodnie z celem neutralności klimatycznej do 2050 r.”;</w:t>
      </w:r>
    </w:p>
    <w:p>
      <w:pPr>
        <w:rPr>
          <w:noProof/>
          <w:lang w:eastAsia="en-GB"/>
        </w:rPr>
      </w:pPr>
    </w:p>
    <w:p>
      <w:pPr>
        <w:pStyle w:val="Point0"/>
        <w:rPr>
          <w:noProof/>
        </w:rPr>
      </w:pPr>
      <w:r>
        <w:rPr>
          <w:noProof/>
        </w:rPr>
        <w:t>3)</w:t>
      </w:r>
      <w:r>
        <w:rPr>
          <w:noProof/>
        </w:rPr>
        <w:tab/>
        <w:t>art. 5 otrzymuje brzmienie:</w:t>
      </w:r>
    </w:p>
    <w:p>
      <w:pPr>
        <w:pStyle w:val="Titrearticle"/>
        <w:rPr>
          <w:noProof/>
        </w:rPr>
      </w:pPr>
      <w:r>
        <w:rPr>
          <w:noProof/>
        </w:rPr>
        <w:t>„Artykuł 5</w:t>
      </w:r>
    </w:p>
    <w:p>
      <w:pPr>
        <w:spacing w:before="60" w:line="360" w:lineRule="auto"/>
        <w:jc w:val="center"/>
        <w:rPr>
          <w:b/>
          <w:bCs/>
          <w:noProof/>
          <w:szCs w:val="24"/>
        </w:rPr>
      </w:pPr>
      <w:r>
        <w:rPr>
          <w:b/>
          <w:bCs/>
          <w:noProof/>
          <w:szCs w:val="24"/>
        </w:rPr>
        <w:t xml:space="preserve">Poprawa w zakresie zdrowia i bezpieczeństwa </w:t>
      </w:r>
    </w:p>
    <w:p>
      <w:pPr>
        <w:rPr>
          <w:noProof/>
        </w:rPr>
      </w:pPr>
      <w:r>
        <w:rPr>
          <w:noProof/>
        </w:rPr>
        <w:t xml:space="preserve">W projektach obejmujących działania, o których mowa w art. 4 i 6, uwzględnia się kwestie dotyczące bezpieczeństwa w zamykanych kopalniach węgla kamiennego i wcześniej działających kopalniach węgla kamiennego w celu poprawy warunków pracy, zdrowia i bezpieczeństwa, a także kwestie środowiskowe mające szkodliwy wpływ na zdrowie. </w:t>
      </w:r>
    </w:p>
    <w:p>
      <w:pPr>
        <w:rPr>
          <w:noProof/>
        </w:rPr>
      </w:pPr>
      <w:r>
        <w:rPr>
          <w:noProof/>
        </w:rPr>
        <w:t>Projekty badawcze koncentrują się na chorobach związanych z działalnością górniczą w celu poprawy stanu zdrowia osób żyjących w regionach górniczych w okresie transformacji. Projekty badawcze zapewniają również środki ochronne w trakcie zamykania kopalni i we wcześniej działających kopalniach.”;</w:t>
      </w:r>
    </w:p>
    <w:p>
      <w:pPr>
        <w:rPr>
          <w:noProof/>
        </w:rPr>
      </w:pPr>
    </w:p>
    <w:p>
      <w:pPr>
        <w:pStyle w:val="Point0"/>
        <w:rPr>
          <w:noProof/>
        </w:rPr>
      </w:pPr>
      <w:r>
        <w:rPr>
          <w:noProof/>
        </w:rPr>
        <w:t>4)</w:t>
      </w:r>
      <w:r>
        <w:rPr>
          <w:noProof/>
        </w:rPr>
        <w:tab/>
        <w:t>art. 6 otrzymuje brzmienie:</w:t>
      </w:r>
    </w:p>
    <w:p>
      <w:pPr>
        <w:pStyle w:val="Titrearticle"/>
        <w:rPr>
          <w:noProof/>
        </w:rPr>
      </w:pPr>
      <w:r>
        <w:rPr>
          <w:noProof/>
        </w:rPr>
        <w:t>„Artykuł 6</w:t>
      </w:r>
    </w:p>
    <w:p>
      <w:pPr>
        <w:spacing w:before="60" w:line="360" w:lineRule="auto"/>
        <w:jc w:val="center"/>
        <w:rPr>
          <w:b/>
          <w:bCs/>
          <w:i/>
          <w:noProof/>
          <w:szCs w:val="24"/>
        </w:rPr>
      </w:pPr>
      <w:r>
        <w:rPr>
          <w:b/>
          <w:noProof/>
          <w:szCs w:val="24"/>
        </w:rPr>
        <w:t>Minimalizacja wpływu na środowisko kopalni węgla kamiennego w okresie transformacji</w:t>
      </w:r>
    </w:p>
    <w:p>
      <w:pPr>
        <w:pStyle w:val="ManualNumPar1"/>
        <w:rPr>
          <w:rFonts w:ascii="Calibri" w:hAnsi="Calibri" w:cs="Calibri"/>
          <w:noProof/>
          <w:sz w:val="16"/>
        </w:rPr>
      </w:pPr>
      <w:r>
        <w:t>1.</w:t>
      </w:r>
      <w:r>
        <w:tab/>
      </w:r>
      <w:r>
        <w:rPr>
          <w:noProof/>
        </w:rPr>
        <w:t>W ramach projektów badawczych dąży się do zminimalizowania wpływu zamykanych kopalni węgla kamiennego oraz wcześniej działających kopalni węgla kamiennego na atmosferę, wodę i glebę. Badania naukowe muszą być ukierunkowane na zachowanie i odtworzenie zasobów naturalnych dla przyszłych pokoleń oraz na zminimalizowanie wpływu zamykanych kopalni węgla kamiennego i wcześniej działających kopalni na środowisko.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Pierwszeństwo przyznaje się projektom przewidującym przynajmniej jeden z następujących celów: 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nowe i usprawnione technologie mające na celu uniknięcie zanieczyszczenia środowiska, z uwzględnieniem ucieczki metanu, przez zamykane kopalnie węgla kamiennego, wcześniej działające kopalnie i ich otoczenie (m.in. zanieczyszczenia atmosfery, ziemi, gleby i wody);</w:t>
      </w:r>
    </w:p>
    <w:p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wychwytywanie, unikanie i minimalizowanie emisji gazów cieplarnianych, w szczególności metanu, z zamykanych złóż węgla;</w:t>
      </w:r>
    </w:p>
    <w:p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gospodarka odpadami górniczymi, popiołem i produktami odsiarczania z zamykanych kopalni węgla kamiennego i wcześniej działających kopalni węgla kamiennego oraz ich ponowne wykorzystywanie, w stosownych przypadkach może to dotyczyć innych rodzajów odpadów;</w:t>
      </w:r>
    </w:p>
    <w:p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  <w:t>rekultywacja hałd odpadów i przemysłowe wykorzystywanie pozostałości z procesu produkcji i zużycia węgla kamiennego w regionach górniczych w okresie transformacji;</w:t>
      </w:r>
    </w:p>
    <w:p>
      <w:pPr>
        <w:pStyle w:val="Point0"/>
        <w:rPr>
          <w:noProof/>
        </w:rPr>
      </w:pPr>
      <w:r>
        <w:rPr>
          <w:noProof/>
        </w:rPr>
        <w:lastRenderedPageBreak/>
        <w:t>e)</w:t>
      </w:r>
      <w:r>
        <w:rPr>
          <w:noProof/>
        </w:rPr>
        <w:tab/>
        <w:t>ochrona warstw wodonośnych i oczyszczanie wód kopalnianych;</w:t>
      </w:r>
    </w:p>
    <w:p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  <w:t>odtworzenie stanu środowiska dawnych lub zamykanych instalacji, które wykorzystywały węgiel, oraz ich otoczenia, w szczególności w odniesieniu do wody, gruntów, gleby i różnorodności biologicznej;</w:t>
      </w:r>
    </w:p>
    <w:p>
      <w:pPr>
        <w:pStyle w:val="Point0"/>
        <w:rPr>
          <w:noProof/>
        </w:rPr>
      </w:pPr>
      <w:r>
        <w:rPr>
          <w:noProof/>
        </w:rPr>
        <w:t>g)</w:t>
      </w:r>
      <w:r>
        <w:rPr>
          <w:noProof/>
        </w:rPr>
        <w:tab/>
        <w:t>ochrona instalacji powierzchniowych przed skutkami osiadania gleby w perspektywie krótko- i długoterminowej.”:</w:t>
      </w:r>
    </w:p>
    <w:p>
      <w:pPr>
        <w:rPr>
          <w:noProof/>
        </w:rPr>
      </w:pPr>
    </w:p>
    <w:p>
      <w:pPr>
        <w:pStyle w:val="Point0"/>
        <w:rPr>
          <w:noProof/>
        </w:rPr>
      </w:pPr>
      <w:r>
        <w:rPr>
          <w:noProof/>
        </w:rPr>
        <w:t>5)</w:t>
      </w:r>
      <w:r>
        <w:rPr>
          <w:noProof/>
        </w:rPr>
        <w:tab/>
        <w:t>uchyla się art. 7;</w:t>
      </w:r>
    </w:p>
    <w:p>
      <w:pPr>
        <w:rPr>
          <w:noProof/>
          <w:lang w:eastAsia="en-GB"/>
        </w:rPr>
      </w:pPr>
    </w:p>
    <w:p>
      <w:pPr>
        <w:pStyle w:val="Point0"/>
        <w:rPr>
          <w:noProof/>
        </w:rPr>
      </w:pPr>
      <w:r>
        <w:rPr>
          <w:noProof/>
        </w:rPr>
        <w:t>6)</w:t>
      </w:r>
      <w:r>
        <w:rPr>
          <w:noProof/>
        </w:rPr>
        <w:tab/>
        <w:t>art. 8 otrzymuje brzmienie:</w:t>
      </w:r>
    </w:p>
    <w:p>
      <w:pPr>
        <w:pStyle w:val="Titrearticle"/>
        <w:rPr>
          <w:noProof/>
        </w:rPr>
      </w:pPr>
      <w:r>
        <w:rPr>
          <w:noProof/>
        </w:rPr>
        <w:t>„Artykuł 8</w:t>
      </w:r>
    </w:p>
    <w:p>
      <w:pPr>
        <w:spacing w:before="60" w:line="360" w:lineRule="auto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 xml:space="preserve">Nowe, zrównoważone i niskoemisyjne wytwarzanie stali i procesy wykończeniowe </w:t>
      </w:r>
    </w:p>
    <w:p>
      <w:pPr>
        <w:rPr>
          <w:noProof/>
        </w:rPr>
      </w:pPr>
      <w:r>
        <w:rPr>
          <w:noProof/>
        </w:rPr>
        <w:t>Badania i rozwój technologiczny (BRT) mają na celu opracowywanie, demonstrowanie i udoskonalanie niemal bezemisyjnych procesów produkcji stali w celu poprawy jakości produktów i zwiększania produktywności. Znaczna redukcja emisji, zużycia energii, śladu węglowego i innych skutków dla środowiska, jak również ochrona zasobów, stanowią integralną część planowanych działań. Projekty badawcze dotyczą przynajmniej jednej z następujących dziedzin: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nowe i usprawnione przełomowe niemal bezemisyjne procesy i działania w zakresie produkcji żelaza i stali, ze szczególnym uwzględnieniem bezpośredniego unikania emisji dwutlenku węgla lub inteligentnego wykorzystania dwutlenku węgla;</w:t>
      </w:r>
    </w:p>
    <w:p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optymalizacja procesu produkcji stali i łańcucha procesów wytwarzania (z uwzględnieniem wytwarzania żelaza i stali, procesów opartych na przetapianiu złomu z recyklingu, obróbki pozapiecowej, odlewania, walcowania, wykańczania lub powlekania) za pomocą przyrządów, wykrywania właściwości produktów pośrednich i końcowych, modelowania, sterowania i automatyzacji, w tym cyfryzacji, stosowania technologii dużych zbiorów danych lub sztucznej inteligencji oraz wszelkich innych zaawansowanych technologii;</w:t>
      </w:r>
    </w:p>
    <w:p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 xml:space="preserve">integracja procesów produkcji stali i wydajność procesów w niemal bezemisyjnej produkcji stali; </w:t>
      </w:r>
    </w:p>
    <w:p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  <w:t>konserwacja i niezawodność narzędzi produkcji stali;</w:t>
      </w:r>
    </w:p>
    <w:p>
      <w:pPr>
        <w:pStyle w:val="Point0"/>
        <w:rPr>
          <w:noProof/>
        </w:rPr>
      </w:pPr>
      <w:r>
        <w:rPr>
          <w:noProof/>
        </w:rPr>
        <w:t>e)</w:t>
      </w:r>
      <w:r>
        <w:rPr>
          <w:noProof/>
        </w:rPr>
        <w:tab/>
        <w:t>techniki zwiększania zdolności do recyklingu, recykling i ponowne wykorzystanie stali oraz rozwijanie gospodarki o obiegu zamkniętym;</w:t>
      </w:r>
    </w:p>
    <w:p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  <w:t>techniki zwiększania efektywności energetycznej produkcji stali poprzez odzyskiwanie ciepła odpadowego, zapobieganie stratom energii, techniki ogrzewania hybrydowego oraz rozwiązania w zakresie gospodarowania energią;</w:t>
      </w:r>
    </w:p>
    <w:p>
      <w:pPr>
        <w:pStyle w:val="Point0"/>
        <w:rPr>
          <w:noProof/>
        </w:rPr>
      </w:pPr>
      <w:r>
        <w:rPr>
          <w:noProof/>
        </w:rPr>
        <w:t>g)</w:t>
      </w:r>
      <w:r>
        <w:rPr>
          <w:noProof/>
        </w:rPr>
        <w:tab/>
        <w:t>innowacyjne technologie i rozwiązania dla procesów wytwarzania żelaza i stali, promujące działania międzysektorowe, projekty demonstracyjne integrujące bezemisyjną produkcję energii lub przyczyniające się do czystej gospodarki wodorowej.”;</w:t>
      </w:r>
    </w:p>
    <w:p>
      <w:pPr>
        <w:rPr>
          <w:noProof/>
        </w:rPr>
      </w:pPr>
    </w:p>
    <w:p>
      <w:pPr>
        <w:pStyle w:val="Point0"/>
        <w:rPr>
          <w:noProof/>
        </w:rPr>
      </w:pPr>
      <w:r>
        <w:rPr>
          <w:noProof/>
        </w:rPr>
        <w:lastRenderedPageBreak/>
        <w:t>7)</w:t>
      </w:r>
      <w:r>
        <w:rPr>
          <w:noProof/>
        </w:rPr>
        <w:tab/>
        <w:t>art. 9 otrzymuje brzmienie:</w:t>
      </w:r>
    </w:p>
    <w:p>
      <w:pPr>
        <w:pStyle w:val="Titrearticle"/>
        <w:rPr>
          <w:noProof/>
        </w:rPr>
      </w:pPr>
      <w:r>
        <w:rPr>
          <w:noProof/>
        </w:rPr>
        <w:t>„Artykuł 9</w:t>
      </w:r>
    </w:p>
    <w:p>
      <w:pPr>
        <w:spacing w:line="360" w:lineRule="auto"/>
        <w:jc w:val="center"/>
        <w:rPr>
          <w:b/>
          <w:noProof/>
          <w:szCs w:val="24"/>
        </w:rPr>
      </w:pPr>
      <w:r>
        <w:rPr>
          <w:b/>
          <w:bCs/>
          <w:noProof/>
          <w:szCs w:val="24"/>
        </w:rPr>
        <w:t>Zaawansowane gatunki stali i ich zastosowania</w:t>
      </w:r>
    </w:p>
    <w:p>
      <w:pPr>
        <w:rPr>
          <w:noProof/>
          <w:szCs w:val="24"/>
        </w:rPr>
      </w:pPr>
      <w:r>
        <w:rPr>
          <w:noProof/>
        </w:rPr>
        <w:t>BRT koncentrują się na spełnianiu wymogów użytkowników stali w celu opracowywania nowych niemal bezemisyjnych produktów oraz tworzenia nowych możliwości rynkowych przy jednoczesnym ograniczaniu emisji i wpływu na środowisko. W kontekście technologii, o których mowa w art. 8, projekty badawcze dotyczą co najmniej jednego z następujących obszarów w celu realizacji w Unii niemal bezemisyjnych procesów produkcji stali: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nowe zaawansowane gatunki stali;</w:t>
      </w:r>
    </w:p>
    <w:p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poprawa właściwości stali, takich jak właściwości mechaniczne i fizyczne, przydatność do dalszego przetworzenia, przydatność do różnych zastosowań oraz różne warunki pracy;</w:t>
      </w:r>
    </w:p>
    <w:p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wydłużenie okresu użytkowania, w szczególności poprzez zwiększenie odporności stali i konstrukcji stalowych na wysokie temperatury i korozję, zmęczenie mechaniczne i cieplne lub inne niekorzystne czynniki;</w:t>
      </w:r>
    </w:p>
    <w:p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  <w:t>modele predyktywnej symulacji mikrostruktur, właściwości mechanicznych i procesów produkcji;</w:t>
      </w:r>
    </w:p>
    <w:p>
      <w:pPr>
        <w:pStyle w:val="Point0"/>
        <w:rPr>
          <w:noProof/>
        </w:rPr>
      </w:pPr>
      <w:r>
        <w:rPr>
          <w:noProof/>
        </w:rPr>
        <w:t>e)</w:t>
      </w:r>
      <w:r>
        <w:rPr>
          <w:noProof/>
        </w:rPr>
        <w:tab/>
        <w:t>technologie związane z kształtowaniem, zgrzewaniem i łączeniem stali i innych materiałów;</w:t>
      </w:r>
    </w:p>
    <w:p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  <w:t>standaryzacja metod testowania i oceny;</w:t>
      </w:r>
    </w:p>
    <w:p>
      <w:pPr>
        <w:pStyle w:val="Point0"/>
        <w:rPr>
          <w:noProof/>
        </w:rPr>
      </w:pPr>
      <w:r>
        <w:rPr>
          <w:noProof/>
        </w:rPr>
        <w:t>g)</w:t>
      </w:r>
      <w:r>
        <w:rPr>
          <w:noProof/>
        </w:rPr>
        <w:tab/>
        <w:t>stal wysokiej jakości do zastosowań takich jak mobilność, z uwzględnieniem zrównoważonego charakteru, metod ekoprojektu, modernizacji, projektu lekkich konstrukcji lub rozwiązań w zakresie bezpieczeństwa.”;</w:t>
      </w:r>
    </w:p>
    <w:p>
      <w:pPr>
        <w:rPr>
          <w:noProof/>
          <w:lang w:eastAsia="en-GB"/>
        </w:rPr>
      </w:pPr>
    </w:p>
    <w:p>
      <w:pPr>
        <w:pStyle w:val="Point0"/>
        <w:rPr>
          <w:noProof/>
        </w:rPr>
      </w:pPr>
      <w:r>
        <w:rPr>
          <w:noProof/>
        </w:rPr>
        <w:t>8)</w:t>
      </w:r>
      <w:r>
        <w:rPr>
          <w:noProof/>
        </w:rPr>
        <w:tab/>
        <w:t>art. 10 otrzymuje brzmienie:</w:t>
      </w:r>
    </w:p>
    <w:p>
      <w:pPr>
        <w:pStyle w:val="Titrearticle"/>
        <w:rPr>
          <w:noProof/>
        </w:rPr>
      </w:pPr>
      <w:r>
        <w:rPr>
          <w:noProof/>
        </w:rPr>
        <w:t>„Artykuł 10</w:t>
      </w:r>
    </w:p>
    <w:p>
      <w:pPr>
        <w:spacing w:line="360" w:lineRule="auto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>Ochrona zasobów, ochrona środowiska i gospodarka o obiegu zamkniętym</w:t>
      </w:r>
    </w:p>
    <w:p>
      <w:pPr>
        <w:rPr>
          <w:noProof/>
          <w:szCs w:val="24"/>
        </w:rPr>
      </w:pPr>
      <w:r>
        <w:rPr>
          <w:noProof/>
        </w:rPr>
        <w:t>Zarówno w produkcji, jak i użytkowaniu stali kwestie ochrony zasobów, zachowania ekosystemów, przejścia na gospodarkę o obiegu zamkniętym oraz bezpieczeństwa powinny stanowić integralną część prac w zakresie BRT. Projekty badawcze dotyczą przynajmniej jednej z następujących dziedzin: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techniki dotyczące recyklingu wycofanej z użycia stali i produktów ubocznych z różnych źródeł oraz poprawy jakości złomu stalowego;</w:t>
      </w:r>
    </w:p>
    <w:p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przetwarzanie odpadów i odzyskiwanie cennych surowców wtórnych, w tym żużlu, w obrębie stalowni i w jej otoczeniu;</w:t>
      </w:r>
    </w:p>
    <w:p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kontrola zanieczyszczeń i ochrona środowiska w miejscu pracy i w jego otoczeniu oraz w stalowni: emisje gazów, cząstek stałych lub cieczy, gospodarka wodna, hałas, odory, pył itd.;</w:t>
      </w:r>
    </w:p>
    <w:p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  <w:t>gatunki stali i projekty zmontowanych konstrukcji w celu ułatwienia prostego odzysku stali do celów recyklingu stali lub jej ponownego wykorzystania;</w:t>
      </w:r>
    </w:p>
    <w:p>
      <w:pPr>
        <w:pStyle w:val="Point0"/>
        <w:rPr>
          <w:noProof/>
        </w:rPr>
      </w:pPr>
      <w:r>
        <w:rPr>
          <w:noProof/>
        </w:rPr>
        <w:lastRenderedPageBreak/>
        <w:t>e)</w:t>
      </w:r>
      <w:r>
        <w:rPr>
          <w:noProof/>
        </w:rPr>
        <w:tab/>
        <w:t>wykorzystanie gazów procesowych i eliminowanie gazów odlotowych pochodzących z produkcji stali;</w:t>
      </w:r>
    </w:p>
    <w:p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  <w:t>ocena cyklu życia i myślenie w kategoriach cyklu życia w odniesieniu do produkcji i użytkowania stali.”;</w:t>
      </w:r>
    </w:p>
    <w:p>
      <w:pPr>
        <w:rPr>
          <w:noProof/>
          <w:lang w:eastAsia="en-GB"/>
        </w:rPr>
      </w:pPr>
    </w:p>
    <w:p>
      <w:pPr>
        <w:pStyle w:val="Point0"/>
        <w:rPr>
          <w:noProof/>
        </w:rPr>
      </w:pPr>
      <w:r>
        <w:rPr>
          <w:noProof/>
        </w:rPr>
        <w:t>9)</w:t>
      </w:r>
      <w:r>
        <w:rPr>
          <w:noProof/>
        </w:rPr>
        <w:tab/>
        <w:t>dodaje się nowy art. 10a w brzmieniu:</w:t>
      </w:r>
    </w:p>
    <w:p>
      <w:pPr>
        <w:pStyle w:val="Titrearticle"/>
        <w:rPr>
          <w:noProof/>
        </w:rPr>
      </w:pPr>
      <w:r>
        <w:rPr>
          <w:noProof/>
        </w:rPr>
        <w:t>„Artykuł 10a</w:t>
      </w:r>
    </w:p>
    <w:p>
      <w:pPr>
        <w:spacing w:line="360" w:lineRule="auto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>Zarządzanie personelem i warunkami pracy</w:t>
      </w:r>
    </w:p>
    <w:p>
      <w:pPr>
        <w:rPr>
          <w:noProof/>
        </w:rPr>
      </w:pPr>
      <w:r>
        <w:rPr>
          <w:noProof/>
        </w:rPr>
        <w:t>Projekty badawcze dotyczą przynajmniej jednej z następujących dziedzin: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opracowywanie i rozpowszechnianie kompetencji, aby nadążać za nowymi niemal bezemisyjnymi procesami produkcji stali, np. cyfryzacja, oraz aby odzwierciedlić zasadę uczenia się przez całe życie;</w:t>
      </w:r>
    </w:p>
    <w:p>
      <w:pPr>
        <w:pStyle w:val="Point0"/>
        <w:rPr>
          <w:rFonts w:eastAsia="Verdana"/>
          <w:noProof/>
        </w:rPr>
      </w:pPr>
      <w:r>
        <w:rPr>
          <w:noProof/>
        </w:rPr>
        <w:t>b)</w:t>
      </w:r>
      <w:r>
        <w:rPr>
          <w:noProof/>
        </w:rPr>
        <w:tab/>
        <w:t>poprawa warunków pracy, w tym higieny, bezpieczeństwa i ergonomii w miejscu pracy i w jego otoczeniu.”;</w:t>
      </w:r>
    </w:p>
    <w:p>
      <w:pPr>
        <w:pStyle w:val="Default"/>
        <w:widowControl w:val="0"/>
        <w:spacing w:before="57" w:after="113" w:line="360" w:lineRule="auto"/>
        <w:jc w:val="both"/>
        <w:rPr>
          <w:rFonts w:eastAsia="Verdana"/>
          <w:noProof/>
          <w:sz w:val="24"/>
          <w:lang w:val="pl-PL" w:eastAsia="hi-IN"/>
        </w:rPr>
      </w:pPr>
    </w:p>
    <w:p>
      <w:pPr>
        <w:pStyle w:val="Point0"/>
        <w:rPr>
          <w:noProof/>
        </w:rPr>
      </w:pPr>
      <w:r>
        <w:rPr>
          <w:noProof/>
        </w:rPr>
        <w:t>10)</w:t>
      </w:r>
      <w:r>
        <w:rPr>
          <w:noProof/>
        </w:rPr>
        <w:tab/>
        <w:t>dodaje się nowy art. 17a w brzmieniu:</w:t>
      </w:r>
    </w:p>
    <w:p>
      <w:pPr>
        <w:pStyle w:val="Titrearticle"/>
        <w:rPr>
          <w:noProof/>
        </w:rPr>
      </w:pPr>
      <w:r>
        <w:rPr>
          <w:noProof/>
        </w:rPr>
        <w:t>„Artykuł 17a</w:t>
      </w:r>
    </w:p>
    <w:p>
      <w:pPr>
        <w:spacing w:line="360" w:lineRule="auto"/>
        <w:jc w:val="center"/>
        <w:rPr>
          <w:b/>
          <w:noProof/>
          <w:szCs w:val="24"/>
          <w:u w:val="single"/>
        </w:rPr>
      </w:pPr>
      <w:r>
        <w:rPr>
          <w:b/>
          <w:noProof/>
          <w:szCs w:val="24"/>
        </w:rPr>
        <w:t>Partnerstwa europejskie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Część programu badawczego może być realizowana poprzez współprogramowane partnerstwa europejskie ustanowione zgodnie z zasadami określonymi w [art. 8 i załączniku III do rozporządzenia w sprawie programu „Horyzont Europa”]. 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Na potrzeby niniejszego artykułu współprogramowane partnerstwo europejskie oznacza inicjatywę przygotowaną przy wczesnym zaangażowaniu państw członkowskich, w której Unia wraz z partnerami prywatnymi lub publicznymi (takimi jak przedstawiciele przemysłu, uczelnie, organizacje badawcze, podmioty realizujące misję służby publicznej na szczeblu lokalnym, regionalnym, krajowym lub międzynarodowym lub organizacje społeczeństwa obywatelskiego, w tym fundacje i organizacje pozarządowe) zobowiązuje się do wspólnego wspierania opracowania i realizacji programu działań badawczych. Współprogramowane partnerstwa europejskie są tworzone na podstawie protokołów ustaleń lub ustaleń umownych między Komisją a takimi partnerami prywatnymi lub publicznymi określających cele partnerstwa, odnośne zobowiązania partnerów dotyczące wkładów finansowych lub rzeczowych, kluczowe wskaźniki efektywności i oddziaływania oraz produkty, jakie mają zostać wygenerowane. Obejmują one identyfikację działań w zakresie uzupełniającej działalności badawczej, które są realizowane przez partnerów i program badawczy.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W ramach współprogramowanych partnerstw europejskich program badawczy może zapewniać finansowanie działań kwalifikowalnych na podstawie niniejszej sekcji w formie przewidzianej w art. 30. Może on ponadto zapewniać finansowanie w formie nagród.”;</w:t>
      </w:r>
    </w:p>
    <w:p>
      <w:pPr>
        <w:rPr>
          <w:noProof/>
          <w:lang w:eastAsia="en-GB"/>
        </w:rPr>
      </w:pPr>
    </w:p>
    <w:p>
      <w:pPr>
        <w:pStyle w:val="Point1"/>
        <w:rPr>
          <w:noProof/>
        </w:rPr>
      </w:pPr>
      <w:r>
        <w:rPr>
          <w:noProof/>
        </w:rPr>
        <w:t>11)</w:t>
      </w:r>
      <w:r>
        <w:rPr>
          <w:noProof/>
        </w:rPr>
        <w:tab/>
        <w:t>art. 28 ust. 4 otrzymuje brzmienie:</w:t>
      </w:r>
    </w:p>
    <w:p>
      <w:pPr>
        <w:rPr>
          <w:noProof/>
        </w:rPr>
      </w:pPr>
      <w:r>
        <w:rPr>
          <w:noProof/>
        </w:rPr>
        <w:t xml:space="preserve">„4. Komisja decyduje o wyborze projektów i podziale środków finansowych.”; </w:t>
      </w:r>
    </w:p>
    <w:p>
      <w:pPr>
        <w:rPr>
          <w:noProof/>
          <w:lang w:eastAsia="en-GB"/>
        </w:rPr>
      </w:pPr>
    </w:p>
    <w:p>
      <w:pPr>
        <w:pStyle w:val="Point1"/>
        <w:rPr>
          <w:noProof/>
        </w:rPr>
      </w:pPr>
      <w:r>
        <w:rPr>
          <w:noProof/>
        </w:rPr>
        <w:t>12)</w:t>
      </w:r>
      <w:r>
        <w:rPr>
          <w:noProof/>
        </w:rPr>
        <w:tab/>
        <w:t>art. 39 otrzymuje brzmienie:</w:t>
      </w:r>
    </w:p>
    <w:p>
      <w:pPr>
        <w:pStyle w:val="Titrearticle"/>
        <w:rPr>
          <w:noProof/>
        </w:rPr>
      </w:pPr>
      <w:r>
        <w:rPr>
          <w:noProof/>
        </w:rPr>
        <w:t>„Artykuł 39</w:t>
      </w:r>
    </w:p>
    <w:p>
      <w:pPr>
        <w:jc w:val="center"/>
        <w:rPr>
          <w:b/>
          <w:noProof/>
        </w:rPr>
      </w:pPr>
      <w:r>
        <w:rPr>
          <w:b/>
          <w:noProof/>
        </w:rPr>
        <w:t>Wyznaczanie niezależnych i wysoko wykwalifikowanych ekspertów</w:t>
      </w:r>
    </w:p>
    <w:p>
      <w:pPr>
        <w:rPr>
          <w:noProof/>
        </w:rPr>
      </w:pPr>
      <w:r>
        <w:rPr>
          <w:noProof/>
        </w:rPr>
        <w:t>Do celów wyznaczania niezależnych i wysoko wykwalifikowanych ekspertów, o których mowa w art. 18, art. 28 ust. 2 i art. 38, stosuje się przepisy art. 237 rozporządzenia Parlamentu Europejskiego i Rady (UE) 2018/1046</w:t>
      </w:r>
      <w:r>
        <w:rPr>
          <w:noProof/>
          <w:vertAlign w:val="superscript"/>
        </w:rPr>
        <w:t>3</w:t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_________________________</w:t>
      </w:r>
    </w:p>
    <w:p>
      <w:pPr>
        <w:rPr>
          <w:noProof/>
          <w:szCs w:val="24"/>
        </w:rPr>
      </w:pPr>
      <w:r>
        <w:rPr>
          <w:noProof/>
          <w:sz w:val="20"/>
          <w:szCs w:val="20"/>
          <w:vertAlign w:val="superscript"/>
        </w:rPr>
        <w:t>3</w:t>
      </w:r>
      <w:r>
        <w:rPr>
          <w:noProof/>
          <w:sz w:val="20"/>
          <w:szCs w:val="20"/>
        </w:rPr>
        <w:t>Rozporządzenie Parlamentu Europejskiego i Rady (UE, Euratom) 2018/1046 z dnia 18 lipca 2018 r. w sprawie zasad finansowych mających zastosowanie do budżetu ogólnego Unii, zmieniające rozporządzenia (UE) nr 1296/2013, (UE) nr 1301/2013, (UE) nr 1303/2013, (UE) nr 1304/2013, (UE) nr 1309/2013, (UE) nr 1316/2013, (UE) nr 223/2014 i (UE) nr 283/2014 oraz decyzję nr 541/2014/UE, a także uchylające rozporządzenie (UE, Euratom) nr 966/2012, Dz.U. L 193 z 30.7.2018, s. 1.</w:t>
      </w:r>
      <w:r>
        <w:rPr>
          <w:noProof/>
        </w:rPr>
        <w:t>”;</w:t>
      </w:r>
    </w:p>
    <w:p>
      <w:pPr>
        <w:rPr>
          <w:noProof/>
          <w:lang w:eastAsia="en-GB"/>
        </w:rPr>
      </w:pPr>
    </w:p>
    <w:p>
      <w:pPr>
        <w:pStyle w:val="Point1"/>
        <w:rPr>
          <w:noProof/>
        </w:rPr>
      </w:pPr>
      <w:r>
        <w:rPr>
          <w:noProof/>
        </w:rPr>
        <w:t>13)</w:t>
      </w:r>
      <w:r>
        <w:rPr>
          <w:noProof/>
        </w:rPr>
        <w:tab/>
        <w:t>w art. 41 uchyla się lit. a) i c).</w:t>
      </w:r>
    </w:p>
    <w:p>
      <w:pPr>
        <w:rPr>
          <w:noProof/>
        </w:rPr>
      </w:pPr>
    </w:p>
    <w:p>
      <w:pPr>
        <w:pStyle w:val="Titrearticle"/>
        <w:keepNext w:val="0"/>
        <w:rPr>
          <w:noProof/>
        </w:rPr>
      </w:pPr>
      <w:r>
        <w:rPr>
          <w:noProof/>
        </w:rPr>
        <w:t>Artykuł 2</w:t>
      </w:r>
    </w:p>
    <w:p>
      <w:pPr>
        <w:keepLines/>
        <w:rPr>
          <w:noProof/>
        </w:rPr>
      </w:pPr>
      <w:r>
        <w:rPr>
          <w:iCs/>
          <w:noProof/>
          <w:color w:val="000000"/>
        </w:rPr>
        <w:t>Niniejsza decyzja wchodzi w życie dwudziestego dnia po jej opublikowaniu w </w:t>
      </w:r>
      <w:r>
        <w:rPr>
          <w:i/>
          <w:iCs/>
          <w:noProof/>
          <w:color w:val="000000"/>
        </w:rPr>
        <w:t>Dzienniku Urzędowym Unii Europejskiej</w:t>
      </w:r>
      <w:r>
        <w:rPr>
          <w:iCs/>
          <w:noProof/>
          <w:color w:val="000000"/>
        </w:rPr>
        <w:t xml:space="preserve">. </w:t>
      </w:r>
      <w:r>
        <w:rPr>
          <w:noProof/>
        </w:rPr>
        <w:t>Stosuje się ją od daty rozpoczęcia stosowania decyzji 2003/76/WE lub od dnia 1 stycznia 2021 r., w zależności od tego, która z tych dat jest późniejsza.</w:t>
      </w:r>
    </w:p>
    <w:p>
      <w:pPr>
        <w:keepLines/>
        <w:rPr>
          <w:iCs/>
          <w:noProof/>
          <w:color w:val="000000"/>
        </w:rPr>
      </w:pPr>
    </w:p>
    <w:p>
      <w:pPr>
        <w:keepLines/>
        <w:rPr>
          <w:noProof/>
        </w:rPr>
      </w:pPr>
    </w:p>
    <w:p>
      <w:pPr>
        <w:pStyle w:val="Fait"/>
        <w:rPr>
          <w:noProof/>
        </w:rPr>
      </w:pPr>
      <w:r>
        <w:t xml:space="preserve">Sporządzono w Brukseli dnia </w:t>
      </w:r>
      <w:r>
        <w:rPr>
          <w:rStyle w:val="Marker"/>
        </w:rPr>
        <w:t>[…]</w:t>
      </w:r>
      <w:r>
        <w:t xml:space="preserve"> r.</w:t>
      </w:r>
    </w:p>
    <w:p>
      <w:pPr>
        <w:pStyle w:val="Institutionquisigne"/>
        <w:rPr>
          <w:noProof/>
        </w:rPr>
      </w:pPr>
      <w:r>
        <w:rPr>
          <w:noProof/>
        </w:rPr>
        <w:tab/>
        <w:t>W imieniu Rady</w:t>
      </w:r>
    </w:p>
    <w:p>
      <w:pPr>
        <w:pStyle w:val="Personnequisigne"/>
        <w:rPr>
          <w:noProof/>
        </w:rPr>
      </w:pPr>
      <w:r>
        <w:rPr>
          <w:noProof/>
        </w:rPr>
        <w:tab/>
        <w:t>Przewodniczący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14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Decyzja Rady 2008/376/WE z dnia 29 kwietnia 2008 r. w sprawie przyjęcia Programu badawczego Funduszu Badawczego Węgla i Stali i wieloletnich wytycznych technicznych dotyczących tego programu (Dz.U. L 130 z 20.5.2008, s. 7).</w:t>
      </w:r>
    </w:p>
  </w:footnote>
  <w:footnote w:id="2">
    <w:p>
      <w:pPr>
        <w:pStyle w:val="FootnoteText"/>
        <w:jc w:val="left"/>
      </w:pPr>
      <w:r>
        <w:rPr>
          <w:rStyle w:val="FootnoteReference"/>
        </w:rPr>
        <w:footnoteRef/>
      </w:r>
      <w:r>
        <w:tab/>
        <w:t xml:space="preserve">Dostępne na stronie internetowej: </w:t>
      </w:r>
      <w:hyperlink r:id="rId1" w:history="1">
        <w:r>
          <w:rPr>
            <w:rStyle w:val="Hyperlink"/>
          </w:rPr>
          <w:t>https://ec.europa.eu/info/publications/research-fund-coal-and-steel-monitoring-and-assessment-report_en</w:t>
        </w:r>
      </w:hyperlink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 xml:space="preserve">Grupa Doradcza ds. Węgla i Grupa Doradcza ds. Stali przedstawiły swoje uwagi odpowiednio w dniach 3 i 4 grudnia 2019 r. Informacje dostępne są w Rejestrze grup ekspertów Komisji: </w:t>
      </w:r>
      <w:hyperlink r:id="rId2" w:history="1">
        <w:r>
          <w:rPr>
            <w:rStyle w:val="Hyperlink"/>
          </w:rPr>
          <w:t>https://ec.europa.eu/transparency/regexpert/index.cfm?do=groupDetail.groupMeeting&amp;meetingId=18626</w:t>
        </w:r>
      </w:hyperlink>
      <w:r>
        <w:t xml:space="preserve"> 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Komitet ds. Węgla i Stali zatwierdził zaproponowane podejście w dniu 19 grudnia 2019 r.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Traktat wielostronny, rozdział XXVII Środowisko, 7.d porozumienie paryskie. Wszedł w życie dnia 4 listopada 2016 r.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  <w:t>Komunikat Komisji Europejskiej „Europejski Zielony Ład”, Bruksela, 11 grudnia 2019 r. (COM(2019) 640).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ab/>
        <w:t>Komunikat Komisji Europejskiej „Plan inwestycyjny na rzecz zrównoważonej Europy. Plan inwestycyjny na rzecz Europejskiego Zielonego Ładu”, Bruksela, 14 stycznia 2020 r. (COM(2020) 21).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Komunikat Komisji Europejskiej „Nowy plan działania UE na rzecz czystszej i bardziej konkurencyjnej Europy”, Bruksela, 11 marca 2020 r. (COM(2020) 98).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ab/>
        <w:t>Komunikat Komisji Europejskiej „Nowa strategia przemysłowa dla Europy”, Bruksela, 10 marca 2020 r. (COM(2020) 102).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ab/>
        <w:t>Rozporządzenie Parlamentu Europejskiego i Rady (UE, Euratom) 2018/1046 z dnia 18 lipca 2018 r. w sprawie zasad finansowych mających zastosowanie do budżetu ogólnego Unii, zmieniające rozporządzenia (UE) nr 1296/2013, (UE) nr 1301/2013, (UE) nr 1303/2013, (UE) nr 1304/2013, (UE) nr 1309/2013, (UE) nr 1316/2013, (UE) nr 223/2014 i (UE) nr 283/2014 oraz decyzję nr 541/2014/UE, a także uchylające rozporządzenie (UE, Euratom) nr 966/2012 (Dz.U. L 193 z 30.7.2018, s. 1).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ab/>
        <w:t>Decyzja Rady 2003/76/WE z dnia 1 lutego 2003 r. ustanawiająca środki niezbędne do wykonania Protokołu załączonego do Traktatu ustanawiającego Wspólnotę Europejską w sprawie skutków finansowych wygaśnięcia Traktatu EWWiS i w sprawie Funduszu Badawczego Węgla i Stali (Dz.U. L 29 z 5.2.2003). Zmieniona decyzją Rady 2018/599 z dnia 16 kwietnia 2018 r.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ab/>
        <w:t>Protokół nr 37 w sprawie skutków finansowych wygaśnięcia Traktatu EWWiS oraz w sprawie Funduszu Badawczego Węgla i Stali (Dz.U. C 115 z 9.5.2008, s. 327).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ab/>
        <w:t>Decyzja Rady 2003/77/WE z dnia 1 lutego 2003 r. ustanawiająca wieloletnie wytyczne finansowe dotyczące zarządzania aktywami EWWiS w likwidacji i, po zakończeniu likwidacji, Majątkiem Funduszu Badawczego Węgla i Stali (Dz.U. L 29 z 5.2.2003, s. 25). Zmieniona decyzją Rady 2008/750/WE.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ab/>
        <w:t xml:space="preserve">Europejski Trybunał Obrachunkowy, „Przegląd nr 10/2019: Europejska Wspólnota Węgla i Stali – likwidacja przebiega zgodnie z planem, lecz nie można już zapewnić trwałego finansowania badań naukowych”, 2019 r. Dostępny na stronie internetowej: </w:t>
      </w:r>
      <w:hyperlink r:id="rId3" w:history="1">
        <w:r>
          <w:rPr>
            <w:rStyle w:val="Hyperlink"/>
          </w:rPr>
          <w:t>https://www.eca.europa.eu/lists/ecadocuments/rw19_10/rw_ecsc_pl.pdf</w:t>
        </w:r>
      </w:hyperlink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ab/>
        <w:t>COM(2019) 640.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4" w:history="1">
        <w:r>
          <w:rPr>
            <w:rStyle w:val="Hyperlink"/>
          </w:rPr>
          <w:t>https://sustainabledevelopment.un.org/post2015/transformingourworld</w:t>
        </w:r>
      </w:hyperlink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ab/>
        <w:t>COM(2019) 640, s. 8, 9.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ab/>
        <w:t>Z poszanowaniem Protokołu nr 37 w sprawie skutków finansowych wygaśnięcia Traktatu EWWiS oraz w sprawie Funduszu Badawczego Węgla i Stali. Dz.U. C 115 z 9.5.2008, s. 327.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ab/>
        <w:t>COM(2020) 21, s. 18.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ab/>
        <w:t>Komunikat Komisji Europejskiej „Czysta planeta dla wszystkich. Europejska długoterminowa wizja strategiczna dobrze prosperującej, nowoczesnej, konkurencyjnej i neutralnej dla klimatu gospodarki” (COM(2018) 773).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ab/>
        <w:t>Wniosek dotyczący rozporządzenia Parlamentu Europejskiego i Rady ustanawiającego ramy na potrzeby osiągnięcia neutralności klimatycznej i zmieniającego rozporządzenie (UE) 2018/1999 (Europejskie prawo o klimacie).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ab/>
        <w:t>Komunikat Komisji Europejskiej „Przemysł stalowy: utrzymanie stabilnego zatrudnienia i zrównoważonego wzrostu gospodarczego w Europie” (COM(2016) 155).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ab/>
        <w:t>Sprawozdanie z monitorowania i oceny jest przewidziane w przepisach ustanowionych w decyzji Rady nr 2008/376/WE, opublikowanej w Dzienniku Urzędowym z dnia 20 maja 2008 r., Dz.U. L 130/7, zmienionej decyzją Rady 2017/955 z dnia 29 maja 2017 r. Utworzenie grupy ekspertów przewidziano w dokumencie C(2018) 3245 z 30.5.2018 r. – decyzja wykonawcza Komisji z 30.5.2018 r.</w:t>
      </w:r>
    </w:p>
  </w:footnote>
  <w:footnote w:id="24">
    <w:p>
      <w:pPr>
        <w:pStyle w:val="FootnoteText"/>
        <w:jc w:val="left"/>
      </w:pPr>
      <w:r>
        <w:rPr>
          <w:rStyle w:val="FootnoteReference"/>
        </w:rPr>
        <w:footnoteRef/>
      </w:r>
      <w:r>
        <w:tab/>
        <w:t xml:space="preserve">Dostępne na stronie internetowej: </w:t>
      </w:r>
      <w:hyperlink r:id="rId5" w:history="1">
        <w:r>
          <w:rPr>
            <w:rStyle w:val="Hyperlink"/>
          </w:rPr>
          <w:t>https://ec.europa.eu/info/publications/research-fund-coal-and-steel-monitoring-and-assessment-report_en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ab/>
        <w:t xml:space="preserve">Komisja Europejska, DG RTD, „Stal i węgiel: Europejskie badania naukowe i innowacje w działaniu”, 2019 r. Dostępne na stronie internetowej: </w:t>
      </w:r>
      <w:hyperlink r:id="rId6" w:history="1">
        <w:r>
          <w:rPr>
            <w:rStyle w:val="Hyperlink"/>
          </w:rPr>
          <w:t>https://publications.europa.eu/s/mmQ7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color w:val="000000"/>
          <w:szCs w:val="24"/>
          <w:u w:color="000000"/>
          <w:bdr w:val="nil"/>
        </w:rPr>
        <w:t>Niewiążące kryteria stosowania art. 290 i 291 Traktatu o funkcjonowaniu Unii Europejskiej – 18 czerwca 2019 r. (Dz.U. C 223 z 3.7.2019, s. 1).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ab/>
        <w:t>Dz.U. C […] z […], s. […].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ab/>
        <w:t>Traktat wielostronny, rozdział XXVII Środowisko, 7.d porozumienie paryskie. Wszedł w życie dnia 4 listopada 2016 r.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ab/>
        <w:t>COM(2019) 640, s. 2.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ab/>
        <w:t>Dz.U. L 328 z 21.12.2018, s. 1.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ab/>
        <w:t>Decyzja Rady 2008/376/WE z dnia 29 kwietnia 2008 r. w sprawie przyjęcia Programu badawczego Funduszu Badawczego Węgla i Stali i wieloletnich wytycznych technicznych dotyczących tego programu (Dz.U. L 130 z 20.5.2008, s. 7).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66200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F2A04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11499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F0E651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7CD6AD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E3DE60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AC3028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5E7ACF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5"/>
  </w:num>
  <w:num w:numId="2">
    <w:abstractNumId w:val="14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21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20"/>
  </w:num>
  <w:num w:numId="17">
    <w:abstractNumId w:val="11"/>
  </w:num>
  <w:num w:numId="18">
    <w:abstractNumId w:val="13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16"/>
  </w:num>
  <w:num w:numId="24">
    <w:abstractNumId w:val="17"/>
  </w:num>
  <w:num w:numId="25">
    <w:abstractNumId w:val="10"/>
  </w:num>
  <w:num w:numId="26">
    <w:abstractNumId w:val="15"/>
  </w:num>
  <w:num w:numId="2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0-07-13 15:37:02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5"/>
    <w:docVar w:name="DQCResult_UnknownFonts" w:val="0;0"/>
    <w:docVar w:name="DQCResult_UnknownStyles" w:val="0;1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D37E1557-955F-454D-B559-64E61FECB004"/>
    <w:docVar w:name="LW_COVERPAGE_TYPE" w:val="1"/>
    <w:docVar w:name="LW_CROSSREFERENCE" w:val="&lt;UNUSED&gt;"/>
    <w:docVar w:name="LW_DocType" w:val="COM"/>
    <w:docVar w:name="LW_EMISSION" w:val="16.7.2020"/>
    <w:docVar w:name="LW_EMISSION_ISODATE" w:val="2020-07-16"/>
    <w:docVar w:name="LW_EMISSION_LOCATION" w:val="BRX"/>
    <w:docVar w:name="LW_EMISSION_PREFIX" w:val="Bruksela, dnia "/>
    <w:docVar w:name="LW_EMISSION_SUFFIX" w:val=" r."/>
    <w:docVar w:name="LW_ID_DOCMODEL" w:val="SJ-019"/>
    <w:docVar w:name="LW_ID_DOCSIGNATURE" w:val="SJ-019"/>
    <w:docVar w:name="LW_ID_DOCSTRUCTURE" w:val="COM/PL/ORG"/>
    <w:docVar w:name="LW_ID_DOCTYPE" w:val="SJ-019"/>
    <w:docVar w:name="LW_ID_EXP.MOTIFS.NEW" w:val="EM_PL_"/>
    <w:docVar w:name="LW_ID_STATUT" w:val="SJ-019"/>
    <w:docVar w:name="LW_INTERETEEE.CP" w:val="&lt;UNUSED&gt;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41"/>
    <w:docVar w:name="LW_REF.II.NEW.CP_YEAR" w:val="2020"/>
    <w:docVar w:name="LW_REF.INST.NEW" w:val="COM"/>
    <w:docVar w:name="LW_REF.INST.NEW_ADOPTED" w:val="final"/>
    <w:docVar w:name="LW_REF.INST.NEW_TEXT" w:val="(2020) 32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zmieniaj\u261?ca decyzj\u281? 2008/376/WE w sprawie przyj\u281?cia Programu badawczego Funduszu Badawczego W\u281?gla i Stali i wieloletnich wytycznych technicznych dotycz\u261?cych tego programu"/>
    <w:docVar w:name="LW_TYPE.DOC.CP" w:val="DECYZJA RADY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uiPriority w:val="99"/>
    <w:semiHidden/>
    <w:unhideWhenUsed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1st level - Bullet List Paragraph,Lettre d'introduction,Normal bullet 2,Bullet list,OM numbered bullets,Table of contents numbered,F5 List Paragraph,Numbered List,Paragraph,Bullet EY,List Paragraph11,Normal bullet 2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1st level - Bullet List Paragraph Char,Lettre d'introduction Char,Normal bullet 2 Char,Bullet list Char,OM numbered bullets Char,Table of contents numbered Char,F5 List Paragraph Char,Numbered List Char,Paragraph Char,Bullet EY Char"/>
    <w:basedOn w:val="DefaultParagraphFont"/>
    <w:link w:val="ListParagraph"/>
    <w:qFormat/>
    <w:locked/>
    <w:rPr>
      <w:rFonts w:ascii="Times New Roman" w:hAnsi="Times New Roman" w:cs="Times New Roman"/>
      <w:sz w:val="24"/>
      <w:lang w:val="pl-PL"/>
    </w:rPr>
  </w:style>
  <w:style w:type="paragraph" w:customStyle="1" w:styleId="normal2">
    <w:name w:val="normal2"/>
    <w:basedOn w:val="Normal"/>
    <w:qFormat/>
    <w:pPr>
      <w:spacing w:after="0" w:line="312" w:lineRule="atLeast"/>
    </w:pPr>
    <w:rPr>
      <w:rFonts w:eastAsia="Times New Roman"/>
      <w:color w:val="00000A"/>
      <w:szCs w:val="24"/>
      <w:lang w:eastAsia="en-GB"/>
    </w:rPr>
  </w:style>
  <w:style w:type="paragraph" w:customStyle="1" w:styleId="ti-art2">
    <w:name w:val="ti-art2"/>
    <w:basedOn w:val="Normal"/>
    <w:qFormat/>
    <w:pPr>
      <w:spacing w:before="360" w:line="312" w:lineRule="atLeast"/>
      <w:jc w:val="center"/>
    </w:pPr>
    <w:rPr>
      <w:rFonts w:eastAsia="Times New Roman"/>
      <w:i/>
      <w:iCs/>
      <w:color w:val="00000A"/>
      <w:szCs w:val="24"/>
      <w:lang w:eastAsia="en-GB"/>
    </w:rPr>
  </w:style>
  <w:style w:type="paragraph" w:customStyle="1" w:styleId="Default">
    <w:name w:val="Default"/>
    <w:qFormat/>
    <w:pPr>
      <w:suppressAutoHyphens/>
      <w:spacing w:after="0" w:line="240" w:lineRule="auto"/>
    </w:pPr>
    <w:rPr>
      <w:rFonts w:ascii="Arial" w:eastAsia="Calibri" w:hAnsi="Arial" w:cs="Arial"/>
      <w:color w:val="000000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4"/>
      </w:numPr>
    </w:pPr>
  </w:style>
  <w:style w:type="paragraph" w:customStyle="1" w:styleId="Tiret1">
    <w:name w:val="Tiret 1"/>
    <w:basedOn w:val="Point1"/>
    <w:pPr>
      <w:numPr>
        <w:numId w:val="15"/>
      </w:numPr>
    </w:pPr>
  </w:style>
  <w:style w:type="paragraph" w:customStyle="1" w:styleId="Tiret2">
    <w:name w:val="Tiret 2"/>
    <w:basedOn w:val="Point2"/>
    <w:pPr>
      <w:numPr>
        <w:numId w:val="16"/>
      </w:numPr>
    </w:pPr>
  </w:style>
  <w:style w:type="paragraph" w:customStyle="1" w:styleId="Tiret3">
    <w:name w:val="Tiret 3"/>
    <w:basedOn w:val="Point3"/>
    <w:pPr>
      <w:numPr>
        <w:numId w:val="17"/>
      </w:numPr>
    </w:pPr>
  </w:style>
  <w:style w:type="paragraph" w:customStyle="1" w:styleId="Tiret4">
    <w:name w:val="Tiret 4"/>
    <w:basedOn w:val="Point4"/>
    <w:pPr>
      <w:numPr>
        <w:numId w:val="1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1"/>
      </w:numPr>
    </w:pPr>
  </w:style>
  <w:style w:type="paragraph" w:customStyle="1" w:styleId="Point1number">
    <w:name w:val="Point 1 (number)"/>
    <w:basedOn w:val="Normal"/>
    <w:pPr>
      <w:numPr>
        <w:ilvl w:val="2"/>
        <w:numId w:val="21"/>
      </w:numPr>
    </w:pPr>
  </w:style>
  <w:style w:type="paragraph" w:customStyle="1" w:styleId="Point2number">
    <w:name w:val="Point 2 (number)"/>
    <w:basedOn w:val="Normal"/>
    <w:pPr>
      <w:numPr>
        <w:ilvl w:val="4"/>
        <w:numId w:val="21"/>
      </w:numPr>
    </w:pPr>
  </w:style>
  <w:style w:type="paragraph" w:customStyle="1" w:styleId="Point3number">
    <w:name w:val="Point 3 (number)"/>
    <w:basedOn w:val="Normal"/>
    <w:pPr>
      <w:numPr>
        <w:ilvl w:val="6"/>
        <w:numId w:val="21"/>
      </w:numPr>
    </w:pPr>
  </w:style>
  <w:style w:type="paragraph" w:customStyle="1" w:styleId="Point0letter">
    <w:name w:val="Point 0 (letter)"/>
    <w:basedOn w:val="Normal"/>
    <w:pPr>
      <w:numPr>
        <w:ilvl w:val="1"/>
        <w:numId w:val="21"/>
      </w:numPr>
    </w:pPr>
  </w:style>
  <w:style w:type="paragraph" w:customStyle="1" w:styleId="Point1letter">
    <w:name w:val="Point 1 (letter)"/>
    <w:basedOn w:val="Normal"/>
    <w:pPr>
      <w:numPr>
        <w:ilvl w:val="3"/>
        <w:numId w:val="21"/>
      </w:numPr>
    </w:pPr>
  </w:style>
  <w:style w:type="paragraph" w:customStyle="1" w:styleId="Point2letter">
    <w:name w:val="Point 2 (letter)"/>
    <w:basedOn w:val="Normal"/>
    <w:pPr>
      <w:numPr>
        <w:ilvl w:val="5"/>
        <w:numId w:val="21"/>
      </w:numPr>
    </w:pPr>
  </w:style>
  <w:style w:type="paragraph" w:customStyle="1" w:styleId="Point3letter">
    <w:name w:val="Point 3 (letter)"/>
    <w:basedOn w:val="Normal"/>
    <w:pPr>
      <w:numPr>
        <w:ilvl w:val="7"/>
        <w:numId w:val="21"/>
      </w:numPr>
    </w:pPr>
  </w:style>
  <w:style w:type="paragraph" w:customStyle="1" w:styleId="Point4letter">
    <w:name w:val="Point 4 (letter)"/>
    <w:basedOn w:val="Normal"/>
    <w:pPr>
      <w:numPr>
        <w:ilvl w:val="8"/>
        <w:numId w:val="21"/>
      </w:numPr>
    </w:pPr>
  </w:style>
  <w:style w:type="paragraph" w:customStyle="1" w:styleId="Bullet0">
    <w:name w:val="Bullet 0"/>
    <w:basedOn w:val="Normal"/>
    <w:pPr>
      <w:numPr>
        <w:numId w:val="22"/>
      </w:numPr>
    </w:pPr>
  </w:style>
  <w:style w:type="paragraph" w:customStyle="1" w:styleId="Bullet1">
    <w:name w:val="Bullet 1"/>
    <w:basedOn w:val="Normal"/>
    <w:pPr>
      <w:numPr>
        <w:numId w:val="23"/>
      </w:numPr>
    </w:pPr>
  </w:style>
  <w:style w:type="paragraph" w:customStyle="1" w:styleId="Bullet2">
    <w:name w:val="Bullet 2"/>
    <w:basedOn w:val="Normal"/>
    <w:pPr>
      <w:numPr>
        <w:numId w:val="24"/>
      </w:numPr>
    </w:pPr>
  </w:style>
  <w:style w:type="paragraph" w:customStyle="1" w:styleId="Bullet3">
    <w:name w:val="Bullet 3"/>
    <w:basedOn w:val="Normal"/>
    <w:pPr>
      <w:numPr>
        <w:numId w:val="25"/>
      </w:numPr>
    </w:pPr>
  </w:style>
  <w:style w:type="paragraph" w:customStyle="1" w:styleId="Bullet4">
    <w:name w:val="Bullet 4"/>
    <w:basedOn w:val="Normal"/>
    <w:pPr>
      <w:numPr>
        <w:numId w:val="2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uiPriority w:val="99"/>
    <w:semiHidden/>
    <w:unhideWhenUsed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1st level - Bullet List Paragraph,Lettre d'introduction,Normal bullet 2,Bullet list,OM numbered bullets,Table of contents numbered,F5 List Paragraph,Numbered List,Paragraph,Bullet EY,List Paragraph11,Normal bullet 2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1st level - Bullet List Paragraph Char,Lettre d'introduction Char,Normal bullet 2 Char,Bullet list Char,OM numbered bullets Char,Table of contents numbered Char,F5 List Paragraph Char,Numbered List Char,Paragraph Char,Bullet EY Char"/>
    <w:basedOn w:val="DefaultParagraphFont"/>
    <w:link w:val="ListParagraph"/>
    <w:qFormat/>
    <w:locked/>
    <w:rPr>
      <w:rFonts w:ascii="Times New Roman" w:hAnsi="Times New Roman" w:cs="Times New Roman"/>
      <w:sz w:val="24"/>
      <w:lang w:val="pl-PL"/>
    </w:rPr>
  </w:style>
  <w:style w:type="paragraph" w:customStyle="1" w:styleId="normal2">
    <w:name w:val="normal2"/>
    <w:basedOn w:val="Normal"/>
    <w:qFormat/>
    <w:pPr>
      <w:spacing w:after="0" w:line="312" w:lineRule="atLeast"/>
    </w:pPr>
    <w:rPr>
      <w:rFonts w:eastAsia="Times New Roman"/>
      <w:color w:val="00000A"/>
      <w:szCs w:val="24"/>
      <w:lang w:eastAsia="en-GB"/>
    </w:rPr>
  </w:style>
  <w:style w:type="paragraph" w:customStyle="1" w:styleId="ti-art2">
    <w:name w:val="ti-art2"/>
    <w:basedOn w:val="Normal"/>
    <w:qFormat/>
    <w:pPr>
      <w:spacing w:before="360" w:line="312" w:lineRule="atLeast"/>
      <w:jc w:val="center"/>
    </w:pPr>
    <w:rPr>
      <w:rFonts w:eastAsia="Times New Roman"/>
      <w:i/>
      <w:iCs/>
      <w:color w:val="00000A"/>
      <w:szCs w:val="24"/>
      <w:lang w:eastAsia="en-GB"/>
    </w:rPr>
  </w:style>
  <w:style w:type="paragraph" w:customStyle="1" w:styleId="Default">
    <w:name w:val="Default"/>
    <w:qFormat/>
    <w:pPr>
      <w:suppressAutoHyphens/>
      <w:spacing w:after="0" w:line="240" w:lineRule="auto"/>
    </w:pPr>
    <w:rPr>
      <w:rFonts w:ascii="Arial" w:eastAsia="Calibri" w:hAnsi="Arial" w:cs="Arial"/>
      <w:color w:val="000000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4"/>
      </w:numPr>
    </w:pPr>
  </w:style>
  <w:style w:type="paragraph" w:customStyle="1" w:styleId="Tiret1">
    <w:name w:val="Tiret 1"/>
    <w:basedOn w:val="Point1"/>
    <w:pPr>
      <w:numPr>
        <w:numId w:val="15"/>
      </w:numPr>
    </w:pPr>
  </w:style>
  <w:style w:type="paragraph" w:customStyle="1" w:styleId="Tiret2">
    <w:name w:val="Tiret 2"/>
    <w:basedOn w:val="Point2"/>
    <w:pPr>
      <w:numPr>
        <w:numId w:val="16"/>
      </w:numPr>
    </w:pPr>
  </w:style>
  <w:style w:type="paragraph" w:customStyle="1" w:styleId="Tiret3">
    <w:name w:val="Tiret 3"/>
    <w:basedOn w:val="Point3"/>
    <w:pPr>
      <w:numPr>
        <w:numId w:val="17"/>
      </w:numPr>
    </w:pPr>
  </w:style>
  <w:style w:type="paragraph" w:customStyle="1" w:styleId="Tiret4">
    <w:name w:val="Tiret 4"/>
    <w:basedOn w:val="Point4"/>
    <w:pPr>
      <w:numPr>
        <w:numId w:val="1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1"/>
      </w:numPr>
    </w:pPr>
  </w:style>
  <w:style w:type="paragraph" w:customStyle="1" w:styleId="Point1number">
    <w:name w:val="Point 1 (number)"/>
    <w:basedOn w:val="Normal"/>
    <w:pPr>
      <w:numPr>
        <w:ilvl w:val="2"/>
        <w:numId w:val="21"/>
      </w:numPr>
    </w:pPr>
  </w:style>
  <w:style w:type="paragraph" w:customStyle="1" w:styleId="Point2number">
    <w:name w:val="Point 2 (number)"/>
    <w:basedOn w:val="Normal"/>
    <w:pPr>
      <w:numPr>
        <w:ilvl w:val="4"/>
        <w:numId w:val="21"/>
      </w:numPr>
    </w:pPr>
  </w:style>
  <w:style w:type="paragraph" w:customStyle="1" w:styleId="Point3number">
    <w:name w:val="Point 3 (number)"/>
    <w:basedOn w:val="Normal"/>
    <w:pPr>
      <w:numPr>
        <w:ilvl w:val="6"/>
        <w:numId w:val="21"/>
      </w:numPr>
    </w:pPr>
  </w:style>
  <w:style w:type="paragraph" w:customStyle="1" w:styleId="Point0letter">
    <w:name w:val="Point 0 (letter)"/>
    <w:basedOn w:val="Normal"/>
    <w:pPr>
      <w:numPr>
        <w:ilvl w:val="1"/>
        <w:numId w:val="21"/>
      </w:numPr>
    </w:pPr>
  </w:style>
  <w:style w:type="paragraph" w:customStyle="1" w:styleId="Point1letter">
    <w:name w:val="Point 1 (letter)"/>
    <w:basedOn w:val="Normal"/>
    <w:pPr>
      <w:numPr>
        <w:ilvl w:val="3"/>
        <w:numId w:val="21"/>
      </w:numPr>
    </w:pPr>
  </w:style>
  <w:style w:type="paragraph" w:customStyle="1" w:styleId="Point2letter">
    <w:name w:val="Point 2 (letter)"/>
    <w:basedOn w:val="Normal"/>
    <w:pPr>
      <w:numPr>
        <w:ilvl w:val="5"/>
        <w:numId w:val="21"/>
      </w:numPr>
    </w:pPr>
  </w:style>
  <w:style w:type="paragraph" w:customStyle="1" w:styleId="Point3letter">
    <w:name w:val="Point 3 (letter)"/>
    <w:basedOn w:val="Normal"/>
    <w:pPr>
      <w:numPr>
        <w:ilvl w:val="7"/>
        <w:numId w:val="21"/>
      </w:numPr>
    </w:pPr>
  </w:style>
  <w:style w:type="paragraph" w:customStyle="1" w:styleId="Point4letter">
    <w:name w:val="Point 4 (letter)"/>
    <w:basedOn w:val="Normal"/>
    <w:pPr>
      <w:numPr>
        <w:ilvl w:val="8"/>
        <w:numId w:val="21"/>
      </w:numPr>
    </w:pPr>
  </w:style>
  <w:style w:type="paragraph" w:customStyle="1" w:styleId="Bullet0">
    <w:name w:val="Bullet 0"/>
    <w:basedOn w:val="Normal"/>
    <w:pPr>
      <w:numPr>
        <w:numId w:val="22"/>
      </w:numPr>
    </w:pPr>
  </w:style>
  <w:style w:type="paragraph" w:customStyle="1" w:styleId="Bullet1">
    <w:name w:val="Bullet 1"/>
    <w:basedOn w:val="Normal"/>
    <w:pPr>
      <w:numPr>
        <w:numId w:val="23"/>
      </w:numPr>
    </w:pPr>
  </w:style>
  <w:style w:type="paragraph" w:customStyle="1" w:styleId="Bullet2">
    <w:name w:val="Bullet 2"/>
    <w:basedOn w:val="Normal"/>
    <w:pPr>
      <w:numPr>
        <w:numId w:val="24"/>
      </w:numPr>
    </w:pPr>
  </w:style>
  <w:style w:type="paragraph" w:customStyle="1" w:styleId="Bullet3">
    <w:name w:val="Bullet 3"/>
    <w:basedOn w:val="Normal"/>
    <w:pPr>
      <w:numPr>
        <w:numId w:val="25"/>
      </w:numPr>
    </w:pPr>
  </w:style>
  <w:style w:type="paragraph" w:customStyle="1" w:styleId="Bullet4">
    <w:name w:val="Bullet 4"/>
    <w:basedOn w:val="Normal"/>
    <w:pPr>
      <w:numPr>
        <w:numId w:val="2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s://www.eca.europa.eu/lists/ecadocuments/rw19_10/rw_ecsc_pl.pdf" TargetMode="External"/><Relationship Id="rId2" Type="http://schemas.openxmlformats.org/officeDocument/2006/relationships/hyperlink" Target="https://ec.europa.eu/transparency/regexpert/index.cfm?do=groupDetail.groupMeeting&amp;meetingId=18626" TargetMode="External"/><Relationship Id="rId1" Type="http://schemas.openxmlformats.org/officeDocument/2006/relationships/hyperlink" Target="https://ec.europa.eu/info/publications/research-fund-coal-and-steel-monitoring-and-assessment-report_en" TargetMode="External"/><Relationship Id="rId6" Type="http://schemas.openxmlformats.org/officeDocument/2006/relationships/hyperlink" Target="https://publications.europa.eu/s/mmQ7" TargetMode="External"/><Relationship Id="rId5" Type="http://schemas.openxmlformats.org/officeDocument/2006/relationships/hyperlink" Target="https://ec.europa.eu/info/publications/research-fund-coal-and-steel-monitoring-and-assessment-report_en" TargetMode="External"/><Relationship Id="rId4" Type="http://schemas.openxmlformats.org/officeDocument/2006/relationships/hyperlink" Target="https://sustainabledevelopment.un.org/post2015/transformingourworld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2F76-F7DC-458B-B5B1-1EDB5D3C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3</TotalTime>
  <Pages>15</Pages>
  <Words>3834</Words>
  <Characters>25769</Characters>
  <Application>Microsoft Office Word</Application>
  <DocSecurity>0</DocSecurity>
  <Lines>477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2020-06-25T07:13:00Z</dcterms:created>
  <dcterms:modified xsi:type="dcterms:W3CDTF">2020-07-13T13:37:00Z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20190916</vt:lpwstr>
  </property>
  <property fmtid="{D5CDD505-2E9C-101B-9397-08002B2CF9AE}" pid="5" name="Created using">
    <vt:lpwstr>LW 7.0.1, Build 20190916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SJ-019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