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98EDA364-F3F2-4DA5-96E8-DDC83606B620" style="width:450.75pt;height:446.2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Rfrenceinterinstitutionnelle"/>
        <w:rPr>
          <w:noProof/>
        </w:rPr>
      </w:pPr>
      <w:bookmarkStart w:id="0" w:name="_GoBack"/>
      <w:bookmarkEnd w:id="0"/>
      <w:r>
        <w:rPr>
          <w:noProof/>
        </w:rPr>
        <w:lastRenderedPageBreak/>
        <w:t>2018/0148 (COD)</w:t>
      </w:r>
    </w:p>
    <w:p>
      <w:pPr>
        <w:pStyle w:val="Typedudocument"/>
        <w:rPr>
          <w:noProof/>
        </w:rPr>
      </w:pPr>
      <w:r>
        <w:rPr>
          <w:noProof/>
        </w:rPr>
        <w:t xml:space="preserve">KOMUNIKAT KOMISJI </w:t>
      </w:r>
      <w:r>
        <w:rPr>
          <w:noProof/>
        </w:rPr>
        <w:br/>
        <w:t>DO PARLAMENTU EUROPEJSKIEGO</w:t>
      </w:r>
      <w:r>
        <w:rPr>
          <w:noProof/>
        </w:rPr>
        <w:br/>
      </w:r>
      <w:r>
        <w:rPr>
          <w:noProof/>
        </w:rPr>
        <w:br/>
        <w:t>na podstawie art. 294 ust. 6 Traktatu o funkcjonowaniu Unii Europejskiej</w:t>
      </w:r>
      <w:r>
        <w:rPr>
          <w:noProof/>
        </w:rPr>
        <w:br/>
      </w:r>
      <w:r>
        <w:rPr>
          <w:noProof/>
        </w:rPr>
        <w:br/>
        <w:t>dotyczący</w:t>
      </w:r>
    </w:p>
    <w:p>
      <w:pPr>
        <w:pStyle w:val="Titreobjet"/>
        <w:rPr>
          <w:noProof/>
        </w:rPr>
      </w:pPr>
      <w:r>
        <w:rPr>
          <w:noProof/>
        </w:rPr>
        <w:t>stanowiska Rady w sprawie przyjęcia rozporządzenia Parlamentu Europejskiego i Rady w sprawie etykietowania opon pod kątem efektywności paliwowej i innych zasadniczych parametrów oraz uchylającego rozporządzenie (WE) nr 1222/2009</w:t>
      </w:r>
    </w:p>
    <w:p>
      <w:pPr>
        <w:pStyle w:val="IntrtEEE"/>
        <w:rPr>
          <w:noProof/>
        </w:rPr>
      </w:pPr>
      <w:r>
        <w:rPr>
          <w:noProof/>
        </w:rPr>
        <w:t>(Tekst mający znaczenie dla EOG)</w:t>
      </w:r>
    </w:p>
    <w:p>
      <w:pPr>
        <w:pStyle w:val="ManualHeading1"/>
        <w:rPr>
          <w:noProof/>
          <w:sz w:val="22"/>
        </w:rPr>
      </w:pPr>
      <w:r>
        <w:rPr>
          <w:noProof/>
        </w:rPr>
        <w:t>1.</w:t>
      </w:r>
      <w:r>
        <w:rPr>
          <w:noProof/>
        </w:rPr>
        <w:tab/>
        <w:t>Przebieg procedury</w:t>
      </w:r>
    </w:p>
    <w:tbl>
      <w:tblPr>
        <w:tblW w:w="0" w:type="auto"/>
        <w:tblLayout w:type="fixed"/>
        <w:tblLook w:val="0000" w:firstRow="0" w:lastRow="0" w:firstColumn="0" w:lastColumn="0" w:noHBand="0" w:noVBand="0"/>
      </w:tblPr>
      <w:tblGrid>
        <w:gridCol w:w="7188"/>
        <w:gridCol w:w="2099"/>
      </w:tblGrid>
      <w:tr>
        <w:tc>
          <w:tcPr>
            <w:tcW w:w="7188" w:type="dxa"/>
          </w:tcPr>
          <w:p>
            <w:pPr>
              <w:jc w:val="left"/>
              <w:rPr>
                <w:noProof/>
              </w:rPr>
            </w:pPr>
            <w:r>
              <w:rPr>
                <w:noProof/>
              </w:rPr>
              <w:t xml:space="preserve">Data przekazania wniosku Parlamentowi Europejskiemu i Radzie (COM(2018) 296 final – 2018/0148 (COD)) </w:t>
            </w:r>
          </w:p>
        </w:tc>
        <w:tc>
          <w:tcPr>
            <w:tcW w:w="2099" w:type="dxa"/>
          </w:tcPr>
          <w:p>
            <w:pPr>
              <w:rPr>
                <w:noProof/>
              </w:rPr>
            </w:pPr>
            <w:r>
              <w:rPr>
                <w:noProof/>
              </w:rPr>
              <w:t>17 maja 2018 r.</w:t>
            </w:r>
          </w:p>
        </w:tc>
      </w:tr>
      <w:tr>
        <w:trPr>
          <w:cantSplit/>
        </w:trPr>
        <w:tc>
          <w:tcPr>
            <w:tcW w:w="7188" w:type="dxa"/>
          </w:tcPr>
          <w:p>
            <w:pPr>
              <w:jc w:val="left"/>
              <w:rPr>
                <w:noProof/>
              </w:rPr>
            </w:pPr>
            <w:r>
              <w:rPr>
                <w:noProof/>
              </w:rPr>
              <w:t xml:space="preserve">Data wydania opinii przez Europejski Komitet Ekonomiczno-Społeczny </w:t>
            </w:r>
          </w:p>
        </w:tc>
        <w:tc>
          <w:tcPr>
            <w:tcW w:w="2099" w:type="dxa"/>
          </w:tcPr>
          <w:p>
            <w:pPr>
              <w:jc w:val="left"/>
              <w:rPr>
                <w:noProof/>
              </w:rPr>
            </w:pPr>
            <w:r>
              <w:rPr>
                <w:noProof/>
              </w:rPr>
              <w:t>17 października 2018 r.</w:t>
            </w:r>
          </w:p>
        </w:tc>
      </w:tr>
      <w:tr>
        <w:tc>
          <w:tcPr>
            <w:tcW w:w="7188" w:type="dxa"/>
          </w:tcPr>
          <w:p>
            <w:pPr>
              <w:jc w:val="left"/>
              <w:rPr>
                <w:noProof/>
              </w:rPr>
            </w:pPr>
            <w:r>
              <w:rPr>
                <w:noProof/>
              </w:rPr>
              <w:t xml:space="preserve">Data uchwalenia stanowiska Parlamentu Europejskiego w pierwszym czytaniu </w:t>
            </w:r>
          </w:p>
        </w:tc>
        <w:tc>
          <w:tcPr>
            <w:tcW w:w="2099" w:type="dxa"/>
          </w:tcPr>
          <w:p>
            <w:pPr>
              <w:rPr>
                <w:noProof/>
              </w:rPr>
            </w:pPr>
            <w:r>
              <w:rPr>
                <w:noProof/>
              </w:rPr>
              <w:t>26 marca 2019 r.</w:t>
            </w:r>
          </w:p>
        </w:tc>
      </w:tr>
      <w:tr>
        <w:tc>
          <w:tcPr>
            <w:tcW w:w="7188" w:type="dxa"/>
          </w:tcPr>
          <w:p>
            <w:pPr>
              <w:jc w:val="left"/>
              <w:rPr>
                <w:noProof/>
              </w:rPr>
            </w:pPr>
            <w:r>
              <w:rPr>
                <w:noProof/>
              </w:rPr>
              <w:t xml:space="preserve">Data przekazania zmienionego wniosku </w:t>
            </w:r>
          </w:p>
        </w:tc>
        <w:tc>
          <w:tcPr>
            <w:tcW w:w="2099" w:type="dxa"/>
          </w:tcPr>
          <w:p>
            <w:pPr>
              <w:rPr>
                <w:noProof/>
              </w:rPr>
            </w:pPr>
            <w:r>
              <w:rPr>
                <w:noProof/>
              </w:rPr>
              <w:t>nie dotyczy</w:t>
            </w:r>
          </w:p>
        </w:tc>
      </w:tr>
      <w:tr>
        <w:tc>
          <w:tcPr>
            <w:tcW w:w="7188" w:type="dxa"/>
          </w:tcPr>
          <w:p>
            <w:pPr>
              <w:jc w:val="left"/>
              <w:rPr>
                <w:noProof/>
              </w:rPr>
            </w:pPr>
            <w:r>
              <w:rPr>
                <w:noProof/>
              </w:rPr>
              <w:t xml:space="preserve">Data przyjęcia stanowiska Rady </w:t>
            </w:r>
          </w:p>
        </w:tc>
        <w:tc>
          <w:tcPr>
            <w:tcW w:w="2099" w:type="dxa"/>
          </w:tcPr>
          <w:p>
            <w:pPr>
              <w:rPr>
                <w:noProof/>
              </w:rPr>
            </w:pPr>
            <w:r>
              <w:rPr>
                <w:noProof/>
              </w:rPr>
              <w:t>25 lutego 2020 r.</w:t>
            </w:r>
          </w:p>
        </w:tc>
      </w:tr>
    </w:tbl>
    <w:p>
      <w:pPr>
        <w:pStyle w:val="ManualHeading1"/>
        <w:rPr>
          <w:noProof/>
        </w:rPr>
      </w:pPr>
      <w:r>
        <w:rPr>
          <w:noProof/>
        </w:rPr>
        <w:t>2.</w:t>
      </w:r>
      <w:r>
        <w:rPr>
          <w:noProof/>
        </w:rPr>
        <w:tab/>
        <w:t>Przedmiot wniosku Komisji</w:t>
      </w:r>
    </w:p>
    <w:p>
      <w:pPr>
        <w:rPr>
          <w:noProof/>
        </w:rPr>
      </w:pPr>
      <w:r>
        <w:rPr>
          <w:noProof/>
        </w:rPr>
        <w:t>W dniu 17 maja 2018 r. Komisja przyjęła wniosek dotyczący rozporządzenia Parlamentu Europejskiego i Rady w sprawie etykietowania opon pod kątem efektywności paliwowej i innych zasadniczych parametrów oraz uchylającego rozporządzenie (WE) nr 1222/2009.</w:t>
      </w:r>
    </w:p>
    <w:p>
      <w:pPr>
        <w:rPr>
          <w:noProof/>
        </w:rPr>
      </w:pPr>
      <w:r>
        <w:rPr>
          <w:noProof/>
        </w:rPr>
        <w:t xml:space="preserve">Opór toczenia opon odpowiada za 20–30 % zużycia paliwa przez pojazd. W związku z tym zmniejszenie oporu toczenia opon jest istotne w celu zwiększenia efektywności paliwowej i zmniejszenia emisji gazów cieplarnianych. </w:t>
      </w:r>
    </w:p>
    <w:p>
      <w:pPr>
        <w:rPr>
          <w:noProof/>
        </w:rPr>
      </w:pPr>
      <w:r>
        <w:rPr>
          <w:noProof/>
        </w:rPr>
        <w:t>Przegląd rozporządzenia w sprawie etykietowania opon ma na celu wzmocnienie wymogów informacyjnych dotyczących efektywności paliwowej, hałasu i bezpieczeństwa opon oraz stosowanie tych wymogów do wszystkich opon – niezależnie od tego, czy są to opony do samochodów osobowych, samochodów dostawczych czy pojazdów ciężkich. Nowe przepisy dotyczące etykietowania opon umożliwią użytkownikom końcowym dokonanie najlepszego wyboru z punktu widzenia efektywności paliwowej i bezpieczeństwa oraz uzyskanie korzyści finansowych.</w:t>
      </w:r>
    </w:p>
    <w:p>
      <w:pPr>
        <w:rPr>
          <w:noProof/>
        </w:rPr>
      </w:pPr>
      <w:r>
        <w:rPr>
          <w:noProof/>
        </w:rPr>
        <w:t xml:space="preserve">Wniosek przewiduje również w przyszłości uwzględnienie na etykiecie informacji na temat ścierania i przebiegu (gdy tylko dostępna będzie odpowiednia metoda badawcza), co przyczyniłoby się do zmniejszenia obecności mikrodrobin plastiku z opon zgodnie ze </w:t>
      </w:r>
      <w:r>
        <w:rPr>
          <w:noProof/>
        </w:rPr>
        <w:lastRenderedPageBreak/>
        <w:t xml:space="preserve">strategią Komisji na rzecz tworzyw sztucznych. Umożliwi on również konsumentom wybór trwałych opon. </w:t>
      </w:r>
    </w:p>
    <w:p>
      <w:pPr>
        <w:rPr>
          <w:noProof/>
        </w:rPr>
      </w:pPr>
      <w:r>
        <w:rPr>
          <w:noProof/>
        </w:rPr>
        <w:t>Proponowane rozporządzenie zmienia obowiązujące rozporządzenie poprzez:</w:t>
      </w:r>
    </w:p>
    <w:p>
      <w:pPr>
        <w:pStyle w:val="Bullet0"/>
        <w:numPr>
          <w:ilvl w:val="0"/>
          <w:numId w:val="5"/>
        </w:numPr>
        <w:rPr>
          <w:noProof/>
        </w:rPr>
      </w:pPr>
      <w:r>
        <w:rPr>
          <w:noProof/>
        </w:rPr>
        <w:t>poprawę widoczności etykiety opon (etykieta, którą należy przedstawiać we wszystkich sytuacjach związanych ze sprzedażą i reklamą, takich jak internet, sprzedaż na odległość itp.) oraz podnoszenie świadomości;</w:t>
      </w:r>
    </w:p>
    <w:p>
      <w:pPr>
        <w:pStyle w:val="Bullet0"/>
        <w:rPr>
          <w:noProof/>
        </w:rPr>
      </w:pPr>
      <w:r>
        <w:rPr>
          <w:noProof/>
        </w:rPr>
        <w:t>poprawę egzekwowania przepisów i nadzoru rynku (umieszczenie etykiety opon w bazie danych produktów ustanowionej na podstawie rozporządzenia 2017/1369);</w:t>
      </w:r>
    </w:p>
    <w:p>
      <w:pPr>
        <w:pStyle w:val="Bullet0"/>
        <w:rPr>
          <w:noProof/>
        </w:rPr>
      </w:pPr>
      <w:r>
        <w:rPr>
          <w:noProof/>
        </w:rPr>
        <w:t>aktualizację etykiety w celu optymalizacji informacji przekazywanych użytkownikom końcowym;</w:t>
      </w:r>
    </w:p>
    <w:p>
      <w:pPr>
        <w:pStyle w:val="Bullet0"/>
        <w:rPr>
          <w:noProof/>
        </w:rPr>
      </w:pPr>
      <w:r>
        <w:rPr>
          <w:noProof/>
        </w:rPr>
        <w:t>zawarcie na etykiecie informacji o osiągach opon na ośnieżonej i oblodzonej nawierzchni;</w:t>
      </w:r>
    </w:p>
    <w:p>
      <w:pPr>
        <w:pStyle w:val="Bullet0"/>
        <w:rPr>
          <w:noProof/>
        </w:rPr>
      </w:pPr>
      <w:r>
        <w:rPr>
          <w:noProof/>
        </w:rPr>
        <w:t>wizualne dostosowanie etykiety opon do etykiety energetycznej UE;</w:t>
      </w:r>
    </w:p>
    <w:p>
      <w:pPr>
        <w:pStyle w:val="Bullet0"/>
        <w:rPr>
          <w:noProof/>
        </w:rPr>
      </w:pPr>
      <w:r>
        <w:rPr>
          <w:noProof/>
        </w:rPr>
        <w:t>umożliwienie w przyszłości umieszczania na etykiecie informacji o ścieraniu (mikrodrobiny plastiku), przebiegu i oponach bieżnikowanych;</w:t>
      </w:r>
    </w:p>
    <w:p>
      <w:pPr>
        <w:pStyle w:val="Bullet0"/>
        <w:rPr>
          <w:noProof/>
        </w:rPr>
      </w:pPr>
      <w:r>
        <w:rPr>
          <w:noProof/>
        </w:rPr>
        <w:t>zobowiązanie producentów do przekazywania organom krajowym wartości, które wykorzystują do deklarowania klas na etykiecie, w celu poprawy wiarygodności informacji na etykiecie.</w:t>
      </w:r>
    </w:p>
    <w:p>
      <w:pPr>
        <w:pStyle w:val="ManualHeading1"/>
        <w:spacing w:line="276" w:lineRule="auto"/>
        <w:rPr>
          <w:noProof/>
        </w:rPr>
      </w:pPr>
      <w:r>
        <w:rPr>
          <w:noProof/>
        </w:rPr>
        <w:t>3.</w:t>
      </w:r>
      <w:r>
        <w:rPr>
          <w:noProof/>
        </w:rPr>
        <w:tab/>
        <w:t>Uwagi dotyczące stanowiska Rady</w:t>
      </w:r>
    </w:p>
    <w:p>
      <w:pPr>
        <w:rPr>
          <w:noProof/>
        </w:rPr>
      </w:pPr>
      <w:r>
        <w:rPr>
          <w:noProof/>
        </w:rPr>
        <w:t xml:space="preserve">Stanowisko Rady odzwierciedla porozumienie polityczne osiągnięte przez Parlament Europejski i Radę podczas nieformalnych rozmów trójstronnych w dniu 13 listopada 2019 r. </w:t>
      </w:r>
    </w:p>
    <w:p>
      <w:pPr>
        <w:rPr>
          <w:noProof/>
        </w:rPr>
      </w:pPr>
      <w:r>
        <w:rPr>
          <w:noProof/>
        </w:rPr>
        <w:t xml:space="preserve">Komisja z zadowoleniem przyjmuje zgodę Rady na stosowanie aktów delegowanych, a nie aktów wykonawczych, w celu włączenia </w:t>
      </w:r>
      <w:r>
        <w:rPr>
          <w:b/>
          <w:noProof/>
        </w:rPr>
        <w:t>opon bieżnikowanych</w:t>
      </w:r>
      <w:r>
        <w:rPr>
          <w:noProof/>
        </w:rPr>
        <w:t xml:space="preserve"> do zakresu rozporządzenia, gdy tylko dostępna będzie odpowiednia metoda badawcza. </w:t>
      </w:r>
    </w:p>
    <w:p>
      <w:pPr>
        <w:rPr>
          <w:noProof/>
        </w:rPr>
      </w:pPr>
      <w:r>
        <w:rPr>
          <w:noProof/>
        </w:rPr>
        <w:t>Komisja z zadowoleniem przyjmuje również fakt, że Rada zgodziła się na włączenie do rozporządzenia za pomocą aktów delegowanych, a nie w drodze zwykłej procedury ustawodawczej, informacji o </w:t>
      </w:r>
      <w:r>
        <w:rPr>
          <w:b/>
          <w:noProof/>
        </w:rPr>
        <w:t>przebiegu i ścieraniu</w:t>
      </w:r>
      <w:r>
        <w:rPr>
          <w:noProof/>
        </w:rPr>
        <w:t>, gdy tylko dostępna będzie odpowiednia metoda badawcza. Komisja jest zdecydowana ściśle współpracować z przemysłem, organizacjami regulacyjnymi lub normalizacyjnymi i innymi zainteresowanymi stronami przy opracowywaniu odpowiednich metod badań i pomiarów. Komisja wyraża ubolewanie w związku z tym, że Rada uznała za konieczne uzależnienie tego uprawnienia od gruntownej oceny skutków i właściwych konsultacji, które i tak są niezbędne w ramach procesu lepszego stanowienia prawa Komisji.</w:t>
      </w:r>
    </w:p>
    <w:p>
      <w:pPr>
        <w:rPr>
          <w:noProof/>
        </w:rPr>
      </w:pPr>
      <w:r>
        <w:rPr>
          <w:noProof/>
        </w:rPr>
        <w:t xml:space="preserve">W odniesieniu do zmiany skali klas właściwości użytkowych na etykiecie Komisja wyraża ubolewanie, że Rada postanowiła nie zmieniać skali obecnych limitów klas, ponieważ Komisja uważa to za zmarnowaną szansę na pobudzenie innowacji i dostarczenie konsumentom dokładniejszych informacji. Komisja wyraża również ubolewanie, że Rada nie przyznała Komisji uprawnień w zakresie aktualizacji i zmiany skali klas w drodze aktów delegowanych. </w:t>
      </w:r>
    </w:p>
    <w:p>
      <w:pPr>
        <w:rPr>
          <w:noProof/>
        </w:rPr>
      </w:pPr>
      <w:r>
        <w:rPr>
          <w:noProof/>
        </w:rPr>
        <w:t xml:space="preserve">Komisja z zadowoleniem przyjmuje fakt, że Rada zgodziła się na „oczyszczenie” klas przyczepności na mokrej nawierzchni i oporów toczenia, tj. poprzez wykreślenie pustych klas w wyniku zastosowania rozporządzenia (UE) 2019/2144 w sprawie bezpieczeństwa ogólnego, </w:t>
      </w:r>
      <w:r>
        <w:rPr>
          <w:noProof/>
        </w:rPr>
        <w:lastRenderedPageBreak/>
        <w:t>uważa jednak, że bardziej logiczne byłoby również „oczyszczenie” klas hałasu w ten sam sposób.</w:t>
      </w:r>
    </w:p>
    <w:p>
      <w:pPr>
        <w:rPr>
          <w:noProof/>
        </w:rPr>
      </w:pPr>
      <w:r>
        <w:rPr>
          <w:noProof/>
        </w:rPr>
        <w:t>Komisja z zadowoleniem przyjmuje wniosek dotyczący oceny rozporządzenia do dnia 1 czerwca 2025 r. i uznaje za możliwe do zaakceptowania podejście Rady, zgodnie z którym rozporządzenie powinno zacząć obowiązywać od dnia 1 maja 2021 r.</w:t>
      </w:r>
    </w:p>
    <w:p>
      <w:pPr>
        <w:rPr>
          <w:noProof/>
        </w:rPr>
      </w:pPr>
      <w:r>
        <w:rPr>
          <w:noProof/>
        </w:rPr>
        <w:t xml:space="preserve">Komisja zgadza się ze stanowiskiem Rady, że pełna etykieta musi być pokazywana w reklamach wizualnych, oraz że można by pokazywać etykietę za pomocą wbudowanego wyświetlacza w przypadku reklam internetowych i sprzedaży przez internet, chociaż godny ubolewania jest fakt, że Rada nie chciała określić, w jaki sposób podmioty gospodarcze powinny to robić. </w:t>
      </w:r>
    </w:p>
    <w:p>
      <w:pPr>
        <w:rPr>
          <w:noProof/>
        </w:rPr>
      </w:pPr>
      <w:r>
        <w:rPr>
          <w:noProof/>
        </w:rPr>
        <w:t>Jeżeli chodzi o prawo organów nadzoru rynku do odzyskania kosztów od dostawcy, Komisja z zadowoleniem przyjmuje wniosek w sprawie dostosowania tekstu do rozporządzenia 2019/1020 w sprawie nadzoru rynku i zgodności produktów, co zapewni spójność legislacyjną.</w:t>
      </w:r>
    </w:p>
    <w:p>
      <w:pPr>
        <w:rPr>
          <w:noProof/>
        </w:rPr>
      </w:pPr>
      <w:r>
        <w:rPr>
          <w:noProof/>
        </w:rPr>
        <w:t>Ponadto Komisja z zadowoleniem przyjmuje wniosek dotyczący dostosowania projektu etykiety opon do niedawno opublikowanych etykiet energetycznych</w:t>
      </w:r>
      <w:r>
        <w:rPr>
          <w:rStyle w:val="FootnoteReference"/>
          <w:noProof/>
        </w:rPr>
        <w:footnoteReference w:id="1"/>
      </w:r>
      <w:r>
        <w:rPr>
          <w:noProof/>
        </w:rPr>
        <w:t>, które charakteryzują się wysokim poziomem rozpoznawalności wśród konsumentów. Z zadowoleniem przyjmuje się również stanowisko Rady w sprawie dodania piktogramów do etykiety w celu wskazania, czy opona jest „oponą śniegową do jazdy po śniegu w trudnych warunkach”, „oponą przeznaczoną do oblodzonych nawierzchni”, czy też spełnia oba te warunki, co było zawarte we wniosku Komisji.</w:t>
      </w:r>
    </w:p>
    <w:p>
      <w:pPr>
        <w:pStyle w:val="ManualHeading1"/>
        <w:spacing w:line="276" w:lineRule="auto"/>
        <w:rPr>
          <w:noProof/>
        </w:rPr>
      </w:pPr>
      <w:r>
        <w:rPr>
          <w:noProof/>
        </w:rPr>
        <w:t>4.</w:t>
      </w:r>
      <w:r>
        <w:rPr>
          <w:noProof/>
        </w:rPr>
        <w:tab/>
        <w:t>Podsumowanie</w:t>
      </w:r>
    </w:p>
    <w:p>
      <w:pPr>
        <w:keepNext/>
        <w:rPr>
          <w:noProof/>
        </w:rPr>
      </w:pPr>
      <w:r>
        <w:rPr>
          <w:noProof/>
        </w:rPr>
        <w:t xml:space="preserve">Komisja wspiera wyniki negocjacji międzyinstytucjonalnych, chociaż wyraża ubolewanie co do niektórych aspektów porozumienia politycznego Rady w pierwszym czytaniu (tj. warunków związanych z uprawnieniem do uwzględnienia ścierania i przebiegu oraz braku uprawnień do zmiany skali klas na etykiecie). </w:t>
      </w:r>
    </w:p>
    <w:p>
      <w:pPr>
        <w:rPr>
          <w:noProof/>
        </w:rPr>
      </w:pPr>
    </w:p>
    <w:sectPr>
      <w:footerReference w:type="default" r:id="rId11"/>
      <w:footerReference w:type="first" r:id="rId1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r>
      <w:rPr>
        <w:rFonts w:ascii="Arial" w:hAnsi="Arial" w:cs="Arial"/>
        <w:b/>
        <w:sz w:val="48"/>
      </w:rPr>
      <w:t>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PL</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Dz.U. L 315 z 5.12.2019.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DFA96A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8A86BD6"/>
    <w:lvl w:ilvl="0">
      <w:start w:val="1"/>
      <w:numFmt w:val="decimal"/>
      <w:pStyle w:val="ListNumber3"/>
      <w:lvlText w:val="%1."/>
      <w:lvlJc w:val="left"/>
      <w:pPr>
        <w:tabs>
          <w:tab w:val="num" w:pos="926"/>
        </w:tabs>
        <w:ind w:left="926" w:hanging="360"/>
      </w:pPr>
    </w:lvl>
  </w:abstractNum>
  <w:abstractNum w:abstractNumId="2">
    <w:nsid w:val="FFFFFF7F"/>
    <w:multiLevelType w:val="singleLevel"/>
    <w:tmpl w:val="FF40BF66"/>
    <w:lvl w:ilvl="0">
      <w:start w:val="1"/>
      <w:numFmt w:val="decimal"/>
      <w:pStyle w:val="ListNumber2"/>
      <w:lvlText w:val="%1."/>
      <w:lvlJc w:val="left"/>
      <w:pPr>
        <w:tabs>
          <w:tab w:val="num" w:pos="643"/>
        </w:tabs>
        <w:ind w:left="643" w:hanging="360"/>
      </w:pPr>
    </w:lvl>
  </w:abstractNum>
  <w:abstractNum w:abstractNumId="3">
    <w:nsid w:val="FFFFFF81"/>
    <w:multiLevelType w:val="singleLevel"/>
    <w:tmpl w:val="BF780E4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FACAA7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188C3A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F0C6BC8"/>
    <w:lvl w:ilvl="0">
      <w:start w:val="1"/>
      <w:numFmt w:val="decimal"/>
      <w:pStyle w:val="ListNumber"/>
      <w:lvlText w:val="%1."/>
      <w:lvlJc w:val="left"/>
      <w:pPr>
        <w:tabs>
          <w:tab w:val="num" w:pos="360"/>
        </w:tabs>
        <w:ind w:left="360" w:hanging="360"/>
      </w:pPr>
    </w:lvl>
  </w:abstractNum>
  <w:abstractNum w:abstractNumId="7">
    <w:nsid w:val="FFFFFF89"/>
    <w:multiLevelType w:val="singleLevel"/>
    <w:tmpl w:val="A9D4D68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4"/>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3-04 09:01:3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98EDA364-F3F2-4DA5-96E8-DDC83606B620"/>
    <w:docVar w:name="LW_COVERPAGE_TYPE" w:val="1"/>
    <w:docVar w:name="LW_CROSSREFERENCE" w:val="&lt;UNUSED&gt;"/>
    <w:docVar w:name="LW_DocType" w:val="COM"/>
    <w:docVar w:name="LW_EMISSION" w:val="4.3.2020"/>
    <w:docVar w:name="LW_EMISSION_ISODATE" w:val="2020-03-04"/>
    <w:docVar w:name="LW_EMISSION_LOCATION" w:val="BRX"/>
    <w:docVar w:name="LW_EMISSION_PREFIX" w:val="Bruksela, dnia "/>
    <w:docVar w:name="LW_EMISSION_SUFFIX" w:val=" r."/>
    <w:docVar w:name="LW_ID_DOCMODEL" w:val="SJ-028"/>
    <w:docVar w:name="LW_ID_DOCSTRUCTURE" w:val="COM/PL/CODEC"/>
    <w:docVar w:name="LW_ID_DOCTYPE" w:val="SJ-028"/>
    <w:docVar w:name="LW_INTERETEEE.CP" w:val="(Tekst maj\u261?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148"/>
    <w:docVar w:name="LW_REF.II.NEW.CP_YEAR" w:val="2018"/>
    <w:docVar w:name="LW_REF.INST.NEW" w:val="COM"/>
    <w:docVar w:name="LW_REF.INST.NEW_ADOPTED" w:val="final"/>
    <w:docVar w:name="LW_REF.INST.NEW_TEXT" w:val="(2020) 8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tanowiska Rady w sprawie przyj\u281?cia rozporz\u261?dzenia Parlamentu Europejskiego i Rady w sprawie etykietowania opon pod k\u261?tem efektywno\u347?ci paliwowej i innych zasadniczych parametrów oraz uchylaj\u261?cego rozporz\u261?dzenie (WE) nr 1222/2009"/>
    <w:docVar w:name="LW_TYPE.DOC.CP" w:val="KOMUNIKAT KOMISJI _x000b_DO PARLAMENTU EUROPEJSKIEGO_x000b__x000b_na podstawie art. 294 ust. 6 Traktatu o funkcjonowaniu Unii Europejskiej_x000b__x000b_dotycz\u261?cy"/>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pl-P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pl-PL"/>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pl-PL"/>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pl-P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6BA5E-3204-4A83-9FB5-C16809C02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Pages>
  <Words>887</Words>
  <Characters>5940</Characters>
  <Application>Microsoft Office Word</Application>
  <DocSecurity>0</DocSecurity>
  <Lines>114</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2020-02-24T09:15:00Z</cp:lastPrinted>
  <dcterms:created xsi:type="dcterms:W3CDTF">2020-02-28T14:12:00Z</dcterms:created>
  <dcterms:modified xsi:type="dcterms:W3CDTF">2020-03-04T08:01:00Z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Version">
    <vt:lpwstr>7.0.8.0</vt:lpwstr>
  </property>
  <property fmtid="{D5CDD505-2E9C-101B-9397-08002B2CF9AE}" pid="4" name="Last edited using">
    <vt:lpwstr>LW 7.0.1, Build 20190916</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SJ-028</vt:lpwstr>
  </property>
  <property fmtid="{D5CDD505-2E9C-101B-9397-08002B2CF9AE}" pid="10" name="DQCStatus">
    <vt:lpwstr>Green (DQC version 03)</vt:lpwstr>
  </property>
  <property name="OP_sanitized" fmtid="{D5CDD505-2E9C-101B-9397-08002B2CF9AE}" pid="11">
    <vt:lpwstr>True</vt:lpwstr>
  </property>
</Properties>
</file>