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41EBFA50-1413-4C2A-8AC0-4C1C81940AAF" style="width:449.8pt;height:361.7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2"/>
        </w:numPr>
        <w:spacing w:line="276"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 25 Traktatu o funkcjonowaniu Unii Europejskiej (TFUE) nakłada na Komisję obowiązek składania Parlamentowi Europejskiemu, Radzie oraz Europejskiemu Komitetowi Ekonomiczno-Społecznemu co trzy lata sprawozdania w sprawie stosowania postanowień dotyczących niedyskryminacji i obywatelstwa Unii (zawartych w części drugiej Traktatu)</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Niniejsze dziewiąte sprawozdanie przedstawione zgodnie z art. 25 TFUE obejmuje okres od dnia 1 lipca 2016 r. do dnia 30 czerwca 2020 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Niniejsze sprawozdanie zawiera przegląd postanowień części drugiej TFUE dotyczących: i) obywatelstwa Unii, ii) niedyskryminacji; iii) swobodnego przemieszczania się i przebywania na terytorium państw członkowskich; iv) prawa do głosowania i kandydowania w wyborach lokalnych i do Parlamentu Europejskiego w państwie członkowskim miejsca zamieszkania; v) prawa do ochrony konsularnej; vi) prawa do składania petycji do Parlamentu Europejskiego; oraz vii) prawa do wnoszenia skarg do Europejskiego Rzecznika Praw Obywatelskich Sprawozdanie to towarzyszy sprawozdaniu na temat obywatelstwa UE dotyczącemu wzmacniania pozycji obywateli i ochrony ich praw w trudnych czasach.</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NIEDYSKRYMINACJA ZE WZGLĘDU NA PRZYNALEŻNOŚĆ PAŃSTWOWĄ (ART. 18 TFUE)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art. 18 TFUE</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zakazuje się dyskryminacji ze względu na przynależność państwową w zakresie zastosowania Traktatów</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okresie objętym niniejszym sprawozdaniem Trybunał Sprawiedliwości Unii Europejskiej (Trybunał) wydał cztery kluczowe wyroki dotyczące niedyskryminacji obywateli Unii ze względu na przynależność państwową w dziedzinach ekstradycji i sportu.</w:t>
      </w:r>
    </w:p>
    <w:p>
      <w:pPr>
        <w:pStyle w:val="ListParagraph"/>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2.1. Niedyskryminacja ze względu na przynależność państwową i ekstradycja migrujących obywateli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Trzy orzeczenia Trybunału dotyczące niedyskryminacji ze względu na przynależność państwową i ekstradycji do państwa trzeciego obywateli Unii przebywających w państwie członkowskim innym niż państwo członkowskie obywatelstwa dotyczą spraw </w:t>
      </w:r>
      <w:r>
        <w:rPr>
          <w:rFonts w:ascii="Times New Roman" w:hAnsi="Times New Roman"/>
          <w:b/>
          <w:bCs/>
          <w:iCs/>
          <w:noProof/>
          <w:sz w:val="24"/>
          <w:szCs w:val="24"/>
        </w:rPr>
        <w:t>Petruhhina</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r>
        <w:rPr>
          <w:rFonts w:ascii="Times New Roman" w:hAnsi="Times New Roman"/>
          <w:b/>
          <w:bCs/>
          <w:iCs/>
          <w:noProof/>
          <w:sz w:val="24"/>
          <w:szCs w:val="24"/>
        </w:rPr>
        <w:t>Pisciottiego</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i </w:t>
      </w:r>
      <w:r>
        <w:rPr>
          <w:rFonts w:ascii="Times New Roman" w:hAnsi="Times New Roman"/>
          <w:b/>
          <w:bCs/>
          <w:iCs/>
          <w:noProof/>
          <w:sz w:val="24"/>
          <w:szCs w:val="24"/>
        </w:rPr>
        <w:t>Raugeviciusa</w:t>
      </w:r>
      <w:r>
        <w:rPr>
          <w:rStyle w:val="FootnoteReference"/>
          <w:rFonts w:ascii="Times New Roman" w:hAnsi="Times New Roman" w:cs="Times New Roman"/>
          <w:noProof/>
          <w:sz w:val="24"/>
          <w:szCs w:val="24"/>
        </w:rPr>
        <w:footnoteReference w:id="7"/>
      </w:r>
      <w:r>
        <w:rPr>
          <w:rFonts w:ascii="Times New Roman" w:hAnsi="Times New Roman"/>
          <w:bCs/>
          <w:iCs/>
          <w:noProof/>
          <w:sz w:val="24"/>
          <w:szCs w:val="24"/>
        </w:rPr>
        <w:t>.</w:t>
      </w:r>
      <w:r>
        <w:rPr>
          <w:rFonts w:ascii="Times New Roman" w:hAnsi="Times New Roman"/>
          <w:noProof/>
          <w:sz w:val="24"/>
          <w:szCs w:val="24"/>
        </w:rPr>
        <w:t xml:space="preserve"> W</w:t>
      </w:r>
      <w:r>
        <w:rPr>
          <w:rFonts w:ascii="Times New Roman" w:hAnsi="Times New Roman"/>
          <w:bCs/>
          <w:iCs/>
          <w:noProof/>
          <w:sz w:val="24"/>
          <w:szCs w:val="24"/>
        </w:rPr>
        <w:t> </w:t>
      </w:r>
      <w:r>
        <w:rPr>
          <w:rFonts w:ascii="Times New Roman" w:hAnsi="Times New Roman"/>
          <w:noProof/>
          <w:sz w:val="24"/>
          <w:szCs w:val="24"/>
        </w:rPr>
        <w:t>każdej z tych spraw przedmiotowa kwestia dotyczyła wzajemnego oddziaływania między przepisami krajowymi zakazującymi ekstradycji własnych obywateli przyjmującego państwa członkowskiego a unijną zasadą niedyskryminacji obywateli Unii ze względu na przynależność państwową (art. 18 TFUE).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Zarówno sprawa Petruhhin, jak i sprawa Pisciotti dotyczyły ekstradycji migrujących obywateli UE w celu wszczęcia postępowania karnego, natomiast sprawa Raugevicius </w:t>
      </w:r>
      <w:r>
        <w:rPr>
          <w:rFonts w:ascii="Times New Roman" w:hAnsi="Times New Roman"/>
          <w:noProof/>
          <w:sz w:val="24"/>
          <w:szCs w:val="24"/>
        </w:rPr>
        <w:lastRenderedPageBreak/>
        <w:t>odnosiła się do ekstradycji migrujących obywateli w celu wykonania wyroku karnego wydanego przez sąd państwa trzeciego.</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Główne ustalenia Trybunału w tych sprawach można podsumować w następujący sposób. Po pierwsze, Trybunał orzekł, że mimo iż w przypadku braku umowy międzynarodowej między Unią a danym państwem trzecim regulacje w dziedzinie ekstradycji są objęte właściwością państw członkowskich, w sytuacjach objętych prawem Unii państwa członkowskie muszą wykonywać swoje przepisy krajowe dotyczące ekstradycji zgodnie z tym prawem</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Zdaniem Trybunału taka sytuacja ma miejsce, w przypadku gdy obywatel Unii skorzystał ze swoich praw do swobodnego przemieszczania się (zgodnie z art. 21 TFUE), a przepisy krajowe dotyczące ekstradycji mogłyby doprowadzić do dyskryminacji obywateli Unii ze względu na przynależność państwową (zgodnie z art. 18 TFUE)</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Po drugie, Trybunał rozważał, czy międzynarodowe/krajowe przepisy państw członkowskich zakazujące </w:t>
      </w:r>
      <w:r>
        <w:rPr>
          <w:rFonts w:ascii="Times New Roman" w:hAnsi="Times New Roman"/>
          <w:i/>
          <w:iCs/>
          <w:noProof/>
          <w:sz w:val="24"/>
          <w:szCs w:val="24"/>
        </w:rPr>
        <w:t>wyłącznie</w:t>
      </w:r>
      <w:r>
        <w:rPr>
          <w:rFonts w:ascii="Times New Roman" w:hAnsi="Times New Roman"/>
          <w:noProof/>
          <w:sz w:val="24"/>
          <w:szCs w:val="24"/>
        </w:rPr>
        <w:t xml:space="preserve"> ekstradycji własnych obywateli nie są niezgodne z zasadą niedyskryminacji zawartą w art. 18 TFUE. Trybunał zwraca uwagę, że takie przepisy dotyczące ekstradycji skutkują nierównością traktowania w zależności od narodowości poszczególnych obywateli Unii, a tym samym ograniczeniem swobody przemieszczania się</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Zgodnie z orzecznictwem Trybunału „takie ograniczenie może być uzasadnione jedynie wtedy, gdy jest oparte na obiektywnych względach i proporcjonalne do słusznego celu realizowanego przez prawo krajowe”</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Mimo iż Trybunał uznaje, że cele w postaci „międzynarodowej współpracy w sprawach karnych” i zapobiegania ryzyku bezkarności osób są zgodne z prawem</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krajowe przepisy muszą spełniać także wymóg proporcjonalności.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tym względzie w sprawie Petruhhin Trybunał uznał, że państwo członkowskie, które rozważa przychylenie się do wniosku o ekstradycję, musi rozważyć, czy istnieją alternatywne środki, które będą w mniejszym stopniu naruszały korzystanie z podstawowych wolności</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Na podstawie unijnej zasady lojalnej współpracy (art. 4 ust. 3 TUE) i wtórnego prawa Unii w obszarze współpracy w sprawach karnych (ściślej rzecz ujmując – europejskiego nakazu aresztowania) Trybunał orzekł, co następuje. Przed ekstradycją migrującego obywatela UE państwa członkowskie muszą wymienić informacje z państwem członkowskim obywatelstwa tej osoby, aby umożliwić temu państwu członkowskiemu – w zakresie, w jakim zgodnie ze swym prawem krajowym ma ono jurysdykcję [eksterytorialną] do prowadzenia przeciwko migrującemu obywatelowi UE postępowania karnego związanego z przestępstwami popełnionymi poza jego granicami</w:t>
      </w:r>
      <w:r>
        <w:rPr>
          <w:rStyle w:val="FootnoteReference"/>
          <w:rFonts w:ascii="Times New Roman" w:hAnsi="Times New Roman" w:cs="Times New Roman"/>
          <w:noProof/>
          <w:sz w:val="24"/>
          <w:szCs w:val="24"/>
        </w:rPr>
        <w:footnoteReference w:id="14"/>
      </w:r>
      <w:r>
        <w:rPr>
          <w:rFonts w:ascii="Times New Roman" w:hAnsi="Times New Roman"/>
          <w:noProof/>
          <w:sz w:val="24"/>
          <w:szCs w:val="24"/>
        </w:rPr>
        <w:t>. W sprawie Pisciotti Trybunał wyjaśnił jednak, że jeżeli państwo członkowskie obywatelstwa zostało odpowiednio poinformowane, ale mimo to decyduje się nie wszczynać przeciwko swojemu obywatelowi postępowania karnego związanego z przestępstwami popełnionymi poza swoimi granicami, prawo Unii nie wyklucza ekstradycji takiej osoby przez przyjmujące państwo członkowskie do państwa trzeciego</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 trzecie zdaniem Trybunału w sprawie Raugevicius napięcie istniejące między celem w postaci zapobiegania ryzyku bezkarności osób, które popełniły przestępstwo, a ograniczaniem podstawowych wolności oraz odpowiadająca temu potrzeba zbadania alternatywnych środków mają zastosowanie także w odniesieniu do ekstradycji (wniosków o ekstradycję) w celu wykonania (zagranicznego) wyroku w sprawie karnej</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Podczas gdy zasada </w:t>
      </w:r>
      <w:r>
        <w:rPr>
          <w:rFonts w:ascii="Times New Roman" w:hAnsi="Times New Roman"/>
          <w:i/>
          <w:iCs/>
          <w:noProof/>
          <w:sz w:val="24"/>
          <w:szCs w:val="24"/>
        </w:rPr>
        <w:t>ne bis in idem</w:t>
      </w:r>
      <w:r>
        <w:rPr>
          <w:rFonts w:ascii="Times New Roman" w:hAnsi="Times New Roman"/>
          <w:noProof/>
          <w:sz w:val="24"/>
          <w:szCs w:val="24"/>
        </w:rPr>
        <w:t xml:space="preserve"> uniemożliwia państwu członkowskiemu obywatelstwa uruchomienie postępowania przeciwko danemu migrującemu obywatelowi UE, instrumenty międzynarodowe oraz (niektóre) przepisy państw członkowskich zapewniają środki alternatywne (np. wykonywanie w państwie członkowskim obywatelstwa wyroków w sprawach karnych wydanych przez sądy zagraniczne)</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Zdaniem Trybunału takie alternatywne rozwiązania można zatem uznać za mające zastosowanie do danego migrującego obywatela UE (niezależnie od ograniczeń ze względu na przynależność państwową)</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w:t>
      </w:r>
    </w:p>
    <w:p>
      <w:pPr>
        <w:spacing w:line="276" w:lineRule="auto"/>
        <w:ind w:left="360"/>
        <w:jc w:val="both"/>
        <w:rPr>
          <w:rFonts w:ascii="Times New Roman" w:hAnsi="Times New Roman" w:cs="Times New Roman"/>
          <w:b/>
          <w:bCs/>
          <w:noProof/>
          <w:sz w:val="24"/>
          <w:szCs w:val="24"/>
        </w:rPr>
      </w:pPr>
      <w:r>
        <w:rPr>
          <w:rFonts w:ascii="Times New Roman" w:hAnsi="Times New Roman"/>
          <w:b/>
          <w:bCs/>
          <w:noProof/>
          <w:sz w:val="24"/>
          <w:szCs w:val="24"/>
        </w:rPr>
        <w:t>2.2. Niedyskryminacja ze względu na przynależność państwową w sporcie amatorskim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innym ważnym wyroku Trybunału wydanym w okresie objętym niniejszym sprawozdaniem – wyroku w sprawie </w:t>
      </w:r>
      <w:r>
        <w:rPr>
          <w:rFonts w:ascii="Times New Roman" w:hAnsi="Times New Roman"/>
          <w:b/>
          <w:noProof/>
          <w:sz w:val="24"/>
          <w:szCs w:val="24"/>
        </w:rPr>
        <w:t>TopFit</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 rozważano kwestię niedyskryminacji (migrujących) obywateli UE ze względu na przynależność państwową w dziedzinie sportu amatorskiego</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Daniele Biffi jest obywatelem włoskim i zamieszkuje w Niemczech; uczestniczy on w zawodach, jako amator, w biegach w kategorii seniorów. Jest on członkiem TopFit, związku sportowego należącego do Niemieckiej Federacji Lekkiej Atletyki (Deutscher Leichtathletikverband, DLV). W 2015 r. miała miejsce zmiana regulaminu DLV, na skutek której migrujący obywatele UE mieszkający w Niemczech, tacy jak Daniele Biffi, nie mogą być wybierani do udziału w mistrzostwach krajowych lub mogą brać udział w tych mistrzostwach jedynie „poza klasyfikacją” lub „bez klasyfikacji”. W efekcie takie osoby nie mają dostępu do finału i nie kwalifikują się do zdobycia tytułu mistrza krajowego pomimo spełnienia wszystkich pozostałych warunków udziału w mistrzostwach lekkiej atletyki.</w:t>
      </w:r>
      <w:r>
        <w:rPr>
          <w:noProof/>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Trybunał, odpowiadając na odesłanie prejudycjalne, oparł się na czterech spostrzeżeniach. Po pierwsze, Trybunał, odnosząc się do swojego wydanego ostatnio wyroku w sprawie Raugevicius, zwrócił uwagę na fakt, że „sytuacja obywatela Unii, który skorzystał z przysługującej mu swobody przemieszczania się, jest objęta zakresem stosowania art. 18 TFUE”, w tym w dziedzinie sportu amatorskiego</w:t>
      </w:r>
      <w:r>
        <w:rPr>
          <w:rStyle w:val="FootnoteReference"/>
          <w:rFonts w:ascii="Times New Roman" w:hAnsi="Times New Roman" w:cs="Times New Roman"/>
          <w:noProof/>
          <w:sz w:val="24"/>
          <w:szCs w:val="24"/>
        </w:rPr>
        <w:footnoteReference w:id="21"/>
      </w:r>
      <w:r>
        <w:rPr>
          <w:rFonts w:ascii="Times New Roman" w:hAnsi="Times New Roman"/>
          <w:noProof/>
          <w:sz w:val="24"/>
          <w:szCs w:val="24"/>
        </w:rPr>
        <w:t>. Po drugie, swoboda podstawowa dotycząca swobodnego przemieszczania się, wyrażona w art. 21 TFUE, miała służyć</w:t>
      </w:r>
      <w:r>
        <w:rPr>
          <w:rFonts w:ascii="Times New Roman" w:hAnsi="Times New Roman"/>
          <w:i/>
          <w:iCs/>
          <w:noProof/>
          <w:sz w:val="24"/>
          <w:szCs w:val="24"/>
        </w:rPr>
        <w:t xml:space="preserve"> </w:t>
      </w:r>
      <w:r>
        <w:rPr>
          <w:rFonts w:ascii="Times New Roman" w:hAnsi="Times New Roman"/>
          <w:iCs/>
          <w:noProof/>
          <w:sz w:val="24"/>
          <w:szCs w:val="24"/>
        </w:rPr>
        <w:t xml:space="preserve">m.in. </w:t>
      </w:r>
      <w:r>
        <w:rPr>
          <w:rFonts w:ascii="Times New Roman" w:hAnsi="Times New Roman"/>
          <w:noProof/>
          <w:sz w:val="24"/>
          <w:szCs w:val="24"/>
        </w:rPr>
        <w:t>„ułatwieniu stopniowej integracji danego obywatela Unii ze społeczeństwem przyjmującego państwa członkowskiego”, a udział w sporcie amatorskim jest ważnym elementem tego procesu integracji</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Po trzecie, w odniesieniu do wcześniejszego orzecznictwa UE, Trybunał zwrócił uwagę, że również reguły krajowych federacji (sportowych) muszą być zgodne z prawem Unii, w tym z Traktatami</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Po czwarte, objęcie reguł krajowych federacji sportowych zakresem stosowania art. 18 i 21 TFUE wiąże się m.in. z tym, że reguły krajowych federacji sportowych, które mogą stanowić ograniczenie swobody podstawowej, są niezgodne z prawem Unii, „chyba że uregulowanie to jest uzasadnione obiektywnymi względami proporcjonalnymi do zamierzonego słusznego celu”</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w:t>
      </w: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WALKA Z DYSKRYMINACJĄ ZE WZGLĘDU NA PŁEĆ, RASĘ LUB POCHODZENIE ETNICZNE, RELIGIĘ LUB ŚWIATOPOGLĄD, NIEPEŁNOSPRAWNOŚĆ, WIEK LUB ORIENTACJĘ SEKSUALNĄ (ART. 19 TFUE)</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Artykuł 19 TFUE stanowi, że UE może podjąć środki niezbędne w celu zwalczania wszelkiej dyskryminacji ze względu na płeć, rasę lub pochodzenie etniczne, religię lub światopogląd, niepełnosprawność, wiek lub orientację seksualną</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W marcu 2019 r. Komisja Europejska opublikowała sprawozdanie roczne dotyczące równouprawnienia płci, w którym stwierdziła, że nawet w UE, gdzie jednoznaczne równouprawnienie płci jest chronione prawem, nie jest ono namacalną rzeczywistością</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szCs w:val="24"/>
        </w:rPr>
        <w:t>.</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Po publikacji wykazu działań ukierunkowanych na propagowanie równości osób LGBTI w grudniu 2015 r., który to wykaz obejmował działania przewidziane przez Komisję w różnych obszarach polityki na lata 2016–2019</w:t>
      </w:r>
      <w:r>
        <w:rPr>
          <w:rStyle w:val="FootnoteReference"/>
          <w:rFonts w:ascii="Times New Roman" w:eastAsia="Times New Roman" w:hAnsi="Times New Roman" w:cs="Times New Roman"/>
          <w:noProof/>
          <w:sz w:val="24"/>
          <w:szCs w:val="24"/>
        </w:rPr>
        <w:footnoteReference w:id="27"/>
      </w:r>
      <w:r>
        <w:rPr>
          <w:rFonts w:ascii="Times New Roman" w:hAnsi="Times New Roman"/>
          <w:noProof/>
          <w:sz w:val="24"/>
          <w:szCs w:val="24"/>
        </w:rPr>
        <w:t>, w lutym 2017 r. Komisja opublikowała pierwsze sprawozdanie roczne dotyczące wykazu działań ukierunkowanych na propagowanie równości osób LGBTI, obejmujące 2016 r. Drugie i trzecie sprawozdanie ukazały się odpowiednio w 2018 i 2019 r., a w maju 2020 r. opublikowano sprawozdanie końcowe obejmujące środki wdrożone w 2019 r.</w:t>
      </w:r>
      <w:r>
        <w:rPr>
          <w:rStyle w:val="FootnoteReference"/>
          <w:rFonts w:ascii="Times New Roman" w:eastAsia="Times New Roman" w:hAnsi="Times New Roman" w:cs="Times New Roman"/>
          <w:noProof/>
          <w:sz w:val="24"/>
          <w:szCs w:val="24"/>
        </w:rPr>
        <w:footnoteReference w:id="28"/>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highlight w:val="yellow"/>
        </w:rPr>
      </w:pPr>
      <w:r>
        <w:rPr>
          <w:rFonts w:ascii="Times New Roman" w:hAnsi="Times New Roman"/>
          <w:noProof/>
          <w:sz w:val="24"/>
          <w:szCs w:val="24"/>
        </w:rPr>
        <w:t>W listopadzie 2018 r. Komisja opracowała dokumenty zawierające wnioski na podstawie dyskusji w ramach sesji fokusowych dotyczących antycyganizmu i afrofobii, przeprowadzonych przez Unijną Grupę Wysokiego Szczebla ds. Zwalczania Rasizmu, Ksenofobii i Innych Form Nietolerancji podczas jej czwartego posiedzenia w dniu 5 grudnia 2017 r.</w:t>
      </w:r>
      <w:r>
        <w:rPr>
          <w:rStyle w:val="FootnoteReference"/>
          <w:rFonts w:ascii="Times New Roman" w:eastAsia="Times New Roman" w:hAnsi="Times New Roman" w:cs="Times New Roman"/>
          <w:noProof/>
          <w:sz w:val="24"/>
          <w:szCs w:val="24"/>
        </w:rPr>
        <w:footnoteReference w:id="29"/>
      </w:r>
      <w:r>
        <w:rPr>
          <w:rFonts w:ascii="Times New Roman" w:hAnsi="Times New Roman"/>
          <w:noProof/>
          <w:sz w:val="24"/>
          <w:szCs w:val="24"/>
        </w:rPr>
        <w:t xml:space="preserve"> Sporządziła również wytyczne dotyczące praktycznego stosowania decyzji ramowej Rady 2008/913/WSiSW w sprawie zwalczania pewnych form i przejawów rasizmu i ksenofobii za pomocą środków prawnokarnych</w:t>
      </w:r>
      <w:r>
        <w:rPr>
          <w:rStyle w:val="FootnoteReference"/>
          <w:rFonts w:ascii="Times New Roman" w:eastAsia="Times New Roman" w:hAnsi="Times New Roman" w:cs="Times New Roman"/>
          <w:noProof/>
          <w:sz w:val="24"/>
          <w:szCs w:val="24"/>
        </w:rPr>
        <w:footnoteReference w:id="3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grudniu 2018 r. Komisja Europejska opublikowała ocenę unijnych ram dotyczących krajowych strategii integracji Romów do 2020 r.</w:t>
      </w:r>
      <w:r>
        <w:rPr>
          <w:rStyle w:val="FootnoteReference"/>
          <w:rFonts w:ascii="Times New Roman" w:eastAsia="Times New Roman" w:hAnsi="Times New Roman" w:cs="Times New Roman"/>
          <w:noProof/>
          <w:sz w:val="24"/>
          <w:szCs w:val="24"/>
        </w:rPr>
        <w:footnoteReference w:id="31"/>
      </w:r>
      <w:r>
        <w:rPr>
          <w:rFonts w:ascii="Times New Roman" w:hAnsi="Times New Roman"/>
          <w:noProof/>
          <w:sz w:val="24"/>
          <w:szCs w:val="24"/>
        </w:rPr>
        <w:t xml:space="preserve"> Ocenie poddano unijne ramy oraz sposób, w jaki przyczyniły się one do uruchamiania innych europejskich instrumentów politycznych, prawnych i finansowych na rzecz integracji Romów. We wrześniu 2019 r. Komisja opublikowała również sprawozdanie, w którym skupiono się na wdrażaniu środków na rzecz integracji Romów na szczeblu krajowym</w:t>
      </w:r>
      <w:r>
        <w:rPr>
          <w:rStyle w:val="FootnoteReference"/>
          <w:rFonts w:ascii="Times New Roman" w:eastAsia="Times New Roman" w:hAnsi="Times New Roman" w:cs="Times New Roman"/>
          <w:noProof/>
          <w:sz w:val="24"/>
          <w:szCs w:val="24"/>
        </w:rPr>
        <w:footnoteReference w:id="32"/>
      </w:r>
      <w:r>
        <w:rPr>
          <w:rFonts w:ascii="Times New Roman" w:hAnsi="Times New Roman"/>
          <w:noProof/>
          <w:sz w:val="24"/>
          <w:szCs w:val="24"/>
        </w:rPr>
        <w:t>.</w:t>
      </w:r>
    </w:p>
    <w:p>
      <w:pPr>
        <w:spacing w:line="276"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Komisja rozpoczęła w maju 2019 r. i prowadzi do grudnia 2020 r. </w:t>
      </w:r>
      <w:hyperlink r:id="rId19" w:history="1">
        <w:r>
          <w:rPr>
            <w:rFonts w:ascii="Times New Roman" w:hAnsi="Times New Roman"/>
            <w:noProof/>
            <w:sz w:val="24"/>
            <w:szCs w:val="24"/>
          </w:rPr>
          <w:t>kampanię #EUvsDiscrimination</w:t>
        </w:r>
      </w:hyperlink>
      <w:r>
        <w:rPr>
          <w:rStyle w:val="FootnoteReference"/>
          <w:rFonts w:ascii="Times New Roman" w:eastAsia="Times New Roman" w:hAnsi="Times New Roman" w:cs="Times New Roman"/>
          <w:noProof/>
          <w:sz w:val="24"/>
          <w:szCs w:val="24"/>
        </w:rPr>
        <w:footnoteReference w:id="33"/>
      </w:r>
      <w:r>
        <w:rPr>
          <w:rFonts w:ascii="Times New Roman" w:hAnsi="Times New Roman"/>
          <w:noProof/>
          <w:sz w:val="24"/>
          <w:szCs w:val="24"/>
        </w:rPr>
        <w:t xml:space="preserve"> skierowaną przeciwko dyskryminacji w miejscu pracy ze względu na wiek, płeć, niepełnosprawność, pochodzenie etniczne lub rasowe, religię lub światopogląd lub orientację seksualną, która to dyskryminacja jest zakazana zgodnie z unijnym prawodawstwem dotyczącym przeciwdziałania dyskryminacji</w:t>
      </w:r>
      <w:r>
        <w:rPr>
          <w:rStyle w:val="FootnoteReference"/>
          <w:rFonts w:ascii="Times New Roman" w:eastAsia="Times New Roman" w:hAnsi="Times New Roman" w:cs="Times New Roman"/>
          <w:noProof/>
          <w:sz w:val="24"/>
          <w:szCs w:val="24"/>
        </w:rPr>
        <w:footnoteReference w:id="34"/>
      </w:r>
      <w:r>
        <w:rPr>
          <w:rFonts w:ascii="Times New Roman" w:hAnsi="Times New Roman"/>
          <w:noProof/>
          <w:sz w:val="24"/>
          <w:szCs w:val="24"/>
        </w:rPr>
        <w:t>.</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Zmiany w orzecznictwie</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Jeżeli chodzi o wolność wyznania, należy odnotować wyrok Trybunału z dnia 22 stycznia 2019 r. w sprawie Cresco Investigation (C-193 /17, EU:C:2019:43). Trybunał ustalił, że przepisy krajowe, na mocy których, po pierwsze, Wielki Piątek jest dniem wolnym od pracy tylko dla pracowników będących członkami niektórych Kościołów chrześcijańskich, a po drugie, jedynie ci pracownicy mają prawo – jeżeli są zobowiązani pracować w ten dzień wolny od pracy – do dodatkowej płatności, ustanawiają bezpośrednią dyskryminację ze względu na religię.</w:t>
      </w:r>
    </w:p>
    <w:p>
      <w:pPr>
        <w:pStyle w:val="ListParagraph"/>
        <w:spacing w:line="276" w:lineRule="auto"/>
        <w:ind w:left="792"/>
        <w:rPr>
          <w:rFonts w:ascii="Times New Roman" w:hAnsi="Times New Roman" w:cs="Times New Roman"/>
          <w:b/>
          <w:noProof/>
          <w:sz w:val="24"/>
          <w:szCs w:val="24"/>
        </w:rPr>
      </w:pPr>
    </w:p>
    <w:p>
      <w:pPr>
        <w:pStyle w:val="ListParagraph"/>
        <w:numPr>
          <w:ilvl w:val="0"/>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OBYWATELSTWO UNII (ART. 20 UST. 1 TFUE)</w:t>
      </w:r>
    </w:p>
    <w:p>
      <w:pPr>
        <w:pStyle w:val="ListParagraph"/>
        <w:numPr>
          <w:ilvl w:val="1"/>
          <w:numId w:val="2"/>
        </w:numPr>
        <w:spacing w:line="276" w:lineRule="auto"/>
        <w:rPr>
          <w:rFonts w:ascii="Times New Roman" w:hAnsi="Times New Roman" w:cs="Times New Roman"/>
          <w:b/>
          <w:bCs/>
          <w:noProof/>
          <w:sz w:val="24"/>
          <w:szCs w:val="24"/>
        </w:rPr>
      </w:pPr>
      <w:r>
        <w:rPr>
          <w:rFonts w:ascii="Times New Roman" w:hAnsi="Times New Roman"/>
          <w:b/>
          <w:bCs/>
          <w:noProof/>
          <w:sz w:val="24"/>
          <w:szCs w:val="24"/>
        </w:rPr>
        <w:t>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Artykuł 20 TFUE stanowi, że każda osoba, która posiada obywatelstwo państwa członkowskiego UE, jest również obywatelem Unii. Obywatelstwo Unii ma charakter dodatkowy w stosunku do obywatelstwa krajowego i nie zastępuje go. Chociaż określenie warunków nabywania i utraty obywatelstwa, z należytym uwzględnieniem prawa Unii, należy do kompetencji państw członkowskich</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nadanie obywatelstwa państwa członkowskiego pociąga za sobą także nadanie obywatelstwa Unii i związanych z nim praw, z których można korzystać w całej Unii. Komisja uważa zatem, że państwa członkowskie powinny wykorzystywać swoje prerogatywy nadawania obywatelstwa w duchu lojalnej współpracy, jak jest to wymagane w Traktatach.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Komisja Europejska podjęła szereg działań związanych z nabywaniem i utratą obywatelstwa Unii, a konkretniej w sprawie programów obywatelstwa dla inwestorów w UE, w ramach których przyznaje się prawa obywatelskie obywatelom państw trzecich w zamian za inwestycje.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W styczniu 2019 r. Komisja wydała sprawozdanie „Programy obywatelstwa i ułatwień pobytowych dla inwestorów w Unii Europejskiej”</w:t>
      </w:r>
      <w:r>
        <w:rPr>
          <w:rStyle w:val="FootnoteReference"/>
          <w:rFonts w:ascii="Times New Roman" w:eastAsia="Times New Roman" w:hAnsi="Times New Roman" w:cs="Times New Roman"/>
          <w:noProof/>
          <w:sz w:val="24"/>
          <w:szCs w:val="24"/>
        </w:rPr>
        <w:footnoteReference w:id="36"/>
      </w:r>
      <w:r>
        <w:rPr>
          <w:rFonts w:ascii="Times New Roman" w:hAnsi="Times New Roman"/>
          <w:noProof/>
          <w:sz w:val="24"/>
          <w:szCs w:val="24"/>
        </w:rPr>
        <w:t xml:space="preserve">, w którym przeprowadziła analizę istniejących programów uzyskiwania obywatelstwa państw członkowskich UE i prawa pobytu w nich ze względu na inwestycje oraz podkreśliła szereg obaw i zagrożeń, jakie programy te stwarzają dla UE.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W następstwie tego sprawozdania Komisja powołała „Grupę ekspertów z państw członkowskich ds. programów obywatelstwa i ułatwień pobytowych dla inwestorów”, aby (i) przyjrzeć się konkretnemu ryzyku wynikającemu z programów obywatelstwa dla inwestorów; (ii) opracować wspólny zestaw kontroli bezpieczeństwa do końca 2019 r. oraz (iii) odnieść się do aspektów przejrzystości i dobrych rządów w kontekście wdrażania zarówno programów obywatelstwa, jak i ułatwień pobytowych dla inwestorów</w:t>
      </w:r>
      <w:r>
        <w:rPr>
          <w:rStyle w:val="FootnoteReference"/>
          <w:rFonts w:ascii="Times New Roman" w:eastAsia="Times New Roman" w:hAnsi="Times New Roman" w:cs="Times New Roman"/>
          <w:noProof/>
          <w:sz w:val="24"/>
          <w:szCs w:val="24"/>
        </w:rPr>
        <w:footnoteReference w:id="3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okresie sprawozdawczym Komisja rozpatrzyła 98 skarg, niemal 1 400 pism/indywidualnych zapytań, 48 pytań i 10 petycji Parlamentu Europejskiego w zakresie obywatelstwa Unii i powiązanych z nim praw, związanych głównie z informacjami na temat wpływu brexitu na prawa wynikające z obywatelstwa Unii.</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Zmiany w orzecznictwie</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W latach 2016–2019 Trybunał rozpatrzył 29 spraw dotyczących obywatelstwa Unii, w tym spraw z zakresu dyskryminacji ze względu na przynależność państwową, utraty obywatelstwa Unii z powodu utraty obywatelstwa państwa członkowskiego lub pochodnych praw pobytu dla pochodzących z krajów trzecich członków rodzin obywateli Unii</w:t>
      </w:r>
      <w:r>
        <w:rPr>
          <w:rStyle w:val="FootnoteReference"/>
          <w:rFonts w:ascii="Times New Roman" w:eastAsia="Times New Roman" w:hAnsi="Times New Roman" w:cs="Times New Roman"/>
          <w:noProof/>
          <w:sz w:val="24"/>
          <w:szCs w:val="24"/>
        </w:rPr>
        <w:footnoteReference w:id="38"/>
      </w:r>
      <w:r>
        <w:rPr>
          <w:rFonts w:ascii="Times New Roman" w:hAnsi="Times New Roman"/>
          <w:noProof/>
          <w:sz w:val="24"/>
          <w:szCs w:val="24"/>
        </w:rPr>
        <w:t xml:space="preserve">. </w:t>
      </w:r>
    </w:p>
    <w:p>
      <w:pPr>
        <w:spacing w:line="276" w:lineRule="auto"/>
        <w:jc w:val="both"/>
        <w:rPr>
          <w:rFonts w:ascii="Times New Roman" w:eastAsia="Calibri Light"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Tjebbes i in.</w:t>
      </w:r>
      <w:r>
        <w:rPr>
          <w:rStyle w:val="FootnoteReference"/>
          <w:rFonts w:ascii="Times New Roman" w:eastAsia="Times New Roman" w:hAnsi="Times New Roman" w:cs="Times New Roman"/>
          <w:noProof/>
          <w:sz w:val="24"/>
          <w:szCs w:val="24"/>
        </w:rPr>
        <w:footnoteReference w:id="39"/>
      </w:r>
      <w:r>
        <w:rPr>
          <w:rFonts w:ascii="Times New Roman" w:hAnsi="Times New Roman"/>
          <w:b/>
          <w:bCs/>
          <w:i/>
          <w:iCs/>
          <w:noProof/>
          <w:sz w:val="24"/>
          <w:szCs w:val="24"/>
        </w:rPr>
        <w:t xml:space="preserve"> </w:t>
      </w:r>
      <w:r>
        <w:rPr>
          <w:rFonts w:ascii="Times New Roman" w:hAnsi="Times New Roman"/>
          <w:noProof/>
          <w:sz w:val="24"/>
          <w:szCs w:val="24"/>
        </w:rPr>
        <w:t xml:space="preserve">Trybunał potwierdził ogólną legalność dążenia państw członkowskich do zapewnienia rzeczywistego związku między państwem a jego obywatelami. Legalność ta nie zwalnia jednak państw członkowskich z zapewnienia, aby (w indywidualnych przypadkach) w przypadku utraty </w:t>
      </w:r>
      <w:r>
        <w:rPr>
          <w:rFonts w:ascii="Times New Roman" w:hAnsi="Times New Roman"/>
          <w:i/>
          <w:iCs/>
          <w:noProof/>
          <w:sz w:val="24"/>
          <w:szCs w:val="24"/>
        </w:rPr>
        <w:t>ex lege</w:t>
      </w:r>
      <w:r>
        <w:rPr>
          <w:rFonts w:ascii="Times New Roman" w:hAnsi="Times New Roman"/>
          <w:noProof/>
          <w:sz w:val="24"/>
          <w:szCs w:val="24"/>
        </w:rPr>
        <w:t xml:space="preserve"> obywatelstwa państw członkowskich uwzględniano należycie zasadę proporcjonalności, jeżeli utrata obywatelstwa pociągałaby za sobą utratę obywatelstwa Unii i związanych z nim praw</w:t>
      </w:r>
      <w:r>
        <w:rPr>
          <w:rStyle w:val="FootnoteReference"/>
          <w:rFonts w:ascii="Times New Roman" w:eastAsia="Times New Roman" w:hAnsi="Times New Roman" w:cs="Times New Roman"/>
          <w:noProof/>
          <w:sz w:val="24"/>
          <w:szCs w:val="24"/>
        </w:rPr>
        <w:footnoteReference w:id="40"/>
      </w:r>
      <w:r>
        <w:rPr>
          <w:rFonts w:ascii="Times New Roman" w:hAnsi="Times New Roman"/>
          <w:noProof/>
          <w:sz w:val="24"/>
          <w:szCs w:val="24"/>
        </w:rPr>
        <w:t>.</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W związku z tym Trybunał uznał, że zasada proporcjonalności wymaga, aby w ustawodawstwie państw członkowskich regulującym kwestię utraty obywatelstwa przewidziano możliwość „indywidualnej oceny konsekwencji, jakie pociąga za sobą ta utrata w odniesieniu do zainteresowanych osób [oraz członków ich rodziny] w świetle prawa Unii”</w:t>
      </w:r>
      <w:r>
        <w:rPr>
          <w:rStyle w:val="FootnoteReference"/>
          <w:rFonts w:ascii="Times New Roman" w:eastAsia="Times New Roman" w:hAnsi="Times New Roman" w:cs="Times New Roman"/>
          <w:noProof/>
          <w:sz w:val="24"/>
          <w:szCs w:val="24"/>
        </w:rPr>
        <w:footnoteReference w:id="41"/>
      </w:r>
      <w:r>
        <w:rPr>
          <w:rFonts w:ascii="Times New Roman" w:hAnsi="Times New Roman"/>
          <w:noProof/>
          <w:sz w:val="24"/>
          <w:szCs w:val="24"/>
        </w:rPr>
        <w:t xml:space="preserve">. Ponadto w przypadku, gdy w następstwie takiej oceny ustalone zostanie, że utrata obywatelstwa Unii (w konsekwencji automatycznej utraty obywatelstwa państwa członkowskiego) jest niezgodna z prawem Unii, powinno być możliwe odzyskanie obywatelstwa </w:t>
      </w:r>
      <w:r>
        <w:rPr>
          <w:rFonts w:ascii="Times New Roman" w:hAnsi="Times New Roman"/>
          <w:i/>
          <w:iCs/>
          <w:noProof/>
          <w:sz w:val="24"/>
          <w:szCs w:val="24"/>
        </w:rPr>
        <w:t>ex tunc</w:t>
      </w:r>
      <w:r>
        <w:rPr>
          <w:rStyle w:val="FootnoteReference"/>
          <w:rFonts w:ascii="Times New Roman" w:eastAsia="Times New Roman" w:hAnsi="Times New Roman" w:cs="Times New Roman"/>
          <w:noProof/>
          <w:sz w:val="24"/>
          <w:szCs w:val="24"/>
        </w:rPr>
        <w:footnoteReference w:id="42"/>
      </w:r>
      <w:r>
        <w:rPr>
          <w:rFonts w:ascii="Times New Roman" w:hAnsi="Times New Roman"/>
          <w:noProof/>
          <w:sz w:val="24"/>
          <w:szCs w:val="24"/>
        </w:rPr>
        <w:t>.</w:t>
      </w:r>
    </w:p>
    <w:p>
      <w:pPr>
        <w:pStyle w:val="ListParagraph"/>
        <w:spacing w:line="276" w:lineRule="auto"/>
        <w:ind w:left="792"/>
        <w:jc w:val="both"/>
        <w:rPr>
          <w:rFonts w:ascii="Times New Roman" w:hAnsi="Times New Roman" w:cs="Times New Roman"/>
          <w:b/>
          <w:noProof/>
          <w:sz w:val="24"/>
          <w:szCs w:val="24"/>
        </w:rPr>
      </w:pPr>
    </w:p>
    <w:p>
      <w:pPr>
        <w:pStyle w:val="ListParagraph"/>
        <w:numPr>
          <w:ilvl w:val="0"/>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PRAWO DO SWOBODNEGO PRZEMIESZCZANIA SIĘ I PRZEBYWANIA NA TERYTORIUM PAŃSTW CZŁONKOWSKICH (ART. 20 UST. 2 ORAZ ART. 21 TFUE)</w:t>
      </w: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20 ust. 2 lit. a) oraz art. 21 TFUE obywatele Unii mają prawo do swobodnego przemieszczania się i przebywania na terytorium państw członkowskich, z zastrzeżeniem ograniczeń i warunków ustanowionych w Traktatach i w środkach przyjętych w celu ich wykonania</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Większość obywateli popiera to prawo</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i uważa je za jedną z głównych korzyści wynikających z członkostwa w UE</w:t>
      </w:r>
      <w:r>
        <w:rPr>
          <w:rStyle w:val="FootnoteReference"/>
          <w:rFonts w:ascii="Times New Roman" w:hAnsi="Times New Roman" w:cs="Times New Roman"/>
          <w:noProof/>
          <w:sz w:val="24"/>
          <w:szCs w:val="24"/>
        </w:rPr>
        <w:footnoteReference w:id="45"/>
      </w:r>
      <w:r>
        <w:rPr>
          <w:noProof/>
        </w:rPr>
        <w:t>.</w:t>
      </w:r>
      <w:r>
        <w:rPr>
          <w:rFonts w:ascii="Times New Roman" w:hAnsi="Times New Roman"/>
          <w:noProof/>
          <w:sz w:val="24"/>
          <w:szCs w:val="24"/>
        </w:rPr>
        <w:t xml:space="preserve"> Ponadto ponad połowa obywateli Unii twierdzi, że skorzystali na tym, że kontroli granicznych podczas podróży za granicę jest mniej lub nie ma ich wcale</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Większość Europejczyków jest zdania, że swobodny przepływ ludzi, towarów i usług w Unii Europejskiej jest najbardziej pozytywnym następstwem UE</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W badaniu przeprowadzonym wiosną 2020 r. 83 % obywateli Unii zgodziło się z tym, że swobodny przepływ obywateli Unii w UE przyniósł ogólne korzyści gospodarce ich państwa</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2018 r. ponad 16 mln obywateli Unii mieszkało lub pracowało w państwie UE innym niż to, którego są obywatelami. Znacznie większa liczba obywateli Unii udawała się na tymczasowy pobyt w innych państwach UE w celu spędzenia urlopu, odwiedzenia przyjaciół i rodziny oraz w celach zawodowych.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Migrujący obywatele UE i członkowie ich rodzin mogą znaleźć informacje dotyczące swojego prawa pobytu w innych państwach członkowskich na portalu Twoja Europa</w:t>
      </w:r>
      <w:r>
        <w:rPr>
          <w:rFonts w:ascii="Times New Roman" w:hAnsi="Times New Roman" w:cs="Times New Roman"/>
          <w:noProof/>
          <w:sz w:val="24"/>
          <w:szCs w:val="24"/>
          <w:vertAlign w:val="superscript"/>
        </w:rPr>
        <w:footnoteReference w:id="49"/>
      </w:r>
      <w:r>
        <w:rPr>
          <w:rFonts w:ascii="Times New Roman" w:hAnsi="Times New Roman"/>
          <w:noProof/>
          <w:sz w:val="24"/>
          <w:szCs w:val="24"/>
        </w:rPr>
        <w:t>; Twoja Europa zapewnia również dostęp do informacji dotyczących poszczególnych krajów, dzięki czemu wypełnia swoje zadanie jako unijny „jednolity portal cyfrowy”</w:t>
      </w:r>
      <w:r>
        <w:rPr>
          <w:rFonts w:ascii="Times New Roman" w:hAnsi="Times New Roman" w:cs="Times New Roman"/>
          <w:noProof/>
          <w:sz w:val="24"/>
          <w:szCs w:val="24"/>
          <w:vertAlign w:val="superscript"/>
        </w:rPr>
        <w:footnoteReference w:id="5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okresie sprawozdawczym Komisja rozpatrzyła 950 skarg otrzymanych od obywateli, 6 128 pytań i 140 petycji Parlamentu Europejskiego dotyczących korzystania z prawa do swobodnego przemieszczania się. Wiele z nich dotyczyło prawa do wjazdu i pobytu obywateli państwa trzeciego będących członkami rodzin obywateli Unii (warunków wydawania wiz i kart pobytu, dodatkowych formalności) oraz warunków, na jakich obywatele Unii mogą korzystać z prawa do swobodnego przemieszczania się.</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Migrujący obywatele UE, którzy</w:t>
      </w:r>
      <w:r>
        <w:rPr>
          <w:noProof/>
        </w:rPr>
        <w:t xml:space="preserve"> </w:t>
      </w:r>
      <w:r>
        <w:rPr>
          <w:rFonts w:ascii="Times New Roman" w:hAnsi="Times New Roman"/>
          <w:noProof/>
          <w:sz w:val="24"/>
          <w:szCs w:val="24"/>
        </w:rPr>
        <w:t>doświadczają negatywnego wpływu nieprawidłowego stosowania prawa Unii przez organy publiczne, mogą uzyskać pomoc w ramach systemu SOLVIT</w:t>
      </w:r>
      <w:r>
        <w:rPr>
          <w:rStyle w:val="FootnoteReference"/>
          <w:rFonts w:ascii="Times New Roman" w:hAnsi="Times New Roman" w:cs="Times New Roman"/>
          <w:noProof/>
          <w:sz w:val="24"/>
          <w:szCs w:val="24"/>
        </w:rPr>
        <w:footnoteReference w:id="51"/>
      </w:r>
      <w:r>
        <w:rPr>
          <w:rFonts w:ascii="Times New Roman" w:hAnsi="Times New Roman"/>
          <w:noProof/>
          <w:sz w:val="24"/>
          <w:szCs w:val="24"/>
        </w:rPr>
        <w:t>, który został ustanowiony w celu szybkiego reagowania i znajdowania rozwiązań na poziomie krajowym. W latach 2016–2018 w ramach systemu SOLVIT zajęto się około 1 930 przypadkami dotyczącymi swobodnego przepływu osób</w:t>
      </w:r>
      <w:r>
        <w:rPr>
          <w:rStyle w:val="FootnoteReference"/>
          <w:rFonts w:ascii="Times New Roman" w:hAnsi="Times New Roman" w:cs="Times New Roman"/>
          <w:noProof/>
          <w:sz w:val="24"/>
          <w:szCs w:val="24"/>
        </w:rPr>
        <w:footnoteReference w:id="52"/>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Obywatele mogą również zadawać pytania dotyczące ich osobistych praw UE w serwisie Twoja Europa – Porady</w:t>
      </w:r>
      <w:r>
        <w:rPr>
          <w:rStyle w:val="FootnoteReference"/>
          <w:rFonts w:ascii="Times New Roman" w:hAnsi="Times New Roman" w:cs="Times New Roman"/>
          <w:noProof/>
          <w:sz w:val="24"/>
          <w:szCs w:val="24"/>
        </w:rPr>
        <w:footnoteReference w:id="53"/>
      </w:r>
      <w:r>
        <w:rPr>
          <w:rFonts w:ascii="Times New Roman" w:hAnsi="Times New Roman"/>
          <w:noProof/>
          <w:sz w:val="24"/>
          <w:szCs w:val="24"/>
        </w:rPr>
        <w:t>, w ramach którego udziela się darmowych, dostosowanych do potrzeb porad prawnych. Serwisem Twoja Europa – Porady zarządza Komisja, funkcjonuje on za pośrednictwem jej zewnętrznego wykonawcy European Citizen Action Service (ECAS). W latach 2016–2020 do serwisu Twoja Europa – Porady wpłynęło ponad 42 000 zapytań dotyczących procedur wjazdu i praw pobytu oraz ponad 2 300 zapytań dotyczących praw politycznych i sądowych.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Obywatele Unii mogą ponadto zwrócić się z zapytaniem do ustanowionych przez Komisję centrów informacyjnych Europe Direct</w:t>
      </w:r>
      <w:r>
        <w:rPr>
          <w:rStyle w:val="FootnoteReference"/>
          <w:rFonts w:ascii="Times New Roman" w:hAnsi="Times New Roman" w:cs="Times New Roman"/>
          <w:noProof/>
          <w:sz w:val="24"/>
          <w:szCs w:val="24"/>
        </w:rPr>
        <w:footnoteReference w:id="54"/>
      </w:r>
      <w:r>
        <w:rPr>
          <w:rFonts w:ascii="Times New Roman" w:hAnsi="Times New Roman"/>
          <w:noProof/>
          <w:sz w:val="24"/>
          <w:szCs w:val="24"/>
        </w:rPr>
        <w:t>, w których można uzyskać ogólne informacje na temat Unii i porady na temat praw obywateli Unii. W latach 2016–2019 centra Europe Direct otrzymały ogółem 5 251 zapytań dotyczących swobodnego przepływu osób.</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Ponadto mobilni pracownicy UE mogą zwrócić się o pomoc do organów krajowych ustanowionych zgodnie z dyrektywą 2014/54</w:t>
      </w:r>
      <w:r>
        <w:rPr>
          <w:rFonts w:ascii="Times New Roman" w:hAnsi="Times New Roman" w:cs="Times New Roman"/>
          <w:noProof/>
          <w:sz w:val="24"/>
          <w:szCs w:val="24"/>
          <w:vertAlign w:val="superscript"/>
        </w:rPr>
        <w:footnoteReference w:id="55"/>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Aby przyczynić się do poprawy swobodnego przepływu osób niepełnosprawnych, Komisja wdrożyła w latach 2016–2018 projekt pilotażowy dotyczący unijnej karty osoby niepełnosprawnej</w:t>
      </w:r>
      <w:r>
        <w:rPr>
          <w:rFonts w:ascii="Times New Roman" w:hAnsi="Times New Roman" w:cs="Times New Roman"/>
          <w:noProof/>
          <w:sz w:val="24"/>
          <w:szCs w:val="24"/>
          <w:vertAlign w:val="superscript"/>
        </w:rPr>
        <w:footnoteReference w:id="56"/>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Komisja opracowała narzędzie e-uczenia się dotyczące prawa do swobodnego przemieszczania się, które jest przeznaczone dla administracji lokalnych w celu pogłębienia ich wiedzy na temat dyrektywy 2004/38 (dyrektywa w sprawie swobodnego przemieszczania się) i wynikających z niej praw. Narzędzie e-uczenia się jest dostępne w 23 językach i składa się z testu samooceny oraz kursu online dla początkujących i zaawansowanych użytkowników.</w:t>
      </w:r>
    </w:p>
    <w:p>
      <w:pPr>
        <w:spacing w:line="276" w:lineRule="auto"/>
        <w:jc w:val="both"/>
        <w:rPr>
          <w:rFonts w:ascii="Times New Roman" w:hAnsi="Times New Roman" w:cs="Times New Roman"/>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Zmiany w orzecznictwie</w:t>
      </w:r>
    </w:p>
    <w:p>
      <w:pPr>
        <w:pStyle w:val="ListParagraph"/>
        <w:numPr>
          <w:ilvl w:val="2"/>
          <w:numId w:val="2"/>
        </w:numPr>
        <w:spacing w:line="276" w:lineRule="auto"/>
        <w:jc w:val="both"/>
        <w:rPr>
          <w:rFonts w:ascii="Times New Roman" w:hAnsi="Times New Roman" w:cs="Times New Roman"/>
          <w:bCs/>
          <w:i/>
          <w:noProof/>
          <w:sz w:val="24"/>
          <w:szCs w:val="24"/>
        </w:rPr>
      </w:pPr>
      <w:bookmarkStart w:id="2" w:name="_Toc27163886"/>
      <w:r>
        <w:rPr>
          <w:rFonts w:ascii="Times New Roman" w:hAnsi="Times New Roman"/>
          <w:bCs/>
          <w:i/>
          <w:noProof/>
          <w:sz w:val="24"/>
          <w:szCs w:val="24"/>
        </w:rPr>
        <w:t>Zmiany w orzecznictwie TSUE dotyczącym praw do swobodnego przemieszczania się i (wynikających z nich) praw pobytu</w:t>
      </w:r>
      <w:bookmarkEnd w:id="2"/>
    </w:p>
    <w:p>
      <w:pPr>
        <w:spacing w:line="276" w:lineRule="auto"/>
        <w:jc w:val="both"/>
        <w:rPr>
          <w:rFonts w:ascii="Times New Roman" w:hAnsi="Times New Roman" w:cs="Times New Roman"/>
          <w:noProof/>
          <w:sz w:val="24"/>
          <w:szCs w:val="24"/>
        </w:rPr>
      </w:pPr>
      <w:r>
        <w:rPr>
          <w:rFonts w:ascii="Times New Roman" w:hAnsi="Times New Roman"/>
          <w:noProof/>
          <w:sz w:val="24"/>
          <w:szCs w:val="24"/>
        </w:rPr>
        <w:t>Trybunał wydał wiele wyroków dotyczących art. 21 TFUE (w tym jego wdrażania poprzez dyrektywę w sprawie swobodnego przemieszczania się), a także praw pobytu wynikających z obywatelstwa Unii na podstawie art. 20 TFUE</w:t>
      </w:r>
      <w:r>
        <w:rPr>
          <w:rFonts w:ascii="Times New Roman" w:hAnsi="Times New Roman" w:cs="Times New Roman"/>
          <w:noProof/>
          <w:sz w:val="24"/>
          <w:szCs w:val="24"/>
          <w:vertAlign w:val="superscript"/>
        </w:rPr>
        <w:footnoteReference w:id="5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Pierwszy zestaw spraw dotyczy kwestii tego, którzy obywatele Unii i członkowie ich rodzin mogą polegać na dyrektywie 2004/38 w kwestii praw pobytu.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Lounes</w:t>
      </w:r>
      <w:r>
        <w:rPr>
          <w:rFonts w:ascii="Times New Roman" w:hAnsi="Times New Roman" w:cs="Times New Roman"/>
          <w:noProof/>
          <w:sz w:val="24"/>
          <w:szCs w:val="24"/>
          <w:vertAlign w:val="superscript"/>
        </w:rPr>
        <w:footnoteReference w:id="58"/>
      </w:r>
      <w:r>
        <w:rPr>
          <w:rFonts w:ascii="Times New Roman" w:hAnsi="Times New Roman"/>
          <w:noProof/>
          <w:sz w:val="24"/>
          <w:szCs w:val="24"/>
        </w:rPr>
        <w:t xml:space="preserve"> Trybunał orzekł, że obywatel Unii, który skorzystał ze swojego prawa do swobodnego przemieszczania się w celu przebywania w innym państwie członkowskim UE i który od tamtej pory uzyskał obywatelstwo przyjmującego państwa członkowskiego, jednocześnie zachowując obywatelstwo państwa członkowskiego pochodzenia, może w dalszym ciągu korzystać z praw wynikających z art. 21 TFUE, podczas gdy nie jest już beneficjentem dyrektywy 2004/38</w:t>
      </w:r>
      <w:r>
        <w:rPr>
          <w:rFonts w:ascii="Times New Roman" w:hAnsi="Times New Roman" w:cs="Times New Roman"/>
          <w:noProof/>
          <w:sz w:val="24"/>
          <w:szCs w:val="24"/>
          <w:vertAlign w:val="superscript"/>
        </w:rPr>
        <w:footnoteReference w:id="59"/>
      </w:r>
      <w:r>
        <w:rPr>
          <w:rFonts w:ascii="Times New Roman" w:hAnsi="Times New Roman"/>
          <w:noProof/>
          <w:sz w:val="24"/>
          <w:szCs w:val="24"/>
        </w:rPr>
        <w:t>. Prawa pobytu dla członków rodziny wspomnianego obywatela Unii (posiadającego podwójne obywatelstwo) również mogą wynikać bezpośrednio z art. 21 TFUE, na warunkach, które nie mogą być bardziej rygorystyczne niż warunki przewidziane w dyrektywie 2004/38</w:t>
      </w:r>
      <w:r>
        <w:rPr>
          <w:rFonts w:ascii="Times New Roman" w:hAnsi="Times New Roman" w:cs="Times New Roman"/>
          <w:noProof/>
          <w:sz w:val="24"/>
          <w:szCs w:val="24"/>
          <w:vertAlign w:val="superscript"/>
        </w:rPr>
        <w:footnoteReference w:id="60"/>
      </w:r>
      <w:r>
        <w:rPr>
          <w:rFonts w:ascii="Times New Roman" w:hAnsi="Times New Roman"/>
          <w:noProof/>
          <w:sz w:val="24"/>
          <w:szCs w:val="24"/>
        </w:rPr>
        <w:t>. Trybunał wyjaśnił, że prawo do swobodnego przemieszczania się obejmuje prawo do prowadzenia normalnego życia rodzinnego</w:t>
      </w:r>
      <w:r>
        <w:rPr>
          <w:rFonts w:ascii="Times New Roman" w:hAnsi="Times New Roman" w:cs="Times New Roman"/>
          <w:noProof/>
          <w:sz w:val="24"/>
          <w:szCs w:val="24"/>
          <w:vertAlign w:val="superscript"/>
        </w:rPr>
        <w:footnoteReference w:id="6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Gusa</w:t>
      </w:r>
      <w:r>
        <w:rPr>
          <w:rFonts w:ascii="Times New Roman" w:hAnsi="Times New Roman" w:cs="Times New Roman"/>
          <w:noProof/>
          <w:sz w:val="24"/>
          <w:szCs w:val="24"/>
          <w:vertAlign w:val="superscript"/>
        </w:rPr>
        <w:footnoteReference w:id="62"/>
      </w:r>
      <w:r>
        <w:rPr>
          <w:rFonts w:ascii="Times New Roman" w:hAnsi="Times New Roman"/>
          <w:noProof/>
          <w:sz w:val="24"/>
          <w:szCs w:val="24"/>
        </w:rPr>
        <w:t xml:space="preserve"> Trybunał orzekł, że prawo do zachowania statusu „pracownika najemnego lub osoby pracującej na własny rachunek” po zaprzestaniu działalności gospodarczej w przypadkach określonych w art. 7 ust. 3 dyrektywy 2004/38 (konkretniej w jego lit. b) dotyczącej „[pozostawania] bez pracy w sposób niezamierzony, co jest należycie odnotowane, po okresie zatrudnienia przekraczającym jeden rok i [zarejestrowaniu] się jako bezrobotny”) ma w równym stopniu zastosowanie do migrujących obywateli UE, którzy pracowali na własny rachunek przed niezamierzonym zaprzestaniem działalności gospodarczej</w:t>
      </w:r>
      <w:r>
        <w:rPr>
          <w:rFonts w:ascii="Times New Roman" w:hAnsi="Times New Roman" w:cs="Times New Roman"/>
          <w:noProof/>
          <w:sz w:val="24"/>
          <w:szCs w:val="24"/>
          <w:vertAlign w:val="superscript"/>
        </w:rPr>
        <w:footnoteReference w:id="6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Coman</w:t>
      </w:r>
      <w:r>
        <w:rPr>
          <w:rFonts w:ascii="Times New Roman" w:hAnsi="Times New Roman" w:cs="Times New Roman"/>
          <w:noProof/>
          <w:sz w:val="24"/>
          <w:szCs w:val="24"/>
          <w:vertAlign w:val="superscript"/>
        </w:rPr>
        <w:footnoteReference w:id="64"/>
      </w:r>
      <w:r>
        <w:rPr>
          <w:rFonts w:ascii="Times New Roman" w:hAnsi="Times New Roman"/>
          <w:b/>
          <w:i/>
          <w:noProof/>
          <w:sz w:val="24"/>
          <w:szCs w:val="24"/>
        </w:rPr>
        <w:t xml:space="preserve"> </w:t>
      </w:r>
      <w:r>
        <w:rPr>
          <w:rFonts w:ascii="Times New Roman" w:hAnsi="Times New Roman"/>
          <w:noProof/>
          <w:sz w:val="24"/>
          <w:szCs w:val="24"/>
        </w:rPr>
        <w:t>Trybunał zinterpretował pojęcie „współmałżonka” obywatela Unii zawarte w art. 2 pkt 2 lit. a) dyrektywy 2004/38</w:t>
      </w:r>
      <w:r>
        <w:rPr>
          <w:rFonts w:ascii="Times New Roman" w:hAnsi="Times New Roman" w:cs="Times New Roman"/>
          <w:noProof/>
          <w:sz w:val="24"/>
          <w:szCs w:val="24"/>
          <w:vertAlign w:val="superscript"/>
        </w:rPr>
        <w:footnoteReference w:id="65"/>
      </w:r>
      <w:r>
        <w:rPr>
          <w:rFonts w:ascii="Times New Roman" w:hAnsi="Times New Roman"/>
          <w:noProof/>
          <w:sz w:val="24"/>
          <w:szCs w:val="24"/>
        </w:rPr>
        <w:t xml:space="preserve"> i orzekł, że jest to autonomiczna definicja według prawa Unii, niezależna od prawa państwa członkowskiego. Trybunał orzekł, że w przypadku gdy powracający obywatel Unii (poprzednio) skorzystał z praw do swobodnego przemieszczania się, aby efektywnie zamieszkać w innym państwie członkowskim UE oraz rozwinął lub umocnił w przyjmującym państwie członkowskim życie rodzinne z obywatelem (państwa trzeciego) tej samej płci, z którym związał się poprzez małżeństwo legalnie zawarte w przyjmującym państwie członkowskim, prawo Unii wyklucza ustawodawstwo krajowe, zgodnie z którym odmawia się przyznania pochodnych praw wjazdu i pobytu współmałżonkowi tej samej płci powracającego obywatela Unii na podstawie nieuznawania małżeństw tej samej płci w danym państwie członkowskim (pochodzenia)</w:t>
      </w:r>
      <w:r>
        <w:rPr>
          <w:rFonts w:ascii="Times New Roman" w:hAnsi="Times New Roman" w:cs="Times New Roman"/>
          <w:noProof/>
          <w:sz w:val="24"/>
          <w:szCs w:val="24"/>
          <w:vertAlign w:val="superscript"/>
        </w:rPr>
        <w:footnoteReference w:id="66"/>
      </w:r>
      <w:r>
        <w:rPr>
          <w:rFonts w:ascii="Times New Roman" w:hAnsi="Times New Roman"/>
          <w:noProof/>
          <w:sz w:val="24"/>
          <w:szCs w:val="24"/>
        </w:rPr>
        <w:t>. Dane państwo członkowskie musi uznać taką osobę za współmałżonka do celów umożliwienia jej wykonywania praw, które osoba ta wywodzi z prawa Unii. Jednocześnie nie oznacza to, by państwo członkowskie było zobowiązane do wprowadzenia w swoim prawie krajowym instytucji małżeństwa osób tej samej płci</w:t>
      </w:r>
      <w:r>
        <w:rPr>
          <w:rFonts w:ascii="Times New Roman" w:hAnsi="Times New Roman" w:cs="Times New Roman"/>
          <w:noProof/>
          <w:sz w:val="24"/>
          <w:szCs w:val="24"/>
          <w:vertAlign w:val="superscript"/>
        </w:rPr>
        <w:footnoteReference w:id="6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Altiner i Ravn</w:t>
      </w:r>
      <w:r>
        <w:rPr>
          <w:rFonts w:ascii="Times New Roman" w:hAnsi="Times New Roman" w:cs="Times New Roman"/>
          <w:noProof/>
          <w:sz w:val="24"/>
          <w:szCs w:val="24"/>
          <w:vertAlign w:val="superscript"/>
        </w:rPr>
        <w:footnoteReference w:id="68"/>
      </w:r>
      <w:r>
        <w:rPr>
          <w:rFonts w:ascii="Times New Roman" w:hAnsi="Times New Roman"/>
          <w:noProof/>
          <w:sz w:val="24"/>
          <w:szCs w:val="24"/>
        </w:rPr>
        <w:t xml:space="preserve"> Trybunał orzekł, że prawo Unii nie stoi na przeszkodzie uregulowaniu państwa członkowskiego, które nie przewiduje przyznania pochodnego prawa pobytu członkowi rodziny powracającego obywatela Unii, gdy ten członek rodziny nie wjechał na terytorium państwa członkowskiego pochodzenia tego obywatela Unii „w naturalnej konsekwencji” powrotu danego obywatela Unii do tego państwa członkowskiego</w:t>
      </w:r>
      <w:r>
        <w:rPr>
          <w:rFonts w:ascii="Times New Roman" w:hAnsi="Times New Roman" w:cs="Times New Roman"/>
          <w:noProof/>
          <w:sz w:val="24"/>
          <w:szCs w:val="24"/>
          <w:vertAlign w:val="superscript"/>
        </w:rPr>
        <w:footnoteReference w:id="69"/>
      </w:r>
      <w:r>
        <w:rPr>
          <w:rFonts w:ascii="Times New Roman" w:hAnsi="Times New Roman"/>
          <w:noProof/>
          <w:sz w:val="24"/>
          <w:szCs w:val="24"/>
        </w:rPr>
        <w:t>. Jest tak pod warunkiem że to uregulowanie krajowe wymaga, w ramach całościowej oceny, uwzględnienia również innych istotnych elementów, które mogą wykazać, że mimo odstępu czasowego między powrotem do rzeczonego państwa obywatela Unii a wjazdem członka jego rodziny, który jest obywatelem państwa trzeciego, życie rodzinne zbudowane i umocnione w przyjmującym państwie członkowskim nie ustało</w:t>
      </w:r>
      <w:r>
        <w:rPr>
          <w:rFonts w:ascii="Times New Roman" w:hAnsi="Times New Roman" w:cs="Times New Roman"/>
          <w:noProof/>
          <w:sz w:val="24"/>
          <w:szCs w:val="24"/>
          <w:vertAlign w:val="superscript"/>
        </w:rPr>
        <w:footnoteReference w:id="70"/>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noProof/>
          <w:sz w:val="24"/>
          <w:szCs w:val="24"/>
        </w:rPr>
        <w:t xml:space="preserve">Sprawa </w:t>
      </w:r>
      <w:r>
        <w:rPr>
          <w:rFonts w:ascii="Times New Roman" w:hAnsi="Times New Roman"/>
          <w:b/>
          <w:noProof/>
          <w:sz w:val="24"/>
          <w:szCs w:val="24"/>
        </w:rPr>
        <w:t>Tarola</w:t>
      </w:r>
      <w:r>
        <w:rPr>
          <w:rFonts w:ascii="Times New Roman" w:hAnsi="Times New Roman" w:cs="Times New Roman"/>
          <w:noProof/>
          <w:sz w:val="24"/>
          <w:szCs w:val="24"/>
          <w:vertAlign w:val="superscript"/>
        </w:rPr>
        <w:footnoteReference w:id="71"/>
      </w:r>
      <w:r>
        <w:rPr>
          <w:rFonts w:ascii="Times New Roman" w:hAnsi="Times New Roman"/>
          <w:noProof/>
          <w:sz w:val="24"/>
          <w:szCs w:val="24"/>
        </w:rPr>
        <w:t xml:space="preserve"> </w:t>
      </w:r>
      <w:r>
        <w:rPr>
          <w:rFonts w:ascii="Times New Roman" w:hAnsi="Times New Roman"/>
          <w:bCs/>
          <w:noProof/>
          <w:sz w:val="24"/>
          <w:szCs w:val="24"/>
        </w:rPr>
        <w:t>dotyczyła przypadku obywatela Unii, który wykonał swoje prawo do swobodnego przemieszczania się poprzez bycie zatrudnionym w przyjmującym państwie członkowskim przez okres dwóch tygodni, na podstawie innej niż umowa o pracę na czas określony, przed pozostawaniem na niezamierzonym bezrobociu. Trybunał zinterpretował art. 7 ust. 1 lit. a) i art. 7 ust. 3 lit. c) dyrektywy 2004/38/WE i uznał, że obywatel w takiej sytuacji zachowuje status pracownika</w:t>
      </w:r>
      <w:r>
        <w:rPr>
          <w:rFonts w:ascii="Times New Roman" w:hAnsi="Times New Roman"/>
          <w:noProof/>
          <w:sz w:val="24"/>
          <w:szCs w:val="24"/>
        </w:rPr>
        <w:t xml:space="preserve"> </w:t>
      </w:r>
      <w:r>
        <w:rPr>
          <w:rFonts w:ascii="Times New Roman" w:hAnsi="Times New Roman"/>
          <w:bCs/>
          <w:noProof/>
          <w:sz w:val="24"/>
          <w:szCs w:val="24"/>
        </w:rPr>
        <w:t xml:space="preserve">(a tym samym prawo pobytu w przyjmującym państwie członkowskim) przez okres co najmniej sześciu miesięcy, </w:t>
      </w:r>
      <w:r>
        <w:rPr>
          <w:rFonts w:ascii="Times New Roman" w:hAnsi="Times New Roman"/>
          <w:noProof/>
          <w:sz w:val="24"/>
          <w:szCs w:val="24"/>
        </w:rPr>
        <w:t>pod warunkiem że dana osoba rzeczywiście miała status pracownika przed niezamierzonym bezrobociem i zarejestrowała się jako bezrobotny w odpowiednim urzędzie pracy</w:t>
      </w:r>
      <w:r>
        <w:rPr>
          <w:rFonts w:ascii="Times New Roman" w:hAnsi="Times New Roman" w:cs="Times New Roman"/>
          <w:noProof/>
          <w:sz w:val="24"/>
          <w:szCs w:val="24"/>
          <w:vertAlign w:val="superscript"/>
        </w:rPr>
        <w:footnoteReference w:id="72"/>
      </w:r>
      <w:r>
        <w:rPr>
          <w:rFonts w:ascii="Times New Roman" w:hAnsi="Times New Roman"/>
          <w:noProof/>
          <w:sz w:val="24"/>
          <w:szCs w:val="24"/>
        </w:rPr>
        <w:t>. Ponadto Trybunał zauważył, że każde wynikające z prawa krajowego prawo do otrzymywania świadczeń z zabezpieczenia społecznego lub z pomocy społecznej może zależeć od określonego okresu zatrudnienia, w takim zakresie, w jakim zgodnie z zasadą równego traktowania ten sam warunek jest stosowany w stosunku do obywateli danego państwa członkowskiego</w:t>
      </w:r>
      <w:r>
        <w:rPr>
          <w:rFonts w:ascii="Times New Roman" w:hAnsi="Times New Roman" w:cs="Times New Roman"/>
          <w:noProof/>
          <w:sz w:val="24"/>
          <w:szCs w:val="24"/>
          <w:vertAlign w:val="superscript"/>
        </w:rPr>
        <w:footnoteReference w:id="7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 xml:space="preserve">Sprawa </w:t>
      </w:r>
      <w:r>
        <w:rPr>
          <w:rFonts w:ascii="Times New Roman" w:hAnsi="Times New Roman"/>
          <w:b/>
          <w:bCs/>
          <w:noProof/>
          <w:sz w:val="24"/>
          <w:szCs w:val="24"/>
        </w:rPr>
        <w:t>Bajratari</w:t>
      </w:r>
      <w:r>
        <w:rPr>
          <w:rStyle w:val="FootnoteReference"/>
          <w:noProof/>
        </w:rPr>
        <w:footnoteReference w:id="74"/>
      </w:r>
      <w:r>
        <w:rPr>
          <w:rFonts w:ascii="Times New Roman" w:hAnsi="Times New Roman"/>
          <w:bCs/>
          <w:noProof/>
          <w:sz w:val="24"/>
          <w:szCs w:val="24"/>
        </w:rPr>
        <w:t xml:space="preserve"> jest związana z interpretacją art. 7 ust. 1 lit. b) dyrektywy 2004/38/WE – pobytu na podstawie wystarczających zasobów i pełnego ubezpieczenia zdrowotnego. Sprawa ta dotyczyła rodzica będącego obywatelem państwa trzeciego małoletniego obywatela Unii, który wnosił o poleganie na jego pochodnym prawie pobytu w przyjmującym państwie członkowskim, powołując się na status osoby sprawującej faktyczną pieczę nad dzieckiem będącym obywatelem Unii przebywającym na podstawie art. 7 ust. 1 lit. b). Trybunał orzekł, że małoletni obywatel Unii posiada wystarczające środki, aby nie stanowić obciążenia dla systemu pomocy społecznej przyjmującego państwa członkowskiego w okresie jego pobytu, w przypadku gdy źródłem tych środków są dochody uzyskiwane z pracy, którą rodzic tego obywatela, będący obywatelem państwa trzeciego i nieposiadający zezwolenia na pobyt i zezwolenia na pracę, wykonuje nielegalnie</w:t>
      </w:r>
      <w:r>
        <w:rPr>
          <w:rStyle w:val="FootnoteReference"/>
          <w:rFonts w:ascii="Times New Roman" w:hAnsi="Times New Roman"/>
          <w:bCs/>
          <w:noProof/>
          <w:sz w:val="24"/>
          <w:szCs w:val="24"/>
        </w:rPr>
        <w:footnoteReference w:id="75"/>
      </w:r>
      <w:r>
        <w:rPr>
          <w:rFonts w:ascii="Times New Roman" w:hAnsi="Times New Roman"/>
          <w:bCs/>
          <w:noProof/>
          <w:sz w:val="24"/>
          <w:szCs w:val="24"/>
        </w:rPr>
        <w:t>. Trybunał orzekł również, że warunki ograniczenia prawa pobytu małoletniego obywatela Unii uzasadnionego względami porządku publicznego nie zostały spełnione</w:t>
      </w:r>
      <w:r>
        <w:rPr>
          <w:rStyle w:val="FootnoteReference"/>
          <w:rFonts w:ascii="Times New Roman" w:hAnsi="Times New Roman"/>
          <w:bCs/>
          <w:noProof/>
          <w:sz w:val="24"/>
          <w:szCs w:val="24"/>
        </w:rPr>
        <w:footnoteReference w:id="76"/>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Drugi zestaw orzeczeń TSUE dotyczy ograniczenia praw pobytu i wydalenia na mocy dyrektywy 2004/38.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E/Subdelegación del Gobierno en Álava</w:t>
      </w:r>
      <w:r>
        <w:rPr>
          <w:rFonts w:ascii="Times New Roman" w:hAnsi="Times New Roman" w:cs="Times New Roman"/>
          <w:noProof/>
          <w:sz w:val="24"/>
          <w:szCs w:val="24"/>
          <w:vertAlign w:val="superscript"/>
        </w:rPr>
        <w:footnoteReference w:id="77"/>
      </w:r>
      <w:r>
        <w:rPr>
          <w:rFonts w:ascii="Times New Roman" w:hAnsi="Times New Roman"/>
          <w:noProof/>
          <w:sz w:val="24"/>
          <w:szCs w:val="24"/>
        </w:rPr>
        <w:t xml:space="preserve"> Trybunał powtórzył, że decyzje dotyczące wydalenia na podstawie dyrektywy 2004/38 muszą opierać się wyłącznie na osobistym postępowaniu osoby (obywatela Unii), której to dotyczy. Okoliczność, iż w chwili wydania decyzji o wydaleniu, osoba, której to dotyczy, przebywała w zakładzie karnym bez szansy na zwolnienie w bliskiej przyszłości, nie „wyklucza, by jej zachowanie [...] stanowiło dla jednego z podstawowych interesów społeczeństwa przyjmującego państwa członkowskiego zagrożenie o rzeczywistym i aktualnym charakterze”</w:t>
      </w:r>
      <w:r>
        <w:rPr>
          <w:rFonts w:ascii="Times New Roman" w:hAnsi="Times New Roman" w:cs="Times New Roman"/>
          <w:noProof/>
          <w:sz w:val="24"/>
          <w:szCs w:val="24"/>
          <w:vertAlign w:val="superscript"/>
        </w:rPr>
        <w:footnoteReference w:id="78"/>
      </w:r>
      <w:r>
        <w:rPr>
          <w:rFonts w:ascii="Times New Roman" w:hAnsi="Times New Roman"/>
          <w:noProof/>
          <w:sz w:val="24"/>
          <w:szCs w:val="24"/>
        </w:rPr>
        <w:t xml:space="preserve"> do celów wydania takiej decyzji.</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Petrea</w:t>
      </w:r>
      <w:r>
        <w:rPr>
          <w:rFonts w:ascii="Times New Roman" w:hAnsi="Times New Roman" w:cs="Times New Roman"/>
          <w:noProof/>
          <w:sz w:val="24"/>
          <w:szCs w:val="24"/>
          <w:vertAlign w:val="superscript"/>
        </w:rPr>
        <w:footnoteReference w:id="79"/>
      </w:r>
      <w:r>
        <w:rPr>
          <w:rFonts w:ascii="Times New Roman" w:hAnsi="Times New Roman"/>
          <w:noProof/>
          <w:sz w:val="24"/>
          <w:szCs w:val="24"/>
        </w:rPr>
        <w:t xml:space="preserve"> Trybunał orzekł, między innymi, że państwo członkowskie może uchylić zaświadczenie o rejestracji wydane w sposób błędny obywatelowi Unii, który został wydalony i powrócił, gdy wciąż obowiązywało go zarządzenie o wydaleniu (jak określono w dyrektywie 2004/38)</w:t>
      </w:r>
      <w:r>
        <w:rPr>
          <w:rFonts w:ascii="Times New Roman" w:hAnsi="Times New Roman" w:cs="Times New Roman"/>
          <w:noProof/>
          <w:sz w:val="24"/>
          <w:szCs w:val="24"/>
          <w:vertAlign w:val="superscript"/>
        </w:rPr>
        <w:footnoteReference w:id="80"/>
      </w:r>
      <w:r>
        <w:rPr>
          <w:rFonts w:ascii="Times New Roman" w:hAnsi="Times New Roman"/>
          <w:noProof/>
          <w:sz w:val="24"/>
          <w:szCs w:val="24"/>
        </w:rPr>
        <w:t>. Obywatel Unii, którego to dotyczy, ma prawo, zgodnie z art. 32 dyrektywy 2004/38, złożyć wniosek o uchylenie wspomnianego zarządzenia o wydaleniu. Taki obywatel nie posiada jednak prawa do pobytu (na mocy dyrektywy 2004/38) podczas rozpatrywania jego wniosku</w:t>
      </w:r>
      <w:r>
        <w:rPr>
          <w:rFonts w:ascii="Times New Roman" w:hAnsi="Times New Roman" w:cs="Times New Roman"/>
          <w:noProof/>
          <w:sz w:val="24"/>
          <w:szCs w:val="24"/>
          <w:vertAlign w:val="superscript"/>
        </w:rPr>
        <w:footnoteReference w:id="81"/>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B oraz Vomero</w:t>
      </w:r>
      <w:r>
        <w:rPr>
          <w:rFonts w:ascii="Times New Roman" w:hAnsi="Times New Roman" w:cs="Times New Roman"/>
          <w:noProof/>
          <w:sz w:val="24"/>
          <w:szCs w:val="24"/>
          <w:vertAlign w:val="superscript"/>
        </w:rPr>
        <w:footnoteReference w:id="82"/>
      </w:r>
      <w:r>
        <w:rPr>
          <w:rFonts w:ascii="Times New Roman" w:hAnsi="Times New Roman"/>
          <w:noProof/>
          <w:sz w:val="24"/>
          <w:szCs w:val="24"/>
        </w:rPr>
        <w:t xml:space="preserve"> Trybunał wyjaśnił wiele kwestii dotyczących przepisów dyrektywy 2004/38 dotyczących zwiększonej ochrony przed wydaleniem na mocy art. 28 ust. 3 lit. a) dyrektywy i warunków, jakie należy spełnić, aby z niej skorzystać, szczególnie w kontekście kary pozbawienia wolności. Trybunał orzekł, że aby móc korzystać ze zwiększonej ochrony przed wydaleniem, obywatel Unii musi posiadać prawo stałego pobytu</w:t>
      </w:r>
      <w:r>
        <w:rPr>
          <w:rFonts w:ascii="Times New Roman" w:hAnsi="Times New Roman" w:cs="Times New Roman"/>
          <w:noProof/>
          <w:sz w:val="24"/>
          <w:szCs w:val="24"/>
          <w:vertAlign w:val="superscript"/>
        </w:rPr>
        <w:footnoteReference w:id="83"/>
      </w:r>
      <w:r>
        <w:rPr>
          <w:rFonts w:ascii="Times New Roman" w:hAnsi="Times New Roman"/>
          <w:noProof/>
          <w:sz w:val="24"/>
          <w:szCs w:val="24"/>
        </w:rPr>
        <w:t>. Ponadto Trybunał wyjaśnił, że zgromadzony (nieprzerwany) okres wcześniejszego pobytu wymagany do przyznania zwiększonej ochrony przed wydaleniem należy obliczać wstecz, od dnia wydania pierwotnej decyzji o wydaleniu</w:t>
      </w:r>
      <w:r>
        <w:rPr>
          <w:rFonts w:ascii="Times New Roman" w:hAnsi="Times New Roman" w:cs="Times New Roman"/>
          <w:noProof/>
          <w:sz w:val="24"/>
          <w:szCs w:val="24"/>
          <w:vertAlign w:val="superscript"/>
        </w:rPr>
        <w:footnoteReference w:id="84"/>
      </w:r>
      <w:r>
        <w:rPr>
          <w:rFonts w:ascii="Times New Roman" w:hAnsi="Times New Roman"/>
          <w:noProof/>
          <w:sz w:val="24"/>
          <w:szCs w:val="24"/>
        </w:rPr>
        <w:t>. Kwestię tego, czy okres odbywania kary pozbawienia wolności przed wydaniem decyzji o wydaleniu przerwał okres pobytu wymagany do przyznania zwiększonej ochrony przed wydaleniem, należy ustalić poprzez całościową ocenę tego, czy niezależnie od wspomnianego pozbawienia wolności więzy integracyjne łączące obywatela Unii z przyjmującym państwem członkowskim nie zostały zerwane</w:t>
      </w:r>
      <w:r>
        <w:rPr>
          <w:rFonts w:ascii="Times New Roman" w:hAnsi="Times New Roman" w:cs="Times New Roman"/>
          <w:noProof/>
          <w:sz w:val="24"/>
          <w:szCs w:val="24"/>
          <w:vertAlign w:val="superscript"/>
        </w:rPr>
        <w:footnoteReference w:id="85"/>
      </w:r>
      <w:r>
        <w:rPr>
          <w:rFonts w:ascii="Times New Roman" w:hAnsi="Times New Roman"/>
          <w:noProof/>
          <w:sz w:val="24"/>
          <w:szCs w:val="24"/>
        </w:rPr>
        <w:t>. Wśród aspektów mających znaczenie w tej całościowej ocenie znajduje się „siła więzów integracyjnych zadzierzgniętych w przyjmującym państwie członkowskim przed umieszczeniem zainteresowanego w zakładzie karnym, charakter przestępstwa, które było przyczyną odbywania przez niego kary pozbawienia wolności, oraz okoliczności popełnienia przestępstwa, a także zachowanie zainteresowanego w okresie odbywania kary”</w:t>
      </w:r>
      <w:r>
        <w:rPr>
          <w:rFonts w:ascii="Times New Roman" w:hAnsi="Times New Roman" w:cs="Times New Roman"/>
          <w:noProof/>
          <w:sz w:val="24"/>
          <w:szCs w:val="24"/>
          <w:vertAlign w:val="superscript"/>
        </w:rPr>
        <w:footnoteReference w:id="86"/>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K oraz HF</w:t>
      </w:r>
      <w:r>
        <w:rPr>
          <w:rFonts w:ascii="Times New Roman" w:hAnsi="Times New Roman" w:cs="Times New Roman"/>
          <w:noProof/>
          <w:sz w:val="24"/>
          <w:szCs w:val="24"/>
          <w:vertAlign w:val="superscript"/>
        </w:rPr>
        <w:footnoteReference w:id="87"/>
      </w:r>
      <w:r>
        <w:rPr>
          <w:rFonts w:ascii="Times New Roman" w:hAnsi="Times New Roman"/>
          <w:noProof/>
          <w:sz w:val="24"/>
          <w:szCs w:val="24"/>
        </w:rPr>
        <w:t xml:space="preserve"> Trybunał orzekł, że fakt odmówienia w przeszłości obywatelowi Unii (członkowi jego rodziny) przyznania azylu na mocy art. 1F konwencji genewskiej, nie może </w:t>
      </w:r>
      <w:r>
        <w:rPr>
          <w:rFonts w:ascii="Times New Roman" w:hAnsi="Times New Roman"/>
          <w:i/>
          <w:noProof/>
          <w:sz w:val="24"/>
          <w:szCs w:val="24"/>
        </w:rPr>
        <w:t>automatycznie</w:t>
      </w:r>
      <w:r>
        <w:rPr>
          <w:rFonts w:ascii="Times New Roman" w:hAnsi="Times New Roman"/>
          <w:noProof/>
          <w:sz w:val="24"/>
          <w:szCs w:val="24"/>
        </w:rPr>
        <w:t xml:space="preserve"> prowadzić do stwierdzenia, że sama jego obecność stanowi rzeczywiste, aktualne i dostatecznie poważne zagrożenie dla jednego z podstawowych interesów społeczeństwa zgodnie z wymogiem zawartym w dyrektywie 2004/38 (art. 27)</w:t>
      </w:r>
      <w:r>
        <w:rPr>
          <w:rFonts w:ascii="Times New Roman" w:hAnsi="Times New Roman" w:cs="Times New Roman"/>
          <w:noProof/>
          <w:sz w:val="24"/>
          <w:szCs w:val="24"/>
          <w:vertAlign w:val="superscript"/>
        </w:rPr>
        <w:footnoteReference w:id="88"/>
      </w:r>
      <w:r>
        <w:rPr>
          <w:rFonts w:ascii="Times New Roman" w:hAnsi="Times New Roman"/>
          <w:noProof/>
          <w:sz w:val="24"/>
          <w:szCs w:val="24"/>
        </w:rPr>
        <w:t>. Konieczność ograniczenia swobody przemieszczania się i pobytu obywatela Unii lub członka rodziny obywatela Unii należy ocenić w każdym konkretnym przypadku</w:t>
      </w:r>
      <w:r>
        <w:rPr>
          <w:rFonts w:ascii="Times New Roman" w:hAnsi="Times New Roman" w:cs="Times New Roman"/>
          <w:noProof/>
          <w:sz w:val="24"/>
          <w:szCs w:val="24"/>
          <w:vertAlign w:val="superscript"/>
        </w:rPr>
        <w:footnoteReference w:id="89"/>
      </w:r>
      <w:r>
        <w:rPr>
          <w:rFonts w:ascii="Times New Roman" w:hAnsi="Times New Roman"/>
          <w:noProof/>
          <w:sz w:val="24"/>
          <w:szCs w:val="24"/>
        </w:rPr>
        <w:t xml:space="preserve"> i na podstawie przepisów dotyczących swobodnego przepływu. Właściwe organy krajowe muszą dalej rozważyć, czy i) wdrożenie takich środków porządku publicznego lub bezpieczeństwa publicznego jest zgodne z zasadą proporcjonalności, uwzględniając prawa obywateli Unii i członków ich rodzin oraz ii) czy możliwe było zastosowanie innych środków w mniejszym stopniu naruszających swobodę przemieszczania się</w:t>
      </w:r>
      <w:r>
        <w:rPr>
          <w:rFonts w:ascii="Times New Roman" w:hAnsi="Times New Roman" w:cs="Times New Roman"/>
          <w:noProof/>
          <w:sz w:val="24"/>
          <w:szCs w:val="24"/>
          <w:vertAlign w:val="superscript"/>
        </w:rPr>
        <w:footnoteReference w:id="90"/>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Trzeci zbiór orzeczeń Trybunału w okresie odniesienia dotyczy praw do swobodnego przemieszczania się i przebywania wynikających z art. 20 i 21 TFUE.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Rendón Marín</w:t>
      </w:r>
      <w:r>
        <w:rPr>
          <w:rFonts w:ascii="Times New Roman" w:hAnsi="Times New Roman" w:cs="Times New Roman"/>
          <w:noProof/>
          <w:sz w:val="24"/>
          <w:szCs w:val="24"/>
          <w:vertAlign w:val="superscript"/>
        </w:rPr>
        <w:footnoteReference w:id="91"/>
      </w:r>
      <w:r>
        <w:rPr>
          <w:rFonts w:ascii="Times New Roman" w:hAnsi="Times New Roman"/>
          <w:noProof/>
          <w:sz w:val="24"/>
          <w:szCs w:val="24"/>
        </w:rPr>
        <w:t xml:space="preserve"> Trybunał orzekł, że prawo Unii automatycznie sprzeciwia się odmowie przyznania pochodnego prawa pobytu obywatelowi państwa trzeciego, który sprawuje wyłączną pieczę nad „migrującym” i „niemigrującym” małoletnim obywatelem Unii tylko w oparciu o wcześniejszą karalność</w:t>
      </w:r>
      <w:r>
        <w:rPr>
          <w:rFonts w:ascii="Times New Roman" w:hAnsi="Times New Roman" w:cs="Times New Roman"/>
          <w:noProof/>
          <w:sz w:val="24"/>
          <w:szCs w:val="24"/>
          <w:vertAlign w:val="superscript"/>
        </w:rPr>
        <w:footnoteReference w:id="92"/>
      </w:r>
      <w:r>
        <w:rPr>
          <w:rFonts w:ascii="Times New Roman" w:hAnsi="Times New Roman"/>
          <w:noProof/>
          <w:sz w:val="24"/>
          <w:szCs w:val="24"/>
        </w:rPr>
        <w:t xml:space="preserve">. To wyłączenie automatycznej odmowy przyznania pochodnego prawa pobytu rodzicowi będącemu obywatelem państwa trzeciego, na którego utrzymaniu znajduje się nieletni obywatel Unii, tylko w oparciu o karalność tego rodzica, zostało w podobny sposób potwierdzone przez Trybunał w sprawie </w:t>
      </w:r>
      <w:r>
        <w:rPr>
          <w:rFonts w:ascii="Times New Roman" w:hAnsi="Times New Roman"/>
          <w:b/>
          <w:noProof/>
          <w:sz w:val="24"/>
          <w:szCs w:val="24"/>
        </w:rPr>
        <w:t>CS</w:t>
      </w:r>
      <w:r>
        <w:rPr>
          <w:rFonts w:ascii="Times New Roman" w:hAnsi="Times New Roman" w:cs="Times New Roman"/>
          <w:noProof/>
          <w:sz w:val="24"/>
          <w:szCs w:val="24"/>
          <w:vertAlign w:val="superscript"/>
        </w:rPr>
        <w:footnoteReference w:id="93"/>
      </w:r>
      <w:r>
        <w:rPr>
          <w:rFonts w:ascii="Times New Roman" w:hAnsi="Times New Roman"/>
          <w:noProof/>
          <w:sz w:val="24"/>
          <w:szCs w:val="24"/>
        </w:rPr>
        <w:t>. W obu sprawach Rendón Marín oraz CS Trybunał uznaje jednak możliwość ograniczania przez państwa członkowskie praw pobytu wynikających z art. 20 i 21 TFUE w zakresie, w jakim wszelkie tego typu ograniczenie oparte jest na ocenie konkretnego przypadku oraz wszelkie wydalenie lub ograniczenie prawa pobytu uzasadnione jest „istnieniem rzeczywistego, aktualnego i dostatecznie poważnego zagrożenia dla porządku publicznego lub bezpieczeństwa publicznego”</w:t>
      </w:r>
      <w:r>
        <w:rPr>
          <w:rFonts w:ascii="Times New Roman" w:hAnsi="Times New Roman" w:cs="Times New Roman"/>
          <w:noProof/>
          <w:sz w:val="24"/>
          <w:szCs w:val="24"/>
          <w:vertAlign w:val="superscript"/>
        </w:rPr>
        <w:footnoteReference w:id="94"/>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Chavez-Vilchez i in.</w:t>
      </w:r>
      <w:r>
        <w:rPr>
          <w:rFonts w:ascii="Times New Roman" w:hAnsi="Times New Roman" w:cs="Times New Roman"/>
          <w:noProof/>
          <w:sz w:val="24"/>
          <w:szCs w:val="24"/>
          <w:vertAlign w:val="superscript"/>
        </w:rPr>
        <w:footnoteReference w:id="95"/>
      </w:r>
      <w:r>
        <w:rPr>
          <w:rFonts w:ascii="Times New Roman" w:hAnsi="Times New Roman"/>
          <w:noProof/>
          <w:sz w:val="24"/>
          <w:szCs w:val="24"/>
        </w:rPr>
        <w:t xml:space="preserve"> Trybunał miał określić zakres, w jakim prawo pobytu wynikające z art. 20 TFUE (zgodnie z linią orzecznictwa Trybunału, począwszy od sprawy Ruiz Zambrano</w:t>
      </w:r>
      <w:r>
        <w:rPr>
          <w:rStyle w:val="FootnoteReference"/>
          <w:rFonts w:ascii="Times New Roman" w:hAnsi="Times New Roman" w:cs="Times New Roman"/>
          <w:i/>
          <w:noProof/>
          <w:sz w:val="24"/>
          <w:szCs w:val="24"/>
        </w:rPr>
        <w:footnoteReference w:id="96"/>
      </w:r>
      <w:r>
        <w:rPr>
          <w:rFonts w:ascii="Times New Roman" w:hAnsi="Times New Roman"/>
          <w:noProof/>
          <w:sz w:val="24"/>
          <w:szCs w:val="24"/>
        </w:rPr>
        <w:t>) zależy od możliwości rodzica będącego obywatelem Unii, który nie sprawuje rzeczywistej pieczy nad „niemigrującym” małoletnim obywatelem Unii, sprawowania pieczy nad tym dzieckiem. Trybunał orzekł, że właściwe organy muszą ustalić, w świetle między innymi art. 7 (poszanowanie życia prywatnego i rodzinnego) i art. 24 (uwzględnienie najlepszego interesu dziecka) Karty praw podstawowych Unii Europejskiej, który rodzic sprawuje rzeczywistą pieczę nad dzieckiem i czy istnieje stosunek zależności z rodzicem będącym obywatelem państwa trzeciego, który w praktyce zmusiłby dziecko do opuszczenia terytorium UE w przypadku odmowy prawa pobytu temu rodzicowi</w:t>
      </w:r>
      <w:r>
        <w:rPr>
          <w:rFonts w:ascii="Times New Roman" w:hAnsi="Times New Roman" w:cs="Times New Roman"/>
          <w:noProof/>
          <w:sz w:val="24"/>
          <w:szCs w:val="24"/>
          <w:vertAlign w:val="superscript"/>
        </w:rPr>
        <w:footnoteReference w:id="97"/>
      </w:r>
      <w:r>
        <w:rPr>
          <w:rFonts w:ascii="Times New Roman" w:hAnsi="Times New Roman"/>
          <w:noProof/>
          <w:sz w:val="24"/>
          <w:szCs w:val="24"/>
        </w:rPr>
        <w:t>. Trybunał orzekł, że w celu przeprowadzenia takiej oceny okoliczność, że drugi rodzic, będący obywatelem Unii, jest rzeczywiście zdolny i gotowy do sprawowania samemu faktycznie na co dzień opieki nad dzieckiem, stanowi istotny element. Sam w sobie nie wystarczy jednak do stwierdzenia, że między rodzicem będącym obywatelem państwa trzeciego a dzieckiem nie istnieje stosunek zależności, który zmuszałby dziecko do opuszczenia terytorium Unii, gdyby temu obywatelowi państwa trzeciego odmówiono przyznania prawa pobytu</w:t>
      </w:r>
      <w:r>
        <w:rPr>
          <w:rFonts w:ascii="Times New Roman" w:hAnsi="Times New Roman" w:cs="Times New Roman"/>
          <w:noProof/>
          <w:sz w:val="24"/>
          <w:szCs w:val="24"/>
          <w:vertAlign w:val="superscript"/>
        </w:rPr>
        <w:footnoteReference w:id="98"/>
      </w:r>
      <w:r>
        <w:rPr>
          <w:rFonts w:ascii="Times New Roman" w:hAnsi="Times New Roman"/>
          <w:noProof/>
          <w:sz w:val="24"/>
          <w:szCs w:val="24"/>
        </w:rPr>
        <w:t>. Trybunał potwierdził, że do istotnych elementów w ocenie dokonywanej przez właściwe organy należy „kwestia pieczy nad dzieckiem oraz kwestia tego, czy opiekę nad tym dzieckiem w aspekcie prawnym, finansowym czy uczuciowym sprawuje rodzic będący obywatelem państwa trzeciego”</w:t>
      </w:r>
      <w:r>
        <w:rPr>
          <w:rFonts w:ascii="Times New Roman" w:hAnsi="Times New Roman" w:cs="Times New Roman"/>
          <w:noProof/>
          <w:sz w:val="24"/>
          <w:szCs w:val="24"/>
          <w:vertAlign w:val="superscript"/>
        </w:rPr>
        <w:footnoteReference w:id="99"/>
      </w:r>
      <w:r>
        <w:rPr>
          <w:rFonts w:ascii="Times New Roman" w:hAnsi="Times New Roman"/>
          <w:noProof/>
          <w:sz w:val="24"/>
          <w:szCs w:val="24"/>
        </w:rPr>
        <w:t>. Trybunał dodał następnie, że ocena tych elementów „powinna opierać się na uwzględnieniu w najlepszym interesie danego dziecka, wszystkich okoliczności danego przypadku, a w szczególności wieku dziecka, stopnia jego rozwoju psychicznego i emocjonalnego, siły związku uczuciowego dziecka zarówno z jego rodzicem będącym obywatelem Unii, jak i z rodzicem będącym obywatelem państwa trzeciego, a także ryzyka, jakie stanowiłoby dla równowagi tego dziecka rozdzielenie z tym ostatnim”</w:t>
      </w:r>
      <w:r>
        <w:rPr>
          <w:rFonts w:ascii="Times New Roman" w:hAnsi="Times New Roman" w:cs="Times New Roman"/>
          <w:noProof/>
          <w:sz w:val="24"/>
          <w:szCs w:val="24"/>
          <w:vertAlign w:val="superscript"/>
        </w:rPr>
        <w:footnoteReference w:id="100"/>
      </w:r>
      <w:r>
        <w:rPr>
          <w:rFonts w:ascii="Times New Roman" w:hAnsi="Times New Roman"/>
          <w:noProof/>
          <w:sz w:val="24"/>
          <w:szCs w:val="24"/>
        </w:rPr>
        <w:t xml:space="preserve">. </w:t>
      </w:r>
    </w:p>
    <w:p>
      <w:pPr>
        <w:pStyle w:val="c41dispositifintroduction"/>
        <w:spacing w:before="0" w:beforeAutospacing="0" w:after="160" w:afterAutospacing="0" w:line="276" w:lineRule="auto"/>
        <w:jc w:val="both"/>
        <w:rPr>
          <w:rFonts w:eastAsia="Times New Roman"/>
          <w:noProof/>
          <w:color w:val="000000"/>
        </w:rPr>
      </w:pPr>
      <w:r>
        <w:rPr>
          <w:noProof/>
        </w:rPr>
        <w:t xml:space="preserve">Sprawa </w:t>
      </w:r>
      <w:r>
        <w:rPr>
          <w:b/>
          <w:noProof/>
        </w:rPr>
        <w:t>Subdelegación del Gobierno en Ciudad Real</w:t>
      </w:r>
      <w:r>
        <w:rPr>
          <w:rStyle w:val="FootnoteReference"/>
          <w:noProof/>
          <w:color w:val="002060"/>
          <w:lang w:eastAsia="en-US"/>
        </w:rPr>
        <w:footnoteReference w:id="101"/>
      </w:r>
      <w:r>
        <w:rPr>
          <w:noProof/>
          <w:color w:val="002060"/>
        </w:rPr>
        <w:t xml:space="preserve"> </w:t>
      </w:r>
      <w:r>
        <w:rPr>
          <w:noProof/>
          <w:color w:val="000000"/>
        </w:rPr>
        <w:t xml:space="preserve">dotyczyła art. 20 TFUE. Trybunał orzekł, że art. 20 stoi na przeszkodzie oddaleniu przez państwo członkowskie wniosku w sprawie łączenia rodziny złożonego przez będącego obywatelem państwa trzeciego małżonka obywatela Unii Europejskiej, który posiada obywatelstwo tego państwa członkowskiego i nigdy nie skorzystał ze swobody przemieszczania się – na tej wyłącznie podstawie, że ten obywatel Unii nie posiada wystarczających zasobów dla siebie i małżonka, by nie stanowić obciążenia dla krajowego systemu pomocy społecznej i bez zbadania, czy obywatel Unii i obywatel państwa trzeciego pozostają w stosunku zależności tego rodzaju, że w przypadku odmowy przyznania temu obywatelowi państwa trzeciego pochodnego prawa pobytu ów obywatel Unii byłby zmuszony do opuszczenia terytorium Unii i w ten sposób zostałby pozbawiony praw przysługujących mu ze względu na jego status. W związku z tym, w sytuacji gdy do organu krajowego obywatel państwa trzeciego zwraca się z wnioskiem o przyznanie prawa pobytu do celów łączenia rodziny z obywatelem Unii posiadającym obywatelstwo tego państwa członkowskiego, organ ten ma obowiązek przeprowadzenia oceny, na podstawie informacji lub dowodów, które muszą przedstawić obywatel państwa trzeciego i obywatel Unii, a także w razie potrzeby dokonując sprawdzeń, czy te dwie osoby pozostają w stosunku zależności, co oznaczałoby, że ten obywatel państwa trzeciego co do zasady powinien otrzymać pochodne prawo pobytu na podstawie art. 20 TFUE. </w:t>
      </w:r>
    </w:p>
    <w:p>
      <w:pPr>
        <w:spacing w:line="276" w:lineRule="auto"/>
        <w:jc w:val="both"/>
        <w:rPr>
          <w:rFonts w:ascii="Times New Roman" w:hAnsi="Times New Roman" w:cs="Times New Roman"/>
          <w:noProof/>
          <w:sz w:val="24"/>
          <w:szCs w:val="24"/>
        </w:rPr>
      </w:pPr>
    </w:p>
    <w:p>
      <w:pPr>
        <w:pStyle w:val="ListParagraph"/>
        <w:numPr>
          <w:ilvl w:val="2"/>
          <w:numId w:val="2"/>
        </w:numPr>
        <w:spacing w:line="276" w:lineRule="auto"/>
        <w:jc w:val="both"/>
        <w:rPr>
          <w:rFonts w:ascii="Times New Roman" w:hAnsi="Times New Roman" w:cs="Times New Roman"/>
          <w:bCs/>
          <w:i/>
          <w:noProof/>
          <w:sz w:val="24"/>
          <w:szCs w:val="24"/>
        </w:rPr>
      </w:pPr>
      <w:bookmarkStart w:id="3" w:name="_Toc27163887"/>
      <w:r>
        <w:rPr>
          <w:rFonts w:ascii="Times New Roman" w:hAnsi="Times New Roman"/>
          <w:bCs/>
          <w:i/>
          <w:noProof/>
          <w:sz w:val="24"/>
          <w:szCs w:val="24"/>
        </w:rPr>
        <w:t>Zmiany w orzecznictwie TSUE dotyczącym praw wjazdu i pobytu „innych członków rodziny” obywatela Unii</w:t>
      </w:r>
      <w:bookmarkEnd w:id="3"/>
    </w:p>
    <w:p>
      <w:pPr>
        <w:spacing w:line="276" w:lineRule="auto"/>
        <w:jc w:val="both"/>
        <w:rPr>
          <w:rFonts w:ascii="Times New Roman" w:hAnsi="Times New Roman" w:cs="Times New Roman"/>
          <w:bCs/>
          <w:noProof/>
          <w:color w:val="000000"/>
          <w:sz w:val="24"/>
          <w:szCs w:val="24"/>
        </w:rPr>
      </w:pPr>
      <w:r>
        <w:rPr>
          <w:rFonts w:ascii="Times New Roman" w:hAnsi="Times New Roman"/>
          <w:noProof/>
          <w:sz w:val="24"/>
          <w:szCs w:val="24"/>
        </w:rPr>
        <w:t xml:space="preserve">Jeśli chodzi o prawo wjazdu, w sprawie </w:t>
      </w:r>
      <w:r>
        <w:rPr>
          <w:rFonts w:ascii="Times New Roman" w:hAnsi="Times New Roman"/>
          <w:b/>
          <w:noProof/>
          <w:sz w:val="24"/>
          <w:szCs w:val="24"/>
        </w:rPr>
        <w:t>Ryanair Designated Activity Company</w:t>
      </w:r>
      <w:r>
        <w:rPr>
          <w:rStyle w:val="FootnoteReference"/>
          <w:rFonts w:ascii="Times New Roman" w:eastAsia="Times New Roman" w:hAnsi="Times New Roman" w:cs="Times New Roman"/>
          <w:noProof/>
          <w:sz w:val="24"/>
          <w:szCs w:val="24"/>
        </w:rPr>
        <w:footnoteReference w:id="102"/>
      </w:r>
      <w:r>
        <w:rPr>
          <w:rFonts w:ascii="Times New Roman" w:hAnsi="Times New Roman"/>
          <w:noProof/>
          <w:sz w:val="24"/>
          <w:szCs w:val="24"/>
        </w:rPr>
        <w:t xml:space="preserve"> </w:t>
      </w:r>
      <w:r>
        <w:rPr>
          <w:rFonts w:ascii="Times New Roman" w:hAnsi="Times New Roman"/>
          <w:bCs/>
          <w:noProof/>
          <w:color w:val="000000"/>
          <w:sz w:val="24"/>
          <w:szCs w:val="24"/>
        </w:rPr>
        <w:t>Trybunał wyjaśnił, że obywatele państwa trzeciego będący członkami rodzin obywateli Unii posiadający kartę stałego pobytu wydaną na mocy art. 20 dyrektywy 2004/38/WE przez jedno państwo członkowskie są również zwolnieni na mocy art. 5 ust. 2 z obowiązku posiadania wizy przy wjeździe do innego państwa członkowskiego. Zwolnienie z obowiązku uzyskania wizy obowiązuje również, gdy karta ta została wydana przez państwo członkowskie nienależące do strefy Schengen. W orzeczeniu tym stwierdza się, że posiadacz takiej karty ma prawo wjazdu na terytorium państwa członkowskiego bez posiadania wizy po okazaniu tej karty, bez konieczności przeprowadzania dalszej weryfikacji jego statusu członka rodziny lub przedstawiania przez niego jakichkolwiek dodatkowych wyjaśnień.</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Ponadto w okresie odniesienia Trybunał wydał dwa wyroki, które zawierają dalsze wyjaśnienie zastosowania poprzez analogię art. 3 ust. 2 dyrektywy 2004/38 oraz jego poprzedniego postanowienia w sprawie Rahman</w:t>
      </w:r>
      <w:r>
        <w:rPr>
          <w:rFonts w:ascii="Times New Roman" w:hAnsi="Times New Roman" w:cs="Times New Roman"/>
          <w:noProof/>
          <w:sz w:val="24"/>
          <w:szCs w:val="24"/>
          <w:vertAlign w:val="superscript"/>
        </w:rPr>
        <w:footnoteReference w:id="103"/>
      </w:r>
      <w:r>
        <w:rPr>
          <w:rFonts w:ascii="Times New Roman" w:hAnsi="Times New Roman"/>
          <w:noProof/>
          <w:sz w:val="24"/>
          <w:szCs w:val="24"/>
        </w:rPr>
        <w:t>.</w:t>
      </w:r>
    </w:p>
    <w:p>
      <w:pPr>
        <w:spacing w:line="276" w:lineRule="auto"/>
        <w:jc w:val="both"/>
        <w:rPr>
          <w:rFonts w:ascii="Times New Roman" w:hAnsi="Times New Roman" w:cs="Times New Roman"/>
          <w:iCs/>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Banger</w:t>
      </w:r>
      <w:r>
        <w:rPr>
          <w:rFonts w:ascii="Times New Roman" w:hAnsi="Times New Roman" w:cs="Times New Roman"/>
          <w:noProof/>
          <w:sz w:val="24"/>
          <w:szCs w:val="24"/>
          <w:vertAlign w:val="superscript"/>
        </w:rPr>
        <w:footnoteReference w:id="104"/>
      </w:r>
      <w:r>
        <w:rPr>
          <w:rFonts w:ascii="Times New Roman" w:hAnsi="Times New Roman"/>
          <w:noProof/>
          <w:sz w:val="24"/>
          <w:szCs w:val="24"/>
        </w:rPr>
        <w:t xml:space="preserve"> Trybunał orzekł, że art. 21 TFUE wymaga od państw członkowskich ułatwienia wjazdu i pobytu członkom rodziny rozszerzonej ich powracających obywateli na warunkach przewidzianych w art. 3 ust. 2 dyrektywy 2004/38 stosowanym w drodze analogii</w:t>
      </w:r>
      <w:r>
        <w:rPr>
          <w:rFonts w:ascii="Times New Roman" w:hAnsi="Times New Roman" w:cs="Times New Roman"/>
          <w:noProof/>
          <w:sz w:val="24"/>
          <w:szCs w:val="24"/>
          <w:vertAlign w:val="superscript"/>
        </w:rPr>
        <w:footnoteReference w:id="105"/>
      </w:r>
      <w:r>
        <w:rPr>
          <w:rFonts w:ascii="Times New Roman" w:hAnsi="Times New Roman"/>
          <w:noProof/>
          <w:sz w:val="24"/>
          <w:szCs w:val="24"/>
        </w:rPr>
        <w:t>. Ocena wniosku o pobyt na mocy art. 3 ust. 2 w równym stopniu podlega wymogom pewnego uprzywilejowania takich wniosków w porównaniu z wnioskami składanymi przez obywateli państw trzecich nieposiadających takich powiązań rodzinnych oraz przeprowadzenia szczegółowej analizy osobistych okoliczności dotyczących wnioskodawcy. Wszelkie decyzje odmowne w odniesieniu do tego typu wniosków muszą być uzasadnione</w:t>
      </w:r>
      <w:r>
        <w:rPr>
          <w:rFonts w:ascii="Times New Roman" w:hAnsi="Times New Roman" w:cs="Times New Roman"/>
          <w:noProof/>
          <w:sz w:val="24"/>
          <w:szCs w:val="24"/>
          <w:vertAlign w:val="superscript"/>
        </w:rPr>
        <w:footnoteReference w:id="106"/>
      </w:r>
      <w:r>
        <w:rPr>
          <w:rFonts w:ascii="Times New Roman" w:hAnsi="Times New Roman"/>
          <w:noProof/>
          <w:sz w:val="24"/>
          <w:szCs w:val="24"/>
        </w:rPr>
        <w:t>. Ponadto Trybunał orzekł, że członkom rodziny rozszerzonej, którym odmówiono udzielenia zezwolenia na pobyt, powinien przysługiwać środek zaskarżenia przed sądem krajowym. Sąd krajowy powinien móc „ustalić, czy decyzja odmowna opiera się na wystarczająco solidnej podstawie faktycznej i czy były przestrzegane gwarancje proceduralne.</w:t>
      </w:r>
      <w:r>
        <w:rPr>
          <w:rFonts w:ascii="Times New Roman" w:hAnsi="Times New Roman"/>
          <w:i/>
          <w:iCs/>
          <w:noProof/>
          <w:sz w:val="24"/>
          <w:szCs w:val="24"/>
        </w:rPr>
        <w:t xml:space="preserve"> </w:t>
      </w:r>
      <w:r>
        <w:rPr>
          <w:rFonts w:ascii="Times New Roman" w:hAnsi="Times New Roman"/>
          <w:noProof/>
          <w:sz w:val="24"/>
          <w:szCs w:val="24"/>
        </w:rPr>
        <w:t>Wśród gwarancji tych figuruje obowiązek właściwych organów krajowych polegający na przeprowadzeniu szczegółowej analizy osobistych okoliczności dotyczących wnioskodawcy oraz uzasadnienia każdej odmowy wjazdu lub pobytu”</w:t>
      </w:r>
      <w:r>
        <w:rPr>
          <w:rFonts w:ascii="Times New Roman" w:hAnsi="Times New Roman" w:cs="Times New Roman"/>
          <w:iCs/>
          <w:noProof/>
          <w:sz w:val="24"/>
          <w:szCs w:val="24"/>
          <w:vertAlign w:val="superscript"/>
        </w:rPr>
        <w:footnoteReference w:id="107"/>
      </w:r>
      <w:r>
        <w:rPr>
          <w:rFonts w:ascii="Times New Roman" w:hAnsi="Times New Roman"/>
          <w:i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SM</w:t>
      </w:r>
      <w:r>
        <w:rPr>
          <w:rFonts w:ascii="Times New Roman" w:hAnsi="Times New Roman" w:cs="Times New Roman"/>
          <w:noProof/>
          <w:sz w:val="24"/>
          <w:szCs w:val="24"/>
          <w:vertAlign w:val="superscript"/>
        </w:rPr>
        <w:footnoteReference w:id="108"/>
      </w:r>
      <w:r>
        <w:rPr>
          <w:rFonts w:ascii="Times New Roman" w:hAnsi="Times New Roman"/>
          <w:noProof/>
          <w:sz w:val="24"/>
          <w:szCs w:val="24"/>
        </w:rPr>
        <w:t xml:space="preserve"> Trybunał wyjaśnił po pierwsze (podobnie jak w odniesieniu do pojęcia „małżonka” w sprawie Coman), że pojęcie „bezpośredniego zstępnego” w art. 2 pkt 2 lit. c) dyrektywy 2004/38 jest autonomiczną definicją według prawa Unii, niezależną od przepisów państw członkowskich</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xml:space="preserve">. Ponadto stwierdził, że takie pojęcie należy interpretować bardziej szeroko i powinno ono obejmować „każdą więź pokrewieństwa, czy to biologiczną czy też prawną” (a zatem dzieci biologiczne, jak i adoptowane). Natomiast nie obejmuje ono dzieci pozostających pod opieką prawną, która nie tworzy więzi pokrewieństwa między dzieckiem a jego opiekunem (w tym dzieci umieszczonych w algierskim systemie </w:t>
      </w:r>
      <w:r>
        <w:rPr>
          <w:rFonts w:ascii="Times New Roman" w:hAnsi="Times New Roman"/>
          <w:i/>
          <w:noProof/>
          <w:sz w:val="24"/>
          <w:szCs w:val="24"/>
        </w:rPr>
        <w:t>kafali</w:t>
      </w:r>
      <w:r>
        <w:rPr>
          <w:rFonts w:ascii="Times New Roman" w:hAnsi="Times New Roman"/>
          <w:noProof/>
          <w:sz w:val="24"/>
          <w:szCs w:val="24"/>
        </w:rPr>
        <w:t>)</w:t>
      </w:r>
      <w:r>
        <w:rPr>
          <w:rFonts w:ascii="Times New Roman" w:hAnsi="Times New Roman" w:cs="Times New Roman"/>
          <w:noProof/>
          <w:sz w:val="24"/>
          <w:szCs w:val="24"/>
          <w:vertAlign w:val="superscript"/>
        </w:rPr>
        <w:footnoteReference w:id="110"/>
      </w:r>
      <w:r>
        <w:rPr>
          <w:rFonts w:ascii="Times New Roman" w:hAnsi="Times New Roman"/>
          <w:noProof/>
          <w:sz w:val="24"/>
          <w:szCs w:val="24"/>
        </w:rPr>
        <w:t>. Trybunał zauważa w szczególności, że takie dzieci objęte są zakresem art. 3 ust. 2 dyrektywy 2004/38</w:t>
      </w:r>
      <w:r>
        <w:rPr>
          <w:rFonts w:ascii="Times New Roman" w:hAnsi="Times New Roman" w:cs="Times New Roman"/>
          <w:noProof/>
          <w:sz w:val="24"/>
          <w:szCs w:val="24"/>
          <w:vertAlign w:val="superscript"/>
        </w:rPr>
        <w:footnoteReference w:id="111"/>
      </w:r>
      <w:r>
        <w:rPr>
          <w:rFonts w:ascii="Times New Roman" w:hAnsi="Times New Roman"/>
          <w:noProof/>
          <w:sz w:val="24"/>
          <w:szCs w:val="24"/>
        </w:rPr>
        <w:t>. Przy wdrażaniu przewidzianego w art. 3 ust. 2 obowiązku ułatwiania wjazdu i pobytu „innych członków rodziny”</w:t>
      </w:r>
      <w:r>
        <w:rPr>
          <w:rFonts w:ascii="Times New Roman" w:hAnsi="Times New Roman" w:cs="Times New Roman"/>
          <w:noProof/>
          <w:sz w:val="24"/>
          <w:szCs w:val="24"/>
          <w:vertAlign w:val="superscript"/>
        </w:rPr>
        <w:footnoteReference w:id="112"/>
      </w:r>
      <w:r>
        <w:rPr>
          <w:rFonts w:ascii="Times New Roman" w:hAnsi="Times New Roman"/>
          <w:noProof/>
          <w:sz w:val="24"/>
          <w:szCs w:val="24"/>
        </w:rPr>
        <w:t xml:space="preserve"> państwa członkowskie mają obowiązek korzystania ze swojego zakresu uznania „w świetle i z poszanowaniem” postanowień Karty praw podstawowych Unii Europejskiej, w tym prawa do (poszanowania) życia rodzinnego (art. 7) oraz najlepszego interesu dziecka (art. 24)</w:t>
      </w:r>
      <w:r>
        <w:rPr>
          <w:rFonts w:ascii="Times New Roman" w:hAnsi="Times New Roman" w:cs="Times New Roman"/>
          <w:noProof/>
          <w:sz w:val="24"/>
          <w:szCs w:val="24"/>
          <w:vertAlign w:val="superscript"/>
        </w:rPr>
        <w:footnoteReference w:id="113"/>
      </w:r>
      <w:r>
        <w:rPr>
          <w:rFonts w:ascii="Times New Roman" w:hAnsi="Times New Roman"/>
          <w:noProof/>
          <w:sz w:val="24"/>
          <w:szCs w:val="24"/>
        </w:rPr>
        <w:t>. Ponadto zobowiązane są do „przeprowadzenia zrównoważonej i racjonalnej oceny wszystkich aktualnych i stosownych okoliczności danego przypadku, uwzględniającej wszystkie wchodzące w grę interesy, a w szczególności najlepszy interes danego dziecka”</w:t>
      </w:r>
      <w:r>
        <w:rPr>
          <w:rFonts w:ascii="Times New Roman" w:hAnsi="Times New Roman" w:cs="Times New Roman"/>
          <w:iCs/>
          <w:noProof/>
          <w:sz w:val="24"/>
          <w:szCs w:val="24"/>
          <w:vertAlign w:val="superscript"/>
        </w:rPr>
        <w:footnoteReference w:id="114"/>
      </w:r>
      <w:r>
        <w:rPr>
          <w:rFonts w:ascii="Times New Roman" w:hAnsi="Times New Roman"/>
          <w:iCs/>
          <w:noProof/>
          <w:sz w:val="24"/>
          <w:szCs w:val="24"/>
        </w:rPr>
        <w:t xml:space="preserve">. </w:t>
      </w:r>
      <w:r>
        <w:rPr>
          <w:rFonts w:ascii="Times New Roman" w:hAnsi="Times New Roman"/>
          <w:noProof/>
          <w:sz w:val="24"/>
          <w:szCs w:val="24"/>
        </w:rPr>
        <w:t>W</w:t>
      </w:r>
      <w:r>
        <w:rPr>
          <w:rFonts w:ascii="Times New Roman" w:hAnsi="Times New Roman"/>
          <w:iCs/>
          <w:noProof/>
          <w:sz w:val="24"/>
          <w:szCs w:val="24"/>
        </w:rPr>
        <w:t> </w:t>
      </w:r>
      <w:r>
        <w:rPr>
          <w:rFonts w:ascii="Times New Roman" w:hAnsi="Times New Roman"/>
          <w:noProof/>
          <w:sz w:val="24"/>
          <w:szCs w:val="24"/>
        </w:rPr>
        <w:t>ramach tej oceny uwzględnia się i) wiek dziecka w momencie ustanowienia opieki prawnej oraz istnienie wspólnego życia dziecka, jakie dziecko prowadzi ze swoim opiekunem od tego momentu, ii) intensywność stosunków emocjonalnych, iii) poziom zależności dziecka od jego opiekuna, a także iv) ewentualne indywidualne i konkretne ryzyko, że dane dziecko może być ofiarą nadużycia, wykorzystania lub handlu ludźmi. W przypadku gdy w następstwie oceny stwierdzi się, że dziecko i opiekun prowadzą prawdziwe życie rodzinne i że to dziecko jest zależne od swojego opiekuna, prawo podstawowe do poszanowania życia rodzinnego oraz najlepszego interesu dziecka przemawiają co do zasady za przyznaniem przez przyjmujące państwo członkowskie prawa wjazdu i pobytu temu dziecku jako „innemu członkowi rodziny”</w:t>
      </w:r>
      <w:r>
        <w:rPr>
          <w:rFonts w:ascii="Times New Roman" w:hAnsi="Times New Roman" w:cs="Times New Roman"/>
          <w:noProof/>
          <w:sz w:val="24"/>
          <w:szCs w:val="24"/>
          <w:vertAlign w:val="superscript"/>
        </w:rPr>
        <w:footnoteReference w:id="115"/>
      </w:r>
      <w:r>
        <w:rPr>
          <w:rFonts w:ascii="Times New Roman" w:hAnsi="Times New Roman"/>
          <w:noProof/>
          <w:sz w:val="24"/>
          <w:szCs w:val="24"/>
        </w:rPr>
        <w:t>.</w:t>
      </w:r>
    </w:p>
    <w:p>
      <w:pPr>
        <w:pStyle w:val="ListParagraph"/>
        <w:numPr>
          <w:ilvl w:val="2"/>
          <w:numId w:val="2"/>
        </w:numPr>
        <w:spacing w:line="276" w:lineRule="auto"/>
        <w:jc w:val="both"/>
        <w:rPr>
          <w:rFonts w:ascii="Times New Roman" w:hAnsi="Times New Roman" w:cs="Times New Roman"/>
          <w:bCs/>
          <w:i/>
          <w:noProof/>
          <w:sz w:val="24"/>
          <w:szCs w:val="24"/>
        </w:rPr>
      </w:pPr>
      <w:bookmarkStart w:id="4" w:name="_Ref23433364"/>
      <w:bookmarkStart w:id="5" w:name="_Toc27163888"/>
      <w:r>
        <w:rPr>
          <w:rFonts w:ascii="Times New Roman" w:hAnsi="Times New Roman"/>
          <w:bCs/>
          <w:i/>
          <w:noProof/>
          <w:sz w:val="24"/>
          <w:szCs w:val="24"/>
        </w:rPr>
        <w:t>Zmiany w orzecznictwie TSUE dotyczącym aspektów proceduralnych praw do swobodnego przemieszczania się i pobytu</w:t>
      </w:r>
      <w:bookmarkEnd w:id="4"/>
      <w:bookmarkEnd w:id="5"/>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okresie odniesienia Trybunał wydał również trzy wyroki ważne z punktu widzenia praw procesowych i norm obowiązujących na mocy dyrektywy w sprawie swobodnego przemieszczania się.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Petrea</w:t>
      </w:r>
      <w:r>
        <w:rPr>
          <w:rFonts w:ascii="Times New Roman" w:hAnsi="Times New Roman"/>
          <w:noProof/>
          <w:sz w:val="24"/>
          <w:szCs w:val="24"/>
        </w:rPr>
        <w:t xml:space="preserve"> Trybunał miał się (również) wypowiedzieć na temat szeregu kwestii dotyczących aspektów proceduralnych dyrektywy 2004/38. Sprawa ta dotyczyła obywatela Unii, który powrócił na terytorium państwa członkowskiego pomimo obowiązującego go zarządzenia o wydaleniu wydanego przez to państwo. W sprawie Petrea Trybunał orzekł, że państwa członkowskie mają prawo nakazać wydalenie takiego migrującego obywatela UE w drodze procedury krajowej w zakresie transpozycji dyrektywy 2008/115 (w sprawie powrotów obywateli państw trzecich), jeżeli stosowane są środki transpozycji dyrektywy 2004/38, które byłyby bardziej korzystne dla rzeczonego obywatela Unii</w:t>
      </w:r>
      <w:r>
        <w:rPr>
          <w:rFonts w:ascii="Times New Roman" w:hAnsi="Times New Roman" w:cs="Times New Roman"/>
          <w:noProof/>
          <w:sz w:val="24"/>
          <w:szCs w:val="24"/>
          <w:vertAlign w:val="superscript"/>
        </w:rPr>
        <w:footnoteReference w:id="116"/>
      </w:r>
      <w:r>
        <w:rPr>
          <w:rFonts w:ascii="Times New Roman" w:hAnsi="Times New Roman"/>
          <w:noProof/>
          <w:sz w:val="24"/>
          <w:szCs w:val="24"/>
        </w:rPr>
        <w:t>. Ponadto Trybunał orzekł, że państwa członkowskie mogą ustanowić, iż jednostki nie mogą powoływać się na zarzut niezgodności z prawem wydanego względem nich zarządzenia o wydaleniu w celu zakwestionowania późniejszej decyzji nakazującej powrót, jeżeli zainteresowany miał „możliwość zakwestionowania [zarządzenia o wydaleniu] w odpowiednim czasie w świetle przepisów dyrektywy 2004/38”</w:t>
      </w:r>
      <w:r>
        <w:rPr>
          <w:rFonts w:ascii="Times New Roman" w:hAnsi="Times New Roman" w:cs="Times New Roman"/>
          <w:noProof/>
          <w:sz w:val="24"/>
          <w:szCs w:val="24"/>
          <w:vertAlign w:val="superscript"/>
        </w:rPr>
        <w:footnoteReference w:id="117"/>
      </w:r>
      <w:r>
        <w:rPr>
          <w:rFonts w:ascii="Times New Roman" w:hAnsi="Times New Roman"/>
          <w:noProof/>
          <w:sz w:val="24"/>
          <w:szCs w:val="24"/>
        </w:rPr>
        <w:t>. Trybunał orzekł również, że chociaż art. 30 dyrektywy 2004/38 nakłada na państwa członkowskie obowiązek powiadamiania zainteresowanego o decyzji przyjętej na mocy art. 27 (tj. zarządzeniu o wydaleniu) „w taki sposób, aby był w stanie zrozumieć treść powiadomienia i jego skutki”, państwo członkowskie nie ma obowiązku przekazywania informacji o tej decyzji w języku, który obywatel państwa trzeciego rozumie lub co do którego można w uzasadniony sposób przypuszczać, że jest dla niego zrozumiały,</w:t>
      </w:r>
      <w:r>
        <w:rPr>
          <w:rFonts w:ascii="Times New Roman" w:hAnsi="Times New Roman"/>
          <w:b/>
          <w:bCs/>
          <w:noProof/>
          <w:sz w:val="24"/>
          <w:szCs w:val="24"/>
        </w:rPr>
        <w:t xml:space="preserve"> </w:t>
      </w:r>
      <w:r>
        <w:rPr>
          <w:rFonts w:ascii="Times New Roman" w:hAnsi="Times New Roman"/>
          <w:noProof/>
          <w:sz w:val="24"/>
          <w:szCs w:val="24"/>
        </w:rPr>
        <w:t>w</w:t>
      </w:r>
      <w:r>
        <w:rPr>
          <w:rFonts w:ascii="Times New Roman" w:hAnsi="Times New Roman"/>
          <w:b/>
          <w:bCs/>
          <w:noProof/>
          <w:sz w:val="24"/>
          <w:szCs w:val="24"/>
        </w:rPr>
        <w:t> </w:t>
      </w:r>
      <w:r>
        <w:rPr>
          <w:rFonts w:ascii="Times New Roman" w:hAnsi="Times New Roman"/>
          <w:noProof/>
          <w:sz w:val="24"/>
          <w:szCs w:val="24"/>
        </w:rPr>
        <w:t>sytuacji gdy nie złożył on stosownego wniosku</w:t>
      </w:r>
      <w:r>
        <w:rPr>
          <w:rFonts w:ascii="Times New Roman" w:hAnsi="Times New Roman" w:cs="Times New Roman"/>
          <w:noProof/>
          <w:sz w:val="24"/>
          <w:szCs w:val="24"/>
          <w:vertAlign w:val="superscript"/>
        </w:rPr>
        <w:footnoteReference w:id="118"/>
      </w:r>
      <w:r>
        <w:rPr>
          <w:rFonts w:ascii="Times New Roman" w:hAnsi="Times New Roman"/>
          <w:noProof/>
          <w:sz w:val="24"/>
          <w:szCs w:val="24"/>
        </w:rPr>
        <w:t>.</w:t>
      </w:r>
    </w:p>
    <w:p>
      <w:pPr>
        <w:pStyle w:val="Lijstje2"/>
        <w:numPr>
          <w:ilvl w:val="0"/>
          <w:numId w:val="0"/>
        </w:numPr>
        <w:tabs>
          <w:tab w:val="left" w:pos="720"/>
        </w:tabs>
        <w:spacing w:after="160" w:line="276" w:lineRule="auto"/>
        <w:rPr>
          <w:rFonts w:ascii="Times New Roman" w:hAnsi="Times New Roman"/>
          <w:bCs/>
          <w:noProof/>
          <w:sz w:val="24"/>
          <w:szCs w:val="24"/>
        </w:rPr>
      </w:pPr>
      <w:r>
        <w:rPr>
          <w:rFonts w:ascii="Times New Roman" w:hAnsi="Times New Roman"/>
          <w:bCs/>
          <w:noProof/>
          <w:sz w:val="24"/>
          <w:szCs w:val="24"/>
        </w:rPr>
        <w:t xml:space="preserve">W sprawie </w:t>
      </w:r>
      <w:r>
        <w:rPr>
          <w:rFonts w:ascii="Times New Roman" w:hAnsi="Times New Roman"/>
          <w:b/>
          <w:bCs/>
          <w:noProof/>
          <w:sz w:val="24"/>
          <w:szCs w:val="24"/>
        </w:rPr>
        <w:t>Chenchooliah</w:t>
      </w:r>
      <w:r>
        <w:rPr>
          <w:rStyle w:val="FootnoteReference"/>
          <w:i/>
          <w:noProof/>
        </w:rPr>
        <w:footnoteReference w:id="119"/>
      </w:r>
      <w:r>
        <w:rPr>
          <w:rFonts w:ascii="Times New Roman" w:hAnsi="Times New Roman"/>
          <w:bCs/>
          <w:noProof/>
          <w:sz w:val="24"/>
          <w:szCs w:val="24"/>
        </w:rPr>
        <w:t xml:space="preserve"> Trybunał orzekł, że art. 15 dyrektywy 2004/38/WE ma zastosowanie do wydalenia obywatela państwa trzeciego, który jest małżonkiem obywatela Unii i który utracił prawo pobytu w państwie członkowskim, zgodnie z dyrektywą 2004/38/WE, w następstwie wyjazdu tego obywatela Unii z tego państwa członkowskiego</w:t>
      </w:r>
      <w:r>
        <w:rPr>
          <w:rStyle w:val="FootnoteReference"/>
          <w:rFonts w:ascii="Times New Roman" w:hAnsi="Times New Roman"/>
          <w:bCs/>
          <w:noProof/>
          <w:sz w:val="24"/>
          <w:szCs w:val="24"/>
        </w:rPr>
        <w:footnoteReference w:id="120"/>
      </w:r>
      <w:r>
        <w:rPr>
          <w:rFonts w:ascii="Times New Roman" w:hAnsi="Times New Roman"/>
          <w:bCs/>
          <w:noProof/>
          <w:sz w:val="24"/>
          <w:szCs w:val="24"/>
        </w:rPr>
        <w:t>. Trybunał uznał, że w przypadku, gdy małżonek przestaje korzystać z prawa pobytu w przyjmującym państwie na mocy dyrektywy 2004/38/WE w następstwie wyjazdu obywatela Unii, wydalenie reguluje dyrektywa 2004/38/WE</w:t>
      </w:r>
      <w:r>
        <w:rPr>
          <w:rStyle w:val="FootnoteReference"/>
          <w:rFonts w:ascii="Times New Roman" w:hAnsi="Times New Roman"/>
          <w:bCs/>
          <w:noProof/>
          <w:sz w:val="24"/>
          <w:szCs w:val="24"/>
        </w:rPr>
        <w:footnoteReference w:id="121"/>
      </w:r>
      <w:r>
        <w:rPr>
          <w:rFonts w:ascii="Times New Roman" w:hAnsi="Times New Roman"/>
          <w:bCs/>
          <w:noProof/>
          <w:sz w:val="24"/>
          <w:szCs w:val="24"/>
        </w:rPr>
        <w:t>. Oznacza to, że przyjmujące państwo członkowskie nie może, w żadnym wypadku, nałożyć zakazu wjazdu w kontekście takiego wydalenia oraz że w takim przypadku obowiązują odpowiednie zabezpieczenia proceduralne określone w art. 30 i 31 dyrektywy 2004/38/WE</w:t>
      </w:r>
      <w:r>
        <w:rPr>
          <w:rStyle w:val="FootnoteReference"/>
          <w:rFonts w:ascii="Times New Roman" w:hAnsi="Times New Roman"/>
          <w:bCs/>
          <w:noProof/>
          <w:sz w:val="24"/>
          <w:szCs w:val="24"/>
        </w:rPr>
        <w:footnoteReference w:id="122"/>
      </w:r>
      <w:r>
        <w:rPr>
          <w:rFonts w:ascii="Times New Roman" w:hAnsi="Times New Roman"/>
          <w:bCs/>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noProof/>
          <w:sz w:val="24"/>
          <w:szCs w:val="24"/>
        </w:rPr>
        <w:t>Diallo</w:t>
      </w:r>
      <w:r>
        <w:rPr>
          <w:rFonts w:ascii="Times New Roman" w:hAnsi="Times New Roman" w:cs="Times New Roman"/>
          <w:noProof/>
          <w:sz w:val="24"/>
          <w:szCs w:val="24"/>
          <w:vertAlign w:val="superscript"/>
        </w:rPr>
        <w:footnoteReference w:id="123"/>
      </w:r>
      <w:r>
        <w:rPr>
          <w:rFonts w:ascii="Times New Roman" w:hAnsi="Times New Roman"/>
          <w:noProof/>
          <w:sz w:val="24"/>
          <w:szCs w:val="24"/>
        </w:rPr>
        <w:t xml:space="preserve"> Trybunał wyjaśnił, że art. 10 ust. 1 dyrektywy 2004/38 nie tylko nakłada na państwa członkowskie obowiązek wydania i doręczenia decyzji w sprawie wniosku o wydanie karty członka rodziny migrującego obywatela UE w ciągu 6 miesięcy, ale zobowiązuje również państwa członkowskie do wydania decyzji o odmowie wydania karty pobytu na mocy tej dyrektywy (oraz do doręczenia jej osobie, której decyzja ta dotyczy) również w okresie sześciu miesięcy</w:t>
      </w:r>
      <w:r>
        <w:rPr>
          <w:rFonts w:ascii="Times New Roman" w:hAnsi="Times New Roman" w:cs="Times New Roman"/>
          <w:noProof/>
          <w:sz w:val="24"/>
          <w:szCs w:val="24"/>
          <w:vertAlign w:val="superscript"/>
        </w:rPr>
        <w:footnoteReference w:id="124"/>
      </w:r>
      <w:r>
        <w:rPr>
          <w:rFonts w:ascii="Times New Roman" w:hAnsi="Times New Roman"/>
          <w:noProof/>
          <w:sz w:val="24"/>
          <w:szCs w:val="24"/>
        </w:rPr>
        <w:t>. Trybunał doprecyzował również, że prawo Unii, a konkretnie dyrektywa 2004/38, stoi na przeszkodzie temu, by państwa członkowskie mogły przewidzieć w prawie krajowym, że przekroczenie tego sześciomiesięcznego okresu automatycznie pociąga za sobą wydanie karty pobytu bez stwierdzenia uprzednio, że zainteresowany rzeczywiście spełnia warunki uprawniające go do zamieszkiwania w przyjmującym państwie członkowskim zgodnie z prawem Unii</w:t>
      </w:r>
      <w:r>
        <w:rPr>
          <w:rFonts w:ascii="Times New Roman" w:hAnsi="Times New Roman" w:cs="Times New Roman"/>
          <w:noProof/>
          <w:sz w:val="24"/>
          <w:szCs w:val="24"/>
          <w:vertAlign w:val="superscript"/>
        </w:rPr>
        <w:footnoteReference w:id="125"/>
      </w:r>
      <w:r>
        <w:rPr>
          <w:rFonts w:ascii="Times New Roman" w:hAnsi="Times New Roman"/>
          <w:noProof/>
          <w:sz w:val="24"/>
          <w:szCs w:val="24"/>
        </w:rPr>
        <w:t>. Ponadto Trybunał orzekł, że w związku ze stwierdzeniem przez sąd nieważności decyzji odmawiającej wydania karty pobytu, właściwe organy krajowe muszą wykonać decyzję w sprawie wniosku o wydanie karty pobytu w rozsądnym terminie, który w żadnym wypadku nie może przekraczać terminu określonego w art. 10 ust. 1 dyrektywy 2004/38. W świetle zasady skuteczności, jak również „celu szybkości związanego z dyrektywą 2004/38”, oraz biorąc pod uwagę fakt, że do momentu wydania karty pobytu obywatel państwa trzeciego znajduje się w sytuacji niepewności prawnej, Trybunał wyraźnie odrzucił pomysł, że w związku ze stwierdzeniem przez sąd nieważności decyzji odmawiającej wydania karty pobytu, właściwym organom przyznaje się pełny nowy okres sześciu miesięcy na wydanie nowej decyzji</w:t>
      </w:r>
      <w:r>
        <w:rPr>
          <w:rFonts w:ascii="Times New Roman" w:hAnsi="Times New Roman" w:cs="Times New Roman"/>
          <w:noProof/>
          <w:sz w:val="24"/>
          <w:szCs w:val="24"/>
          <w:vertAlign w:val="superscript"/>
        </w:rPr>
        <w:footnoteReference w:id="126"/>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bCs/>
          <w:i/>
          <w:noProof/>
          <w:sz w:val="24"/>
          <w:szCs w:val="24"/>
        </w:rPr>
      </w:pPr>
      <w:bookmarkStart w:id="6" w:name="_Toc27163889"/>
      <w:r>
        <w:rPr>
          <w:rFonts w:ascii="Times New Roman" w:hAnsi="Times New Roman"/>
          <w:bCs/>
          <w:i/>
          <w:noProof/>
          <w:sz w:val="24"/>
          <w:szCs w:val="24"/>
        </w:rPr>
        <w:t>Zmiany w orzecznictwie TSUE dotyczącym praw związanych z wykonywaniem praw do swobodnego przemieszczania się i pobytu</w:t>
      </w:r>
      <w:bookmarkEnd w:id="6"/>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okresie odniesienia Trybunał wydał kolejne orzeczenie dotyczące kwestii mających potencjalne skutki w postaci ograniczenia swobodnego przemieszczania się obywateli Unii, jak określono w art. 21 TFUE.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bCs/>
          <w:noProof/>
          <w:sz w:val="24"/>
          <w:szCs w:val="24"/>
        </w:rPr>
        <w:t>Freitag</w:t>
      </w:r>
      <w:r>
        <w:rPr>
          <w:rFonts w:ascii="Times New Roman" w:hAnsi="Times New Roman" w:cs="Times New Roman"/>
          <w:noProof/>
          <w:sz w:val="24"/>
          <w:szCs w:val="24"/>
          <w:vertAlign w:val="superscript"/>
        </w:rPr>
        <w:footnoteReference w:id="127"/>
      </w:r>
      <w:r>
        <w:rPr>
          <w:rFonts w:ascii="Times New Roman" w:hAnsi="Times New Roman"/>
          <w:noProof/>
          <w:sz w:val="24"/>
          <w:szCs w:val="24"/>
        </w:rPr>
        <w:t xml:space="preserve"> do Trybunału zwrócono się z prośbą o stwierdzenie, czy art. 21 TFUE, w świetle wcześniejszych orzeczeń Trybunału – od sprawy Grunkin i Paul do sprawy Bogendorff von Wolffersdorff stoi na przeszkodzie odmowie uznania, w oparciu o krajowe przepisy ustawowe (w tym przypadku prawo niemieckie), zmiany nazwiska osoby posiadającej podwójne (niemieckie/rumuńskie) obywatelstwo dokonanej w drugim państwie członkowskim, którego obywatelstwo posiada ten obywatel Unii (tj. Rumunii), gdy dany obywatel Unii nie miał miejsca zwykłego pobytu w owym innym państwie członkowskim w momencie zmiany nazwiska. Zasadniczo Trybunał orzekł, że art. 21 TFUE stoi na przeszkodzie temu, aby organy państwa członkowskiego mogły odmówić uznania nazwiska jednego z obywateli tego państwa nabytego zgodnie z prawem w innym państwie członkowskim, którego obywatelstwo osoba ta również posiada. Wynika to z faktu, że ograniczenie w zakresie uznawania zmiany nazwiska „może ograniczać wykonywanie prawa [...] do swobodnego przemieszczania się i pobytu na terytorium państw członkowskich”, ponieważ istnieje konkretne ryzyko, że obywatel Unii posiadający podwójne obywatelstwo będzie zobowiązany do wyeliminowania wątpliwości co do jego tożsamości oraz autentyczności przedstawianych przez niego dokumentów lub prawdziwości zawartych w nich danych</w:t>
      </w:r>
      <w:r>
        <w:rPr>
          <w:rFonts w:ascii="Times New Roman" w:hAnsi="Times New Roman" w:cs="Times New Roman"/>
          <w:noProof/>
          <w:sz w:val="24"/>
          <w:szCs w:val="24"/>
          <w:vertAlign w:val="superscript"/>
        </w:rPr>
        <w:footnoteReference w:id="128"/>
      </w:r>
      <w:r>
        <w:rPr>
          <w:rFonts w:ascii="Times New Roman" w:hAnsi="Times New Roman"/>
          <w:noProof/>
          <w:sz w:val="24"/>
          <w:szCs w:val="24"/>
        </w:rPr>
        <w:t xml:space="preserve">. </w:t>
      </w:r>
    </w:p>
    <w:p>
      <w:pPr>
        <w:pStyle w:val="ListParagraph"/>
        <w:numPr>
          <w:ilvl w:val="2"/>
          <w:numId w:val="2"/>
        </w:num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Dostęp do świadczeń lub pomocy społecznej dla rezydentów państw UE przebywających w innym państwie członkowskim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sprawie </w:t>
      </w:r>
      <w:r>
        <w:rPr>
          <w:rFonts w:ascii="Times New Roman" w:hAnsi="Times New Roman"/>
          <w:b/>
          <w:i/>
          <w:noProof/>
          <w:sz w:val="24"/>
          <w:szCs w:val="24"/>
        </w:rPr>
        <w:t>A</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129"/>
      </w:r>
      <w:r>
        <w:rPr>
          <w:rFonts w:ascii="Times New Roman" w:hAnsi="Times New Roman"/>
          <w:noProof/>
          <w:sz w:val="24"/>
          <w:szCs w:val="24"/>
        </w:rPr>
        <w:t xml:space="preserve"> Trybunał przypomniał, że </w:t>
      </w:r>
      <w:r>
        <w:rPr>
          <w:rFonts w:ascii="Times New Roman" w:hAnsi="Times New Roman"/>
          <w:bCs/>
          <w:iCs/>
          <w:noProof/>
          <w:sz w:val="24"/>
          <w:szCs w:val="24"/>
        </w:rPr>
        <w:t>kompetencje państwa członkowskiego w zakresie organizacji systemów edukacyjnych muszą być wykonywane zgodnie z art. 21 TFUE i że zasady przyznawania pomocy finansowej na pokrycie kosztów studiów nie mogą w sposób nieuzasadniony ograniczać prawa do swobodnego przemieszczania się</w:t>
      </w:r>
      <w:r>
        <w:rPr>
          <w:rStyle w:val="FootnoteReference"/>
          <w:rFonts w:ascii="Times New Roman" w:hAnsi="Times New Roman" w:cs="Times New Roman"/>
          <w:bCs/>
          <w:iCs/>
          <w:noProof/>
          <w:sz w:val="24"/>
          <w:szCs w:val="24"/>
        </w:rPr>
        <w:footnoteReference w:id="130"/>
      </w:r>
      <w:r>
        <w:rPr>
          <w:rFonts w:ascii="Times New Roman" w:hAnsi="Times New Roman"/>
          <w:bCs/>
          <w:iCs/>
          <w:noProof/>
          <w:sz w:val="24"/>
          <w:szCs w:val="24"/>
        </w:rPr>
        <w:t>. Trybunał wskazał, że p</w:t>
      </w:r>
      <w:r>
        <w:rPr>
          <w:rFonts w:ascii="Times New Roman" w:hAnsi="Times New Roman"/>
          <w:noProof/>
          <w:sz w:val="24"/>
          <w:szCs w:val="24"/>
        </w:rPr>
        <w:t>rzepisy krajowe, które stawiają w mniej korzystnej sytuacji niektórych obywateli danego państwa członkowskiego z tego tylko powodu, że skorzystali oni ze swobody przemieszczania się, stanowią ograniczenie swobód przysługujących na mocy art. 21 ust. 1 TFUE</w:t>
      </w:r>
      <w:r>
        <w:rPr>
          <w:rStyle w:val="FootnoteReference"/>
          <w:rFonts w:ascii="Times New Roman" w:hAnsi="Times New Roman" w:cs="Times New Roman"/>
          <w:noProof/>
          <w:sz w:val="24"/>
          <w:szCs w:val="24"/>
        </w:rPr>
        <w:footnoteReference w:id="131"/>
      </w:r>
      <w:r>
        <w:rPr>
          <w:rFonts w:ascii="Times New Roman" w:hAnsi="Times New Roman"/>
          <w:noProof/>
          <w:sz w:val="24"/>
          <w:szCs w:val="24"/>
        </w:rPr>
        <w:t xml:space="preserve">. W związku z tym Trybunał </w:t>
      </w:r>
      <w:r>
        <w:rPr>
          <w:rFonts w:ascii="Times New Roman" w:hAnsi="Times New Roman"/>
          <w:bCs/>
          <w:iCs/>
          <w:noProof/>
          <w:sz w:val="24"/>
          <w:szCs w:val="24"/>
        </w:rPr>
        <w:t>orzekł, że art. 20 i 21 TFUE stoją na przeszkodzie temu, aby gmina zamieszkania rezydenta państwa członkowskiego, który jest w znacznym stopniu niepełnosprawny, odmówiła mu świadczenia takiego jak pomoc osobista rozpatrywana w postępowaniu głównym z tego względu, że osoba ta przebywa w innym państwie członkowskim w celu pobierania nauki w szkole wyższej</w:t>
      </w:r>
      <w:r>
        <w:rPr>
          <w:rStyle w:val="FootnoteReference"/>
          <w:rFonts w:ascii="Times New Roman" w:hAnsi="Times New Roman" w:cs="Times New Roman"/>
          <w:bCs/>
          <w:iCs/>
          <w:noProof/>
          <w:sz w:val="24"/>
          <w:szCs w:val="24"/>
        </w:rPr>
        <w:footnoteReference w:id="132"/>
      </w:r>
      <w:r>
        <w:rPr>
          <w:rFonts w:ascii="Times New Roman" w:hAnsi="Times New Roman"/>
          <w:bCs/>
          <w:iCs/>
          <w:noProof/>
          <w:sz w:val="24"/>
          <w:szCs w:val="24"/>
        </w:rPr>
        <w:t>.</w:t>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pStyle w:val="ListParagraph"/>
        <w:numPr>
          <w:ilvl w:val="1"/>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Działanie Komisji</w:t>
      </w:r>
    </w:p>
    <w:p>
      <w:pPr>
        <w:pStyle w:val="ListParagraph"/>
        <w:numPr>
          <w:ilvl w:val="2"/>
          <w:numId w:val="2"/>
        </w:num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Ułatwianie korzystania ze swobodnego przemieszczania się</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Jeżeli chodzi o przestrzeń swobodnego przepływu (migrujących) obywateli UE, Komisja Europejska podjęła niedawno szereg kroków mających na celu zapewnienie, aby państwa członkowskie w pełni przestrzegały prawa Unii, obejmujących postępowania w sprawie uchybienia zobowiązaniom państwa członkowskiego w przypadkach braku zgodności przepisów krajowych z prawem Unii.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Komisja Europejska przyjęła również środki w innych obszarach prawa Unii, które potencjalnie mogą mieć wpływ na swobodne przemieszczanie się migrujących obywateli UE. Na przykład w lutym 2019 r. Komisja Europejska przyjęła zalecenie, aby ułatwić obywatelom Unii (transgraniczny) dostęp do ich własnych danych dotyczących zdrowia.</w:t>
      </w:r>
    </w:p>
    <w:p>
      <w:pPr>
        <w:pStyle w:val="ListParagraph"/>
        <w:spacing w:line="276" w:lineRule="auto"/>
        <w:ind w:left="1224"/>
        <w:jc w:val="both"/>
        <w:rPr>
          <w:rFonts w:ascii="Times New Roman" w:hAnsi="Times New Roman" w:cs="Times New Roman"/>
          <w:b/>
          <w:bCs/>
          <w:noProof/>
          <w:sz w:val="24"/>
          <w:szCs w:val="24"/>
        </w:rPr>
      </w:pPr>
    </w:p>
    <w:p>
      <w:pPr>
        <w:pStyle w:val="ListParagraph"/>
        <w:numPr>
          <w:ilvl w:val="2"/>
          <w:numId w:val="2"/>
        </w:numPr>
        <w:spacing w:line="276" w:lineRule="auto"/>
        <w:jc w:val="both"/>
        <w:rPr>
          <w:rFonts w:ascii="Times New Roman" w:hAnsi="Times New Roman" w:cs="Times New Roman"/>
          <w:b/>
          <w:noProof/>
          <w:sz w:val="24"/>
          <w:szCs w:val="24"/>
        </w:rPr>
      </w:pPr>
      <w:r>
        <w:rPr>
          <w:rFonts w:ascii="Times New Roman" w:hAnsi="Times New Roman"/>
          <w:b/>
          <w:noProof/>
          <w:sz w:val="24"/>
          <w:szCs w:val="24"/>
        </w:rPr>
        <w:t>Zwiększenie bezpieczeństwa dowodów tożsamości i dokumentów pobytu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dyrektywie w sprawie swobodnego przemieszczania się (2004/38/WE) określono warunki korzystania z prawa do swobodnego przemieszczania się i pobytu (zarówno czasowego, jak i stałego) w UE dla obywateli Unii i członków ich rodzin. Dyrektywa ta stanowi, że w połączeniu z ważnym dowodem tożsamości lub paszportem, obywatele Unii i członkowie ich rodzin mogą wjechać na terytorium innego państwa członkowskiego i mieszkać w tym państwie, a także złożyć wniosek o odpowiedni dokument pobytu. Dyrektywa nie reguluje jednak wzoru i norm w odniesieniu do dowodów tożsamości, które mają być używane w celu wjazdu na terytorium państw członkowskich UE lub wyjazdu z ich terytorium. Podobnie nie określono w niej precyzyjnych norm dla dokumentów pobytu wydawanych obywatelom Unii i członkom ich rodzin niebędącym obywatelami UE, oprócz tytułu, jaki dokumenty te mają nosić, tzn. „Karta pobytowa członka rodziny obywatela Unii” (zob. art. 10 ust. 1 dyrektywy 2004/38).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UE zapewnia swoim obywatelom przestrzeń wolności, bezpieczeństwa i sprawiedliwości bez granic wewnętrznych, w której zagwarantowana jest swoboda przepływu osób, w powiązaniu z właściwymi środkami w odniesieniu do zarządzania granicami zewnętrznymi, azylu, imigracji, jak również zapobiegania przestępczości i terroryzmowi oraz zwalczania tych zjawisk.</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Wiele unijnych środków w zakresie bezpieczeństwa – takich jak systematyczne kontrole ustanowione przepisami kodeksu granicznego Schengen z wykorzystaniem Systemu Informacyjnego Schengen – opiera się na bezpiecznych dokumentach podróży i tożsamości</w:t>
      </w:r>
      <w:r>
        <w:rPr>
          <w:rStyle w:val="FootnoteReference"/>
          <w:rFonts w:ascii="Times New Roman" w:hAnsi="Times New Roman" w:cs="Times New Roman"/>
          <w:noProof/>
          <w:sz w:val="24"/>
          <w:szCs w:val="24"/>
        </w:rPr>
        <w:footnoteReference w:id="13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ostatnich latach wprowadzono normy unijne w odniesieniu do kilku dokumentów tożsamości i dokumentów podróży stosowanych w Europie.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Plan działania w zakresie bezpieczeństwa dokumentów z 2016 r. odniósł się do ryzyka, jakie wynika z posługiwania się fałszywymi dokumentami tożsamości i dokumentami pobytowymi</w:t>
      </w:r>
      <w:r>
        <w:rPr>
          <w:rStyle w:val="FootnoteReference"/>
          <w:rFonts w:ascii="Times New Roman" w:hAnsi="Times New Roman" w:cs="Times New Roman"/>
          <w:noProof/>
          <w:sz w:val="24"/>
          <w:szCs w:val="24"/>
        </w:rPr>
        <w:footnoteReference w:id="134"/>
      </w:r>
      <w:r>
        <w:rPr>
          <w:rFonts w:ascii="Times New Roman" w:hAnsi="Times New Roman"/>
          <w:noProof/>
          <w:sz w:val="24"/>
          <w:szCs w:val="24"/>
        </w:rPr>
        <w:t>, a w sprawozdaniu na temat obywatelstwa z 2017 r. zobowiązano się do przeanalizowania wariantów strategicznych w celu poprawy bezpieczeństwa dokumentów tożsamości i dokumentów pobytu. Komisja przeprowadziła ocenę skutków, w ramach której rozważono szereg możliwości w odniesieniu do dowodów tożsamości i dokumentów pobytu w porównaniu ze stanem obecnym, w tym środki z zakresu prawa miękkiego, minimalne wymogi wspólne i szerszą harmonizację. Stan obecny uznano za niezadowalający, a szersza harmonizacja nie została uznana za proporcjonalną.</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Są to niektóre z powodów, dla których w kwietniu 2018 r. Komisja zaproponowała – w ramach działań na rzecz rzeczywistej i skutecznej unii bezpieczeństwa</w:t>
      </w:r>
      <w:r>
        <w:rPr>
          <w:rStyle w:val="FootnoteReference"/>
          <w:rFonts w:ascii="Times New Roman" w:hAnsi="Times New Roman" w:cs="Times New Roman"/>
          <w:noProof/>
          <w:sz w:val="24"/>
          <w:szCs w:val="24"/>
        </w:rPr>
        <w:footnoteReference w:id="135"/>
      </w:r>
      <w:r>
        <w:rPr>
          <w:rFonts w:ascii="Times New Roman" w:hAnsi="Times New Roman"/>
          <w:noProof/>
          <w:sz w:val="24"/>
          <w:szCs w:val="24"/>
        </w:rPr>
        <w:t xml:space="preserve"> — poprawę zabezpieczeń dowodów tożsamości obywateli Unii i kart pobytu członków rodziny niebędących obywatelami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czerwcu 2019 r. Parlament Europejski i Rada przyjęły rozporządzenie 2019/1157</w:t>
      </w:r>
      <w:r>
        <w:rPr>
          <w:noProof/>
        </w:rPr>
        <w:t xml:space="preserve"> </w:t>
      </w:r>
      <w:r>
        <w:rPr>
          <w:rFonts w:ascii="Times New Roman" w:hAnsi="Times New Roman"/>
          <w:noProof/>
          <w:sz w:val="24"/>
          <w:szCs w:val="24"/>
        </w:rPr>
        <w:t>w</w:t>
      </w:r>
      <w:r>
        <w:rPr>
          <w:noProof/>
        </w:rPr>
        <w:t> </w:t>
      </w:r>
      <w:r>
        <w:rPr>
          <w:rFonts w:ascii="Times New Roman" w:hAnsi="Times New Roman"/>
          <w:noProof/>
          <w:sz w:val="24"/>
          <w:szCs w:val="24"/>
        </w:rPr>
        <w:t>sprawie poprawy zabezpieczeń dowodów osobistych obywateli Unii i dokumentów pobytowych wydawanych obywatelom Unii i członkom ich rodzin korzystającym z prawa do swobodnego przemieszczania się</w:t>
      </w:r>
      <w:r>
        <w:rPr>
          <w:rStyle w:val="FootnoteReference"/>
          <w:rFonts w:ascii="Times New Roman" w:hAnsi="Times New Roman" w:cs="Times New Roman"/>
          <w:noProof/>
          <w:sz w:val="24"/>
          <w:szCs w:val="24"/>
        </w:rPr>
        <w:footnoteReference w:id="136"/>
      </w:r>
      <w:r>
        <w:rPr>
          <w:rFonts w:ascii="Times New Roman" w:hAnsi="Times New Roman"/>
          <w:noProof/>
          <w:sz w:val="24"/>
          <w:szCs w:val="24"/>
        </w:rPr>
        <w:t>. W drodze rozporządzenia wprowadzono minimalne wspólne normy dotyczące zabezpieczeń mające na celu zwiększenie bezpieczeństwa i wiarygodności dowodów osobistych i dokumentów pobytu. Rozporządzenie będzie miało zastosowanie od sierpnia 2021 r.</w:t>
      </w:r>
    </w:p>
    <w:p>
      <w:pPr>
        <w:spacing w:line="276" w:lineRule="auto"/>
        <w:jc w:val="both"/>
        <w:rPr>
          <w:rFonts w:ascii="Times New Roman" w:hAnsi="Times New Roman" w:cs="Times New Roman"/>
          <w:noProof/>
          <w:sz w:val="24"/>
          <w:szCs w:val="24"/>
        </w:rPr>
      </w:pPr>
    </w:p>
    <w:p>
      <w:pPr>
        <w:pStyle w:val="Default"/>
        <w:spacing w:line="276" w:lineRule="auto"/>
        <w:jc w:val="both"/>
        <w:rPr>
          <w:noProof/>
        </w:rPr>
      </w:pPr>
      <w:r>
        <w:rPr>
          <w:b/>
          <w:bCs/>
          <w:noProof/>
        </w:rPr>
        <w:t xml:space="preserve">6. PRAWO DO GŁOSOWANIA I KANDYDOWANIA W WYBORACH LOKALNYCH ORAZ DO PARLAMENTU EUROPEJSKIEGO (ART. 20 UST. 2 LIT. B) I ART. 22 TFUE) </w:t>
      </w:r>
    </w:p>
    <w:p>
      <w:pPr>
        <w:pStyle w:val="Default"/>
        <w:spacing w:line="276" w:lineRule="auto"/>
        <w:rPr>
          <w:b/>
          <w:bCs/>
          <w:noProof/>
        </w:rPr>
      </w:pPr>
    </w:p>
    <w:p>
      <w:pPr>
        <w:pStyle w:val="Default"/>
        <w:spacing w:line="276" w:lineRule="auto"/>
        <w:rPr>
          <w:noProof/>
        </w:rPr>
      </w:pPr>
      <w:r>
        <w:rPr>
          <w:b/>
          <w:bCs/>
          <w:noProof/>
        </w:rPr>
        <w:t xml:space="preserve">6.1. Wprowadzenie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20 ust. 2 lit. b) i art. 22 TFUE wszyscy obywatele Unii mający miejsce zamieszkania w państwie członkowskim, którego nie są obywatelami, mają prawo głosowania i kandydowania w wyborach do Parlamentu Europejskiego i w wyborach lokalnych w państwie członkowskim, w którym mają miejsce zamieszkania, na takich samych zasadach jak obywatele tego państwa.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Komisja odpowiedziała na 43 skargi, 57 pism/indywidualnych zapytań, 74 pytania i 21 petycji Parlamentu Europejskiego na temat tych kwestii, głównie w odniesieniu do pozbawienia prawa głosowania lub uczestnictwa w referendum.</w:t>
      </w:r>
    </w:p>
    <w:p>
      <w:pPr>
        <w:spacing w:before="100" w:beforeAutospacing="1" w:after="100" w:afterAutospacing="1"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Po wyborach do Parlamentu Europejskiego w 2019 r. Komisja otrzymała dużą liczbę skarg dotyczących możliwości skutecznego skorzystania przez migrujących obywateli UE z praw do głosowania w Zjednoczonym Królestwie</w:t>
      </w:r>
      <w:r>
        <w:rPr>
          <w:rStyle w:val="FootnoteReference"/>
          <w:rFonts w:ascii="Times New Roman" w:eastAsia="Times New Roman" w:hAnsi="Times New Roman" w:cs="Times New Roman"/>
          <w:noProof/>
          <w:sz w:val="24"/>
          <w:szCs w:val="24"/>
        </w:rPr>
        <w:footnoteReference w:id="137"/>
      </w:r>
      <w:r>
        <w:rPr>
          <w:rFonts w:ascii="Times New Roman" w:hAnsi="Times New Roman"/>
          <w:noProof/>
          <w:sz w:val="24"/>
          <w:szCs w:val="24"/>
        </w:rPr>
        <w:t>, jak również od obywateli Rumunii w związku z trudnościami, które napotkali przy głosowaniu w rumuńskich konsulatach za granicą</w:t>
      </w:r>
      <w:r>
        <w:rPr>
          <w:rStyle w:val="FootnoteReference"/>
          <w:rFonts w:ascii="Times New Roman" w:eastAsia="Times New Roman" w:hAnsi="Times New Roman" w:cs="Times New Roman"/>
          <w:noProof/>
          <w:sz w:val="24"/>
          <w:szCs w:val="24"/>
        </w:rPr>
        <w:footnoteReference w:id="138"/>
      </w:r>
      <w:r>
        <w:rPr>
          <w:rFonts w:ascii="Times New Roman" w:hAnsi="Times New Roman"/>
          <w:noProof/>
          <w:sz w:val="24"/>
          <w:szCs w:val="24"/>
        </w:rPr>
        <w:t xml:space="preserve">. </w:t>
      </w:r>
    </w:p>
    <w:p>
      <w:pPr>
        <w:pStyle w:val="ListParagraph"/>
        <w:spacing w:line="276" w:lineRule="auto"/>
        <w:ind w:left="708"/>
        <w:jc w:val="both"/>
        <w:rPr>
          <w:rFonts w:ascii="Times New Roman" w:hAnsi="Times New Roman" w:cs="Times New Roman"/>
          <w:b/>
          <w:bCs/>
          <w:noProof/>
          <w:sz w:val="24"/>
          <w:szCs w:val="24"/>
        </w:rPr>
      </w:pPr>
      <w:r>
        <w:rPr>
          <w:rFonts w:ascii="Times New Roman" w:hAnsi="Times New Roman"/>
          <w:b/>
          <w:bCs/>
          <w:noProof/>
          <w:sz w:val="24"/>
          <w:szCs w:val="24"/>
        </w:rPr>
        <w:t>6.2. Zmiany w orzecznictwie</w:t>
      </w:r>
    </w:p>
    <w:p>
      <w:pPr>
        <w:pStyle w:val="ListParagraph"/>
        <w:spacing w:line="276" w:lineRule="auto"/>
        <w:ind w:left="0"/>
        <w:jc w:val="both"/>
        <w:rPr>
          <w:rFonts w:ascii="Times New Roman" w:hAnsi="Times New Roman" w:cs="Times New Roman"/>
          <w:noProof/>
          <w:sz w:val="24"/>
          <w:szCs w:val="24"/>
          <w:highlight w:val="yellow"/>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W swoim orzeczeniu w sprawie</w:t>
      </w:r>
      <w:r>
        <w:rPr>
          <w:noProof/>
        </w:rPr>
        <w:t xml:space="preserve"> </w:t>
      </w:r>
      <w:r>
        <w:rPr>
          <w:rFonts w:ascii="Times New Roman" w:hAnsi="Times New Roman"/>
          <w:b/>
          <w:noProof/>
          <w:sz w:val="24"/>
          <w:szCs w:val="24"/>
        </w:rPr>
        <w:t>Junqueras Vies</w:t>
      </w:r>
      <w:r>
        <w:rPr>
          <w:rFonts w:ascii="Times New Roman" w:hAnsi="Times New Roman"/>
          <w:noProof/>
          <w:sz w:val="24"/>
          <w:szCs w:val="24"/>
        </w:rPr>
        <w:t xml:space="preserve"> z dnia 19 grudnia 2019 r.</w:t>
      </w:r>
      <w:r>
        <w:rPr>
          <w:rStyle w:val="FootnoteReference"/>
          <w:rFonts w:ascii="Times New Roman" w:hAnsi="Times New Roman" w:cs="Times New Roman"/>
          <w:noProof/>
          <w:sz w:val="24"/>
          <w:szCs w:val="24"/>
        </w:rPr>
        <w:footnoteReference w:id="139"/>
      </w:r>
      <w:r>
        <w:rPr>
          <w:rFonts w:ascii="Times New Roman" w:hAnsi="Times New Roman"/>
          <w:noProof/>
          <w:sz w:val="24"/>
          <w:szCs w:val="24"/>
        </w:rPr>
        <w:t xml:space="preserve"> w następstwie otrzymania wniosku o wydanie orzeczenia w trybie prejudycjalnym od hiszpańskiego Sądu Najwyższego (Tribunal Supremo), Trybunał uznał, że art. 9 protokołu (nr 7) w sprawie przywilejów i immunitetów Unii Europejskiej należy interpretować w ten sposób, że: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osobę, której wybór do Parlamentu Europejskiego został oficjalnie ogłoszony w czasie, gdy była tymczasowo aresztowana w sprawie o poważne przestępstwa, lecz której nie zezwolono na zastosowanie się do określonych wymogów przewidzianych przez prawo krajowe w następstwie takiego ogłoszenia i na udanie się do Parlamentu Europejskiego w celu wzięcia udziału w jego pierwszej sesji, należy uważać za osobę korzystającą z immunitetu na podstawie akapitu drugiego tego artykułu;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 immunitet ten oznacza konieczność uchylenia zastosowanego wobec takiej osoby środka w postaci tymczasowego aresztowania w celu umożliwienia jej udania się do Parlamentu Europejskiego i dopełnienia tam wymaganych formalności. Jeżeli jednak właściwy sąd krajowy uzna, że środek ten należy utrzymać w mocy po nabyciu przez taką osobę statusu posła do Parlamentu Europejskiego, musi on możliwie jak najszybciej zwrócić się do Parlamentu Europejskiego o uchylenie immunitetu na podstawie art. 9 akapit trzeci tego protokołu. </w:t>
      </w:r>
    </w:p>
    <w:p>
      <w:pPr>
        <w:pStyle w:val="ListParagraph"/>
        <w:spacing w:line="276" w:lineRule="auto"/>
        <w:ind w:left="792"/>
        <w:jc w:val="both"/>
        <w:rPr>
          <w:rFonts w:ascii="Times New Roman" w:hAnsi="Times New Roman" w:cs="Times New Roman"/>
          <w:bCs/>
          <w:noProof/>
          <w:sz w:val="24"/>
          <w:szCs w:val="24"/>
        </w:rPr>
      </w:pPr>
    </w:p>
    <w:p>
      <w:pPr>
        <w:pStyle w:val="ListParagraph"/>
        <w:spacing w:line="276" w:lineRule="auto"/>
        <w:ind w:left="792"/>
        <w:jc w:val="both"/>
        <w:rPr>
          <w:rFonts w:ascii="Times New Roman" w:hAnsi="Times New Roman" w:cs="Times New Roman"/>
          <w:b/>
          <w:bCs/>
          <w:noProof/>
          <w:sz w:val="24"/>
          <w:szCs w:val="24"/>
        </w:rPr>
      </w:pPr>
      <w:r>
        <w:rPr>
          <w:rFonts w:ascii="Times New Roman" w:hAnsi="Times New Roman"/>
          <w:b/>
          <w:bCs/>
          <w:noProof/>
          <w:sz w:val="24"/>
          <w:szCs w:val="24"/>
        </w:rPr>
        <w:t>6.3. Zmiany w obszarze praw do głosowania oraz działania podjęte przez Komisję</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swoim sprawozdaniu na temat obywatelstwa UE z 2017 r.</w:t>
      </w:r>
      <w:r>
        <w:rPr>
          <w:rStyle w:val="FootnoteReference"/>
          <w:rFonts w:ascii="Times New Roman" w:hAnsi="Times New Roman" w:cs="Times New Roman"/>
          <w:noProof/>
          <w:sz w:val="24"/>
          <w:szCs w:val="24"/>
        </w:rPr>
        <w:footnoteReference w:id="140"/>
      </w:r>
      <w:r>
        <w:rPr>
          <w:rFonts w:ascii="Times New Roman" w:hAnsi="Times New Roman"/>
          <w:noProof/>
          <w:sz w:val="24"/>
          <w:szCs w:val="24"/>
        </w:rPr>
        <w:t xml:space="preserve"> Komisja wezwała państwa członkowskie do propagowania uczestnictwa w życiu demokratycznym poprzez lepsze informowanie obywateli o ich prawach wyborczych i usuwanie barier utrudniających im uczestnictwo. Wezwanie to zostało poparte w konkluzjach wydanych przez Radę w dniu 11 maja 2017 r.</w:t>
      </w:r>
      <w:r>
        <w:rPr>
          <w:rStyle w:val="FootnoteReference"/>
          <w:rFonts w:ascii="Times New Roman" w:hAnsi="Times New Roman" w:cs="Times New Roman"/>
          <w:noProof/>
          <w:sz w:val="24"/>
          <w:szCs w:val="24"/>
        </w:rPr>
        <w:footnoteReference w:id="141"/>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Swoje ostatnie sprawozdanie w sprawie wykonywania prawa Unii w wyborach lokalnych i samorządowych oraz sposobów promowania praw wyborczych Komisja opublikowała w lutym 2018 r.</w:t>
      </w:r>
      <w:r>
        <w:rPr>
          <w:rStyle w:val="FootnoteReference"/>
          <w:rFonts w:ascii="Times New Roman" w:hAnsi="Times New Roman" w:cs="Times New Roman"/>
          <w:noProof/>
          <w:sz w:val="24"/>
          <w:szCs w:val="24"/>
        </w:rPr>
        <w:footnoteReference w:id="142"/>
      </w:r>
      <w:r>
        <w:rPr>
          <w:rFonts w:ascii="Times New Roman" w:hAnsi="Times New Roman"/>
          <w:noProof/>
          <w:sz w:val="24"/>
          <w:szCs w:val="24"/>
        </w:rPr>
        <w:t xml:space="preserve"> Ponieważ obywatele Unii coraz częściej przemieszczają się i zamieszkują w innych państwach członkowskich, głównymi obawami wynikającymi ze sprawozdania były niska frekwencja migrujących obywateli i konieczność lepszego gromadzenia danych.</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We wrześniu 2018 r. Komisja wydała pakiet środków mających na celu wsparcie wolnych i uczciwych wyborów do Parlamentu Europejskiego, w tym i) komunikat</w:t>
      </w:r>
      <w:r>
        <w:rPr>
          <w:rStyle w:val="FootnoteReference"/>
          <w:rFonts w:ascii="Times New Roman" w:hAnsi="Times New Roman" w:cs="Times New Roman"/>
          <w:noProof/>
          <w:sz w:val="24"/>
          <w:szCs w:val="24"/>
        </w:rPr>
        <w:footnoteReference w:id="143"/>
      </w:r>
      <w:r>
        <w:rPr>
          <w:rFonts w:ascii="Times New Roman" w:hAnsi="Times New Roman"/>
          <w:noProof/>
          <w:sz w:val="24"/>
          <w:szCs w:val="24"/>
        </w:rPr>
        <w:t>; ii) zalecenie w sprawie sieci współpracy wyborczej, przejrzystości w internecie, ochrony przed cyberincydentami i zwalczania kampanii dezinformacyjnych w kontekście wyborów do Parlamentu Europejskiego; iii) wytyczne</w:t>
      </w:r>
      <w:r>
        <w:rPr>
          <w:rStyle w:val="FootnoteReference"/>
          <w:rFonts w:ascii="Times New Roman" w:hAnsi="Times New Roman" w:cs="Times New Roman"/>
          <w:noProof/>
          <w:sz w:val="24"/>
          <w:szCs w:val="24"/>
        </w:rPr>
        <w:footnoteReference w:id="144"/>
      </w:r>
      <w:r>
        <w:rPr>
          <w:rFonts w:ascii="Times New Roman" w:hAnsi="Times New Roman"/>
          <w:noProof/>
          <w:sz w:val="24"/>
          <w:szCs w:val="24"/>
        </w:rPr>
        <w:t xml:space="preserve"> dotyczące stosowania unijnych przepisów o ochronie danych osobowych w kontekście wyborczym oraz iv) wniosek ustawodawczy</w:t>
      </w:r>
      <w:r>
        <w:rPr>
          <w:rStyle w:val="FootnoteReference"/>
          <w:rFonts w:ascii="Times New Roman" w:hAnsi="Times New Roman" w:cs="Times New Roman"/>
          <w:noProof/>
          <w:sz w:val="24"/>
          <w:szCs w:val="24"/>
        </w:rPr>
        <w:footnoteReference w:id="145"/>
      </w:r>
      <w:r>
        <w:rPr>
          <w:rFonts w:ascii="Times New Roman" w:hAnsi="Times New Roman"/>
          <w:noProof/>
          <w:sz w:val="24"/>
          <w:szCs w:val="24"/>
        </w:rPr>
        <w:t xml:space="preserve"> mający na celu wprowadzenie sankcji za celowe niewłaściwe wykorzystanie danych osobowych przez europejskie partie polityczne i fundacje, aby wpłynąć na wynik wyborów.</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tymi środkami Komisja wsparła państwa członkowskie, ustanawiając europejską sieć współpracy w zakresie wyborów</w:t>
      </w:r>
      <w:r>
        <w:rPr>
          <w:rStyle w:val="FootnoteReference"/>
          <w:rFonts w:ascii="Times New Roman" w:hAnsi="Times New Roman" w:cs="Times New Roman"/>
          <w:noProof/>
          <w:sz w:val="24"/>
          <w:szCs w:val="24"/>
        </w:rPr>
        <w:footnoteReference w:id="146"/>
      </w:r>
      <w:r>
        <w:rPr>
          <w:rFonts w:ascii="Times New Roman" w:hAnsi="Times New Roman"/>
          <w:noProof/>
          <w:sz w:val="24"/>
          <w:szCs w:val="24"/>
        </w:rPr>
        <w:t xml:space="preserve"> i organizując jej spotkania. Sieć ta zrzesza przedstawicieli organów państw członkowskich posiadających kompetencje w kwestiach wyborczych i umożliwia konkretną i praktyczną wymianę informacji na szereg tematów istotnych dla zapewnienia wolnych i uczciwych wyborów, w tym ochrony danych osobowych, cyberbezpieczeństwa, przejrzystości, zwiększania świadomości oraz sprzyjającego włączeniu społecznemu i równego uczestnictwa.</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 PRAWO DO OCHRONY DYPLOMATYCZNEJ I KONSULARNEJ (ART. 20 UST. 2 LIT. C) I ART. 23 TFUE)</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7.1. Wprowadzenie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20 ust. 2 lit. c) oraz art. 23 TFUE obywatele Unii mają prawo do korzystania w państwie trzecim, w którym ich państwo członkowskie pochodzenia nie ma swojego przedstawicielstwa, z ochrony dyplomatycznej i konsularnej każdego z pozostałych państw członkowskich, na takich samych warunkach jak obywatele tego państwa. 76 % obywateli Unii jest świadomych istnienia tego prawa</w:t>
      </w:r>
      <w:r>
        <w:rPr>
          <w:rStyle w:val="FootnoteReference"/>
          <w:rFonts w:ascii="Times New Roman" w:hAnsi="Times New Roman" w:cs="Times New Roman"/>
          <w:noProof/>
          <w:sz w:val="24"/>
          <w:szCs w:val="24"/>
        </w:rPr>
        <w:footnoteReference w:id="147"/>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okresie sprawozdawczym Komisja odpowiedziała na 10 skarg, 8 pism/indywidualnych zapytań i 8 pytań Parlamentu Europejskiego na temat tej kwestii. Dotyczyły one głównie wydawania tymczasowych dokumentów podróży na potrzeby powrotu do domu lub braku ochrony konsularnej lub jej dyskryminującego charakteru.</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7.2. Zmiany w dziedzinie ochrony konsularnej</w:t>
      </w:r>
    </w:p>
    <w:p>
      <w:pPr>
        <w:pStyle w:val="NormalWeb"/>
        <w:spacing w:line="276" w:lineRule="auto"/>
        <w:jc w:val="both"/>
        <w:rPr>
          <w:noProof/>
        </w:rPr>
      </w:pPr>
      <w:r>
        <w:rPr>
          <w:noProof/>
        </w:rPr>
        <w:t>W dniu 18 czerwca 2019 r. Rada przyjęła dyrektywę ustanawiającą unijny tymczasowy dokument podróży, za pośrednictwem której unowocześniono zasady, format i zabezpieczenia obecnie stosowanego unijnego tymczasowego dokumentu podróży (TDP)</w:t>
      </w:r>
      <w:r>
        <w:rPr>
          <w:rStyle w:val="FootnoteReference"/>
          <w:noProof/>
        </w:rPr>
        <w:footnoteReference w:id="148"/>
      </w:r>
      <w:r>
        <w:rPr>
          <w:noProof/>
        </w:rPr>
        <w:t xml:space="preserve">. </w:t>
      </w:r>
      <w:r>
        <w:rPr>
          <w:rStyle w:val="Strong"/>
          <w:b w:val="0"/>
          <w:bCs w:val="0"/>
          <w:noProof/>
        </w:rPr>
        <w:t>Uproszczono w niej formalności dla niereprezentowanych obywateli Unii w państwach trzecich</w:t>
      </w:r>
      <w:r>
        <w:rPr>
          <w:noProof/>
        </w:rPr>
        <w:t>, których paszport lub dokument podróży został zgubiony, skradziony lub zniszczony, w celu zapewnienia im możliwości otrzymania tymczasowego dokumentu podróży wydanego przez inne państwo członkowskie, aby osoby te mogły wrócić do domu. Po przyjęciu niezbędnych specyfikacji technicznych państwa członkowskie mają 2 lata na transponowanie dyrektywy do prawa krajowego.</w:t>
      </w:r>
    </w:p>
    <w:p>
      <w:pPr>
        <w:pStyle w:val="NormalWeb"/>
        <w:spacing w:line="276" w:lineRule="auto"/>
        <w:jc w:val="both"/>
        <w:rPr>
          <w:noProof/>
        </w:rPr>
      </w:pPr>
      <w:r>
        <w:rPr>
          <w:noProof/>
        </w:rPr>
        <w:t>Równocześnie Komisja nadal zamieszcza i negocjuje klauzule zgody w umowach dwustronnych zawieranych z państwami trzecimi w celu zapewnienia, aby państwa te wyraziły zgodę na udzielanie pomocy niereprezentowanym obywatelom Unii przez reprezentowane państwa członkowskie UE.</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 PRAWO DO KIEROWANIA PETYCJI DO PARLAMENTU EUROPEJSKIEGO I DO ZWRACANIA SIĘ DO EUROPEJSKIEGO RZECZNIKA PRAW OBYWATELSKICH (ART. 20 UST. 2 LIT. D) I ART. 24 AKAPIT 2, 3 I 4 TFUE)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8.1. Wprowadzenie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 20 ust. 2 lit. d) oraz art. 24 akapit 2, 3 i 4 TFUE zawierają odniesienie do innych praw upoważniających obywateli Unii do zwracania się do instytucji Unii, w tym prawa do kierowania petycji do Parlamentu Europejskiego i prawa do zwracania się do Europejskiego Rzecznika Praw Obywatelskich. Każdy obywatel Unii ma prawo zwracać się na piśmie do dowolnych instytucji, organów i jednostek organizacyjnych w jednym z języków urzędowych UE</w:t>
      </w:r>
      <w:r>
        <w:rPr>
          <w:rStyle w:val="FootnoteReference"/>
          <w:rFonts w:ascii="Times New Roman" w:hAnsi="Times New Roman" w:cs="Times New Roman"/>
          <w:noProof/>
          <w:sz w:val="24"/>
          <w:szCs w:val="24"/>
        </w:rPr>
        <w:footnoteReference w:id="149"/>
      </w:r>
      <w:r>
        <w:rPr>
          <w:rFonts w:ascii="Times New Roman" w:hAnsi="Times New Roman"/>
          <w:noProof/>
          <w:sz w:val="24"/>
          <w:szCs w:val="24"/>
        </w:rPr>
        <w:t xml:space="preserve"> i otrzymywać odpowiedź w tym samym języku</w:t>
      </w:r>
      <w:r>
        <w:rPr>
          <w:rStyle w:val="FootnoteReference"/>
          <w:rFonts w:ascii="Times New Roman" w:hAnsi="Times New Roman" w:cs="Times New Roman"/>
          <w:noProof/>
          <w:sz w:val="24"/>
          <w:szCs w:val="24"/>
        </w:rPr>
        <w:footnoteReference w:id="150"/>
      </w:r>
      <w:r>
        <w:rPr>
          <w:rFonts w:ascii="Times New Roman" w:hAnsi="Times New Roman"/>
          <w:noProof/>
          <w:sz w:val="24"/>
          <w:szCs w:val="24"/>
        </w:rPr>
        <w:t>.</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 xml:space="preserve">8.2. Prawo do kierowania petycji do Parlamentu Europejskiego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Zgodnie z art. 24 akapit drugi TFUE obywatele Unii mają prawo do kierowania petycji do Parlamentu Europejskiego w jednym z języków Traktatów w sprawach unijnych, które mają na nich wpływ, i do otrzymywania odpowiedzi w tym samym języku. W 2018 r. Komisja Petycji Parlamentu Europejskiego otrzymała 1 220 petycji – oznacza to spadek z 1 271 petycji w 2017 r. i 1 569 w 2016 r. W 2019 r. liczba ta wzrosła jednak do 1 357, z czego 938 uznano za dopuszczalne. W 2018 r. środowisko stało się jednym z głównych przedmiotów petycji i pozostało nim również w 2019 r.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Internetowy portal petycji</w:t>
      </w:r>
      <w:r>
        <w:rPr>
          <w:rStyle w:val="FootnoteReference"/>
          <w:rFonts w:ascii="Times New Roman" w:hAnsi="Times New Roman" w:cs="Times New Roman"/>
          <w:noProof/>
          <w:sz w:val="24"/>
          <w:szCs w:val="24"/>
        </w:rPr>
        <w:footnoteReference w:id="151"/>
      </w:r>
      <w:r>
        <w:rPr>
          <w:rFonts w:ascii="Times New Roman" w:hAnsi="Times New Roman"/>
          <w:noProof/>
          <w:sz w:val="24"/>
          <w:szCs w:val="24"/>
        </w:rPr>
        <w:t xml:space="preserve"> jest dostępny od 2014 r., aby umożliwiać przyjazne dla użytkownika składnie petycji drogą elektroniczną. W 2014 r. w 80 % przypadkach petycje przesłano pocztą elektroniczną, a w 20 % pozostałych przypadków pocztą tradycyjną, natomiast w 2019 r. 73,9 % otrzymanych petycji złożono za pośrednictwem portalu internetowego</w:t>
      </w:r>
      <w:r>
        <w:rPr>
          <w:rStyle w:val="FootnoteReference"/>
          <w:rFonts w:ascii="Times New Roman" w:hAnsi="Times New Roman" w:cs="Times New Roman"/>
          <w:noProof/>
          <w:sz w:val="24"/>
          <w:szCs w:val="24"/>
        </w:rPr>
        <w:footnoteReference w:id="152"/>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b/>
          <w:bCs/>
          <w:noProof/>
          <w:sz w:val="24"/>
          <w:szCs w:val="24"/>
        </w:rPr>
        <w:t xml:space="preserve">8.3. Prawo do zwracania się do Europejskiego Rzecznika Praw Obywatelskich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Zgodnie z art. 24 akapit trzeci 3 TFUE obywatele Unii mają prawo zwracać się do Europejskiego Rzecznika Praw Obywatelskich, który zajmuje się skargami obywateli dotyczącymi instytucji, organów i agencji UE. Problemy te obejmują między innymi spory umowne, naruszenia praw podstawowych, brak przejrzystości w podejmowaniu decyzji oraz odmowę dostępu do dokumentów.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latach 2017–2019 biuro Europejskiego Rzecznika Praw Obywatelskich zarejestrowało ponad 6 000 skarg, z których około 2 500 wchodziło w zakres jego kompetencji, i wszczęło 1 395 dochodzeń. Większość skarg dotyczyła zarzutu braku przejrzystości i odpowiedzialności. Odsetek przypadków, w których zastosowano się do zaleceń Europejskiego Rzecznika Praw Obywatelskich, spadł z 85 % w 2016 r. do 77 % w 2018 r. Spadek utrzymywał się na stosunkowo stałym poziomie od 2014 r., natomiast odsetek przypadków zachowania zgodności osiągnął 90 %. Biuro Europejskiego Rzecznika Praw Obywatelskich pomogło w ciągu trzech lat ponad 50 000 obywatelom, wszczynając dochodzenia, odpowiadając na wnioski o udzielenie informacji lub udzielając porad za pośrednictwem swojego przewodnika interaktywnego online.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Te podstawowe działania w zakresie rozpatrywania skarg zostały uzupełnione strategicznymi dochodzeniami wszczynanymi z własnej inicjatywy, mającymi na celu udzielenie pomocy jak największej liczbie obywateli poprzez zbadanie problemów, które mają, jak się wydaje, charakter raczej systemowy, a nie jednorazowy. W okresie sprawozdawczym dochodzenia dotyczyły m.in. przejrzystości procesu legislacyjnego Rady (2017)</w:t>
      </w:r>
      <w:r>
        <w:rPr>
          <w:rStyle w:val="FootnoteReference"/>
          <w:rFonts w:ascii="Times New Roman" w:hAnsi="Times New Roman" w:cs="Times New Roman"/>
          <w:noProof/>
          <w:sz w:val="24"/>
          <w:szCs w:val="24"/>
        </w:rPr>
        <w:footnoteReference w:id="153"/>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W 2016 r. Europejski Rzecznik Praw Obywatelskich przyjął wewnętrzne zasady regulujące sposób, w jaki rozpatruje się skargi i prowadzi dochodzenia, aby uczynić pracę biura bardziej wydajną i skuteczną.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2018 r. Europejski Rzecznik Praw Obywatelskich wprowadził nową przyspieszoną procedurę dotyczącą skarg związanych z publicznym dostępem do dokumentów,</w:t>
      </w:r>
      <w:r>
        <w:rPr>
          <w:noProof/>
        </w:rPr>
        <w:t xml:space="preserve"> </w:t>
      </w:r>
      <w:r>
        <w:rPr>
          <w:rFonts w:ascii="Times New Roman" w:hAnsi="Times New Roman"/>
          <w:noProof/>
          <w:sz w:val="24"/>
          <w:szCs w:val="24"/>
        </w:rPr>
        <w:t>która umożliwia Rzecznikowi podjęcie decyzji w terminie 2 miesięcy od otrzymania skargi</w:t>
      </w:r>
      <w:r>
        <w:rPr>
          <w:rStyle w:val="FootnoteReference"/>
          <w:rFonts w:ascii="Times New Roman" w:hAnsi="Times New Roman" w:cs="Times New Roman"/>
          <w:noProof/>
          <w:sz w:val="24"/>
          <w:szCs w:val="24"/>
        </w:rPr>
        <w:footnoteReference w:id="154"/>
      </w:r>
      <w:r>
        <w:rPr>
          <w:rFonts w:ascii="Times New Roman" w:hAnsi="Times New Roman"/>
          <w:noProof/>
          <w:sz w:val="24"/>
          <w:szCs w:val="24"/>
        </w:rPr>
        <w:t xml:space="preserve">. </w:t>
      </w:r>
    </w:p>
    <w:p>
      <w:pPr>
        <w:spacing w:line="276" w:lineRule="auto"/>
        <w:jc w:val="both"/>
        <w:rPr>
          <w:rFonts w:ascii="Times New Roman" w:hAnsi="Times New Roman" w:cs="Times New Roman"/>
          <w:b/>
          <w:bCs/>
          <w:noProof/>
          <w:sz w:val="24"/>
          <w:szCs w:val="24"/>
        </w:rPr>
      </w:pPr>
      <w:r>
        <w:rPr>
          <w:rFonts w:ascii="Times New Roman" w:hAnsi="Times New Roman"/>
          <w:b/>
          <w:bCs/>
          <w:noProof/>
          <w:sz w:val="24"/>
          <w:szCs w:val="24"/>
        </w:rPr>
        <w:t>9. EUROPEJSKA INICJATYWA OBYWATELSKA (ART. 24 TFUE, ART. 11 UST. 4 TUE)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Zgodnie z art. 11 ust. 4 Traktatu o Unii Europejskiej (Traktatu UE), które to postanowienie wykonano rozporządzeniem (UE) nr 211/2011, co najmniej milion obywateli z co najmniej siedmiu państw członkowskich może wspólnie wezwać Komisję do przedłożenia, w ramach jej uprawnień, odpowiedniego wniosku w sprawach, w odniesieniu do których, zdaniem obywateli, stosowanie Traktatów wymaga aktu prawnego UE.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Od 2011 r. zapoczątkowano 75 inicjatyw</w:t>
      </w:r>
      <w:r>
        <w:rPr>
          <w:rStyle w:val="FootnoteReference"/>
          <w:rFonts w:ascii="Times New Roman" w:hAnsi="Times New Roman" w:cs="Times New Roman"/>
          <w:noProof/>
          <w:sz w:val="24"/>
          <w:szCs w:val="24"/>
        </w:rPr>
        <w:footnoteReference w:id="155"/>
      </w:r>
      <w:r>
        <w:rPr>
          <w:rFonts w:ascii="Times New Roman" w:hAnsi="Times New Roman"/>
          <w:noProof/>
          <w:sz w:val="24"/>
          <w:szCs w:val="24"/>
        </w:rPr>
        <w:t xml:space="preserve"> w rozmaitych kwestiach i szacuje się, że ich organizatorzy zebrali dziewięć milionów deklaracji poparcia w całej Unii Europejskiej. W przypadku pięciu inicjatyw udało się osiągnąć próg miliona podpisów, w odniesieniu do jednej z nich miało to miejsce w okresie sprawozdawczym.</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ramach inicjatywy „Zakaz stosowania glifosatu”</w:t>
      </w:r>
      <w:r>
        <w:rPr>
          <w:rStyle w:val="FootnoteReference"/>
          <w:rFonts w:ascii="Times New Roman" w:hAnsi="Times New Roman" w:cs="Times New Roman"/>
          <w:noProof/>
          <w:sz w:val="24"/>
          <w:szCs w:val="24"/>
        </w:rPr>
        <w:footnoteReference w:id="156"/>
      </w:r>
      <w:r>
        <w:rPr>
          <w:rFonts w:ascii="Times New Roman" w:hAnsi="Times New Roman"/>
          <w:noProof/>
          <w:sz w:val="24"/>
          <w:szCs w:val="24"/>
        </w:rPr>
        <w:t xml:space="preserve"> apeluje się do państw członkowskich o wprowadzenie zakazu stosowania glifosatu, zreformowanie procedury zatwierdzania pestycydów i wytyczenie wiążących celów ograniczenia użycia pestycydów dla całej UE. W grudniu 2017 r. Komisja przyjęła komunikat</w:t>
      </w:r>
      <w:r>
        <w:rPr>
          <w:rStyle w:val="FootnoteReference"/>
          <w:rFonts w:ascii="Times New Roman" w:hAnsi="Times New Roman" w:cs="Times New Roman"/>
          <w:noProof/>
          <w:sz w:val="24"/>
          <w:szCs w:val="24"/>
        </w:rPr>
        <w:footnoteReference w:id="157"/>
      </w:r>
      <w:r>
        <w:rPr>
          <w:rFonts w:ascii="Times New Roman" w:hAnsi="Times New Roman"/>
          <w:noProof/>
          <w:sz w:val="24"/>
          <w:szCs w:val="24"/>
        </w:rPr>
        <w:t>, w którym wyjaśniła, że nie zamierza składać wniosku ustawodawczego, ponieważ ocena naukowa w odniesieniu do zdrowia ludzi i zwierząt oraz środowiska wydana przez Europejski Urząd ds. Bezpieczeństwa Żywności jest pozytywna.</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ramach działań następczych w związku z przeglądem sposobu, w jaki rozporządzenie jest stosowane od dnia 31 marca 2015 r.</w:t>
      </w:r>
      <w:r>
        <w:rPr>
          <w:rStyle w:val="FootnoteReference"/>
          <w:rFonts w:ascii="Times New Roman" w:hAnsi="Times New Roman" w:cs="Times New Roman"/>
          <w:noProof/>
          <w:sz w:val="24"/>
          <w:szCs w:val="24"/>
        </w:rPr>
        <w:footnoteReference w:id="158"/>
      </w:r>
      <w:r>
        <w:rPr>
          <w:rFonts w:ascii="Times New Roman" w:hAnsi="Times New Roman"/>
          <w:noProof/>
          <w:sz w:val="24"/>
          <w:szCs w:val="24"/>
        </w:rPr>
        <w:t>, w dniu 13 września 2017 r. Komisja przyjęła wniosek dotyczący nowego rozporządzenia w sprawie europejskiej inicjatywy obywatelskiej</w:t>
      </w:r>
      <w:r>
        <w:rPr>
          <w:rStyle w:val="FootnoteReference"/>
          <w:rFonts w:ascii="Times New Roman" w:hAnsi="Times New Roman" w:cs="Times New Roman"/>
          <w:noProof/>
          <w:sz w:val="24"/>
          <w:szCs w:val="24"/>
        </w:rPr>
        <w:footnoteReference w:id="159"/>
      </w:r>
      <w:r>
        <w:rPr>
          <w:rFonts w:ascii="Times New Roman" w:hAnsi="Times New Roman"/>
          <w:noProof/>
          <w:sz w:val="24"/>
          <w:szCs w:val="24"/>
        </w:rPr>
        <w:t>. Zostało ono przyjęte w dniu 17 kwietnia 2019 r.</w:t>
      </w:r>
      <w:r>
        <w:rPr>
          <w:rFonts w:ascii="Times New Roman" w:hAnsi="Times New Roman" w:cs="Times New Roman"/>
          <w:noProof/>
          <w:sz w:val="24"/>
          <w:szCs w:val="24"/>
          <w:vertAlign w:val="superscript"/>
        </w:rPr>
        <w:footnoteReference w:id="160"/>
      </w:r>
      <w:r>
        <w:rPr>
          <w:rFonts w:ascii="Times New Roman" w:hAnsi="Times New Roman"/>
          <w:noProof/>
          <w:sz w:val="24"/>
          <w:szCs w:val="24"/>
        </w:rPr>
        <w:t xml:space="preserve"> i jest stosowane od dnia 1 stycznia 2020 r. W zmienionym rozporządzeniu przewidziano daleko idące uproszczenie i usprawnienie dla obywateli i organizatorów na wszystkich kolejnych etapach procesu europejskiej inicjatywy obywatelskiej, tak aby wykorzystać pełnię potencjału europejskiej inicjatywy obywatelskiej przez uczynienie jej bardziej dostępną, mniej obciążającą i łatwiejszą w stosowaniu przez organizatorów i zwolenników.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Komisja przeprowadziła drugi przegląd sposobu, w jaki rozporządzenie jest stosowane, i w dniu 28 marca 2018 r. przyjęła kolejne sprawozdanie</w:t>
      </w:r>
      <w:r>
        <w:rPr>
          <w:rStyle w:val="FootnoteReference"/>
          <w:rFonts w:ascii="Times New Roman" w:hAnsi="Times New Roman" w:cs="Times New Roman"/>
          <w:noProof/>
          <w:sz w:val="24"/>
          <w:szCs w:val="24"/>
        </w:rPr>
        <w:footnoteReference w:id="161"/>
      </w:r>
      <w:r>
        <w:rPr>
          <w:rFonts w:ascii="Times New Roman" w:hAnsi="Times New Roman"/>
          <w:noProof/>
          <w:sz w:val="24"/>
          <w:szCs w:val="24"/>
        </w:rPr>
        <w:t>, w którym stwierdzono, że Komisja dokładnie przeanalizowała pozostałe wąskie gardła i uwzględniła je w swoim wniosku dotyczącym rozporządzenia z dnia 13 września 2017 r. Komisja zobowiązała się do dalszego monitorowania i omawiania szeregu zagadnień związanych z europejską inicjatywą obywatelską w ścisłej współpracy i koordynacji z różnymi zainteresowanymi stronami i instytucjami oraz do ulepszenia tego instrumentu.</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 okresie sprawozdawczym grupa ekspertów ds. europejskiej inicjatywy obywatelskiej odbyła siedem posiedzeń</w:t>
      </w:r>
      <w:r>
        <w:rPr>
          <w:rStyle w:val="FootnoteReference"/>
          <w:rFonts w:ascii="Times New Roman" w:hAnsi="Times New Roman" w:cs="Times New Roman"/>
          <w:noProof/>
          <w:sz w:val="24"/>
          <w:szCs w:val="24"/>
        </w:rPr>
        <w:footnoteReference w:id="162"/>
      </w:r>
      <w:r>
        <w:rPr>
          <w:rFonts w:ascii="Times New Roman" w:hAnsi="Times New Roman"/>
          <w:noProof/>
          <w:sz w:val="24"/>
          <w:szCs w:val="24"/>
        </w:rPr>
        <w:t>. Składa się ona z przedstawicieli odnośnych organów krajowych i jej rolą jest koordynowanie wraz z państwami UE sposobu realizacji europejskiej inicjatywy obywatelskiej.</w:t>
      </w:r>
    </w:p>
    <w:sectPr>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827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Sprawozdania roczne ze stosowania postanowień Karty praw podstawowych Unii Europejskiej zawierają aktualne informacje na temat postępów w odniesieniu do praw wynikających z obywatelstwa Unii.</w:t>
      </w:r>
    </w:p>
  </w:footnote>
  <w:footnote w:id="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również art. 21 ust. 2 Karty praw podstawowych Unii Europejskiej.</w:t>
      </w:r>
    </w:p>
  </w:footnote>
  <w:footnote w:id="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Postanowienie to nie narusza postanowień szczególnych zawartych w Traktatach.</w:t>
      </w:r>
    </w:p>
  </w:footnote>
  <w:footnote w:id="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C-182/15, Aleksei Petruhhin przeciwko Latvijas Republikas Generālprokuratūra.</w:t>
      </w:r>
    </w:p>
  </w:footnote>
  <w:footnote w:id="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C-191/16, Romano Pisciotti przeciwko Bundesrepublik Deutschland.</w:t>
      </w:r>
    </w:p>
  </w:footnote>
  <w:footnote w:id="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C-247/17, Denis Raugevicius.</w:t>
      </w:r>
    </w:p>
  </w:footnote>
  <w:footnote w:id="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sprawa C-182/15, Petruhhin, pkt 26–27.</w:t>
      </w:r>
    </w:p>
  </w:footnote>
  <w:footnote w:id="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C-182/15, Petruhhin, pkt 29–31; sprawa C-191/16, Pisciotti, pkt 31–35, 37–42; sprawa C-247/17, Raugevicius, pkt 27–28.</w:t>
      </w:r>
    </w:p>
  </w:footnote>
  <w:footnote w:id="1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C-182/15, Petruhhin, pkt 32–33; sprawa C-191/16, Pisciotti, pkt 43–45; sprawa C-247/17, Raugevicius, pkt 30.</w:t>
      </w:r>
    </w:p>
  </w:footnote>
  <w:footnote w:id="1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C-182/15, Petruhhin, pkt 34, 38; sprawa C-191/16, Pisciotti, pkt 46; sprawa C-247/17, Raugevicius, pkt 31.</w:t>
      </w:r>
    </w:p>
  </w:footnote>
  <w:footnote w:id="1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Por. sprawa C-182/15, Petruhhin, pkt 35–37.</w:t>
      </w:r>
    </w:p>
  </w:footnote>
  <w:footnote w:id="1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sprawa C-182/15, Petruhhin, pkt 38–41.</w:t>
      </w:r>
    </w:p>
  </w:footnote>
  <w:footnote w:id="1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C-182/15, Petruhhin, pkt 42–48.</w:t>
      </w:r>
    </w:p>
  </w:footnote>
  <w:footnote w:id="1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sprawa C-191/16, Pisciotti, pkt 50–56.</w:t>
      </w:r>
    </w:p>
  </w:footnote>
  <w:footnote w:id="1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sprawa C-247/17, Raugevicius, pkt 32–40.</w:t>
      </w:r>
    </w:p>
  </w:footnote>
  <w:footnote w:id="1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C-247/17, Raugevicius, pkt 36–38.</w:t>
      </w:r>
    </w:p>
  </w:footnote>
  <w:footnote w:id="18">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C-247/17, Raugevicius, pkt 41–48.</w:t>
      </w:r>
    </w:p>
  </w:footnote>
  <w:footnote w:id="1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Wyrok Trybunału z dnia 13 czerwca 2019 r., sprawa C-22/18 TopFit e.V. i Daniele Biffi przeciwko Deutscher Leichtathletikverband e.V., ECLI:EU:C:2019:497.</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Kwestię dyskryminacji ze względu na przynależność państwową w sporcie zawodowym reguluje art. 45 TFUE.</w:t>
      </w:r>
    </w:p>
  </w:footnote>
  <w:footnote w:id="2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C-22/18 </w:t>
      </w:r>
      <w:r>
        <w:rPr>
          <w:rFonts w:ascii="Times New Roman" w:hAnsi="Times New Roman"/>
          <w:iCs/>
        </w:rPr>
        <w:t>TopFit</w:t>
      </w:r>
      <w:r>
        <w:rPr>
          <w:rFonts w:ascii="Times New Roman" w:hAnsi="Times New Roman"/>
        </w:rPr>
        <w:t>, pkt 29–30.</w:t>
      </w:r>
    </w:p>
  </w:footnote>
  <w:footnote w:id="2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C-22/18 </w:t>
      </w:r>
      <w:r>
        <w:rPr>
          <w:rFonts w:ascii="Times New Roman" w:hAnsi="Times New Roman"/>
          <w:iCs/>
        </w:rPr>
        <w:t>TopFit</w:t>
      </w:r>
      <w:r>
        <w:rPr>
          <w:rFonts w:ascii="Times New Roman" w:hAnsi="Times New Roman"/>
        </w:rPr>
        <w:t>, pkt 31–34.</w:t>
      </w:r>
    </w:p>
  </w:footnote>
  <w:footnote w:id="2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C-22/18 </w:t>
      </w:r>
      <w:r>
        <w:rPr>
          <w:rFonts w:ascii="Times New Roman" w:hAnsi="Times New Roman"/>
          <w:iCs/>
        </w:rPr>
        <w:t>TopFit</w:t>
      </w:r>
      <w:r>
        <w:rPr>
          <w:rFonts w:ascii="Times New Roman" w:hAnsi="Times New Roman"/>
        </w:rPr>
        <w:t>, pkt 36–40.</w:t>
      </w:r>
    </w:p>
  </w:footnote>
  <w:footnote w:id="2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C-22/18 </w:t>
      </w:r>
      <w:r>
        <w:rPr>
          <w:rFonts w:ascii="Times New Roman" w:hAnsi="Times New Roman"/>
          <w:iCs/>
        </w:rPr>
        <w:t>TopFit</w:t>
      </w:r>
      <w:r>
        <w:rPr>
          <w:rFonts w:ascii="Times New Roman" w:hAnsi="Times New Roman"/>
        </w:rPr>
        <w:t>, pkt 42–48.</w:t>
      </w:r>
    </w:p>
  </w:footnote>
  <w:footnote w:id="2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Zob. również art. 21 ust. 1 Karty praw podstawowych.</w:t>
      </w:r>
    </w:p>
  </w:footnote>
  <w:footnote w:id="2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hyperlink r:id="rId1">
        <w:r>
          <w:rPr>
            <w:rStyle w:val="Hyperlink"/>
            <w:rFonts w:ascii="Times New Roman" w:hAnsi="Times New Roman"/>
          </w:rPr>
          <w:t>https://ec.europa.eu/info/sites/info/files/aid_development_cooperation_fundamental_rights/annual_report_ge_2019_en_1.pdf</w:t>
        </w:r>
      </w:hyperlink>
      <w:r>
        <w:rPr>
          <w:rFonts w:ascii="Times New Roman" w:hAnsi="Times New Roman"/>
        </w:rPr>
        <w:t xml:space="preserve"> </w:t>
      </w:r>
    </w:p>
  </w:footnote>
  <w:footnote w:id="2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anchor="documents">
        <w:r>
          <w:rPr>
            <w:rStyle w:val="Hyperlink"/>
            <w:rFonts w:ascii="Times New Roman" w:hAnsi="Times New Roman"/>
          </w:rPr>
          <w:t>https://ec.europa.eu/info/policies/justice-and-fundamental-rights/combatting-discrimination/lesbian-gay-bi-trans-and-intersex-equality/list-actions-advance-lgbti-equality_en#documents</w:t>
        </w:r>
      </w:hyperlink>
      <w:r>
        <w:rPr>
          <w:rFonts w:ascii="Times New Roman" w:hAnsi="Times New Roman"/>
        </w:rPr>
        <w:t xml:space="preserve">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r>
          <w:rPr>
            <w:rStyle w:val="Hyperlink"/>
            <w:rFonts w:ascii="Times New Roman" w:hAnsi="Times New Roman"/>
          </w:rPr>
          <w:t>https://ec.europa.eu/info/sites/info/files/report_list_of_actions_2015-19.pdf</w:t>
        </w:r>
      </w:hyperlink>
      <w:r>
        <w:rPr>
          <w:rFonts w:ascii="Times New Roman" w:hAnsi="Times New Roman"/>
        </w:rPr>
        <w:t xml:space="preserve"> </w:t>
      </w:r>
    </w:p>
  </w:footnote>
  <w:footnote w:id="29">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Sprawozdanie dotyczące antycyganizmu: </w:t>
      </w:r>
      <w:hyperlink r:id="rId4">
        <w:r>
          <w:rPr>
            <w:rStyle w:val="Hyperlink"/>
            <w:rFonts w:ascii="Times New Roman" w:hAnsi="Times New Roman"/>
          </w:rPr>
          <w:t>https://ec.europa.eu/newsroom/just/document.cfm?doc_id=55652</w:t>
        </w:r>
      </w:hyperlink>
      <w:r>
        <w:rPr>
          <w:rFonts w:ascii="Times New Roman" w:hAnsi="Times New Roman"/>
        </w:rPr>
        <w:t xml:space="preserve">; Sprawozdanie dotyczące afrofobii: </w:t>
      </w:r>
      <w:hyperlink r:id="rId5">
        <w:r>
          <w:rPr>
            <w:rStyle w:val="Hyperlink"/>
            <w:rFonts w:ascii="Times New Roman" w:hAnsi="Times New Roman"/>
          </w:rPr>
          <w:t>https://ec.europa.eu/newsroom/just/document.cfm?doc_id=55651</w:t>
        </w:r>
      </w:hyperlink>
      <w:r>
        <w:rPr>
          <w:rFonts w:ascii="Times New Roman" w:hAnsi="Times New Roman"/>
        </w:rPr>
        <w:t xml:space="preserve"> </w:t>
      </w:r>
    </w:p>
  </w:footnote>
  <w:footnote w:id="30">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6">
        <w:r>
          <w:rPr>
            <w:rStyle w:val="Hyperlink"/>
            <w:rFonts w:ascii="Times New Roman" w:hAnsi="Times New Roman"/>
          </w:rPr>
          <w:t>https://ec.europa.eu/newsroom/just/document.cfm?doc_id=55607</w:t>
        </w:r>
      </w:hyperlink>
      <w:r>
        <w:rPr>
          <w:rFonts w:ascii="Times New Roman" w:hAnsi="Times New Roman"/>
        </w:rPr>
        <w:t xml:space="preserve"> </w:t>
      </w:r>
    </w:p>
  </w:footnote>
  <w:footnote w:id="3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7">
        <w:r>
          <w:rPr>
            <w:rStyle w:val="Hyperlink"/>
            <w:rFonts w:ascii="Times New Roman" w:hAnsi="Times New Roman"/>
          </w:rPr>
          <w:t>https://eur-lex.europa.eu/legal-content/PL/TXT/?qid=1544112037077&amp;uri=CELEX:52018DC0785</w:t>
        </w:r>
      </w:hyperlink>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r>
          <w:rPr>
            <w:rStyle w:val="Hyperlink"/>
            <w:rFonts w:ascii="Times New Roman" w:hAnsi="Times New Roman"/>
          </w:rPr>
          <w:t>https://eur-lex.europa.eu/legal-content/PL/TXT/HTML/?uri=CELEX:52019DC0406&amp;from=PL</w:t>
        </w:r>
      </w:hyperlink>
    </w:p>
  </w:footnote>
  <w:footnote w:id="33">
    <w:p>
      <w:pPr>
        <w:pStyle w:val="FootnoteText"/>
        <w:jc w:val="both"/>
        <w:rPr>
          <w:rFonts w:ascii="Times New Roman" w:hAnsi="Times New Roman" w:cs="Times New Roman"/>
        </w:rPr>
      </w:pPr>
      <w:r>
        <w:rPr>
          <w:rStyle w:val="FootnoteReference"/>
        </w:rPr>
        <w:footnoteRef/>
      </w:r>
      <w:r>
        <w:t xml:space="preserve"> </w:t>
      </w:r>
      <w:hyperlink r:id="rId9" w:history="1">
        <w:r>
          <w:rPr>
            <w:rStyle w:val="Hyperlink"/>
            <w:rFonts w:ascii="Times New Roman" w:hAnsi="Times New Roman"/>
          </w:rPr>
          <w:t>https://ec.europa.eu/social/main.jsp?catId=1437&amp;langId=pl</w:t>
        </w:r>
      </w:hyperlink>
      <w:r>
        <w:rPr>
          <w:rFonts w:ascii="Times New Roman" w:hAnsi="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 jednej z części tej kampanii skoncentrowano się w szczególności na racjonalnych zmianach uwzględniających potrzeby osób niepełnosprawnych, zgodnie z dyrektywą Rady 2000/78/WE </w:t>
      </w:r>
      <w:hyperlink r:id="rId10" w:history="1">
        <w:r>
          <w:rPr>
            <w:rStyle w:val="Hyperlink"/>
            <w:rFonts w:ascii="Times New Roman" w:hAnsi="Times New Roman"/>
          </w:rPr>
          <w:t>https://eur-lex.europa.eu/legal-content/PL/TXT/?uri=celex:32000L0078</w:t>
        </w:r>
      </w:hyperlink>
      <w:r>
        <w:rPr>
          <w:rFonts w:ascii="Times New Roman" w:hAnsi="Times New Roman"/>
        </w:rPr>
        <w:t xml:space="preserve">. We wrześniu 2020 r. opublikowano przewodnik najlepszych praktyk w zakresie racjonalnych zmian w miejscu pracy </w:t>
      </w:r>
      <w:hyperlink r:id="rId11" w:history="1">
        <w:r>
          <w:rPr>
            <w:rStyle w:val="Hyperlink"/>
            <w:rFonts w:ascii="Times New Roman" w:hAnsi="Times New Roman"/>
          </w:rPr>
          <w:t>https://ec.europa.eu/social/main.jsp?catId=738&amp; langId=en&amp;pubId=8341&amp;furtherPubs=yes</w:t>
        </w:r>
      </w:hyperlink>
    </w:p>
  </w:footnote>
  <w:footnote w:id="3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Sprawa C-135/08, Rottmann.</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COM(2019) 12 final.</w:t>
      </w:r>
      <w:r>
        <w:t xml:space="preserve"> </w:t>
      </w:r>
      <w:hyperlink r:id="rId12">
        <w:r>
          <w:rPr>
            <w:rStyle w:val="Hyperlink"/>
            <w:rFonts w:ascii="Times New Roman" w:hAnsi="Times New Roman"/>
          </w:rPr>
          <w:t>https://eur-lex.europa.eu/legal-content/PL/TXT/PDF/?uri=CELEX:52019DC0012&amp;qid=1607598381473&amp;from=EN</w:t>
        </w:r>
      </w:hyperlink>
    </w:p>
  </w:footnote>
  <w:footnote w:id="37">
    <w:p>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Zob. </w:t>
      </w:r>
      <w:hyperlink r:id="rId13">
        <w:r>
          <w:rPr>
            <w:rStyle w:val="Hyperlink"/>
            <w:rFonts w:ascii="Times New Roman" w:hAnsi="Times New Roman"/>
          </w:rPr>
          <w:t>https://ec.europa.eu/info/investor-citizenship-schemes_en</w:t>
        </w:r>
      </w:hyperlink>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Trybunał Sprawiedliwości Unii Europejskiej (2020), Sprawozdanie roczne za 2019 r.: Działalność sądownicza, Luksemburg, luty 2020 r., s. 165. </w:t>
      </w:r>
      <w:hyperlink r:id="rId14" w:history="1">
        <w:r>
          <w:rPr>
            <w:rStyle w:val="Hyperlink"/>
            <w:rFonts w:ascii="Times New Roman" w:hAnsi="Times New Roman"/>
          </w:rPr>
          <w:t>https://curia.europa.eu/jcms/upload/docs/application/pdf/2020-06/qd-ap-19-001-pl-n.pdf</w:t>
        </w:r>
      </w:hyperlink>
      <w:r>
        <w:rPr>
          <w:rFonts w:ascii="Times New Roman" w:hAnsi="Times New Roman"/>
        </w:rPr>
        <w:t xml:space="preserve"> </w:t>
      </w:r>
    </w:p>
  </w:footnote>
  <w:footnote w:id="39">
    <w:p>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Sprawa C-221/17, Tjebbes i in.</w:t>
      </w:r>
    </w:p>
  </w:footnote>
  <w:footnote w:id="4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C-221/17, Tjebbes i in., pkt 40.</w:t>
      </w:r>
    </w:p>
  </w:footnote>
  <w:footnote w:id="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C-221/17, Tjebbes i in., pkt 41.</w:t>
      </w:r>
    </w:p>
  </w:footnote>
  <w:footnote w:id="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C-221/17, Tjebbes i in., pkt 42.</w:t>
      </w:r>
    </w:p>
  </w:footnote>
  <w:footnote w:id="43">
    <w:p>
      <w:pPr>
        <w:pStyle w:val="FootnoteText"/>
        <w:jc w:val="both"/>
      </w:pPr>
      <w:r>
        <w:rPr>
          <w:rStyle w:val="FootnoteReference"/>
        </w:rPr>
        <w:footnoteRef/>
      </w:r>
      <w:r>
        <w:rPr>
          <w:rFonts w:ascii="Times New Roman" w:hAnsi="Times New Roman"/>
        </w:rPr>
        <w:t xml:space="preserve"> Zob. w szczególności dyrektywa 2004/38/WE w sprawie prawa obywateli Unii i członków ich rodzin do swobodnego przemieszczania się i pobytu na terytorium państw członkowskich, zmieniająca rozporządzenie (EWG) nr 1612/68 i uchylająca dyrektywy 64/221/EWG, 68/360/EWG, 72/194/EWG, 73/148/EWG, 75/34/EWG, 75/35/EWG, 90/364/EWG, 90/365/EWG i 93/96/EWG, Dz.U. L 158 z 30.4.2004, s. 77 (zwana dalej również „dyrektywą w sprawie swobodnego przemieszczania się”).</w:t>
      </w:r>
    </w:p>
  </w:footnote>
  <w:footnote w:id="4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81 % respondentów uczestniczących w specjalnym badaniu Eurobarometr 486, 2019 r.</w:t>
      </w:r>
    </w:p>
  </w:footnote>
  <w:footnote w:id="45">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 respondentów uczestniczących w standardowym badaniu Eurobarometr 91, wiosna 2019 r.</w:t>
      </w:r>
    </w:p>
  </w:footnote>
  <w:footnote w:id="46">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56 % respondentów uczestniczących w standardowym badaniu Eurobarometr 91, wiosna 2019 r.</w:t>
      </w:r>
    </w:p>
  </w:footnote>
  <w:footnote w:id="47">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60 % respondentów uczestniczących w specjalnym badaniu Eurobarometr 486, 2019 r.</w:t>
      </w:r>
    </w:p>
  </w:footnote>
  <w:footnote w:id="48">
    <w:p>
      <w:pPr>
        <w:pStyle w:val="FootnoteText"/>
        <w:rPr>
          <w:rFonts w:ascii="Times New Roman" w:hAnsi="Times New Roman" w:cs="Times New Roman"/>
        </w:rPr>
      </w:pPr>
      <w:r>
        <w:rPr>
          <w:rStyle w:val="FootnoteReference"/>
        </w:rPr>
        <w:footnoteRef/>
      </w:r>
      <w:r>
        <w:t xml:space="preserve"> </w:t>
      </w:r>
      <w:r>
        <w:rPr>
          <w:rFonts w:ascii="Times New Roman" w:hAnsi="Times New Roman"/>
        </w:rPr>
        <w:t>Badanie Eurobarometr Flash 485, wiosna 2020 r.</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https://europa.eu/youreurope/citizens/residence/index_pl.htm</w:t>
      </w:r>
    </w:p>
  </w:footnote>
  <w:footnote w:id="50">
    <w:p>
      <w:pPr>
        <w:pStyle w:val="FootnoteText"/>
        <w:jc w:val="both"/>
      </w:pPr>
      <w:r>
        <w:rPr>
          <w:rStyle w:val="FootnoteReference"/>
          <w:rFonts w:ascii="Times New Roman" w:hAnsi="Times New Roman" w:cs="Times New Roman"/>
        </w:rPr>
        <w:footnoteRef/>
      </w:r>
      <w:r>
        <w:rPr>
          <w:rFonts w:ascii="Times New Roman" w:hAnsi="Times New Roman"/>
        </w:rPr>
        <w:t xml:space="preserve"> Rozporządzenie (UE) 2018/1724 w sprawie utworzenia jednolitego portalu cyfrowego w celu zapewnienia dostępu do informacji, procedur oraz usług wsparcia i rozwiązywania problemów.</w:t>
      </w:r>
    </w:p>
  </w:footnote>
  <w:footnote w:id="51">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SOLVIT jest usługą świadczoną przez administracje krajowe na terenie całej UE i EOG. Krajowe centra SOLVIT przyjmują skargi obywateli i współpracują za pośrednictwem internetowej bazy danych, aby pomagać im w rozwiązywaniu ich problemów drogą pozasądową i nieodpłatnie.</w:t>
      </w:r>
    </w:p>
  </w:footnote>
  <w:footnote w:id="52">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https://ec.europa.eu/internal_market/scoreboard/performance_by_governance_tool/solvit/index_en.htm</w:t>
        </w:r>
      </w:hyperlink>
      <w:r>
        <w:rPr>
          <w:rFonts w:ascii="Times New Roman" w:hAnsi="Times New Roman"/>
        </w:rPr>
        <w:t xml:space="preserve"> </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https://europa.eu/youreurope/advice/index_pl.htm</w:t>
      </w:r>
    </w:p>
  </w:footnote>
  <w:footnote w:id="5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https://europa.eu/european-union/contact_pl</w:t>
        </w:r>
      </w:hyperlink>
      <w:r>
        <w:rPr>
          <w:rFonts w:ascii="Times New Roman" w:hAnsi="Times New Roman"/>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Dyrektywa Parlamentu Europejskiego i Rady 2014/54/UE z dnia 16 kwietnia 2014 r. w sprawie środków ułatwiających korzystanie z praw przyznanych pracownikom w kontekście swobodnego przepływu pracowników. </w:t>
      </w:r>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Wprowadzono w nim dobrowolne wzajemne uznawanie statusu osoby niepełnosprawnej i zapewniono osobom niepełnosprawnym większy dostęp do kultury, sportu i rekreacji w ośmiu krajach uczestniczących w projekcie: w Belgii, na Cyprze, w Estonii, Finlandii, na Malcie, w Rumunii, Słowenii i we Włoszech.</w:t>
      </w:r>
    </w:p>
  </w:footnote>
  <w:footnote w:id="5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Niniejsza sekcja nie będzie dotyczyła wyroków TSUE opierających się przede wszystkim na statusie „pracownika unijnego” zgodnie z art. 45 i nast. TFUE.</w:t>
      </w:r>
    </w:p>
  </w:footnote>
  <w:footnote w:id="58">
    <w:p>
      <w:pPr>
        <w:pStyle w:val="FootnoteText"/>
        <w:jc w:val="both"/>
        <w:rPr>
          <w:rFonts w:ascii="Times New Roman" w:hAnsi="Times New Roman" w:cs="Times New Roman"/>
          <w:szCs w:val="18"/>
        </w:rPr>
      </w:pPr>
      <w:r>
        <w:rPr>
          <w:rStyle w:val="FootnoteReference"/>
          <w:rFonts w:cs="Calibri Light"/>
          <w:szCs w:val="18"/>
        </w:rPr>
        <w:footnoteRef/>
      </w:r>
      <w:r>
        <w:t xml:space="preserve"> </w:t>
      </w:r>
      <w:r>
        <w:rPr>
          <w:rFonts w:ascii="Times New Roman" w:hAnsi="Times New Roman"/>
          <w:szCs w:val="18"/>
        </w:rPr>
        <w:t>Wyrok TSUE z dnia 14 listopada 2017 r., sprawa C-165/16, Toufik Lounes/Secretary of State for the Home Department, ECLI:EU:C:2017:862.</w:t>
      </w:r>
    </w:p>
  </w:footnote>
  <w:footnote w:id="5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C-165/16, Lounes, pkt 45–58. Należy zauważyć, że Trybunał wyraźnie podkreślił, że dyrektywa 2004/38 przestaje jednak mieć zastosowanie do migrujących obywateli UE, którzy od tamtej pory uzyskali obywatelstwo przyjmującego państwa członkowskiego; zob. sprawa C-165/16, Lounes, pkt 31–44.</w:t>
      </w:r>
    </w:p>
  </w:footnote>
  <w:footnote w:id="6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C-165/16, Lounes, pkt 59–61.</w:t>
      </w:r>
    </w:p>
  </w:footnote>
  <w:footnote w:id="61">
    <w:p>
      <w:pPr>
        <w:pStyle w:val="FootnoteText"/>
      </w:pPr>
      <w:r>
        <w:rPr>
          <w:rStyle w:val="FootnoteReference"/>
          <w:rFonts w:ascii="Times New Roman" w:hAnsi="Times New Roman" w:cs="Times New Roman"/>
        </w:rPr>
        <w:footnoteRef/>
      </w:r>
      <w:r>
        <w:rPr>
          <w:rFonts w:ascii="Times New Roman" w:hAnsi="Times New Roman"/>
          <w:szCs w:val="18"/>
        </w:rPr>
        <w:t xml:space="preserve"> Sprawa C-165/16, Lounes, pkt 52.</w:t>
      </w:r>
    </w:p>
  </w:footnote>
  <w:footnote w:id="6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20 grudnia 2017 r., sprawa C-442/16, Florea Gusa/Minister for Social Protection i in., ECLI:EU:C:2017:1004.</w:t>
      </w:r>
    </w:p>
  </w:footnote>
  <w:footnote w:id="6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C-442/16, Gusa, pkt 35–45.</w:t>
      </w:r>
    </w:p>
  </w:footnote>
  <w:footnote w:id="6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5 czerwca 2018 r., sprawa C-673/16, Relu Adrian Coman i in./Inspectoratul General pentru Imigrări i in., ECLI:EU:C:2018:385.</w:t>
      </w:r>
    </w:p>
  </w:footnote>
  <w:footnote w:id="6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C-673/16, Coman, pkt 33–36.</w:t>
      </w:r>
    </w:p>
  </w:footnote>
  <w:footnote w:id="6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C-673/16, Coman, pkt 38–40, 52–55.</w:t>
      </w:r>
    </w:p>
  </w:footnote>
  <w:footnote w:id="67">
    <w:p>
      <w:pPr>
        <w:pStyle w:val="FootnoteText"/>
      </w:pPr>
      <w:r>
        <w:rPr>
          <w:rStyle w:val="FootnoteReference"/>
          <w:rFonts w:ascii="Times New Roman" w:hAnsi="Times New Roman" w:cs="Times New Roman"/>
        </w:rPr>
        <w:footnoteRef/>
      </w:r>
      <w:r>
        <w:rPr>
          <w:rFonts w:ascii="Times New Roman" w:hAnsi="Times New Roman"/>
          <w:szCs w:val="18"/>
        </w:rPr>
        <w:t xml:space="preserve"> Sprawa C-673/16, Coman, pkt 45.</w:t>
      </w:r>
    </w:p>
  </w:footnote>
  <w:footnote w:id="6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27 czerwca 2018 r., sprawa C-230/17, Erdem Deha Altiner i Isabel Hanna Ravn/Udlændingestyrelsen, ECLI:EU:C:2018:497.</w:t>
      </w:r>
    </w:p>
  </w:footnote>
  <w:footnote w:id="6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C-230/17, Altiner i Ravn, pkt 30–34.</w:t>
      </w:r>
    </w:p>
  </w:footnote>
  <w:footnote w:id="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C-230/17, Altiner i Ravn, pkt 35.</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Wyrok TSUE z dnia 11 kwietnia 2019 r., sprawa C-483/17, Neculai Tarola/Minister for Social Protection, ECLI:EU:C:2019:309.</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C-483/17, Tarola, pkt 45–52.</w:t>
      </w:r>
    </w:p>
  </w:footnote>
  <w:footnote w:id="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C-483/17, Tarola, pkt 55–57.</w:t>
      </w:r>
    </w:p>
  </w:footnote>
  <w:footnote w:id="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Wyrok TSUE z dnia </w:t>
      </w:r>
      <w:r>
        <w:rPr>
          <w:rFonts w:ascii="Times New Roman" w:hAnsi="Times New Roman"/>
          <w:color w:val="000000"/>
        </w:rPr>
        <w:t xml:space="preserve">2 </w:t>
      </w:r>
      <w:r>
        <w:rPr>
          <w:rFonts w:ascii="Times New Roman" w:hAnsi="Times New Roman"/>
        </w:rPr>
        <w:t>października 2019 r.,</w:t>
      </w:r>
      <w:r>
        <w:rPr>
          <w:rFonts w:ascii="Times New Roman" w:hAnsi="Times New Roman"/>
          <w:color w:val="000000"/>
        </w:rPr>
        <w:t xml:space="preserve"> sprawa </w:t>
      </w:r>
      <w:hyperlink r:id="rId17" w:history="1">
        <w:r>
          <w:rPr>
            <w:rFonts w:ascii="Times New Roman" w:hAnsi="Times New Roman"/>
          </w:rPr>
          <w:t>C-93/18, Bajratari</w:t>
        </w:r>
      </w:hyperlink>
      <w:r>
        <w:rPr>
          <w:rFonts w:ascii="Times New Roman" w:hAnsi="Times New Roman"/>
        </w:rPr>
        <w:t>,</w:t>
      </w:r>
      <w:r>
        <w:rPr>
          <w:rFonts w:ascii="Times New Roman" w:hAnsi="Times New Roman"/>
          <w:color w:val="666666"/>
        </w:rPr>
        <w:t xml:space="preserve"> </w:t>
      </w:r>
      <w:r>
        <w:rPr>
          <w:rFonts w:ascii="Times New Roman" w:hAnsi="Times New Roman"/>
        </w:rPr>
        <w:t>ECLI:EU:C:2019:809</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Fonts w:ascii="Times New Roman" w:hAnsi="Times New Roman"/>
          </w:rPr>
          <w:t>Sprawa C-93/18, Bajratari</w:t>
        </w:r>
      </w:hyperlink>
      <w:r>
        <w:rPr>
          <w:rFonts w:ascii="Times New Roman" w:hAnsi="Times New Roman"/>
        </w:rPr>
        <w:t>, pkt 53.</w:t>
      </w:r>
    </w:p>
  </w:footnote>
  <w:footnote w:id="7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Fonts w:ascii="Times New Roman" w:hAnsi="Times New Roman"/>
          </w:rPr>
          <w:t>Sprawa C-93/18, Bajratari</w:t>
        </w:r>
      </w:hyperlink>
      <w:r>
        <w:rPr>
          <w:rFonts w:ascii="Times New Roman" w:hAnsi="Times New Roman"/>
        </w:rPr>
        <w:t>, pkt 52.</w:t>
      </w:r>
    </w:p>
  </w:footnote>
  <w:footnote w:id="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Wyrok TSUE z dnia 13 lipca 2017 r., sprawa C-193/16, E/Subdelegación del Gobierno en Álava, ECLI:EU:C:2017:542.</w:t>
      </w:r>
    </w:p>
  </w:footnote>
  <w:footnote w:id="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Sprawa C-193/16, E/Subdelegación del Gobierno en Álava, pkt 19–26.</w:t>
      </w:r>
    </w:p>
  </w:footnote>
  <w:footnote w:id="79">
    <w:p>
      <w:pPr>
        <w:pStyle w:val="FootnoteText"/>
        <w:jc w:val="both"/>
        <w:rPr>
          <w:rFonts w:ascii="Times New Roman" w:hAnsi="Times New Roman" w:cs="Times New Roman"/>
          <w:szCs w:val="18"/>
          <w:u w:val="single"/>
        </w:rPr>
      </w:pPr>
      <w:r>
        <w:rPr>
          <w:rStyle w:val="FootnoteReference"/>
          <w:rFonts w:ascii="Times New Roman" w:hAnsi="Times New Roman" w:cs="Times New Roman"/>
          <w:szCs w:val="18"/>
        </w:rPr>
        <w:footnoteRef/>
      </w:r>
      <w:r>
        <w:rPr>
          <w:rFonts w:ascii="Times New Roman" w:hAnsi="Times New Roman"/>
          <w:szCs w:val="18"/>
        </w:rPr>
        <w:t xml:space="preserve"> Wyrok TSUE z dnia 14 września 2017 r., sprawa C-184/16, Ovidiu-Mihăiţă Petrea/Ypourgos Esoterikon kai Dioikitikis Anasygrotisis, ECLI:EU:C:2017:684. Wyrok TSUE w sprawie Petrea zostanie częściowo omówiony w sekcji </w:t>
      </w:r>
      <w:r>
        <w:rPr>
          <w:rFonts w:ascii="Times New Roman" w:hAnsi="Times New Roman" w:cs="Times New Roman"/>
          <w:szCs w:val="18"/>
        </w:rPr>
        <w:t>5.2.3</w:t>
      </w:r>
      <w:r>
        <w:rPr>
          <w:rFonts w:ascii="Times New Roman" w:hAnsi="Times New Roman"/>
          <w:szCs w:val="18"/>
        </w:rPr>
        <w:t xml:space="preserve"> niniejszego przeglądu</w:t>
      </w:r>
      <w:r>
        <w:t>.</w:t>
      </w:r>
    </w:p>
  </w:footnote>
  <w:footnote w:id="8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pkt 30–42.</w:t>
      </w:r>
    </w:p>
  </w:footnote>
  <w:footnote w:id="8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C-184/16, Petrea, pkt 43–48.</w:t>
      </w:r>
    </w:p>
  </w:footnote>
  <w:footnote w:id="8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17 kwietnia 2018 r., sprawy połączone C-316/16 i C-424/16 B/Land Baden-Württemburg oraz Secretary of State for the Home Department/Franco Vomero, ECLI:EU:C:2018:256.</w:t>
      </w:r>
    </w:p>
  </w:footnote>
  <w:footnote w:id="8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C-316/16 i C-424/16 B oraz Vomero, pkt 44–55.</w:t>
      </w:r>
    </w:p>
  </w:footnote>
  <w:footnote w:id="8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C-316/16 i C-424/16 B oraz Vomero, pkt 64–65, 85–94.</w:t>
      </w:r>
    </w:p>
  </w:footnote>
  <w:footnote w:id="8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C-316/16 i C-424/16 B oraz Vomero, pkt 66–82.</w:t>
      </w:r>
    </w:p>
  </w:footnote>
  <w:footnote w:id="8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C-316/16 i C-424/16 B oraz Vomero, pkt 83.</w:t>
      </w:r>
    </w:p>
  </w:footnote>
  <w:footnote w:id="8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2 maja 2018 r., sprawy połączone C-331/16 oraz C-366/16 K/Staatssecretaris van Veligheid en Justitie oraz HF/Belgische Staat, ECLI:EU:C:2018:296.</w:t>
      </w:r>
    </w:p>
  </w:footnote>
  <w:footnote w:id="8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C-331/16 oraz C-366/16 K oraz HF, pkt 51.</w:t>
      </w:r>
    </w:p>
  </w:footnote>
  <w:footnote w:id="8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C-331/16 oraz C-366/16 K oraz HF, pkt 39–49, 52–60.</w:t>
      </w:r>
    </w:p>
  </w:footnote>
  <w:footnote w:id="9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Sprawy połączone C-331/16 oraz C-366/16 K oraz HF, pkt 61–64.</w:t>
      </w:r>
    </w:p>
  </w:footnote>
  <w:footnote w:id="9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13 września 2016 r., sprawa C-165/14 Alfredo Rendón Marín/Administración del Estado, ECLI:EU:C:2016:675.</w:t>
      </w:r>
    </w:p>
  </w:footnote>
  <w:footnote w:id="9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C-165/14 Rendón Maríin, pkt 63–67, 81–87.</w:t>
      </w:r>
    </w:p>
  </w:footnote>
  <w:footnote w:id="9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13 września 2016 r., sprawa C-304/14 Secretary of State for the Home Department/CS, ECLI:EU:C:2016:674, pkt 41.</w:t>
      </w:r>
    </w:p>
  </w:footnote>
  <w:footnote w:id="9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 odniesieniu do praw pobytu wynikających z art. 20 TFUE, zob. sprawa C-165/14 Rendón Marín, pkt 83–86; sprawa C-304/14 CS, pkt 36–42; w odniesieniu do praw pobytu wynikających z art. 21 TFUE, zob. sprawa C-165/14 Rendón Marín, pkt 55–62.</w:t>
      </w:r>
    </w:p>
  </w:footnote>
  <w:footnote w:id="9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10 maja 2017 r., sprawa C-133/15 HC Chavez-Vilchez i in./Raad van bestuur van de Sociale verzekeringsbank i in., ECLI:EU:C:2017:354.</w:t>
      </w:r>
    </w:p>
  </w:footnote>
  <w:footnote w:id="96">
    <w:p>
      <w:pPr>
        <w:pStyle w:val="FootnoteText"/>
      </w:pPr>
      <w:r>
        <w:rPr>
          <w:rStyle w:val="FootnoteReference"/>
        </w:rPr>
        <w:footnoteRef/>
      </w:r>
      <w:r>
        <w:t xml:space="preserve"> </w:t>
      </w:r>
      <w:r>
        <w:rPr>
          <w:rFonts w:ascii="Times New Roman" w:hAnsi="Times New Roman"/>
          <w:szCs w:val="18"/>
        </w:rPr>
        <w:t>Sprawa C-34/09.</w:t>
      </w:r>
    </w:p>
  </w:footnote>
  <w:footnote w:id="9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C-133/15 Chavez-Vilchez i in., pkt 70.</w:t>
      </w:r>
    </w:p>
  </w:footnote>
  <w:footnote w:id="9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C-133/15 Chavez-Vilchez i in., pkt 71.</w:t>
      </w:r>
    </w:p>
  </w:footnote>
  <w:footnote w:id="99">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C-133/15 Chavez-Vilchez i in., pkt 68.</w:t>
      </w:r>
    </w:p>
  </w:footnote>
  <w:footnote w:id="10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C-133/15 Chavez-Vilchez i in., pkt 71.</w:t>
      </w:r>
    </w:p>
  </w:footnote>
  <w:footnote w:id="101">
    <w:p>
      <w:pPr>
        <w:pStyle w:val="FootnoteText"/>
        <w:jc w:val="both"/>
      </w:pPr>
      <w:r>
        <w:rPr>
          <w:rStyle w:val="FootnoteReference"/>
        </w:rPr>
        <w:footnoteRef/>
      </w:r>
      <w:r>
        <w:rPr>
          <w:rFonts w:ascii="Times New Roman" w:hAnsi="Times New Roman"/>
        </w:rPr>
        <w:t xml:space="preserve"> Wyrok TSUE z dnia 27 lutego 2020 r., sprawa C-836/18 Subdelegación del Gobierno en Ciudad Real/RH</w:t>
      </w:r>
      <w:r>
        <w:rPr>
          <w:rStyle w:val="Hyperlink"/>
          <w:rFonts w:ascii="Times New Roman" w:hAnsi="Times New Roman"/>
          <w:color w:val="auto"/>
        </w:rPr>
        <w:t xml:space="preserve">, </w:t>
      </w:r>
      <w:r>
        <w:rPr>
          <w:rFonts w:ascii="Times New Roman" w:hAnsi="Times New Roman"/>
          <w:bCs/>
          <w:shd w:val="clear" w:color="auto" w:fill="FFFFFF"/>
        </w:rPr>
        <w:t>ECLI:EU:C:2020:119.</w:t>
      </w:r>
    </w:p>
  </w:footnote>
  <w:footnote w:id="102">
    <w:p>
      <w:pPr>
        <w:pStyle w:val="FootnoteText"/>
        <w:jc w:val="both"/>
        <w:rPr>
          <w:rFonts w:ascii="Times New Roman" w:hAnsi="Times New Roman" w:cs="Times New Roman"/>
          <w:i/>
          <w:highlight w:val="yellow"/>
        </w:rPr>
      </w:pPr>
      <w:r>
        <w:rPr>
          <w:rStyle w:val="FootnoteReference"/>
          <w:rFonts w:ascii="Times New Roman" w:hAnsi="Times New Roman" w:cs="Times New Roman"/>
        </w:rPr>
        <w:footnoteRef/>
      </w:r>
      <w:r>
        <w:rPr>
          <w:rFonts w:ascii="Times New Roman" w:hAnsi="Times New Roman"/>
        </w:rPr>
        <w:t xml:space="preserve"> Wyrok TSUE z dnia 18 czerwca 2020 r., </w:t>
      </w:r>
      <w:r>
        <w:t xml:space="preserve">sprawa </w:t>
      </w:r>
      <w:r>
        <w:rPr>
          <w:rFonts w:ascii="Times New Roman" w:hAnsi="Times New Roman"/>
        </w:rPr>
        <w:t>C-754/18</w:t>
      </w:r>
      <w:r>
        <w:t xml:space="preserve">, </w:t>
      </w:r>
      <w:r>
        <w:rPr>
          <w:rFonts w:ascii="Open Sans" w:hAnsi="Open Sans"/>
          <w:bCs/>
          <w:shd w:val="clear" w:color="auto" w:fill="FFFFFF"/>
        </w:rPr>
        <w:t>Ryanair Designated Activity Company/Országos Rendőr-főkapitányság, ECLI:EU:C:2020:478</w:t>
      </w:r>
      <w:r>
        <w:t>.</w:t>
      </w:r>
    </w:p>
  </w:footnote>
  <w:footnote w:id="10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5 września 2012 r., sprawa C-83/11 Secretary of State for the Home Department/Muhammad Sazzadur Rahman i in., ECLI:EU:C:2012:519.</w:t>
      </w:r>
    </w:p>
  </w:footnote>
  <w:footnote w:id="10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TSUE z dnia 12 lipca 2018 r., sprawa C-89/17 Secretary of State for the Home Department/Rozanne Banger, ECLI:EU:C:2018:570.</w:t>
      </w:r>
    </w:p>
  </w:footnote>
  <w:footnote w:id="10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C-89/17 Banger, pkt 27–34.</w:t>
      </w:r>
    </w:p>
  </w:footnote>
  <w:footnote w:id="10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C-89/17 Banger, pkt 36–41.</w:t>
      </w:r>
    </w:p>
  </w:footnote>
  <w:footnote w:id="10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C-89/17 Banger, pkt 42–52.</w:t>
      </w:r>
    </w:p>
  </w:footnote>
  <w:footnote w:id="10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26 marca 2019 r., sprawa C-129/18 SM/Entry Clearance Officer, UK Visa Section, ECLI:EU:C:2019:248.</w:t>
      </w:r>
    </w:p>
  </w:footnote>
  <w:footnote w:id="109">
    <w:p>
      <w:pPr>
        <w:pStyle w:val="FootnoteText"/>
        <w:jc w:val="both"/>
        <w:rPr>
          <w:rFonts w:ascii="Times New Roman" w:hAnsi="Times New Roman" w:cs="Times New Roman"/>
          <w:szCs w:val="18"/>
        </w:rPr>
      </w:pPr>
      <w:r>
        <w:rPr>
          <w:rFonts w:ascii="Times New Roman" w:hAnsi="Times New Roman" w:cs="Times New Roman"/>
          <w:szCs w:val="18"/>
        </w:rPr>
        <w:footnoteRef/>
      </w:r>
      <w:r>
        <w:rPr>
          <w:rFonts w:ascii="Times New Roman" w:hAnsi="Times New Roman"/>
          <w:szCs w:val="18"/>
          <w:vertAlign w:val="superscript"/>
        </w:rPr>
        <w:t xml:space="preserve"> </w:t>
      </w:r>
      <w:r>
        <w:rPr>
          <w:rFonts w:ascii="Times New Roman" w:hAnsi="Times New Roman"/>
          <w:szCs w:val="18"/>
        </w:rPr>
        <w:t>Sprawa C-129/18 SM, pkt 50–51.</w:t>
      </w:r>
    </w:p>
  </w:footnote>
  <w:footnote w:id="110">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52–56.</w:t>
      </w:r>
    </w:p>
  </w:footnote>
  <w:footnote w:id="111">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57–59.</w:t>
      </w:r>
    </w:p>
  </w:footnote>
  <w:footnote w:id="112">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60–63, 68.</w:t>
      </w:r>
    </w:p>
  </w:footnote>
  <w:footnote w:id="11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64–67.</w:t>
      </w:r>
    </w:p>
  </w:footnote>
  <w:footnote w:id="11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68.</w:t>
      </w:r>
    </w:p>
  </w:footnote>
  <w:footnote w:id="11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C-129/18 SM, pkt 69–72.</w:t>
      </w:r>
    </w:p>
  </w:footnote>
  <w:footnote w:id="11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C-184/16 Petrea, pkt 50–56.</w:t>
      </w:r>
    </w:p>
  </w:footnote>
  <w:footnote w:id="117">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C-184/16 Petrea, pkt 57–65.</w:t>
      </w:r>
    </w:p>
  </w:footnote>
  <w:footnote w:id="118">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C-184/16 Petrea, pkt 66–71.</w:t>
      </w:r>
    </w:p>
  </w:footnote>
  <w:footnote w:id="1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Wyrok TSUE z dnia </w:t>
      </w:r>
      <w:r>
        <w:rPr>
          <w:rFonts w:ascii="Times New Roman" w:hAnsi="Times New Roman"/>
          <w:bCs/>
        </w:rPr>
        <w:t>10 września 2019 r., sprawa C-94/18 Nalini Chenchooliah/Minister for Justice and Equality, ECLI:EU:C:2019:693</w:t>
      </w:r>
    </w:p>
  </w:footnote>
  <w:footnote w:id="1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Sprawa C-94/18 Chenchooliah, pkt 73–79.</w:t>
      </w:r>
    </w:p>
  </w:footnote>
  <w:footnote w:id="1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Sprawa C-94/18 Chenchooliah, pkt 73–79.</w:t>
      </w:r>
    </w:p>
  </w:footnote>
  <w:footnote w:id="1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Sprawa C-94/18 Chenchooliah, pkt 80–88.</w:t>
      </w:r>
    </w:p>
  </w:footnote>
  <w:footnote w:id="123">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Wyrok TSUE z dnia 27 czerwca 2018, sprawa C-246/17 Ibrahim Diallo/État belge, ECLI:EU:C:2018:499.</w:t>
      </w:r>
    </w:p>
  </w:footnote>
  <w:footnote w:id="124">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C-246/17 Diallo, pkt 33–42.</w:t>
      </w:r>
    </w:p>
  </w:footnote>
  <w:footnote w:id="125">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C-246/17 Diallo, pkt 45–56.</w:t>
      </w:r>
    </w:p>
  </w:footnote>
  <w:footnote w:id="126">
    <w:p>
      <w:pPr>
        <w:pStyle w:val="FootnoteText"/>
        <w:jc w:val="both"/>
        <w:rPr>
          <w:rFonts w:ascii="Times New Roman" w:hAnsi="Times New Roman" w:cs="Times New Roman"/>
          <w:szCs w:val="18"/>
        </w:rPr>
      </w:pPr>
      <w:r>
        <w:rPr>
          <w:rStyle w:val="FootnoteReference"/>
          <w:rFonts w:ascii="Times New Roman" w:hAnsi="Times New Roman" w:cs="Times New Roman"/>
          <w:szCs w:val="18"/>
        </w:rPr>
        <w:footnoteRef/>
      </w:r>
      <w:r>
        <w:rPr>
          <w:rFonts w:ascii="Times New Roman" w:hAnsi="Times New Roman"/>
          <w:szCs w:val="18"/>
        </w:rPr>
        <w:t xml:space="preserve"> Sprawa C-246/17 Diallo, pkt 58–69.</w:t>
      </w:r>
    </w:p>
  </w:footnote>
  <w:footnote w:id="127">
    <w:p>
      <w:pPr>
        <w:pStyle w:val="FootnoteText"/>
        <w:jc w:val="both"/>
        <w:rPr>
          <w:rFonts w:ascii="Times New Roman" w:hAnsi="Times New Roman" w:cs="Times New Roman"/>
        </w:rPr>
      </w:pPr>
      <w:r>
        <w:rPr>
          <w:rStyle w:val="FootnoteReference"/>
          <w:rFonts w:cs="Calibri Light"/>
          <w:szCs w:val="18"/>
        </w:rPr>
        <w:footnoteRef/>
      </w:r>
      <w:r>
        <w:t xml:space="preserve"> </w:t>
      </w:r>
      <w:r>
        <w:rPr>
          <w:rFonts w:ascii="Times New Roman" w:hAnsi="Times New Roman"/>
        </w:rPr>
        <w:t>Wyrok TSUE z dnia 8 czerwca 2017 r., sprawa C-541/15 Mircea Florian Freitag, ECLI:EU:C:2017:432.</w:t>
      </w:r>
    </w:p>
  </w:footnote>
  <w:footnote w:id="1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C-541/15 Freitag, pkt 35–39.</w:t>
      </w:r>
    </w:p>
  </w:footnote>
  <w:footnote w:id="1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Wyrok TSUE z dnia 25 lipca 2018 r., sprawa Case C-679/16, A, </w:t>
      </w:r>
      <w:r>
        <w:rPr>
          <w:rStyle w:val="outputecli"/>
          <w:rFonts w:ascii="Times New Roman" w:hAnsi="Times New Roman"/>
        </w:rPr>
        <w:t>ECLI:EU:C:2018:601.</w:t>
      </w:r>
    </w:p>
  </w:footnote>
  <w:footnote w:id="1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C-679/16 A, pkt 58–59.</w:t>
      </w:r>
    </w:p>
  </w:footnote>
  <w:footnote w:id="1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C-679/16 A, pkt 60.</w:t>
      </w:r>
    </w:p>
  </w:footnote>
  <w:footnote w:id="1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C-679/16 A, pkt 79.</w:t>
      </w:r>
    </w:p>
  </w:footnote>
  <w:footnote w:id="133">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Rozporządzenie Parlamentu Europejskiego i Rady (UE) 2017/458 z dnia 15 marca 2017 r. zmieniające rozporządzenie (UE) 2016/399 w odniesieniu do zintensyfikowania odpraw na granicach zewnętrznych z wykorzystaniem odpowiednich baz danych.</w:t>
      </w:r>
    </w:p>
  </w:footnote>
  <w:footnote w:id="134">
    <w:p>
      <w:pPr>
        <w:pStyle w:val="FootnoteText"/>
        <w:jc w:val="both"/>
        <w:rPr>
          <w:rFonts w:ascii="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rPr>
        <w:t xml:space="preserve"> COM(2016) 790 final.</w:t>
      </w:r>
    </w:p>
  </w:footnote>
  <w:footnote w:id="1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https://ec.europa.eu/commission/news/security-union-2017-jun-29_en</w:t>
        </w:r>
      </w:hyperlink>
      <w:r>
        <w:rPr>
          <w:rFonts w:ascii="Times New Roman" w:hAnsi="Times New Roman"/>
        </w:rPr>
        <w:t xml:space="preserve"> </w:t>
      </w:r>
    </w:p>
  </w:footnote>
  <w:footnote w:id="136">
    <w:p>
      <w:pPr>
        <w:pStyle w:val="FootnoteText"/>
        <w:jc w:val="both"/>
        <w:rPr>
          <w:rFonts w:ascii="Times New Roman" w:hAnsi="Times New Roman" w:cs="Times New Roman"/>
          <w:i/>
          <w:iCs/>
        </w:rPr>
      </w:pPr>
      <w:r>
        <w:rPr>
          <w:rStyle w:val="FootnoteReference"/>
          <w:rFonts w:ascii="Times New Roman" w:hAnsi="Times New Roman" w:cs="Times New Roman"/>
        </w:rPr>
        <w:footnoteRef/>
      </w:r>
      <w:r>
        <w:rPr>
          <w:rFonts w:ascii="Times New Roman" w:hAnsi="Times New Roman"/>
        </w:rPr>
        <w:t xml:space="preserve"> Rozporządzenie Parlamentu Europejskiego i Rady (UE) 2019/1157 z dnia 20 czerwca 2019 r. w sprawie poprawy zabezpieczeń dowodów osobistych obywateli Unii i dokumentów pobytowych wydawanych obywatelom Unii i członkom ich rodzin korzystającym z prawa do swobodnego przemieszczania się, </w:t>
      </w:r>
      <w:r>
        <w:rPr>
          <w:rFonts w:ascii="Times New Roman" w:hAnsi="Times New Roman"/>
          <w:iCs/>
        </w:rPr>
        <w:t>Dz.U. L 188 z 12.7.2019, s. 67</w:t>
      </w:r>
      <w:r>
        <w:rPr>
          <w:rFonts w:ascii="Times New Roman" w:hAnsi="Times New Roman"/>
        </w:rPr>
        <w:t>.</w:t>
      </w:r>
    </w:p>
  </w:footnote>
  <w:footnote w:id="137">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1" w:history="1">
        <w:r>
          <w:rPr>
            <w:rStyle w:val="Hyperlink"/>
            <w:rFonts w:ascii="Times New Roman" w:hAnsi="Times New Roman"/>
          </w:rPr>
          <w:t>https://ec.europa.eu/info/files/letter-concerning-voter-registration-system-mobile-eu-citizens-united-kingdom_en</w:t>
        </w:r>
      </w:hyperlink>
      <w:r>
        <w:rPr>
          <w:rFonts w:ascii="Times New Roman" w:hAnsi="Times New Roman"/>
        </w:rPr>
        <w:t xml:space="preserve"> </w:t>
      </w:r>
    </w:p>
  </w:footnote>
  <w:footnote w:id="1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rPr>
          <w:t>https://ec.europa.eu/info/files/letter-concerning-difficulties-encountered-voting-romanian-consulate_en</w:t>
        </w:r>
      </w:hyperlink>
      <w:r>
        <w:rPr>
          <w:rFonts w:ascii="Times New Roman" w:hAnsi="Times New Roman"/>
        </w:rPr>
        <w:t xml:space="preserve"> </w:t>
      </w:r>
    </w:p>
  </w:footnote>
  <w:footnote w:id="1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C-502/19 </w:t>
      </w:r>
    </w:p>
  </w:footnote>
  <w:footnote w:id="140">
    <w:p>
      <w:pPr>
        <w:pStyle w:val="FootnoteText"/>
        <w:jc w:val="both"/>
        <w:rPr>
          <w:rFonts w:ascii="Times New Roman" w:hAnsi="Times New Roman" w:cs="Times New Roman"/>
        </w:rPr>
      </w:pPr>
      <w:r>
        <w:rPr>
          <w:rStyle w:val="FootnoteReference"/>
        </w:rPr>
        <w:footnoteRef/>
      </w:r>
      <w:hyperlink r:id="rId23" w:history="1">
        <w:r>
          <w:rPr>
            <w:rStyle w:val="Hyperlink"/>
            <w:rFonts w:ascii="Times New Roman" w:hAnsi="Times New Roman"/>
          </w:rPr>
          <w:t>https://ec.europa.eu/home-affairs/sites/homeaffairs/files/what-is-new/news/news/20170124_eu_citizenship_report_2017_en.pdf</w:t>
        </w:r>
      </w:hyperlink>
    </w:p>
  </w:footnote>
  <w:footnote w:id="14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4" w:history="1">
        <w:r>
          <w:rPr>
            <w:rStyle w:val="Hyperlink"/>
            <w:rFonts w:ascii="Times New Roman" w:hAnsi="Times New Roman"/>
          </w:rPr>
          <w:t>https://www.consilium.europa.eu/media/22130/st09008en17.pdf</w:t>
        </w:r>
      </w:hyperlink>
      <w:r>
        <w:rPr>
          <w:rFonts w:ascii="Times New Roman" w:hAnsi="Times New Roman"/>
        </w:rPr>
        <w:t xml:space="preserve"> </w:t>
      </w:r>
    </w:p>
  </w:footnote>
  <w:footnote w:id="14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5" w:history="1">
        <w:r>
          <w:rPr>
            <w:rStyle w:val="Hyperlink"/>
            <w:rFonts w:ascii="Times New Roman" w:hAnsi="Times New Roman"/>
          </w:rPr>
          <w:t>https://eur-lex.europa.eu/legal-content/pl/TXT/?uri=CELEX:52018DC0044</w:t>
        </w:r>
      </w:hyperlink>
      <w:r>
        <w:rPr>
          <w:rFonts w:ascii="Times New Roman" w:hAnsi="Times New Roman"/>
        </w:rPr>
        <w:t xml:space="preserve"> </w:t>
      </w:r>
    </w:p>
  </w:footnote>
  <w:footnote w:id="1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https://eur-lex.europa.eu/legal-content/PL/TXT/?qid=1561131040319&amp;uri=CELEX:52018DC0637</w:t>
      </w:r>
    </w:p>
  </w:footnote>
  <w:footnote w:id="1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https://ec.europa.eu/commission/sites/beta-political/files/soteu2018-data-protection-law-electoral-guidance-638_en.pdf</w:t>
      </w:r>
    </w:p>
  </w:footnote>
  <w:footnote w:id="1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https://eur-lex.europa.eu/legal-content/EN/TXT/?qid=1561130736830&amp;uri=CELEX:52018PC0636</w:t>
      </w:r>
    </w:p>
  </w:footnote>
  <w:footnote w:id="1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https://ec.europa.eu/info/policies/justice-and-fundamental-rights/eu-citizenship/electoral-rights/european-cooperation-network-elections_en</w:t>
      </w:r>
    </w:p>
  </w:footnote>
  <w:footnote w:id="1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Badanie Eurobarometr Flash 485, wiosna 2020 r.</w:t>
      </w:r>
    </w:p>
  </w:footnote>
  <w:footnote w:id="1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Dyrektywa Rady (UE) 2019/997 z dnia 18 czerwca 2019 r. ustanawiająca unijny tymczasowy dokument podróży oraz uchylająca decyzję 96/409/WPZiB, Dz.U. L 163 z 20.6.2019, s. 1.</w:t>
      </w:r>
    </w:p>
  </w:footnote>
  <w:footnote w:id="1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Zob. art. 55 ust. 1 Traktatu UE. </w:t>
      </w:r>
    </w:p>
  </w:footnote>
  <w:footnote w:id="1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Postanowienie to jest wdrożone we wszystkich instytucjach, organach, i jednostkach organizacyjnych Unii w zakresie istotnym dla ich pracy.</w:t>
      </w:r>
    </w:p>
  </w:footnote>
  <w:footnote w:id="1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rPr>
          <w:t>https://petiport.secure.europarl.europa.eu/petitions/pl/main</w:t>
        </w:r>
      </w:hyperlink>
      <w:r>
        <w:rPr>
          <w:rFonts w:ascii="Times New Roman" w:hAnsi="Times New Roman"/>
        </w:rPr>
        <w:t xml:space="preserve"> </w:t>
      </w:r>
    </w:p>
  </w:footnote>
  <w:footnote w:id="152">
    <w:p>
      <w:pPr>
        <w:pStyle w:val="FootnoteText"/>
      </w:pPr>
      <w:r>
        <w:rPr>
          <w:rStyle w:val="FootnoteReference"/>
        </w:rPr>
        <w:footnoteRef/>
      </w:r>
      <w:r>
        <w:t xml:space="preserve"> </w:t>
      </w:r>
      <w:hyperlink r:id="rId27" w:history="1">
        <w:r>
          <w:rPr>
            <w:rStyle w:val="Hyperlink"/>
            <w:rFonts w:ascii="Times New Roman" w:hAnsi="Times New Roman"/>
          </w:rPr>
          <w:t>https://www.europarl.europa.eu/meetdocs/2014_2019/plmrep/COMMITTEES/PETI/PR/2020/09-03/1197378PL.pdf</w:t>
        </w:r>
      </w:hyperlink>
      <w:r>
        <w:t xml:space="preserve"> </w:t>
      </w:r>
    </w:p>
  </w:footnote>
  <w:footnote w:id="1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rPr>
          <w:t>https://www.ombudsman.europa.eu/en/special-report/pl/94921</w:t>
        </w:r>
      </w:hyperlink>
      <w:r>
        <w:rPr>
          <w:rFonts w:ascii="Times New Roman" w:hAnsi="Times New Roman"/>
        </w:rPr>
        <w:t xml:space="preserve"> </w:t>
      </w:r>
    </w:p>
  </w:footnote>
  <w:footnote w:id="154">
    <w:p>
      <w:pPr>
        <w:pStyle w:val="FootnoteText"/>
        <w:jc w:val="both"/>
        <w:rPr>
          <w:rFonts w:ascii="Times New Roman" w:hAnsi="Times New Roman" w:cs="Times New Roman"/>
        </w:rPr>
      </w:pPr>
      <w:r>
        <w:rPr>
          <w:rStyle w:val="FootnoteReference"/>
          <w:rFonts w:ascii="Times New Roman" w:hAnsi="Times New Roman" w:cs="Times New Roman"/>
        </w:rPr>
        <w:footnoteRef/>
      </w:r>
      <w:hyperlink r:id="rId29" w:history="1">
        <w:r>
          <w:rPr>
            <w:rStyle w:val="Hyperlink"/>
            <w:rFonts w:ascii="Times New Roman" w:hAnsi="Times New Roman"/>
          </w:rPr>
          <w:t>https://www.ombudsman.europa.eu/en/press-release/en/89910?utm_source=web_EO&amp;utm_medium=scrollie_organic&amp;utm_campaign=scrollie_25</w:t>
        </w:r>
      </w:hyperlink>
      <w:r>
        <w:rPr>
          <w:rFonts w:ascii="Times New Roman" w:hAnsi="Times New Roman"/>
        </w:rPr>
        <w:t xml:space="preserve"> </w:t>
      </w:r>
    </w:p>
  </w:footnote>
  <w:footnote w:id="15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Rejestr europejskich inicjatyw obywatelskich: </w:t>
      </w:r>
      <w:hyperlink r:id="rId30" w:history="1">
        <w:r>
          <w:rPr>
            <w:rStyle w:val="Hyperlink"/>
            <w:rFonts w:ascii="Times New Roman" w:hAnsi="Times New Roman"/>
          </w:rPr>
          <w:t>http://ec.europa.eu/citizens-initiative/public/welcome</w:t>
        </w:r>
      </w:hyperlink>
      <w:r>
        <w:rPr>
          <w:rFonts w:ascii="Times New Roman" w:hAnsi="Times New Roman"/>
        </w:rPr>
        <w:t xml:space="preserve"> </w:t>
      </w:r>
    </w:p>
  </w:footnote>
  <w:footnote w:id="1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rPr>
          <w:t>https://europa.eu/citizens-initiative/initiatives/details/2017/000002_pl</w:t>
        </w:r>
      </w:hyperlink>
      <w:r>
        <w:rPr>
          <w:rFonts w:ascii="Times New Roman" w:hAnsi="Times New Roman"/>
        </w:rPr>
        <w:t xml:space="preserve"> </w:t>
      </w:r>
    </w:p>
  </w:footnote>
  <w:footnote w:id="1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C(2017) 8414 final.</w:t>
      </w:r>
    </w:p>
  </w:footnote>
  <w:footnote w:id="1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COM(2015) 145 final.</w:t>
      </w:r>
    </w:p>
  </w:footnote>
  <w:footnote w:id="1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COM(2017) 482.</w:t>
      </w:r>
    </w:p>
  </w:footnote>
  <w:footnote w:id="1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Rozporządzenie Parlamentu Europejskiego i Rady (UE) 2019/788 z dnia 17 kwietnia 2019 r. w sprawie europejskiej inicjatywy obywatelskiej, Dz.U. L 130 z 17.5.2019, s. 55.</w:t>
      </w:r>
    </w:p>
  </w:footnote>
  <w:footnote w:id="16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COM(2018) 157 final. </w:t>
      </w:r>
    </w:p>
  </w:footnote>
  <w:footnote w:id="16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2" w:history="1">
        <w:r>
          <w:rPr>
            <w:rStyle w:val="Hyperlink"/>
            <w:rFonts w:ascii="Times New Roman" w:hAnsi="Times New Roman"/>
          </w:rPr>
          <w:t>https://europa.eu/citizens-initiative/expert-group-meetings_pl</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4AD6C0"/>
    <w:lvl w:ilvl="0">
      <w:start w:val="1"/>
      <w:numFmt w:val="bullet"/>
      <w:lvlText w:val=""/>
      <w:lvlJc w:val="left"/>
      <w:pPr>
        <w:tabs>
          <w:tab w:val="num" w:pos="926"/>
        </w:tabs>
        <w:ind w:left="926" w:hanging="360"/>
      </w:pPr>
      <w:rPr>
        <w:rFonts w:ascii="Symbol" w:hAnsi="Symbol" w:hint="default"/>
      </w:rPr>
    </w:lvl>
  </w:abstractNum>
  <w:abstractNum w:abstractNumId="1">
    <w:nsid w:val="19A45675"/>
    <w:multiLevelType w:val="hybridMultilevel"/>
    <w:tmpl w:val="274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5C6011"/>
    <w:multiLevelType w:val="multilevel"/>
    <w:tmpl w:val="54B62B6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upperLetter"/>
      <w:lvlRestart w:val="0"/>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nsid w:val="3DED6C37"/>
    <w:multiLevelType w:val="hybridMultilevel"/>
    <w:tmpl w:val="7BD63C8A"/>
    <w:name w:val="Point4222"/>
    <w:lvl w:ilvl="0" w:tplc="4D38D420">
      <w:start w:val="1"/>
      <w:numFmt w:val="decimal"/>
      <w:lvlText w:val="3.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AD723D3"/>
    <w:multiLevelType w:val="hybridMultilevel"/>
    <w:tmpl w:val="79E26C10"/>
    <w:lvl w:ilvl="0" w:tplc="A476E9AE">
      <w:start w:val="1"/>
      <w:numFmt w:val="lowerLetter"/>
      <w:lvlText w:val="(%1)"/>
      <w:lvlJc w:val="left"/>
      <w:pPr>
        <w:ind w:left="1584" w:hanging="360"/>
      </w:pPr>
      <w:rPr>
        <w:rFonts w:hint="default"/>
      </w:rPr>
    </w:lvl>
    <w:lvl w:ilvl="1" w:tplc="080C0019" w:tentative="1">
      <w:start w:val="1"/>
      <w:numFmt w:val="lowerLetter"/>
      <w:lvlText w:val="%2."/>
      <w:lvlJc w:val="left"/>
      <w:pPr>
        <w:ind w:left="2304" w:hanging="360"/>
      </w:pPr>
    </w:lvl>
    <w:lvl w:ilvl="2" w:tplc="080C001B" w:tentative="1">
      <w:start w:val="1"/>
      <w:numFmt w:val="lowerRoman"/>
      <w:lvlText w:val="%3."/>
      <w:lvlJc w:val="right"/>
      <w:pPr>
        <w:ind w:left="3024" w:hanging="180"/>
      </w:pPr>
    </w:lvl>
    <w:lvl w:ilvl="3" w:tplc="080C000F" w:tentative="1">
      <w:start w:val="1"/>
      <w:numFmt w:val="decimal"/>
      <w:lvlText w:val="%4."/>
      <w:lvlJc w:val="left"/>
      <w:pPr>
        <w:ind w:left="3744" w:hanging="360"/>
      </w:pPr>
    </w:lvl>
    <w:lvl w:ilvl="4" w:tplc="080C0019" w:tentative="1">
      <w:start w:val="1"/>
      <w:numFmt w:val="lowerLetter"/>
      <w:lvlText w:val="%5."/>
      <w:lvlJc w:val="left"/>
      <w:pPr>
        <w:ind w:left="4464" w:hanging="360"/>
      </w:pPr>
    </w:lvl>
    <w:lvl w:ilvl="5" w:tplc="080C001B" w:tentative="1">
      <w:start w:val="1"/>
      <w:numFmt w:val="lowerRoman"/>
      <w:lvlText w:val="%6."/>
      <w:lvlJc w:val="right"/>
      <w:pPr>
        <w:ind w:left="5184" w:hanging="180"/>
      </w:pPr>
    </w:lvl>
    <w:lvl w:ilvl="6" w:tplc="080C000F" w:tentative="1">
      <w:start w:val="1"/>
      <w:numFmt w:val="decimal"/>
      <w:lvlText w:val="%7."/>
      <w:lvlJc w:val="left"/>
      <w:pPr>
        <w:ind w:left="5904" w:hanging="360"/>
      </w:pPr>
    </w:lvl>
    <w:lvl w:ilvl="7" w:tplc="080C0019" w:tentative="1">
      <w:start w:val="1"/>
      <w:numFmt w:val="lowerLetter"/>
      <w:lvlText w:val="%8."/>
      <w:lvlJc w:val="left"/>
      <w:pPr>
        <w:ind w:left="6624" w:hanging="360"/>
      </w:pPr>
    </w:lvl>
    <w:lvl w:ilvl="8" w:tplc="080C001B" w:tentative="1">
      <w:start w:val="1"/>
      <w:numFmt w:val="lowerRoman"/>
      <w:lvlText w:val="%9."/>
      <w:lvlJc w:val="right"/>
      <w:pPr>
        <w:ind w:left="7344" w:hanging="180"/>
      </w:pPr>
    </w:lvl>
  </w:abstractNum>
  <w:abstractNum w:abstractNumId="5">
    <w:nsid w:val="5EA36AE3"/>
    <w:multiLevelType w:val="hybridMultilevel"/>
    <w:tmpl w:val="33E68DA0"/>
    <w:lvl w:ilvl="0" w:tplc="D012BECE">
      <w:start w:val="1"/>
      <w:numFmt w:val="bullet"/>
      <w:pStyle w:val="Lijstje2"/>
      <w:lvlText w:val=""/>
      <w:lvlJc w:val="left"/>
      <w:pPr>
        <w:ind w:left="2061" w:hanging="360"/>
      </w:pPr>
      <w:rPr>
        <w:rFonts w:ascii="Symbol" w:hAnsi="Symbol" w:hint="default"/>
      </w:rPr>
    </w:lvl>
    <w:lvl w:ilvl="1" w:tplc="EDDCC440">
      <w:start w:val="1"/>
      <w:numFmt w:val="bullet"/>
      <w:pStyle w:val="Lijstje3"/>
      <w:lvlText w:val="o"/>
      <w:lvlJc w:val="left"/>
      <w:pPr>
        <w:ind w:left="1886" w:hanging="360"/>
      </w:pPr>
      <w:rPr>
        <w:rFonts w:ascii="Courier New" w:hAnsi="Courier New" w:cs="Courier New" w:hint="default"/>
      </w:rPr>
    </w:lvl>
    <w:lvl w:ilvl="2" w:tplc="08130005">
      <w:start w:val="1"/>
      <w:numFmt w:val="bullet"/>
      <w:lvlText w:val=""/>
      <w:lvlJc w:val="left"/>
      <w:pPr>
        <w:ind w:left="2606" w:hanging="360"/>
      </w:pPr>
      <w:rPr>
        <w:rFonts w:ascii="Wingdings" w:hAnsi="Wingdings" w:hint="default"/>
      </w:rPr>
    </w:lvl>
    <w:lvl w:ilvl="3" w:tplc="08130001">
      <w:start w:val="1"/>
      <w:numFmt w:val="bullet"/>
      <w:lvlText w:val=""/>
      <w:lvlJc w:val="left"/>
      <w:pPr>
        <w:ind w:left="3326" w:hanging="360"/>
      </w:pPr>
      <w:rPr>
        <w:rFonts w:ascii="Symbol" w:hAnsi="Symbol" w:hint="default"/>
      </w:rPr>
    </w:lvl>
    <w:lvl w:ilvl="4" w:tplc="08130003">
      <w:start w:val="1"/>
      <w:numFmt w:val="bullet"/>
      <w:lvlText w:val="o"/>
      <w:lvlJc w:val="left"/>
      <w:pPr>
        <w:ind w:left="4046" w:hanging="360"/>
      </w:pPr>
      <w:rPr>
        <w:rFonts w:ascii="Courier New" w:hAnsi="Courier New" w:cs="Courier New" w:hint="default"/>
      </w:rPr>
    </w:lvl>
    <w:lvl w:ilvl="5" w:tplc="08130005">
      <w:start w:val="1"/>
      <w:numFmt w:val="bullet"/>
      <w:lvlText w:val=""/>
      <w:lvlJc w:val="left"/>
      <w:pPr>
        <w:ind w:left="4766" w:hanging="360"/>
      </w:pPr>
      <w:rPr>
        <w:rFonts w:ascii="Wingdings" w:hAnsi="Wingdings" w:hint="default"/>
      </w:rPr>
    </w:lvl>
    <w:lvl w:ilvl="6" w:tplc="08130001">
      <w:start w:val="1"/>
      <w:numFmt w:val="bullet"/>
      <w:lvlText w:val=""/>
      <w:lvlJc w:val="left"/>
      <w:pPr>
        <w:ind w:left="5486" w:hanging="360"/>
      </w:pPr>
      <w:rPr>
        <w:rFonts w:ascii="Symbol" w:hAnsi="Symbol" w:hint="default"/>
      </w:rPr>
    </w:lvl>
    <w:lvl w:ilvl="7" w:tplc="08130003">
      <w:start w:val="1"/>
      <w:numFmt w:val="bullet"/>
      <w:lvlText w:val="o"/>
      <w:lvlJc w:val="left"/>
      <w:pPr>
        <w:ind w:left="6206" w:hanging="360"/>
      </w:pPr>
      <w:rPr>
        <w:rFonts w:ascii="Courier New" w:hAnsi="Courier New" w:cs="Courier New" w:hint="default"/>
      </w:rPr>
    </w:lvl>
    <w:lvl w:ilvl="8" w:tplc="08130005">
      <w:start w:val="1"/>
      <w:numFmt w:val="bullet"/>
      <w:lvlText w:val=""/>
      <w:lvlJc w:val="left"/>
      <w:pPr>
        <w:ind w:left="6926" w:hanging="360"/>
      </w:pPr>
      <w:rPr>
        <w:rFonts w:ascii="Wingdings" w:hAnsi="Wingdings" w:hint="default"/>
      </w:rPr>
    </w:lvl>
  </w:abstractNum>
  <w:abstractNum w:abstractNumId="6">
    <w:nsid w:val="6B0905AA"/>
    <w:multiLevelType w:val="hybridMultilevel"/>
    <w:tmpl w:val="FA9E2310"/>
    <w:lvl w:ilvl="0" w:tplc="7DE65CB4">
      <w:start w:val="1"/>
      <w:numFmt w:val="bullet"/>
      <w:lvlText w:val=""/>
      <w:lvlJc w:val="left"/>
      <w:pPr>
        <w:ind w:left="720" w:hanging="360"/>
      </w:pPr>
      <w:rPr>
        <w:rFonts w:ascii="Symbol" w:hAnsi="Symbol" w:hint="default"/>
      </w:rPr>
    </w:lvl>
    <w:lvl w:ilvl="1" w:tplc="F0B4D628">
      <w:start w:val="1"/>
      <w:numFmt w:val="bullet"/>
      <w:lvlText w:val="o"/>
      <w:lvlJc w:val="left"/>
      <w:pPr>
        <w:ind w:left="1440" w:hanging="360"/>
      </w:pPr>
      <w:rPr>
        <w:rFonts w:ascii="Courier New" w:hAnsi="Courier New" w:hint="default"/>
      </w:rPr>
    </w:lvl>
    <w:lvl w:ilvl="2" w:tplc="79D6A0D6">
      <w:start w:val="1"/>
      <w:numFmt w:val="bullet"/>
      <w:lvlText w:val=""/>
      <w:lvlJc w:val="left"/>
      <w:pPr>
        <w:ind w:left="2160" w:hanging="360"/>
      </w:pPr>
      <w:rPr>
        <w:rFonts w:ascii="Wingdings" w:hAnsi="Wingdings" w:hint="default"/>
      </w:rPr>
    </w:lvl>
    <w:lvl w:ilvl="3" w:tplc="CAB62152">
      <w:start w:val="1"/>
      <w:numFmt w:val="bullet"/>
      <w:lvlText w:val=""/>
      <w:lvlJc w:val="left"/>
      <w:pPr>
        <w:ind w:left="2880" w:hanging="360"/>
      </w:pPr>
      <w:rPr>
        <w:rFonts w:ascii="Symbol" w:hAnsi="Symbol" w:hint="default"/>
      </w:rPr>
    </w:lvl>
    <w:lvl w:ilvl="4" w:tplc="B7024922">
      <w:start w:val="1"/>
      <w:numFmt w:val="bullet"/>
      <w:lvlText w:val="o"/>
      <w:lvlJc w:val="left"/>
      <w:pPr>
        <w:ind w:left="3600" w:hanging="360"/>
      </w:pPr>
      <w:rPr>
        <w:rFonts w:ascii="Courier New" w:hAnsi="Courier New" w:hint="default"/>
      </w:rPr>
    </w:lvl>
    <w:lvl w:ilvl="5" w:tplc="28F6DA66">
      <w:start w:val="1"/>
      <w:numFmt w:val="bullet"/>
      <w:lvlText w:val=""/>
      <w:lvlJc w:val="left"/>
      <w:pPr>
        <w:ind w:left="4320" w:hanging="360"/>
      </w:pPr>
      <w:rPr>
        <w:rFonts w:ascii="Wingdings" w:hAnsi="Wingdings" w:hint="default"/>
      </w:rPr>
    </w:lvl>
    <w:lvl w:ilvl="6" w:tplc="3B823BD0">
      <w:start w:val="1"/>
      <w:numFmt w:val="bullet"/>
      <w:lvlText w:val=""/>
      <w:lvlJc w:val="left"/>
      <w:pPr>
        <w:ind w:left="5040" w:hanging="360"/>
      </w:pPr>
      <w:rPr>
        <w:rFonts w:ascii="Symbol" w:hAnsi="Symbol" w:hint="default"/>
      </w:rPr>
    </w:lvl>
    <w:lvl w:ilvl="7" w:tplc="07C8F8C4">
      <w:start w:val="1"/>
      <w:numFmt w:val="bullet"/>
      <w:lvlText w:val="o"/>
      <w:lvlJc w:val="left"/>
      <w:pPr>
        <w:ind w:left="5760" w:hanging="360"/>
      </w:pPr>
      <w:rPr>
        <w:rFonts w:ascii="Courier New" w:hAnsi="Courier New" w:hint="default"/>
      </w:rPr>
    </w:lvl>
    <w:lvl w:ilvl="8" w:tplc="1A8236D0">
      <w:start w:val="1"/>
      <w:numFmt w:val="bullet"/>
      <w:lvlText w:val=""/>
      <w:lvlJc w:val="left"/>
      <w:pPr>
        <w:ind w:left="6480" w:hanging="360"/>
      </w:pPr>
      <w:rPr>
        <w:rFonts w:ascii="Wingdings" w:hAnsi="Wingdings" w:hint="default"/>
      </w:rPr>
    </w:lvl>
  </w:abstractNum>
  <w:abstractNum w:abstractNumId="7">
    <w:nsid w:val="6C1B1AEC"/>
    <w:multiLevelType w:val="hybridMultilevel"/>
    <w:tmpl w:val="303CDA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4003F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8D539E"/>
    <w:multiLevelType w:val="multilevel"/>
    <w:tmpl w:val="47667AB0"/>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4"/>
  </w:num>
  <w:num w:numId="4">
    <w:abstractNumId w:val="2"/>
  </w:num>
  <w:num w:numId="5">
    <w:abstractNumId w:val="3"/>
  </w:num>
  <w:num w:numId="6">
    <w:abstractNumId w:val="1"/>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activeWritingStyle w:appName="MSWord" w:lang="fr-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nl-BE" w:vendorID="64" w:dllVersion="131078" w:nlCheck="1" w:checkStyle="0"/>
  <w:activeWritingStyle w:appName="MSWord" w:lang="fr-FR"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1EBFA50-1413-4C2A-8AC0-4C1C81940AAF"/>
    <w:docVar w:name="LW_COVERPAGE_TYPE" w:val="1"/>
    <w:docVar w:name="LW_CROSSREFERENCE" w:val="&lt;UNUSED&gt;"/>
    <w:docVar w:name="LW_DocType" w:val="NORMAL"/>
    <w:docVar w:name="LW_EMISSION" w:val="15.12.2020"/>
    <w:docVar w:name="LW_EMISSION_ISODATE" w:val="2020-12-15"/>
    <w:docVar w:name="LW_EMISSION_LOCATION" w:val="BRX"/>
    <w:docVar w:name="LW_EMISSION_PREFIX" w:val="Bruksela, dnia "/>
    <w:docVar w:name="LW_EMISSION_SUFFIX" w:val=" r."/>
    <w:docVar w:name="LW_ID_DOCTYPE_NONLW" w:val="CP-008"/>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0) 7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A PODSTAWIE ART. 25 TFUE_x000d__x000d__x000b__x000d__x000d__x000b_w sprawie post\u281?pów w skutecznym korzystaniu z obywatelstwa Unii Europejskiej w latach 2016-2020"/>
    <w:docVar w:name="LW_TYPE.DOC.CP" w:val="SPRAWOZDANIE KOMISJI DLA PARLAMENTU EUROPEJSKIEGO, RADY, EUROPEJSKIEGO KOMITETU EKONOMICZNO-SPO\u321?ECZNEGO I KOMITETU REGIONÓW"/>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pl-PL"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pl-PL"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pl-PL"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 text,Footnote Text Char Char,Fußnote,single space,FOOTNOTES,fn, Char Char Char,Note de bas de page2,Footnotes Char,footnote text Char,Footnotes,Char Char Char,Char Char Char Char Char Char,footnotes Char Char Char Char Char,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Footnote Text Char Char Char,Fußnote Char,single space Char,FOOTNOTES Char,fn Char, Char Char Char Char,Note de bas de page2 Char,Footnotes Char Char,footnote text Char Char,Footnotes Char1,Char Char Char Char"/>
    <w:basedOn w:val="DefaultParagraphFont"/>
    <w:link w:val="FootnoteText"/>
    <w:uiPriority w:val="99"/>
    <w:rPr>
      <w:sz w:val="20"/>
      <w:szCs w:val="20"/>
    </w:rPr>
  </w:style>
  <w:style w:type="character" w:styleId="FootnoteReference">
    <w:name w:val="footnote reference"/>
    <w:aliases w:val="stylish,Footnote Refernece, BVI fnr,BVI fnr,Fußnotenzeichen_Raxen,callout,Footnote Reference Number,SUPERS,Footnote symbol,Footnote,Footnote reference number,Footnote number,Footnote Reference Superscript,note TESI,EN Footnote Referen"/>
    <w:basedOn w:val="DefaultParagraphFont"/>
    <w:uiPriority w:val="99"/>
    <w:unhideWhenUsed/>
    <w:qFormat/>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after="120" w:line="240" w:lineRule="auto"/>
      <w:jc w:val="both"/>
    </w:pPr>
    <w:rPr>
      <w:rFonts w:ascii="Calibri Light" w:eastAsiaTheme="minorEastAsia" w:hAnsi="Calibri Light"/>
      <w:sz w:val="20"/>
      <w:szCs w:val="20"/>
      <w:lang w:eastAsia="zh-CN"/>
    </w:rPr>
  </w:style>
  <w:style w:type="character" w:customStyle="1" w:styleId="CommentTextChar">
    <w:name w:val="Comment Text Char"/>
    <w:basedOn w:val="DefaultParagraphFont"/>
    <w:link w:val="CommentText"/>
    <w:rPr>
      <w:rFonts w:ascii="Calibri Light" w:eastAsiaTheme="minorEastAsia" w:hAnsi="Calibri Light"/>
      <w:sz w:val="20"/>
      <w:szCs w:val="20"/>
      <w:lang w:val="pl-PL" w:eastAsia="zh-C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jc w:val="left"/>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Pr>
      <w:rFonts w:ascii="Calibri Light" w:eastAsiaTheme="minorEastAsia" w:hAnsi="Calibri Light"/>
      <w:b/>
      <w:bCs/>
      <w:sz w:val="20"/>
      <w:szCs w:val="20"/>
      <w:lang w:val="pl-PL"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01pointnumerotealtn">
    <w:name w:val="c01pointnumerotealtn"/>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jstje2">
    <w:name w:val="Lijstje2"/>
    <w:basedOn w:val="ListParagraph"/>
    <w:uiPriority w:val="1"/>
    <w:qFormat/>
    <w:locked/>
    <w:pPr>
      <w:numPr>
        <w:numId w:val="7"/>
      </w:numPr>
      <w:tabs>
        <w:tab w:val="num" w:pos="360"/>
      </w:tabs>
      <w:spacing w:after="200" w:line="240" w:lineRule="auto"/>
      <w:ind w:left="720" w:firstLine="0"/>
      <w:jc w:val="both"/>
    </w:pPr>
    <w:rPr>
      <w:rFonts w:ascii="Verdana" w:eastAsia="Calibri" w:hAnsi="Verdana" w:cs="Times New Roman"/>
      <w:kern w:val="20"/>
      <w:sz w:val="20"/>
      <w:lang w:eastAsia="en-GB"/>
    </w:rPr>
  </w:style>
  <w:style w:type="paragraph" w:customStyle="1" w:styleId="Lijstje3">
    <w:name w:val="Lijstje 3"/>
    <w:basedOn w:val="Lijstje2"/>
    <w:uiPriority w:val="1"/>
    <w:locked/>
    <w:pPr>
      <w:numPr>
        <w:ilvl w:val="1"/>
      </w:numPr>
      <w:tabs>
        <w:tab w:val="num" w:pos="360"/>
        <w:tab w:val="num" w:pos="765"/>
      </w:tabs>
    </w:pPr>
  </w:style>
  <w:style w:type="paragraph" w:customStyle="1" w:styleId="Sub-heading">
    <w:name w:val="Sub-heading"/>
    <w:basedOn w:val="Heading5"/>
    <w:link w:val="Sub-headingChar"/>
    <w:qFormat/>
    <w:pPr>
      <w:keepNext w:val="0"/>
      <w:keepLines w:val="0"/>
      <w:numPr>
        <w:ilvl w:val="0"/>
        <w:numId w:val="0"/>
      </w:numPr>
      <w:spacing w:before="0" w:line="240" w:lineRule="auto"/>
    </w:pPr>
    <w:rPr>
      <w:rFonts w:ascii="Calibri" w:eastAsia="Times New Roman" w:hAnsi="Calibri" w:cs="Times New Roman"/>
      <w:b/>
      <w:bCs/>
      <w:i/>
      <w:iCs/>
      <w:color w:val="4F81BD"/>
      <w:sz w:val="24"/>
      <w:szCs w:val="26"/>
      <w:lang w:eastAsia="fr-FR"/>
    </w:rPr>
  </w:style>
  <w:style w:type="character" w:customStyle="1" w:styleId="Sub-headingChar">
    <w:name w:val="Sub-heading Char"/>
    <w:basedOn w:val="DefaultParagraphFont"/>
    <w:link w:val="Sub-heading"/>
    <w:rPr>
      <w:rFonts w:ascii="Calibri" w:eastAsia="Times New Roman" w:hAnsi="Calibri" w:cs="Times New Roman"/>
      <w:b/>
      <w:bCs/>
      <w:i/>
      <w:iCs/>
      <w:color w:val="4F81BD"/>
      <w:sz w:val="24"/>
      <w:szCs w:val="26"/>
      <w:lang w:val="pl-PL" w:eastAsia="fr-FR"/>
    </w:rPr>
  </w:style>
  <w:style w:type="character" w:customStyle="1" w:styleId="outputecli">
    <w:name w:val="outputecli"/>
    <w:basedOn w:val="DefaultParagraphFont"/>
  </w:style>
  <w:style w:type="paragraph" w:styleId="Revision">
    <w:name w:val="Revision"/>
    <w:hidden/>
    <w:uiPriority w:val="99"/>
    <w:semiHidden/>
    <w:pPr>
      <w:spacing w:after="0" w:line="240" w:lineRule="auto"/>
    </w:pPr>
  </w:style>
  <w:style w:type="paragraph" w:customStyle="1" w:styleId="c41dispositifintroduction">
    <w:name w:val="c41dispositifintroduction"/>
    <w:basedOn w:val="Normal"/>
    <w:uiPriority w:val="99"/>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6308">
      <w:bodyDiv w:val="1"/>
      <w:marLeft w:val="0"/>
      <w:marRight w:val="0"/>
      <w:marTop w:val="0"/>
      <w:marBottom w:val="0"/>
      <w:divBdr>
        <w:top w:val="none" w:sz="0" w:space="0" w:color="auto"/>
        <w:left w:val="none" w:sz="0" w:space="0" w:color="auto"/>
        <w:bottom w:val="none" w:sz="0" w:space="0" w:color="auto"/>
        <w:right w:val="none" w:sz="0" w:space="0" w:color="auto"/>
      </w:divBdr>
    </w:div>
    <w:div w:id="339090972">
      <w:bodyDiv w:val="1"/>
      <w:marLeft w:val="0"/>
      <w:marRight w:val="0"/>
      <w:marTop w:val="0"/>
      <w:marBottom w:val="0"/>
      <w:divBdr>
        <w:top w:val="none" w:sz="0" w:space="0" w:color="auto"/>
        <w:left w:val="none" w:sz="0" w:space="0" w:color="auto"/>
        <w:bottom w:val="none" w:sz="0" w:space="0" w:color="auto"/>
        <w:right w:val="none" w:sz="0" w:space="0" w:color="auto"/>
      </w:divBdr>
    </w:div>
    <w:div w:id="470248284">
      <w:bodyDiv w:val="1"/>
      <w:marLeft w:val="0"/>
      <w:marRight w:val="0"/>
      <w:marTop w:val="0"/>
      <w:marBottom w:val="0"/>
      <w:divBdr>
        <w:top w:val="none" w:sz="0" w:space="0" w:color="auto"/>
        <w:left w:val="none" w:sz="0" w:space="0" w:color="auto"/>
        <w:bottom w:val="none" w:sz="0" w:space="0" w:color="auto"/>
        <w:right w:val="none" w:sz="0" w:space="0" w:color="auto"/>
      </w:divBdr>
    </w:div>
    <w:div w:id="767967982">
      <w:bodyDiv w:val="1"/>
      <w:marLeft w:val="0"/>
      <w:marRight w:val="0"/>
      <w:marTop w:val="0"/>
      <w:marBottom w:val="0"/>
      <w:divBdr>
        <w:top w:val="none" w:sz="0" w:space="0" w:color="auto"/>
        <w:left w:val="none" w:sz="0" w:space="0" w:color="auto"/>
        <w:bottom w:val="none" w:sz="0" w:space="0" w:color="auto"/>
        <w:right w:val="none" w:sz="0" w:space="0" w:color="auto"/>
      </w:divBdr>
    </w:div>
    <w:div w:id="998385149">
      <w:bodyDiv w:val="1"/>
      <w:marLeft w:val="0"/>
      <w:marRight w:val="0"/>
      <w:marTop w:val="0"/>
      <w:marBottom w:val="0"/>
      <w:divBdr>
        <w:top w:val="none" w:sz="0" w:space="0" w:color="auto"/>
        <w:left w:val="none" w:sz="0" w:space="0" w:color="auto"/>
        <w:bottom w:val="none" w:sz="0" w:space="0" w:color="auto"/>
        <w:right w:val="none" w:sz="0" w:space="0" w:color="auto"/>
      </w:divBdr>
    </w:div>
    <w:div w:id="1022249233">
      <w:bodyDiv w:val="1"/>
      <w:marLeft w:val="0"/>
      <w:marRight w:val="0"/>
      <w:marTop w:val="0"/>
      <w:marBottom w:val="0"/>
      <w:divBdr>
        <w:top w:val="none" w:sz="0" w:space="0" w:color="auto"/>
        <w:left w:val="none" w:sz="0" w:space="0" w:color="auto"/>
        <w:bottom w:val="none" w:sz="0" w:space="0" w:color="auto"/>
        <w:right w:val="none" w:sz="0" w:space="0" w:color="auto"/>
      </w:divBdr>
    </w:div>
    <w:div w:id="1085758237">
      <w:bodyDiv w:val="1"/>
      <w:marLeft w:val="0"/>
      <w:marRight w:val="0"/>
      <w:marTop w:val="0"/>
      <w:marBottom w:val="0"/>
      <w:divBdr>
        <w:top w:val="none" w:sz="0" w:space="0" w:color="auto"/>
        <w:left w:val="none" w:sz="0" w:space="0" w:color="auto"/>
        <w:bottom w:val="none" w:sz="0" w:space="0" w:color="auto"/>
        <w:right w:val="none" w:sz="0" w:space="0" w:color="auto"/>
      </w:divBdr>
    </w:div>
    <w:div w:id="1304237368">
      <w:bodyDiv w:val="1"/>
      <w:marLeft w:val="0"/>
      <w:marRight w:val="0"/>
      <w:marTop w:val="0"/>
      <w:marBottom w:val="0"/>
      <w:divBdr>
        <w:top w:val="none" w:sz="0" w:space="0" w:color="auto"/>
        <w:left w:val="none" w:sz="0" w:space="0" w:color="auto"/>
        <w:bottom w:val="none" w:sz="0" w:space="0" w:color="auto"/>
        <w:right w:val="none" w:sz="0" w:space="0" w:color="auto"/>
      </w:divBdr>
    </w:div>
    <w:div w:id="1322081142">
      <w:bodyDiv w:val="1"/>
      <w:marLeft w:val="0"/>
      <w:marRight w:val="0"/>
      <w:marTop w:val="0"/>
      <w:marBottom w:val="0"/>
      <w:divBdr>
        <w:top w:val="none" w:sz="0" w:space="0" w:color="auto"/>
        <w:left w:val="none" w:sz="0" w:space="0" w:color="auto"/>
        <w:bottom w:val="none" w:sz="0" w:space="0" w:color="auto"/>
        <w:right w:val="none" w:sz="0" w:space="0" w:color="auto"/>
      </w:divBdr>
    </w:div>
    <w:div w:id="1564023428">
      <w:bodyDiv w:val="1"/>
      <w:marLeft w:val="0"/>
      <w:marRight w:val="0"/>
      <w:marTop w:val="0"/>
      <w:marBottom w:val="0"/>
      <w:divBdr>
        <w:top w:val="none" w:sz="0" w:space="0" w:color="auto"/>
        <w:left w:val="none" w:sz="0" w:space="0" w:color="auto"/>
        <w:bottom w:val="none" w:sz="0" w:space="0" w:color="auto"/>
        <w:right w:val="none" w:sz="0" w:space="0" w:color="auto"/>
      </w:divBdr>
    </w:div>
    <w:div w:id="2084989338">
      <w:bodyDiv w:val="1"/>
      <w:marLeft w:val="0"/>
      <w:marRight w:val="0"/>
      <w:marTop w:val="0"/>
      <w:marBottom w:val="0"/>
      <w:divBdr>
        <w:top w:val="none" w:sz="0" w:space="0" w:color="auto"/>
        <w:left w:val="none" w:sz="0" w:space="0" w:color="auto"/>
        <w:bottom w:val="none" w:sz="0" w:space="0" w:color="auto"/>
        <w:right w:val="none" w:sz="0" w:space="0" w:color="auto"/>
      </w:divBdr>
    </w:div>
    <w:div w:id="2116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ec.europa.eu/social/main.jsp?catId=1437&amp;langId=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HTML/?uri=CELEX:52019DC0406&amp;from=PL" TargetMode="External"/><Relationship Id="rId13" Type="http://schemas.openxmlformats.org/officeDocument/2006/relationships/hyperlink" Target="https://ec.europa.eu/info/investor-citizenship-schemes_en" TargetMode="External"/><Relationship Id="rId18" Type="http://schemas.openxmlformats.org/officeDocument/2006/relationships/hyperlink" Target="http://curia.europa.eu/juris/document/document.jsf?text=&amp;docid=218484&amp;pageIndex=0&amp;doclang=PL&amp;mode=lst&amp;dir=&amp;occ=first&amp;part=1&amp;cid=612407" TargetMode="External"/><Relationship Id="rId26" Type="http://schemas.openxmlformats.org/officeDocument/2006/relationships/hyperlink" Target="https://petiport.secure.europarl.europa.eu/petitions/pl/main" TargetMode="External"/><Relationship Id="rId3" Type="http://schemas.openxmlformats.org/officeDocument/2006/relationships/hyperlink" Target="https://ec.europa.eu/info/sites/info/files/report_list_of_actions_2015-19.pdf" TargetMode="External"/><Relationship Id="rId21" Type="http://schemas.openxmlformats.org/officeDocument/2006/relationships/hyperlink" Target="https://ec.europa.eu/info/files/letter-concerning-voter-registration-system-mobile-eu-citizens-united-kingdom_en" TargetMode="External"/><Relationship Id="rId7" Type="http://schemas.openxmlformats.org/officeDocument/2006/relationships/hyperlink" Target="https://eur-lex.europa.eu/legal-content/PL/TXT/?qid=1544112037077&amp;uri=CELEX:52018DC0785" TargetMode="External"/><Relationship Id="rId12" Type="http://schemas.openxmlformats.org/officeDocument/2006/relationships/hyperlink" Target="https://eur-lex.europa.eu/legal-content/PL/TXT/PDF/?uri=CELEX:52019DC0012&amp;qid=1607598381473&amp;from=EN" TargetMode="External"/><Relationship Id="rId17" Type="http://schemas.openxmlformats.org/officeDocument/2006/relationships/hyperlink" Target="http://curia.europa.eu/juris/document/document.jsf?text=&amp;docid=218484&amp;pageIndex=0&amp;doclang=PL&amp;mode=lst&amp;dir=&amp;occ=first&amp;part=1&amp;cid=612407" TargetMode="External"/><Relationship Id="rId25" Type="http://schemas.openxmlformats.org/officeDocument/2006/relationships/hyperlink" Target="https://eur-lex.europa.eu/legal-content/pl/TXT/?uri=CELEX:52018DC0044" TargetMode="External"/><Relationship Id="rId2" Type="http://schemas.openxmlformats.org/officeDocument/2006/relationships/hyperlink" Target="https://ec.europa.eu/info/policies/justice-and-fundamental-rights/combatting-discrimination/lesbian-gay-bi-trans-and-intersex-equality/list-actions-advance-lgbti-equality_en" TargetMode="External"/><Relationship Id="rId16" Type="http://schemas.openxmlformats.org/officeDocument/2006/relationships/hyperlink" Target="https://europa.eu/european-union/contact_pl" TargetMode="External"/><Relationship Id="rId20" Type="http://schemas.openxmlformats.org/officeDocument/2006/relationships/hyperlink" Target="https://ec.europa.eu/commission/news/security-union-2017-jun-29_en" TargetMode="External"/><Relationship Id="rId29" Type="http://schemas.openxmlformats.org/officeDocument/2006/relationships/hyperlink" Target="https://www.ombudsman.europa.eu/en/press-release/en/89910?utm_source=web_EO&amp;utm_medium=scrollie_organic&amp;utm_campaign=scrollie_25" TargetMode="External"/><Relationship Id="rId1" Type="http://schemas.openxmlformats.org/officeDocument/2006/relationships/hyperlink" Target="https://ec.europa.eu/info/sites/info/files/aid_development_cooperation_fundamental_rights/annual_report_ge_2019_en_1.pdf" TargetMode="External"/><Relationship Id="rId6" Type="http://schemas.openxmlformats.org/officeDocument/2006/relationships/hyperlink" Target="https://ec.europa.eu/newsroom/just/document.cfm?doc_id=55607" TargetMode="External"/><Relationship Id="rId11" Type="http://schemas.openxmlformats.org/officeDocument/2006/relationships/hyperlink" Target="https://ec.europa.eu/social/main.jsp?catId=738&amp;%20langId=en&amp;pubId=8341&amp;furtherPubs=yes" TargetMode="External"/><Relationship Id="rId24" Type="http://schemas.openxmlformats.org/officeDocument/2006/relationships/hyperlink" Target="https://www.consilium.europa.eu/media/22130/st09008en17.pdf" TargetMode="External"/><Relationship Id="rId32" Type="http://schemas.openxmlformats.org/officeDocument/2006/relationships/hyperlink" Target="https://europa.eu/citizens-initiative/expert-group-meetings_pl" TargetMode="External"/><Relationship Id="rId5" Type="http://schemas.openxmlformats.org/officeDocument/2006/relationships/hyperlink" Target="https://ec.europa.eu/newsroom/just/document.cfm?doc_id=55651" TargetMode="External"/><Relationship Id="rId15" Type="http://schemas.openxmlformats.org/officeDocument/2006/relationships/hyperlink" Target="https://ec.europa.eu/internal_market/scoreboard/performance_by_governance_tool/solvit/index_en.htm" TargetMode="External"/><Relationship Id="rId23" Type="http://schemas.openxmlformats.org/officeDocument/2006/relationships/hyperlink" Target="https://ec.europa.eu/home-affairs/sites/homeaffairs/files/what-is-new/news/news/20170124_eu_citizenship_report_2017_en.pdf" TargetMode="External"/><Relationship Id="rId28" Type="http://schemas.openxmlformats.org/officeDocument/2006/relationships/hyperlink" Target="https://www.ombudsman.europa.eu/en/special-report/pl/94921" TargetMode="External"/><Relationship Id="rId10" Type="http://schemas.openxmlformats.org/officeDocument/2006/relationships/hyperlink" Target="https://eur-lex.europa.eu/legal-content/PL/TXT/?uri=celex:32000L0078" TargetMode="External"/><Relationship Id="rId19" Type="http://schemas.openxmlformats.org/officeDocument/2006/relationships/hyperlink" Target="http://curia.europa.eu/juris/document/document.jsf?text=&amp;docid=218484&amp;pageIndex=0&amp;doclang=PL&amp;mode=lst&amp;dir=&amp;occ=first&amp;part=1&amp;cid=612407" TargetMode="External"/><Relationship Id="rId31" Type="http://schemas.openxmlformats.org/officeDocument/2006/relationships/hyperlink" Target="https://europa.eu/citizens-initiative/initiatives/details/2017/000002_pl" TargetMode="External"/><Relationship Id="rId4" Type="http://schemas.openxmlformats.org/officeDocument/2006/relationships/hyperlink" Target="https://ec.europa.eu/newsroom/just/document.cfm?doc_id=55652" TargetMode="External"/><Relationship Id="rId9" Type="http://schemas.openxmlformats.org/officeDocument/2006/relationships/hyperlink" Target="https://ec.europa.eu/social/main.jsp?catId=1437&amp;langId=pl" TargetMode="External"/><Relationship Id="rId14" Type="http://schemas.openxmlformats.org/officeDocument/2006/relationships/hyperlink" Target="https://curia.europa.eu/jcms/upload/docs/application/pdf/2020-06/qd-ap-19-001-pl-n.pdf" TargetMode="External"/><Relationship Id="rId22" Type="http://schemas.openxmlformats.org/officeDocument/2006/relationships/hyperlink" Target="https://ec.europa.eu/info/files/letter-concerning-difficulties-encountered-voting-romanian-consulate_en" TargetMode="External"/><Relationship Id="rId27" Type="http://schemas.openxmlformats.org/officeDocument/2006/relationships/hyperlink" Target="https://www.europarl.europa.eu/meetdocs/2014_2019/plmrep/COMMITTEES/PETI/PR/2020/09-03/1197378PL.pdf" TargetMode="External"/><Relationship Id="rId30" Type="http://schemas.openxmlformats.org/officeDocument/2006/relationships/hyperlink" Target="http://ec.europa.eu/citizens-initiative/public/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0610A8B9C756743B6BA5471FB5C38B5" ma:contentTypeVersion="0" ma:contentTypeDescription="Create a new document in this library." ma:contentTypeScope="" ma:versionID="aa10f77e458312a700d535427e75a64f">
  <xsd:schema xmlns:xsd="http://www.w3.org/2001/XMLSchema" xmlns:xs="http://www.w3.org/2001/XMLSchema" xmlns:p="http://schemas.microsoft.com/office/2006/metadata/properties" xmlns:ns2="http://schemas.microsoft.com/sharepoint/v3/fields" xmlns:ns3="cd27dc72-3472-4c20-a242-91c7896958dc" targetNamespace="http://schemas.microsoft.com/office/2006/metadata/properties" ma:root="true" ma:fieldsID="e34afa759dd76904ac4e9f98c697d5d4" ns2:_="" ns3:_="">
    <xsd:import namespace="http://schemas.microsoft.com/sharepoint/v3/fields"/>
    <xsd:import namespace="cd27dc72-3472-4c20-a242-91c7896958d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d27dc72-3472-4c20-a242-91c7896958d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cd27dc72-3472-4c20-a242-91c7896958dc">EN</EC_Collab_DocumentLanguage>
    <EC_Collab_Status xmlns="cd27dc72-3472-4c20-a242-91c7896958dc">Not Started</EC_Collab_Status>
    <_Status xmlns="http://schemas.microsoft.com/sharepoint/v3/fields">Not Started</_Status>
    <EC_Collab_Reference xmlns="cd27dc72-3472-4c20-a242-91c7896958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D6EA-B7CE-4042-8B73-D0D8B625B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d27dc72-3472-4c20-a242-91c789695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98689-0298-4F3F-95A0-9667ECD2BC51}">
  <ds:schemaRefs>
    <ds:schemaRef ds:uri="http://schemas.microsoft.com/sharepoint/v3/contenttype/forms"/>
  </ds:schemaRefs>
</ds:datastoreItem>
</file>

<file path=customXml/itemProps3.xml><?xml version="1.0" encoding="utf-8"?>
<ds:datastoreItem xmlns:ds="http://schemas.openxmlformats.org/officeDocument/2006/customXml" ds:itemID="{C954ADCA-DC4B-4401-9D2E-3077C4CE0B17}">
  <ds:schemaRefs>
    <ds:schemaRef ds:uri="http://purl.org/dc/elements/1.1/"/>
    <ds:schemaRef ds:uri="http://purl.org/dc/terms/"/>
    <ds:schemaRef ds:uri="http://schemas.openxmlformats.org/package/2006/metadata/core-properties"/>
    <ds:schemaRef ds:uri="cd27dc72-3472-4c20-a242-91c7896958dc"/>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D80840DF-F687-4277-A617-E4373128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8570</Words>
  <Characters>54339</Characters>
  <Application>Microsoft Office Word</Application>
  <DocSecurity>0</DocSecurity>
  <Lines>835</Lines>
  <Paragraphs>158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cp:lastPrinted>2020-11-18T18:45:00Z</cp:lastPrinted>
  <dcterms:created xsi:type="dcterms:W3CDTF">2020-12-03T17:42:00Z</dcterms:created>
  <dcterms:modified xsi:type="dcterms:W3CDTF">2020-12-15T06:24:00Z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ContentTypeId">
    <vt:lpwstr>0x010100258AA79CEB83498886A3A086811232500070610A8B9C756743B6BA5471FB5C38B5</vt:lpwstr>
  </property>
  <property fmtid="{D5CDD505-2E9C-101B-9397-08002B2CF9AE}" pid="10" name="_LW_INVALIDATED__LW_INVALIDATED__LW_INVALIDATED__LW_INVALIDATED__LW_INVALIDATED__LW_INVALIDATED__LW_INVALIDATED__LW_INVALIDATED_ContentTypeId">
    <vt:lpwstr>0x010100258AA79CEB83498886A3A086811232500070610A8B9C756743B6BA5471FB5C38B5</vt:lpwstr>
  </property>
  <property fmtid="{D5CDD505-2E9C-101B-9397-08002B2CF9AE}" pid="11" name="_LW_INVALIDATED__LW_INVALIDATED__LW_INVALIDATED__LW_INVALIDATED__LW_INVALIDATED__LW_INVALIDATED__LW_INVALIDATED_ContentTypeId">
    <vt:lpwstr>0x010100258AA79CEB83498886A3A086811232500070610A8B9C756743B6BA5471FB5C38B5</vt:lpwstr>
  </property>
  <property name="OP_sanitized" fmtid="{D5CDD505-2E9C-101B-9397-08002B2CF9AE}" pid="12">
    <vt:lpwstr>True</vt:lpwstr>
  </property>
</Properties>
</file>